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721" w:rsidRPr="009B3747" w:rsidRDefault="00BD2721" w:rsidP="00BD2721">
      <w:pPr>
        <w:pStyle w:val="NormalWeb"/>
        <w:spacing w:before="0" w:beforeAutospacing="0" w:after="0" w:afterAutospacing="0" w:line="360" w:lineRule="auto"/>
        <w:rPr>
          <w:rFonts w:asciiTheme="minorHAnsi" w:hAnsiTheme="minorHAnsi" w:cstheme="minorHAnsi"/>
          <w:b/>
          <w:color w:val="000000"/>
          <w:sz w:val="32"/>
          <w:szCs w:val="32"/>
        </w:rPr>
      </w:pPr>
      <w:r w:rsidRPr="009B3747">
        <w:rPr>
          <w:rFonts w:asciiTheme="minorHAnsi" w:hAnsiTheme="minorHAnsi" w:cstheme="minorHAnsi"/>
          <w:noProof/>
        </w:rPr>
        <w:drawing>
          <wp:anchor distT="0" distB="0" distL="114300" distR="114300" simplePos="0" relativeHeight="251682816" behindDoc="1" locked="0" layoutInCell="1" allowOverlap="1">
            <wp:simplePos x="0" y="0"/>
            <wp:positionH relativeFrom="column">
              <wp:posOffset>1657350</wp:posOffset>
            </wp:positionH>
            <wp:positionV relativeFrom="paragraph">
              <wp:posOffset>0</wp:posOffset>
            </wp:positionV>
            <wp:extent cx="2381250" cy="1283335"/>
            <wp:effectExtent l="0" t="0" r="0" b="0"/>
            <wp:wrapTight wrapText="bothSides">
              <wp:wrapPolygon edited="0">
                <wp:start x="0" y="0"/>
                <wp:lineTo x="0" y="21162"/>
                <wp:lineTo x="21427" y="21162"/>
                <wp:lineTo x="21427" y="0"/>
                <wp:lineTo x="0" y="0"/>
              </wp:wrapPolygon>
            </wp:wrapTight>
            <wp:docPr id="6" name="Picture 6" descr="Image result for the university of shef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he university of sheffiel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5867"/>
                    <a:stretch/>
                  </pic:blipFill>
                  <pic:spPr bwMode="auto">
                    <a:xfrm>
                      <a:off x="0" y="0"/>
                      <a:ext cx="2381250" cy="1283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2721" w:rsidRPr="009B3747" w:rsidRDefault="00BD2721" w:rsidP="00A16FA3">
      <w:pPr>
        <w:pStyle w:val="NormalWeb"/>
        <w:spacing w:before="0" w:beforeAutospacing="0" w:after="0" w:afterAutospacing="0" w:line="360" w:lineRule="auto"/>
        <w:jc w:val="center"/>
        <w:rPr>
          <w:rFonts w:asciiTheme="minorHAnsi" w:hAnsiTheme="minorHAnsi" w:cstheme="minorHAnsi"/>
          <w:b/>
          <w:color w:val="000000"/>
          <w:sz w:val="32"/>
          <w:szCs w:val="32"/>
        </w:rPr>
      </w:pPr>
    </w:p>
    <w:p w:rsidR="00BD2721" w:rsidRPr="009B3747" w:rsidRDefault="00BD2721" w:rsidP="00A16FA3">
      <w:pPr>
        <w:pStyle w:val="NormalWeb"/>
        <w:spacing w:before="0" w:beforeAutospacing="0" w:after="0" w:afterAutospacing="0" w:line="360" w:lineRule="auto"/>
        <w:jc w:val="center"/>
        <w:rPr>
          <w:rFonts w:asciiTheme="minorHAnsi" w:hAnsiTheme="minorHAnsi" w:cstheme="minorHAnsi"/>
          <w:b/>
          <w:color w:val="000000"/>
          <w:sz w:val="32"/>
          <w:szCs w:val="32"/>
        </w:rPr>
      </w:pPr>
    </w:p>
    <w:p w:rsidR="00BD2721" w:rsidRPr="009B3747" w:rsidRDefault="00BD2721" w:rsidP="00A16FA3">
      <w:pPr>
        <w:pStyle w:val="NormalWeb"/>
        <w:spacing w:before="0" w:beforeAutospacing="0" w:after="0" w:afterAutospacing="0" w:line="360" w:lineRule="auto"/>
        <w:jc w:val="center"/>
        <w:rPr>
          <w:rFonts w:asciiTheme="minorHAnsi" w:hAnsiTheme="minorHAnsi" w:cstheme="minorHAnsi"/>
          <w:b/>
          <w:color w:val="000000"/>
          <w:sz w:val="32"/>
          <w:szCs w:val="32"/>
        </w:rPr>
      </w:pPr>
    </w:p>
    <w:p w:rsidR="00BD2721" w:rsidRPr="009B3747" w:rsidRDefault="00BD2721" w:rsidP="00A16FA3">
      <w:pPr>
        <w:pStyle w:val="NormalWeb"/>
        <w:spacing w:before="0" w:beforeAutospacing="0" w:after="0" w:afterAutospacing="0" w:line="360" w:lineRule="auto"/>
        <w:jc w:val="center"/>
        <w:rPr>
          <w:rFonts w:asciiTheme="minorHAnsi" w:hAnsiTheme="minorHAnsi" w:cstheme="minorHAnsi"/>
          <w:b/>
          <w:color w:val="000000"/>
          <w:sz w:val="32"/>
          <w:szCs w:val="32"/>
        </w:rPr>
      </w:pPr>
    </w:p>
    <w:p w:rsidR="00E03250" w:rsidRPr="009B3747" w:rsidRDefault="00BA5286" w:rsidP="00A16FA3">
      <w:pPr>
        <w:pStyle w:val="NormalWeb"/>
        <w:spacing w:before="0" w:beforeAutospacing="0" w:after="0" w:afterAutospacing="0" w:line="360" w:lineRule="auto"/>
        <w:jc w:val="center"/>
        <w:rPr>
          <w:rFonts w:asciiTheme="minorHAnsi" w:hAnsiTheme="minorHAnsi" w:cstheme="minorHAnsi"/>
          <w:b/>
          <w:color w:val="000000"/>
          <w:sz w:val="32"/>
          <w:szCs w:val="32"/>
        </w:rPr>
      </w:pPr>
      <w:r w:rsidRPr="009B3747">
        <w:rPr>
          <w:rFonts w:asciiTheme="minorHAnsi" w:hAnsiTheme="minorHAnsi" w:cstheme="minorHAnsi"/>
          <w:b/>
          <w:color w:val="000000"/>
          <w:sz w:val="32"/>
          <w:szCs w:val="32"/>
        </w:rPr>
        <w:t>Headteachers</w:t>
      </w:r>
      <w:r w:rsidR="00846B21" w:rsidRPr="009B3747">
        <w:rPr>
          <w:rFonts w:asciiTheme="minorHAnsi" w:hAnsiTheme="minorHAnsi" w:cstheme="minorHAnsi"/>
          <w:b/>
          <w:color w:val="000000"/>
          <w:sz w:val="32"/>
          <w:szCs w:val="32"/>
        </w:rPr>
        <w:t>’</w:t>
      </w:r>
      <w:r w:rsidR="002D3653">
        <w:rPr>
          <w:rFonts w:asciiTheme="minorHAnsi" w:hAnsiTheme="minorHAnsi" w:cstheme="minorHAnsi"/>
          <w:b/>
          <w:color w:val="000000"/>
          <w:sz w:val="32"/>
          <w:szCs w:val="32"/>
        </w:rPr>
        <w:t xml:space="preserve"> and c</w:t>
      </w:r>
      <w:r w:rsidRPr="009B3747">
        <w:rPr>
          <w:rFonts w:asciiTheme="minorHAnsi" w:hAnsiTheme="minorHAnsi" w:cstheme="minorHAnsi"/>
          <w:b/>
          <w:color w:val="000000"/>
          <w:sz w:val="32"/>
          <w:szCs w:val="32"/>
        </w:rPr>
        <w:t xml:space="preserve">hairs of </w:t>
      </w:r>
      <w:r w:rsidR="00991ADC" w:rsidRPr="009B3747">
        <w:rPr>
          <w:rFonts w:asciiTheme="minorHAnsi" w:hAnsiTheme="minorHAnsi" w:cstheme="minorHAnsi"/>
          <w:b/>
          <w:color w:val="000000"/>
          <w:sz w:val="32"/>
          <w:szCs w:val="32"/>
        </w:rPr>
        <w:t>governors’</w:t>
      </w:r>
      <w:r w:rsidRPr="009B3747">
        <w:rPr>
          <w:rFonts w:asciiTheme="minorHAnsi" w:hAnsiTheme="minorHAnsi" w:cstheme="minorHAnsi"/>
          <w:b/>
          <w:color w:val="000000"/>
          <w:sz w:val="32"/>
          <w:szCs w:val="32"/>
        </w:rPr>
        <w:t xml:space="preserve"> perspectives of adolescent obesity and its prevention in English secondary school settings: </w:t>
      </w:r>
    </w:p>
    <w:p w:rsidR="00BA5286" w:rsidRPr="009B3747" w:rsidRDefault="00AF092A" w:rsidP="00A16FA3">
      <w:pPr>
        <w:pStyle w:val="NormalWeb"/>
        <w:spacing w:before="0" w:beforeAutospacing="0" w:after="0" w:afterAutospacing="0" w:line="360" w:lineRule="auto"/>
        <w:jc w:val="center"/>
        <w:rPr>
          <w:rFonts w:asciiTheme="minorHAnsi" w:hAnsiTheme="minorHAnsi" w:cstheme="minorHAnsi"/>
          <w:b/>
          <w:sz w:val="32"/>
          <w:szCs w:val="32"/>
        </w:rPr>
      </w:pPr>
      <w:r>
        <w:rPr>
          <w:rFonts w:asciiTheme="minorHAnsi" w:hAnsiTheme="minorHAnsi" w:cstheme="minorHAnsi"/>
          <w:b/>
          <w:color w:val="000000"/>
          <w:sz w:val="32"/>
          <w:szCs w:val="32"/>
        </w:rPr>
        <w:t>A mixed methods s</w:t>
      </w:r>
      <w:r w:rsidR="00BA5286" w:rsidRPr="009B3747">
        <w:rPr>
          <w:rFonts w:asciiTheme="minorHAnsi" w:hAnsiTheme="minorHAnsi" w:cstheme="minorHAnsi"/>
          <w:b/>
          <w:color w:val="000000"/>
          <w:sz w:val="32"/>
          <w:szCs w:val="32"/>
        </w:rPr>
        <w:t>tudy</w:t>
      </w:r>
    </w:p>
    <w:p w:rsidR="00BA5286" w:rsidRPr="009B3747" w:rsidRDefault="00BA5286" w:rsidP="00A16FA3">
      <w:pPr>
        <w:pStyle w:val="NormalWeb"/>
        <w:spacing w:before="0" w:beforeAutospacing="0" w:after="0" w:afterAutospacing="0" w:line="360" w:lineRule="auto"/>
        <w:jc w:val="center"/>
        <w:rPr>
          <w:rFonts w:asciiTheme="minorHAnsi" w:hAnsiTheme="minorHAnsi" w:cstheme="minorHAnsi"/>
          <w:b/>
          <w:sz w:val="32"/>
          <w:szCs w:val="32"/>
        </w:rPr>
      </w:pPr>
    </w:p>
    <w:p w:rsidR="00BA5286" w:rsidRPr="009B3747" w:rsidRDefault="00BA5286" w:rsidP="00A16FA3">
      <w:pPr>
        <w:pStyle w:val="NormalWeb"/>
        <w:spacing w:before="0" w:beforeAutospacing="0" w:after="0" w:afterAutospacing="0" w:line="360" w:lineRule="auto"/>
        <w:jc w:val="center"/>
        <w:rPr>
          <w:rFonts w:asciiTheme="minorHAnsi" w:hAnsiTheme="minorHAnsi" w:cstheme="minorHAnsi"/>
          <w:sz w:val="26"/>
          <w:szCs w:val="26"/>
        </w:rPr>
      </w:pPr>
      <w:r w:rsidRPr="009B3747">
        <w:rPr>
          <w:rFonts w:asciiTheme="minorHAnsi" w:hAnsiTheme="minorHAnsi" w:cstheme="minorHAnsi"/>
          <w:sz w:val="22"/>
          <w:szCs w:val="22"/>
        </w:rPr>
        <w:t>by</w:t>
      </w:r>
    </w:p>
    <w:p w:rsidR="00BA5286" w:rsidRPr="009B3747" w:rsidRDefault="00BA5286" w:rsidP="00A16FA3">
      <w:pPr>
        <w:pStyle w:val="NormalWeb"/>
        <w:spacing w:before="0" w:beforeAutospacing="0" w:after="0" w:afterAutospacing="0" w:line="360" w:lineRule="auto"/>
        <w:jc w:val="center"/>
        <w:rPr>
          <w:rFonts w:asciiTheme="minorHAnsi" w:hAnsiTheme="minorHAnsi" w:cstheme="minorHAnsi"/>
          <w:sz w:val="26"/>
          <w:szCs w:val="26"/>
        </w:rPr>
      </w:pPr>
      <w:r w:rsidRPr="009B3747">
        <w:rPr>
          <w:rFonts w:asciiTheme="minorHAnsi" w:hAnsiTheme="minorHAnsi" w:cstheme="minorHAnsi"/>
          <w:color w:val="000000"/>
          <w:sz w:val="26"/>
          <w:szCs w:val="26"/>
        </w:rPr>
        <w:t>Emma Howard-Drake</w:t>
      </w:r>
    </w:p>
    <w:p w:rsidR="00BA5286" w:rsidRPr="009B3747" w:rsidRDefault="00BA5286" w:rsidP="00A16FA3">
      <w:pPr>
        <w:pStyle w:val="NormalWeb"/>
        <w:spacing w:before="0" w:beforeAutospacing="0" w:after="0" w:afterAutospacing="0" w:line="360" w:lineRule="auto"/>
        <w:jc w:val="center"/>
        <w:rPr>
          <w:rFonts w:asciiTheme="minorHAnsi" w:hAnsiTheme="minorHAnsi" w:cstheme="minorHAnsi"/>
          <w:sz w:val="26"/>
          <w:szCs w:val="26"/>
        </w:rPr>
      </w:pPr>
    </w:p>
    <w:p w:rsidR="00BA5286" w:rsidRPr="009B3747" w:rsidRDefault="00A26822" w:rsidP="00A16FA3">
      <w:pPr>
        <w:pStyle w:val="NormalWeb"/>
        <w:spacing w:before="0" w:beforeAutospacing="0" w:after="0" w:afterAutospacing="0" w:line="360" w:lineRule="auto"/>
        <w:jc w:val="center"/>
        <w:rPr>
          <w:rFonts w:asciiTheme="minorHAnsi" w:hAnsiTheme="minorHAnsi" w:cstheme="minorHAnsi"/>
          <w:color w:val="000000"/>
          <w:sz w:val="26"/>
          <w:szCs w:val="26"/>
        </w:rPr>
      </w:pPr>
      <w:r w:rsidRPr="009B3747">
        <w:rPr>
          <w:rFonts w:asciiTheme="minorHAnsi" w:hAnsiTheme="minorHAnsi" w:cstheme="minorHAnsi"/>
          <w:color w:val="000000"/>
          <w:sz w:val="26"/>
          <w:szCs w:val="26"/>
        </w:rPr>
        <w:t>A thesis s</w:t>
      </w:r>
      <w:r w:rsidR="00BA5286" w:rsidRPr="009B3747">
        <w:rPr>
          <w:rFonts w:asciiTheme="minorHAnsi" w:hAnsiTheme="minorHAnsi" w:cstheme="minorHAnsi"/>
          <w:color w:val="000000"/>
          <w:sz w:val="26"/>
          <w:szCs w:val="26"/>
        </w:rPr>
        <w:t xml:space="preserve">ubmitted </w:t>
      </w:r>
      <w:r w:rsidRPr="009B3747">
        <w:rPr>
          <w:rFonts w:asciiTheme="minorHAnsi" w:hAnsiTheme="minorHAnsi" w:cstheme="minorHAnsi"/>
          <w:color w:val="000000"/>
          <w:sz w:val="26"/>
          <w:szCs w:val="26"/>
        </w:rPr>
        <w:t>i</w:t>
      </w:r>
      <w:r w:rsidR="00BA5286" w:rsidRPr="009B3747">
        <w:rPr>
          <w:rFonts w:asciiTheme="minorHAnsi" w:hAnsiTheme="minorHAnsi" w:cstheme="minorHAnsi"/>
          <w:color w:val="000000"/>
          <w:sz w:val="26"/>
          <w:szCs w:val="26"/>
        </w:rPr>
        <w:t xml:space="preserve">n partial fulfilment of the requirements </w:t>
      </w:r>
      <w:r w:rsidRPr="009B3747">
        <w:rPr>
          <w:rFonts w:asciiTheme="minorHAnsi" w:hAnsiTheme="minorHAnsi" w:cstheme="minorHAnsi"/>
          <w:color w:val="000000"/>
          <w:sz w:val="26"/>
          <w:szCs w:val="26"/>
        </w:rPr>
        <w:t>for the</w:t>
      </w:r>
      <w:r w:rsidR="00BA5286" w:rsidRPr="009B3747">
        <w:rPr>
          <w:rFonts w:asciiTheme="minorHAnsi" w:hAnsiTheme="minorHAnsi" w:cstheme="minorHAnsi"/>
          <w:color w:val="000000"/>
          <w:sz w:val="26"/>
          <w:szCs w:val="26"/>
        </w:rPr>
        <w:t xml:space="preserve"> degree of </w:t>
      </w:r>
      <w:r w:rsidRPr="009B3747">
        <w:rPr>
          <w:rFonts w:asciiTheme="minorHAnsi" w:hAnsiTheme="minorHAnsi" w:cstheme="minorHAnsi"/>
          <w:color w:val="000000"/>
          <w:sz w:val="26"/>
          <w:szCs w:val="26"/>
        </w:rPr>
        <w:t xml:space="preserve">             </w:t>
      </w:r>
      <w:r w:rsidR="00BA5286" w:rsidRPr="009B3747">
        <w:rPr>
          <w:rFonts w:asciiTheme="minorHAnsi" w:hAnsiTheme="minorHAnsi" w:cstheme="minorHAnsi"/>
          <w:color w:val="000000"/>
          <w:sz w:val="26"/>
          <w:szCs w:val="26"/>
        </w:rPr>
        <w:t xml:space="preserve">Doctor of Philosophy </w:t>
      </w:r>
    </w:p>
    <w:p w:rsidR="00A26822" w:rsidRPr="009B3747" w:rsidRDefault="00A26822" w:rsidP="00A16FA3">
      <w:pPr>
        <w:pStyle w:val="NormalWeb"/>
        <w:spacing w:before="0" w:beforeAutospacing="0" w:after="0" w:afterAutospacing="0" w:line="360" w:lineRule="auto"/>
        <w:jc w:val="center"/>
        <w:rPr>
          <w:rFonts w:asciiTheme="minorHAnsi" w:hAnsiTheme="minorHAnsi" w:cstheme="minorHAnsi"/>
          <w:color w:val="000000"/>
          <w:sz w:val="26"/>
          <w:szCs w:val="26"/>
        </w:rPr>
      </w:pPr>
    </w:p>
    <w:p w:rsidR="00A26822" w:rsidRPr="009B3747" w:rsidRDefault="00A26822" w:rsidP="00A26822">
      <w:pPr>
        <w:pStyle w:val="NormalWeb"/>
        <w:spacing w:before="0" w:beforeAutospacing="0" w:after="0" w:afterAutospacing="0" w:line="360" w:lineRule="auto"/>
        <w:jc w:val="center"/>
        <w:rPr>
          <w:rFonts w:asciiTheme="minorHAnsi" w:hAnsiTheme="minorHAnsi" w:cstheme="minorHAnsi"/>
          <w:color w:val="000000"/>
          <w:sz w:val="26"/>
          <w:szCs w:val="26"/>
        </w:rPr>
      </w:pPr>
    </w:p>
    <w:p w:rsidR="00A26822" w:rsidRPr="009B3747" w:rsidRDefault="00A26822" w:rsidP="00A26822">
      <w:pPr>
        <w:pStyle w:val="NormalWeb"/>
        <w:spacing w:before="0" w:beforeAutospacing="0" w:after="0" w:afterAutospacing="0" w:line="360" w:lineRule="auto"/>
        <w:jc w:val="center"/>
        <w:rPr>
          <w:rFonts w:asciiTheme="minorHAnsi" w:hAnsiTheme="minorHAnsi" w:cstheme="minorHAnsi"/>
          <w:color w:val="000000"/>
          <w:sz w:val="26"/>
          <w:szCs w:val="26"/>
        </w:rPr>
      </w:pPr>
    </w:p>
    <w:p w:rsidR="00A26822" w:rsidRPr="009B3747" w:rsidRDefault="00A26822" w:rsidP="00A26822">
      <w:pPr>
        <w:pStyle w:val="NormalWeb"/>
        <w:spacing w:before="0" w:beforeAutospacing="0" w:after="0" w:afterAutospacing="0" w:line="360" w:lineRule="auto"/>
        <w:jc w:val="center"/>
        <w:rPr>
          <w:rFonts w:asciiTheme="minorHAnsi" w:hAnsiTheme="minorHAnsi" w:cstheme="minorHAnsi"/>
          <w:color w:val="000000"/>
          <w:sz w:val="26"/>
          <w:szCs w:val="26"/>
        </w:rPr>
      </w:pPr>
      <w:r w:rsidRPr="009B3747">
        <w:rPr>
          <w:rFonts w:asciiTheme="minorHAnsi" w:hAnsiTheme="minorHAnsi" w:cstheme="minorHAnsi"/>
          <w:color w:val="000000"/>
          <w:sz w:val="26"/>
          <w:szCs w:val="26"/>
        </w:rPr>
        <w:t>The University of Sheffield</w:t>
      </w:r>
    </w:p>
    <w:p w:rsidR="00A26822" w:rsidRPr="009B3747" w:rsidRDefault="00A26822" w:rsidP="00A26822">
      <w:pPr>
        <w:pStyle w:val="Default"/>
        <w:spacing w:line="360" w:lineRule="auto"/>
        <w:jc w:val="center"/>
        <w:rPr>
          <w:rFonts w:asciiTheme="minorHAnsi" w:hAnsiTheme="minorHAnsi" w:cstheme="minorHAnsi"/>
          <w:sz w:val="26"/>
          <w:szCs w:val="26"/>
        </w:rPr>
      </w:pPr>
      <w:r w:rsidRPr="009B3747">
        <w:rPr>
          <w:rFonts w:asciiTheme="minorHAnsi" w:hAnsiTheme="minorHAnsi" w:cstheme="minorHAnsi"/>
          <w:sz w:val="26"/>
          <w:szCs w:val="26"/>
        </w:rPr>
        <w:t>Faculty of Medicine, Dentistry and Health</w:t>
      </w:r>
    </w:p>
    <w:p w:rsidR="00A26822" w:rsidRPr="009B3747" w:rsidRDefault="00A26822" w:rsidP="00A26822">
      <w:pPr>
        <w:pStyle w:val="Default"/>
        <w:spacing w:line="360" w:lineRule="auto"/>
        <w:jc w:val="center"/>
        <w:rPr>
          <w:rFonts w:asciiTheme="minorHAnsi" w:hAnsiTheme="minorHAnsi" w:cstheme="minorHAnsi"/>
          <w:sz w:val="26"/>
          <w:szCs w:val="26"/>
        </w:rPr>
      </w:pPr>
      <w:r w:rsidRPr="009B3747">
        <w:rPr>
          <w:rFonts w:asciiTheme="minorHAnsi" w:hAnsiTheme="minorHAnsi" w:cstheme="minorHAnsi"/>
          <w:sz w:val="26"/>
          <w:szCs w:val="26"/>
        </w:rPr>
        <w:t>School of Health and Related Research</w:t>
      </w:r>
    </w:p>
    <w:p w:rsidR="00A26822" w:rsidRPr="009B3747" w:rsidRDefault="00A26822" w:rsidP="00A26822">
      <w:pPr>
        <w:pStyle w:val="NormalWeb"/>
        <w:spacing w:before="0" w:beforeAutospacing="0" w:after="0" w:afterAutospacing="0" w:line="360" w:lineRule="auto"/>
        <w:jc w:val="center"/>
        <w:rPr>
          <w:rFonts w:asciiTheme="minorHAnsi" w:hAnsiTheme="minorHAnsi" w:cstheme="minorHAnsi"/>
          <w:sz w:val="26"/>
          <w:szCs w:val="26"/>
        </w:rPr>
      </w:pPr>
    </w:p>
    <w:p w:rsidR="00A26822" w:rsidRPr="009B3747" w:rsidRDefault="00A26822" w:rsidP="00A26822">
      <w:pPr>
        <w:pStyle w:val="NormalWeb"/>
        <w:spacing w:before="0" w:beforeAutospacing="0" w:after="0" w:afterAutospacing="0" w:line="360" w:lineRule="auto"/>
        <w:ind w:left="2880" w:firstLine="720"/>
        <w:rPr>
          <w:rFonts w:asciiTheme="minorHAnsi" w:hAnsiTheme="minorHAnsi" w:cstheme="minorHAnsi"/>
          <w:color w:val="000000"/>
          <w:sz w:val="26"/>
          <w:szCs w:val="26"/>
        </w:rPr>
      </w:pPr>
      <w:r w:rsidRPr="009B3747">
        <w:rPr>
          <w:rFonts w:asciiTheme="minorHAnsi" w:hAnsiTheme="minorHAnsi" w:cstheme="minorHAnsi"/>
          <w:color w:val="000000"/>
          <w:sz w:val="26"/>
          <w:szCs w:val="26"/>
        </w:rPr>
        <w:t xml:space="preserve">     </w:t>
      </w:r>
    </w:p>
    <w:p w:rsidR="00A26822" w:rsidRPr="009B3747" w:rsidRDefault="00A26822" w:rsidP="00A26822">
      <w:pPr>
        <w:pStyle w:val="NormalWeb"/>
        <w:spacing w:before="0" w:beforeAutospacing="0" w:after="0" w:afterAutospacing="0" w:line="360" w:lineRule="auto"/>
        <w:ind w:left="2880" w:firstLine="720"/>
        <w:rPr>
          <w:rFonts w:asciiTheme="minorHAnsi" w:hAnsiTheme="minorHAnsi" w:cstheme="minorHAnsi"/>
          <w:color w:val="000000"/>
          <w:sz w:val="26"/>
          <w:szCs w:val="26"/>
        </w:rPr>
      </w:pPr>
    </w:p>
    <w:p w:rsidR="00BA5286" w:rsidRPr="009B3747" w:rsidRDefault="00A42BA8" w:rsidP="00A26822">
      <w:pPr>
        <w:pStyle w:val="NormalWeb"/>
        <w:spacing w:before="0" w:beforeAutospacing="0" w:after="0" w:afterAutospacing="0" w:line="360" w:lineRule="auto"/>
        <w:ind w:left="2880" w:firstLine="720"/>
        <w:rPr>
          <w:rFonts w:asciiTheme="minorHAnsi" w:hAnsiTheme="minorHAnsi" w:cstheme="minorHAnsi"/>
          <w:sz w:val="26"/>
          <w:szCs w:val="26"/>
        </w:rPr>
      </w:pPr>
      <w:r w:rsidRPr="009B3747">
        <w:rPr>
          <w:rFonts w:asciiTheme="minorHAnsi" w:hAnsiTheme="minorHAnsi" w:cstheme="minorHAnsi"/>
          <w:color w:val="000000"/>
          <w:sz w:val="26"/>
          <w:szCs w:val="26"/>
        </w:rPr>
        <w:t xml:space="preserve">    </w:t>
      </w:r>
      <w:r w:rsidR="00BA5286" w:rsidRPr="009B3747">
        <w:rPr>
          <w:rFonts w:asciiTheme="minorHAnsi" w:hAnsiTheme="minorHAnsi" w:cstheme="minorHAnsi"/>
          <w:color w:val="000000"/>
          <w:sz w:val="26"/>
          <w:szCs w:val="26"/>
        </w:rPr>
        <w:t>August 2017</w:t>
      </w:r>
    </w:p>
    <w:p w:rsidR="00BA5286" w:rsidRPr="009B3747" w:rsidRDefault="00BA5286" w:rsidP="00A16FA3">
      <w:pPr>
        <w:pStyle w:val="NormalWeb"/>
        <w:spacing w:before="0" w:beforeAutospacing="0" w:after="0" w:afterAutospacing="0" w:line="360" w:lineRule="auto"/>
        <w:jc w:val="center"/>
        <w:rPr>
          <w:rFonts w:asciiTheme="minorHAnsi" w:hAnsiTheme="minorHAnsi" w:cstheme="minorHAnsi"/>
          <w:sz w:val="26"/>
          <w:szCs w:val="26"/>
        </w:rPr>
      </w:pPr>
    </w:p>
    <w:p w:rsidR="00BA5286" w:rsidRPr="009B3747" w:rsidRDefault="00BA5286" w:rsidP="00A16FA3">
      <w:pPr>
        <w:rPr>
          <w:rFonts w:cstheme="minorHAnsi"/>
        </w:rPr>
      </w:pPr>
    </w:p>
    <w:p w:rsidR="00BA5286" w:rsidRPr="009B3747" w:rsidRDefault="00BA5286" w:rsidP="00A16FA3">
      <w:pPr>
        <w:rPr>
          <w:rFonts w:cstheme="minorHAnsi"/>
        </w:rPr>
      </w:pPr>
    </w:p>
    <w:p w:rsidR="00BA5286" w:rsidRPr="009B3747" w:rsidRDefault="00BA5286" w:rsidP="00A16FA3">
      <w:pPr>
        <w:rPr>
          <w:rFonts w:cstheme="minorHAnsi"/>
        </w:rPr>
      </w:pPr>
    </w:p>
    <w:p w:rsidR="003D781F" w:rsidRPr="009B3747" w:rsidRDefault="003D781F" w:rsidP="00467FA8">
      <w:pPr>
        <w:pStyle w:val="NormalWeb"/>
        <w:spacing w:before="0" w:beforeAutospacing="0" w:after="0" w:afterAutospacing="0" w:line="300" w:lineRule="auto"/>
        <w:rPr>
          <w:rFonts w:asciiTheme="minorHAnsi" w:hAnsiTheme="minorHAnsi" w:cstheme="minorHAnsi"/>
          <w:b/>
          <w:color w:val="000000"/>
          <w:sz w:val="32"/>
          <w:szCs w:val="32"/>
          <w:u w:val="single"/>
        </w:rPr>
        <w:sectPr w:rsidR="003D781F" w:rsidRPr="009B3747" w:rsidSect="003D781F">
          <w:footerReference w:type="default" r:id="rId9"/>
          <w:pgSz w:w="11906" w:h="16838" w:code="9"/>
          <w:pgMar w:top="1440" w:right="1440" w:bottom="1440" w:left="1440" w:header="709" w:footer="709" w:gutter="0"/>
          <w:pgNumType w:fmt="lowerRoman" w:start="1"/>
          <w:cols w:space="708"/>
          <w:titlePg/>
          <w:docGrid w:linePitch="360"/>
        </w:sectPr>
      </w:pPr>
    </w:p>
    <w:p w:rsidR="00BA5286" w:rsidRPr="009B3747" w:rsidRDefault="00BA5286" w:rsidP="00467FA8">
      <w:pPr>
        <w:pStyle w:val="NormalWeb"/>
        <w:spacing w:before="0" w:beforeAutospacing="0" w:after="0" w:afterAutospacing="0" w:line="300" w:lineRule="auto"/>
        <w:rPr>
          <w:rFonts w:asciiTheme="minorHAnsi" w:hAnsiTheme="minorHAnsi" w:cstheme="minorHAnsi"/>
          <w:b/>
          <w:sz w:val="32"/>
          <w:szCs w:val="32"/>
          <w:u w:val="single"/>
        </w:rPr>
      </w:pPr>
      <w:r w:rsidRPr="009B3747">
        <w:rPr>
          <w:rFonts w:asciiTheme="minorHAnsi" w:hAnsiTheme="minorHAnsi" w:cstheme="minorHAnsi"/>
          <w:b/>
          <w:color w:val="000000"/>
          <w:sz w:val="32"/>
          <w:szCs w:val="32"/>
          <w:u w:val="single"/>
        </w:rPr>
        <w:lastRenderedPageBreak/>
        <w:t>Abstract</w:t>
      </w:r>
    </w:p>
    <w:p w:rsidR="005758C2" w:rsidRDefault="005758C2" w:rsidP="00467FA8">
      <w:pPr>
        <w:pStyle w:val="NormalWeb"/>
        <w:spacing w:before="0" w:beforeAutospacing="0" w:after="0" w:afterAutospacing="0" w:line="300" w:lineRule="auto"/>
        <w:rPr>
          <w:rFonts w:asciiTheme="minorHAnsi" w:hAnsiTheme="minorHAnsi" w:cstheme="minorHAnsi"/>
          <w:color w:val="000000"/>
          <w:sz w:val="22"/>
          <w:szCs w:val="22"/>
        </w:rPr>
      </w:pPr>
    </w:p>
    <w:p w:rsidR="00680CD0" w:rsidRPr="009B3747" w:rsidRDefault="00680CD0" w:rsidP="00467FA8">
      <w:pPr>
        <w:pStyle w:val="NormalWeb"/>
        <w:spacing w:before="0" w:beforeAutospacing="0" w:after="0" w:afterAutospacing="0" w:line="300" w:lineRule="auto"/>
        <w:rPr>
          <w:rFonts w:asciiTheme="minorHAnsi" w:hAnsiTheme="minorHAnsi" w:cstheme="minorHAnsi"/>
          <w:color w:val="000000"/>
          <w:sz w:val="22"/>
          <w:szCs w:val="22"/>
        </w:rPr>
      </w:pPr>
    </w:p>
    <w:p w:rsidR="005758C2" w:rsidRPr="009B3747" w:rsidRDefault="005758C2" w:rsidP="00467FA8">
      <w:pPr>
        <w:pStyle w:val="NormalWeb"/>
        <w:spacing w:before="0" w:beforeAutospacing="0" w:after="0" w:afterAutospacing="0" w:line="300" w:lineRule="auto"/>
        <w:rPr>
          <w:rFonts w:asciiTheme="minorHAnsi" w:hAnsiTheme="minorHAnsi" w:cstheme="minorHAnsi"/>
          <w:b/>
          <w:color w:val="000000"/>
          <w:sz w:val="22"/>
          <w:szCs w:val="22"/>
        </w:rPr>
      </w:pPr>
      <w:r w:rsidRPr="009B3747">
        <w:rPr>
          <w:rFonts w:asciiTheme="minorHAnsi" w:hAnsiTheme="minorHAnsi" w:cstheme="minorHAnsi"/>
          <w:b/>
          <w:color w:val="000000"/>
          <w:sz w:val="22"/>
          <w:szCs w:val="22"/>
        </w:rPr>
        <w:t>Introduction</w:t>
      </w:r>
    </w:p>
    <w:p w:rsidR="005758C2" w:rsidRPr="009B3747" w:rsidRDefault="005758C2" w:rsidP="00467FA8">
      <w:pPr>
        <w:pStyle w:val="NormalWeb"/>
        <w:spacing w:before="0" w:beforeAutospacing="0" w:after="0" w:afterAutospacing="0" w:line="300" w:lineRule="auto"/>
        <w:rPr>
          <w:rFonts w:asciiTheme="minorHAnsi" w:hAnsiTheme="minorHAnsi" w:cstheme="minorHAnsi"/>
          <w:color w:val="000000"/>
          <w:sz w:val="22"/>
          <w:szCs w:val="22"/>
        </w:rPr>
      </w:pPr>
    </w:p>
    <w:p w:rsidR="005758C2" w:rsidRPr="009B3747" w:rsidRDefault="005758C2" w:rsidP="001667C7">
      <w:pPr>
        <w:pStyle w:val="NormalWeb"/>
        <w:tabs>
          <w:tab w:val="left" w:pos="3828"/>
        </w:tabs>
        <w:spacing w:before="0" w:beforeAutospacing="0" w:after="0" w:afterAutospacing="0" w:line="300" w:lineRule="auto"/>
        <w:rPr>
          <w:rFonts w:asciiTheme="minorHAnsi" w:hAnsiTheme="minorHAnsi" w:cstheme="minorHAnsi"/>
          <w:sz w:val="22"/>
          <w:szCs w:val="22"/>
        </w:rPr>
      </w:pPr>
      <w:r w:rsidRPr="009B3747">
        <w:rPr>
          <w:rFonts w:asciiTheme="minorHAnsi" w:hAnsiTheme="minorHAnsi" w:cstheme="minorHAnsi"/>
          <w:color w:val="000000"/>
          <w:sz w:val="22"/>
          <w:szCs w:val="22"/>
        </w:rPr>
        <w:t>Secondary schools are an important setting for the prevention of obesity during the critical age of adolescence.  N</w:t>
      </w:r>
      <w:r w:rsidRPr="009B3747">
        <w:rPr>
          <w:rFonts w:asciiTheme="minorHAnsi" w:hAnsiTheme="minorHAnsi" w:cstheme="minorHAnsi"/>
          <w:sz w:val="22"/>
          <w:szCs w:val="22"/>
        </w:rPr>
        <w:t xml:space="preserve">ational guidance </w:t>
      </w:r>
      <w:r w:rsidR="00A1354B" w:rsidRPr="009B3747">
        <w:rPr>
          <w:rFonts w:asciiTheme="minorHAnsi" w:hAnsiTheme="minorHAnsi" w:cstheme="minorHAnsi"/>
          <w:sz w:val="22"/>
          <w:szCs w:val="22"/>
        </w:rPr>
        <w:t>in the Unit</w:t>
      </w:r>
      <w:r w:rsidR="00BA5DA9" w:rsidRPr="009B3747">
        <w:rPr>
          <w:rFonts w:asciiTheme="minorHAnsi" w:hAnsiTheme="minorHAnsi" w:cstheme="minorHAnsi"/>
          <w:sz w:val="22"/>
          <w:szCs w:val="22"/>
        </w:rPr>
        <w:t xml:space="preserve">ed Kingdom </w:t>
      </w:r>
      <w:r w:rsidRPr="009B3747">
        <w:rPr>
          <w:rFonts w:asciiTheme="minorHAnsi" w:hAnsiTheme="minorHAnsi" w:cstheme="minorHAnsi"/>
          <w:sz w:val="22"/>
          <w:szCs w:val="22"/>
        </w:rPr>
        <w:t xml:space="preserve">proposes a clear role for headteachers and chairs of governors in delivering school-based preventative action.  </w:t>
      </w:r>
      <w:r w:rsidRPr="009B3747">
        <w:rPr>
          <w:rFonts w:asciiTheme="minorHAnsi" w:hAnsiTheme="minorHAnsi" w:cstheme="minorHAnsi"/>
          <w:color w:val="000000"/>
          <w:sz w:val="22"/>
          <w:szCs w:val="22"/>
        </w:rPr>
        <w:t xml:space="preserve">Despite this, their views are underrepresented in the existing evidence base.  The aim of this study </w:t>
      </w:r>
      <w:r w:rsidR="00E70E76">
        <w:rPr>
          <w:rFonts w:asciiTheme="minorHAnsi" w:hAnsiTheme="minorHAnsi" w:cstheme="minorHAnsi"/>
          <w:color w:val="000000"/>
          <w:sz w:val="22"/>
          <w:szCs w:val="22"/>
        </w:rPr>
        <w:t xml:space="preserve">therefore </w:t>
      </w:r>
      <w:r w:rsidRPr="009B3747">
        <w:rPr>
          <w:rFonts w:asciiTheme="minorHAnsi" w:hAnsiTheme="minorHAnsi" w:cstheme="minorHAnsi"/>
          <w:color w:val="000000"/>
          <w:sz w:val="22"/>
          <w:szCs w:val="22"/>
        </w:rPr>
        <w:t xml:space="preserve">was </w:t>
      </w:r>
      <w:r w:rsidR="00EF5F9D">
        <w:rPr>
          <w:rFonts w:asciiTheme="minorHAnsi" w:hAnsiTheme="minorHAnsi" w:cstheme="minorHAnsi"/>
          <w:color w:val="000000"/>
          <w:sz w:val="22"/>
          <w:szCs w:val="22"/>
        </w:rPr>
        <w:t>to explore</w:t>
      </w:r>
      <w:r w:rsidRPr="009B3747">
        <w:rPr>
          <w:rFonts w:asciiTheme="minorHAnsi" w:hAnsiTheme="minorHAnsi" w:cstheme="minorHAnsi"/>
          <w:color w:val="000000"/>
          <w:sz w:val="22"/>
          <w:szCs w:val="22"/>
        </w:rPr>
        <w:t xml:space="preserve"> headteachers’ and chairs of governors’ perspectives regarding adolescent obesity and its prevention in </w:t>
      </w:r>
      <w:r w:rsidR="003D781F" w:rsidRPr="009B3747">
        <w:rPr>
          <w:rFonts w:asciiTheme="minorHAnsi" w:hAnsiTheme="minorHAnsi" w:cstheme="minorHAnsi"/>
          <w:color w:val="000000"/>
          <w:sz w:val="22"/>
          <w:szCs w:val="22"/>
        </w:rPr>
        <w:t xml:space="preserve">English </w:t>
      </w:r>
      <w:r w:rsidRPr="009B3747">
        <w:rPr>
          <w:rFonts w:asciiTheme="minorHAnsi" w:hAnsiTheme="minorHAnsi" w:cstheme="minorHAnsi"/>
          <w:color w:val="000000"/>
          <w:sz w:val="22"/>
          <w:szCs w:val="22"/>
        </w:rPr>
        <w:t xml:space="preserve">secondary school settings.  </w:t>
      </w:r>
    </w:p>
    <w:p w:rsidR="00A26822" w:rsidRPr="009B3747" w:rsidRDefault="00A26822" w:rsidP="001667C7">
      <w:pPr>
        <w:pStyle w:val="NormalWeb"/>
        <w:tabs>
          <w:tab w:val="left" w:pos="3828"/>
        </w:tabs>
        <w:spacing w:before="0" w:beforeAutospacing="0" w:after="0" w:afterAutospacing="0" w:line="300" w:lineRule="auto"/>
        <w:rPr>
          <w:rFonts w:asciiTheme="minorHAnsi" w:hAnsiTheme="minorHAnsi" w:cstheme="minorHAnsi"/>
          <w:color w:val="000000"/>
          <w:sz w:val="22"/>
          <w:szCs w:val="22"/>
        </w:rPr>
      </w:pPr>
    </w:p>
    <w:p w:rsidR="005758C2" w:rsidRPr="009B3747" w:rsidRDefault="005758C2" w:rsidP="001667C7">
      <w:pPr>
        <w:pStyle w:val="NormalWeb"/>
        <w:tabs>
          <w:tab w:val="left" w:pos="3828"/>
        </w:tabs>
        <w:spacing w:before="0" w:beforeAutospacing="0" w:after="0" w:afterAutospacing="0" w:line="300" w:lineRule="auto"/>
        <w:rPr>
          <w:rFonts w:asciiTheme="minorHAnsi" w:hAnsiTheme="minorHAnsi" w:cstheme="minorHAnsi"/>
          <w:b/>
          <w:color w:val="000000"/>
          <w:sz w:val="22"/>
          <w:szCs w:val="22"/>
        </w:rPr>
      </w:pPr>
      <w:r w:rsidRPr="009B3747">
        <w:rPr>
          <w:rFonts w:asciiTheme="minorHAnsi" w:hAnsiTheme="minorHAnsi" w:cstheme="minorHAnsi"/>
          <w:b/>
          <w:color w:val="000000"/>
          <w:sz w:val="22"/>
          <w:szCs w:val="22"/>
        </w:rPr>
        <w:t>Methods</w:t>
      </w:r>
    </w:p>
    <w:p w:rsidR="005758C2" w:rsidRPr="009B3747" w:rsidRDefault="005758C2" w:rsidP="001667C7">
      <w:pPr>
        <w:pStyle w:val="NormalWeb"/>
        <w:tabs>
          <w:tab w:val="left" w:pos="3828"/>
        </w:tabs>
        <w:spacing w:before="0" w:beforeAutospacing="0" w:after="0" w:afterAutospacing="0" w:line="300" w:lineRule="auto"/>
        <w:rPr>
          <w:rFonts w:asciiTheme="minorHAnsi" w:hAnsiTheme="minorHAnsi" w:cstheme="minorHAnsi"/>
          <w:color w:val="000000"/>
          <w:sz w:val="22"/>
          <w:szCs w:val="22"/>
        </w:rPr>
      </w:pPr>
    </w:p>
    <w:p w:rsidR="00682F81" w:rsidRDefault="00AC2C3B" w:rsidP="001667C7">
      <w:pPr>
        <w:pStyle w:val="NormalWeb"/>
        <w:tabs>
          <w:tab w:val="left" w:pos="3828"/>
        </w:tabs>
        <w:spacing w:before="0" w:beforeAutospacing="0" w:after="0" w:afterAutospacing="0" w:line="300" w:lineRule="auto"/>
        <w:rPr>
          <w:rFonts w:asciiTheme="minorHAnsi" w:hAnsiTheme="minorHAnsi" w:cstheme="minorHAnsi"/>
          <w:color w:val="000000"/>
          <w:sz w:val="22"/>
          <w:szCs w:val="22"/>
        </w:rPr>
      </w:pPr>
      <w:r>
        <w:rPr>
          <w:rFonts w:asciiTheme="minorHAnsi" w:hAnsiTheme="minorHAnsi" w:cstheme="minorHAnsi"/>
          <w:color w:val="000000"/>
          <w:sz w:val="22"/>
          <w:szCs w:val="22"/>
        </w:rPr>
        <w:t>This study utilised a</w:t>
      </w:r>
      <w:r w:rsidR="005758C2" w:rsidRPr="009B3747">
        <w:rPr>
          <w:rFonts w:asciiTheme="minorHAnsi" w:hAnsiTheme="minorHAnsi" w:cstheme="minorHAnsi"/>
          <w:color w:val="000000"/>
          <w:sz w:val="22"/>
          <w:szCs w:val="22"/>
        </w:rPr>
        <w:t xml:space="preserve"> mixed methods exploratory</w:t>
      </w:r>
      <w:r w:rsidR="00682F81">
        <w:rPr>
          <w:rFonts w:asciiTheme="minorHAnsi" w:hAnsiTheme="minorHAnsi" w:cstheme="minorHAnsi"/>
          <w:color w:val="000000"/>
          <w:sz w:val="22"/>
          <w:szCs w:val="22"/>
        </w:rPr>
        <w:t xml:space="preserve"> sequential d</w:t>
      </w:r>
      <w:r>
        <w:rPr>
          <w:rFonts w:asciiTheme="minorHAnsi" w:hAnsiTheme="minorHAnsi" w:cstheme="minorHAnsi"/>
          <w:color w:val="000000"/>
          <w:sz w:val="22"/>
          <w:szCs w:val="22"/>
        </w:rPr>
        <w:t>esig</w:t>
      </w:r>
      <w:r w:rsidR="00143009">
        <w:rPr>
          <w:rFonts w:asciiTheme="minorHAnsi" w:hAnsiTheme="minorHAnsi" w:cstheme="minorHAnsi"/>
          <w:color w:val="000000"/>
          <w:sz w:val="22"/>
          <w:szCs w:val="22"/>
        </w:rPr>
        <w:t xml:space="preserve">n and was </w:t>
      </w:r>
      <w:r w:rsidR="006912AE">
        <w:rPr>
          <w:rFonts w:asciiTheme="minorHAnsi" w:hAnsiTheme="minorHAnsi" w:cstheme="minorHAnsi"/>
          <w:color w:val="000000"/>
          <w:sz w:val="22"/>
          <w:szCs w:val="22"/>
        </w:rPr>
        <w:t xml:space="preserve">informed by the completion of a </w:t>
      </w:r>
      <w:r w:rsidR="00ED14BF">
        <w:rPr>
          <w:rFonts w:asciiTheme="minorHAnsi" w:hAnsiTheme="minorHAnsi" w:cstheme="minorHAnsi"/>
          <w:color w:val="000000"/>
          <w:sz w:val="22"/>
          <w:szCs w:val="22"/>
        </w:rPr>
        <w:t>systematic review and qualitative synthesis</w:t>
      </w:r>
      <w:r>
        <w:rPr>
          <w:rFonts w:asciiTheme="minorHAnsi" w:hAnsiTheme="minorHAnsi" w:cstheme="minorHAnsi"/>
          <w:color w:val="000000"/>
          <w:sz w:val="22"/>
          <w:szCs w:val="22"/>
        </w:rPr>
        <w:t>.</w:t>
      </w:r>
      <w:r w:rsidR="00ED14BF">
        <w:rPr>
          <w:rFonts w:asciiTheme="minorHAnsi" w:hAnsiTheme="minorHAnsi" w:cstheme="minorHAnsi"/>
          <w:color w:val="000000"/>
          <w:sz w:val="22"/>
          <w:szCs w:val="22"/>
        </w:rPr>
        <w:t xml:space="preserve">  </w:t>
      </w:r>
      <w:r w:rsidR="00515C73">
        <w:rPr>
          <w:rFonts w:asciiTheme="minorHAnsi" w:hAnsiTheme="minorHAnsi" w:cstheme="minorHAnsi"/>
          <w:color w:val="000000"/>
          <w:sz w:val="22"/>
          <w:szCs w:val="22"/>
        </w:rPr>
        <w:t>In the</w:t>
      </w:r>
      <w:r w:rsidR="006912AE">
        <w:rPr>
          <w:rFonts w:asciiTheme="minorHAnsi" w:hAnsiTheme="minorHAnsi" w:cstheme="minorHAnsi"/>
          <w:color w:val="000000"/>
          <w:sz w:val="22"/>
          <w:szCs w:val="22"/>
        </w:rPr>
        <w:t xml:space="preserve"> qualitative phase, s</w:t>
      </w:r>
      <w:r w:rsidR="005758C2" w:rsidRPr="009B3747">
        <w:rPr>
          <w:rFonts w:asciiTheme="minorHAnsi" w:hAnsiTheme="minorHAnsi" w:cstheme="minorHAnsi"/>
          <w:color w:val="000000"/>
          <w:sz w:val="22"/>
          <w:szCs w:val="22"/>
        </w:rPr>
        <w:t>emi-structured interviews</w:t>
      </w:r>
      <w:r w:rsidR="006912AE">
        <w:rPr>
          <w:rFonts w:asciiTheme="minorHAnsi" w:hAnsiTheme="minorHAnsi" w:cstheme="minorHAnsi"/>
          <w:color w:val="000000"/>
          <w:sz w:val="22"/>
          <w:szCs w:val="22"/>
        </w:rPr>
        <w:t xml:space="preserve"> were conducted (n = 22)</w:t>
      </w:r>
      <w:r w:rsidR="001667C7">
        <w:rPr>
          <w:rFonts w:asciiTheme="minorHAnsi" w:hAnsiTheme="minorHAnsi" w:cstheme="minorHAnsi"/>
          <w:color w:val="000000"/>
          <w:sz w:val="22"/>
          <w:szCs w:val="22"/>
        </w:rPr>
        <w:t xml:space="preserve"> and </w:t>
      </w:r>
      <w:r w:rsidR="006912AE">
        <w:rPr>
          <w:rFonts w:asciiTheme="minorHAnsi" w:hAnsiTheme="minorHAnsi" w:cstheme="minorHAnsi"/>
          <w:color w:val="000000"/>
          <w:sz w:val="22"/>
          <w:szCs w:val="22"/>
        </w:rPr>
        <w:t xml:space="preserve">transcripts </w:t>
      </w:r>
      <w:r w:rsidR="001667C7">
        <w:rPr>
          <w:rFonts w:asciiTheme="minorHAnsi" w:hAnsiTheme="minorHAnsi" w:cstheme="minorHAnsi"/>
          <w:color w:val="000000"/>
          <w:sz w:val="22"/>
          <w:szCs w:val="22"/>
        </w:rPr>
        <w:t xml:space="preserve">were </w:t>
      </w:r>
      <w:r w:rsidR="002A2FA6">
        <w:rPr>
          <w:rFonts w:asciiTheme="minorHAnsi" w:hAnsiTheme="minorHAnsi" w:cstheme="minorHAnsi"/>
          <w:color w:val="000000"/>
          <w:sz w:val="22"/>
          <w:szCs w:val="22"/>
        </w:rPr>
        <w:t>analysed using thematic analysis</w:t>
      </w:r>
      <w:r w:rsidR="00ED14BF">
        <w:rPr>
          <w:rFonts w:asciiTheme="minorHAnsi" w:hAnsiTheme="minorHAnsi" w:cstheme="minorHAnsi"/>
          <w:color w:val="000000"/>
          <w:sz w:val="22"/>
          <w:szCs w:val="22"/>
        </w:rPr>
        <w:t xml:space="preserve">.  </w:t>
      </w:r>
      <w:r w:rsidR="006912AE">
        <w:rPr>
          <w:rFonts w:asciiTheme="minorHAnsi" w:hAnsiTheme="minorHAnsi" w:cstheme="minorHAnsi"/>
          <w:color w:val="000000"/>
          <w:sz w:val="22"/>
          <w:szCs w:val="22"/>
        </w:rPr>
        <w:t>Based on the resultant themes and sub-themes, a descriptive</w:t>
      </w:r>
      <w:r w:rsidR="002A2FA6">
        <w:rPr>
          <w:rFonts w:asciiTheme="minorHAnsi" w:hAnsiTheme="minorHAnsi" w:cstheme="minorHAnsi"/>
          <w:color w:val="000000"/>
          <w:sz w:val="22"/>
          <w:szCs w:val="22"/>
        </w:rPr>
        <w:t xml:space="preserve"> </w:t>
      </w:r>
      <w:r w:rsidR="006912AE">
        <w:rPr>
          <w:rFonts w:asciiTheme="minorHAnsi" w:hAnsiTheme="minorHAnsi" w:cstheme="minorHAnsi"/>
          <w:color w:val="000000"/>
          <w:sz w:val="22"/>
          <w:szCs w:val="22"/>
        </w:rPr>
        <w:t xml:space="preserve">online </w:t>
      </w:r>
      <w:r w:rsidR="00ED14BF">
        <w:rPr>
          <w:rFonts w:asciiTheme="minorHAnsi" w:hAnsiTheme="minorHAnsi" w:cstheme="minorHAnsi"/>
          <w:color w:val="000000"/>
          <w:sz w:val="22"/>
          <w:szCs w:val="22"/>
        </w:rPr>
        <w:t>cros</w:t>
      </w:r>
      <w:r w:rsidR="00682F81">
        <w:rPr>
          <w:rFonts w:asciiTheme="minorHAnsi" w:hAnsiTheme="minorHAnsi" w:cstheme="minorHAnsi"/>
          <w:color w:val="000000"/>
          <w:sz w:val="22"/>
          <w:szCs w:val="22"/>
        </w:rPr>
        <w:t xml:space="preserve">s-sectional </w:t>
      </w:r>
      <w:r w:rsidR="00013BD7">
        <w:rPr>
          <w:rFonts w:asciiTheme="minorHAnsi" w:hAnsiTheme="minorHAnsi" w:cstheme="minorHAnsi"/>
          <w:color w:val="000000"/>
          <w:sz w:val="22"/>
          <w:szCs w:val="22"/>
        </w:rPr>
        <w:t>survey</w:t>
      </w:r>
      <w:r w:rsidR="00143009">
        <w:rPr>
          <w:rFonts w:asciiTheme="minorHAnsi" w:hAnsiTheme="minorHAnsi" w:cstheme="minorHAnsi"/>
          <w:color w:val="000000"/>
          <w:sz w:val="22"/>
          <w:szCs w:val="22"/>
        </w:rPr>
        <w:t xml:space="preserve"> </w:t>
      </w:r>
      <w:r w:rsidR="00D03B07">
        <w:rPr>
          <w:rFonts w:asciiTheme="minorHAnsi" w:hAnsiTheme="minorHAnsi" w:cstheme="minorHAnsi"/>
          <w:color w:val="000000"/>
          <w:sz w:val="22"/>
          <w:szCs w:val="22"/>
        </w:rPr>
        <w:t xml:space="preserve">was developed </w:t>
      </w:r>
      <w:r w:rsidR="006912AE">
        <w:rPr>
          <w:rFonts w:asciiTheme="minorHAnsi" w:hAnsiTheme="minorHAnsi" w:cstheme="minorHAnsi"/>
          <w:color w:val="000000"/>
          <w:sz w:val="22"/>
          <w:szCs w:val="22"/>
        </w:rPr>
        <w:t xml:space="preserve">for use in the quantitative phase.  </w:t>
      </w:r>
      <w:r w:rsidR="001667C7">
        <w:rPr>
          <w:rFonts w:asciiTheme="minorHAnsi" w:hAnsiTheme="minorHAnsi" w:cstheme="minorHAnsi"/>
          <w:color w:val="000000"/>
          <w:sz w:val="22"/>
          <w:szCs w:val="22"/>
        </w:rPr>
        <w:t>Descriptive and inferential statistics were employed to analyse the s</w:t>
      </w:r>
      <w:r w:rsidR="006912AE">
        <w:rPr>
          <w:rFonts w:asciiTheme="minorHAnsi" w:hAnsiTheme="minorHAnsi" w:cstheme="minorHAnsi"/>
          <w:color w:val="000000"/>
          <w:sz w:val="22"/>
          <w:szCs w:val="22"/>
        </w:rPr>
        <w:t xml:space="preserve">urvey responses obtained </w:t>
      </w:r>
      <w:r w:rsidR="001667C7">
        <w:rPr>
          <w:rFonts w:asciiTheme="minorHAnsi" w:hAnsiTheme="minorHAnsi" w:cstheme="minorHAnsi"/>
          <w:color w:val="000000"/>
          <w:sz w:val="22"/>
          <w:szCs w:val="22"/>
        </w:rPr>
        <w:t xml:space="preserve">(n=127).  </w:t>
      </w:r>
    </w:p>
    <w:p w:rsidR="005758C2" w:rsidRPr="009B3747" w:rsidRDefault="005758C2" w:rsidP="001667C7">
      <w:pPr>
        <w:pStyle w:val="NormalWeb"/>
        <w:tabs>
          <w:tab w:val="left" w:pos="3828"/>
        </w:tabs>
        <w:spacing w:before="0" w:beforeAutospacing="0" w:after="0" w:afterAutospacing="0" w:line="300" w:lineRule="auto"/>
        <w:rPr>
          <w:rFonts w:asciiTheme="minorHAnsi" w:hAnsiTheme="minorHAnsi" w:cstheme="minorHAnsi"/>
          <w:color w:val="000000"/>
          <w:sz w:val="22"/>
          <w:szCs w:val="22"/>
        </w:rPr>
      </w:pPr>
    </w:p>
    <w:p w:rsidR="005758C2" w:rsidRPr="009B3747" w:rsidRDefault="005758C2" w:rsidP="001667C7">
      <w:pPr>
        <w:pStyle w:val="NormalWeb"/>
        <w:tabs>
          <w:tab w:val="left" w:pos="3828"/>
        </w:tabs>
        <w:spacing w:before="0" w:beforeAutospacing="0" w:after="0" w:afterAutospacing="0" w:line="300" w:lineRule="auto"/>
        <w:rPr>
          <w:rFonts w:asciiTheme="minorHAnsi" w:hAnsiTheme="minorHAnsi" w:cstheme="minorHAnsi"/>
          <w:b/>
          <w:color w:val="000000"/>
          <w:sz w:val="22"/>
          <w:szCs w:val="22"/>
        </w:rPr>
      </w:pPr>
      <w:r w:rsidRPr="009B3747">
        <w:rPr>
          <w:rFonts w:asciiTheme="minorHAnsi" w:hAnsiTheme="minorHAnsi" w:cstheme="minorHAnsi"/>
          <w:b/>
          <w:color w:val="000000"/>
          <w:sz w:val="22"/>
          <w:szCs w:val="22"/>
        </w:rPr>
        <w:t>Results</w:t>
      </w:r>
    </w:p>
    <w:p w:rsidR="005758C2" w:rsidRPr="009B3747" w:rsidRDefault="005758C2" w:rsidP="001667C7">
      <w:pPr>
        <w:pStyle w:val="NormalWeb"/>
        <w:tabs>
          <w:tab w:val="left" w:pos="3828"/>
        </w:tabs>
        <w:spacing w:before="0" w:beforeAutospacing="0" w:after="0" w:afterAutospacing="0" w:line="300" w:lineRule="auto"/>
        <w:rPr>
          <w:rFonts w:asciiTheme="minorHAnsi" w:hAnsiTheme="minorHAnsi" w:cstheme="minorHAnsi"/>
          <w:color w:val="000000"/>
          <w:sz w:val="22"/>
          <w:szCs w:val="22"/>
        </w:rPr>
      </w:pPr>
    </w:p>
    <w:p w:rsidR="005758C2" w:rsidRPr="00D03B07" w:rsidRDefault="005758C2" w:rsidP="001667C7">
      <w:pPr>
        <w:pStyle w:val="NormalWeb"/>
        <w:tabs>
          <w:tab w:val="left" w:pos="3828"/>
        </w:tabs>
        <w:spacing w:before="0" w:beforeAutospacing="0" w:after="0" w:afterAutospacing="0" w:line="300" w:lineRule="auto"/>
        <w:rPr>
          <w:rFonts w:asciiTheme="minorHAnsi" w:hAnsiTheme="minorHAnsi" w:cstheme="minorHAnsi"/>
          <w:color w:val="000000"/>
          <w:sz w:val="22"/>
          <w:szCs w:val="22"/>
        </w:rPr>
      </w:pPr>
      <w:r w:rsidRPr="00D03B07">
        <w:rPr>
          <w:rFonts w:asciiTheme="minorHAnsi" w:hAnsiTheme="minorHAnsi" w:cstheme="minorHAnsi"/>
          <w:color w:val="000000"/>
          <w:sz w:val="22"/>
          <w:szCs w:val="22"/>
        </w:rPr>
        <w:t xml:space="preserve">Headteachers and chairs of governors </w:t>
      </w:r>
      <w:r w:rsidR="00467FA8" w:rsidRPr="00D03B07">
        <w:rPr>
          <w:rFonts w:asciiTheme="minorHAnsi" w:hAnsiTheme="minorHAnsi" w:cstheme="minorHAnsi"/>
          <w:color w:val="000000"/>
          <w:sz w:val="22"/>
          <w:szCs w:val="22"/>
        </w:rPr>
        <w:t>viewed</w:t>
      </w:r>
      <w:r w:rsidRPr="00D03B07">
        <w:rPr>
          <w:rFonts w:asciiTheme="minorHAnsi" w:hAnsiTheme="minorHAnsi" w:cstheme="minorHAnsi"/>
          <w:color w:val="000000"/>
          <w:sz w:val="22"/>
          <w:szCs w:val="22"/>
        </w:rPr>
        <w:t xml:space="preserve"> unhealthy dietary ha</w:t>
      </w:r>
      <w:r w:rsidR="00467FA8" w:rsidRPr="00D03B07">
        <w:rPr>
          <w:rFonts w:asciiTheme="minorHAnsi" w:hAnsiTheme="minorHAnsi" w:cstheme="minorHAnsi"/>
          <w:color w:val="000000"/>
          <w:sz w:val="22"/>
          <w:szCs w:val="22"/>
        </w:rPr>
        <w:t>bits and sedentary behaviour as a more significant problem than obesity in adolescence</w:t>
      </w:r>
      <w:r w:rsidRPr="00D03B07">
        <w:rPr>
          <w:rFonts w:asciiTheme="minorHAnsi" w:hAnsiTheme="minorHAnsi" w:cstheme="minorHAnsi"/>
          <w:color w:val="000000"/>
          <w:sz w:val="22"/>
          <w:szCs w:val="22"/>
        </w:rPr>
        <w:t xml:space="preserve">.  Obesity was </w:t>
      </w:r>
      <w:r w:rsidR="001667C7">
        <w:rPr>
          <w:rFonts w:asciiTheme="minorHAnsi" w:hAnsiTheme="minorHAnsi" w:cstheme="minorHAnsi"/>
          <w:color w:val="000000"/>
          <w:sz w:val="22"/>
          <w:szCs w:val="22"/>
        </w:rPr>
        <w:t>understood to be</w:t>
      </w:r>
      <w:r w:rsidRPr="00D03B07">
        <w:rPr>
          <w:rFonts w:asciiTheme="minorHAnsi" w:hAnsiTheme="minorHAnsi" w:cstheme="minorHAnsi"/>
          <w:color w:val="000000"/>
          <w:sz w:val="22"/>
          <w:szCs w:val="22"/>
        </w:rPr>
        <w:t xml:space="preserve"> co</w:t>
      </w:r>
      <w:r w:rsidR="00BB0238">
        <w:rPr>
          <w:rFonts w:asciiTheme="minorHAnsi" w:hAnsiTheme="minorHAnsi" w:cstheme="minorHAnsi"/>
          <w:color w:val="000000"/>
          <w:sz w:val="22"/>
          <w:szCs w:val="22"/>
        </w:rPr>
        <w:t>mplex and multi-causal</w:t>
      </w:r>
      <w:r w:rsidRPr="00D03B07">
        <w:rPr>
          <w:rFonts w:asciiTheme="minorHAnsi" w:hAnsiTheme="minorHAnsi" w:cstheme="minorHAnsi"/>
          <w:color w:val="000000"/>
          <w:sz w:val="22"/>
          <w:szCs w:val="22"/>
        </w:rPr>
        <w:t xml:space="preserve">, although primary responsibility for its prevention was attributed to parents.  </w:t>
      </w:r>
      <w:r w:rsidR="00BB0238">
        <w:rPr>
          <w:rFonts w:asciiTheme="minorHAnsi" w:hAnsiTheme="minorHAnsi" w:cstheme="minorHAnsi"/>
          <w:color w:val="000000"/>
          <w:sz w:val="22"/>
          <w:szCs w:val="22"/>
        </w:rPr>
        <w:t xml:space="preserve">Despite not </w:t>
      </w:r>
      <w:r w:rsidR="00467FA8" w:rsidRPr="00D03B07">
        <w:rPr>
          <w:rFonts w:asciiTheme="minorHAnsi" w:hAnsiTheme="minorHAnsi" w:cstheme="minorHAnsi"/>
          <w:color w:val="000000"/>
          <w:sz w:val="22"/>
          <w:szCs w:val="22"/>
        </w:rPr>
        <w:t xml:space="preserve">an explicit </w:t>
      </w:r>
      <w:r w:rsidR="00BA5DA9" w:rsidRPr="00D03B07">
        <w:rPr>
          <w:rFonts w:asciiTheme="minorHAnsi" w:hAnsiTheme="minorHAnsi" w:cstheme="minorHAnsi"/>
          <w:color w:val="000000"/>
          <w:sz w:val="22"/>
          <w:szCs w:val="22"/>
        </w:rPr>
        <w:t xml:space="preserve">school </w:t>
      </w:r>
      <w:r w:rsidR="00467FA8" w:rsidRPr="00D03B07">
        <w:rPr>
          <w:rFonts w:asciiTheme="minorHAnsi" w:hAnsiTheme="minorHAnsi" w:cstheme="minorHAnsi"/>
          <w:color w:val="000000"/>
          <w:sz w:val="22"/>
          <w:szCs w:val="22"/>
        </w:rPr>
        <w:t>priority, t</w:t>
      </w:r>
      <w:r w:rsidRPr="00D03B07">
        <w:rPr>
          <w:rFonts w:asciiTheme="minorHAnsi" w:hAnsiTheme="minorHAnsi" w:cstheme="minorHAnsi"/>
          <w:color w:val="000000"/>
          <w:sz w:val="22"/>
          <w:szCs w:val="22"/>
        </w:rPr>
        <w:t xml:space="preserve">he role of secondary schools in </w:t>
      </w:r>
      <w:r w:rsidR="001667C7">
        <w:rPr>
          <w:rFonts w:asciiTheme="minorHAnsi" w:hAnsiTheme="minorHAnsi" w:cstheme="minorHAnsi"/>
          <w:color w:val="000000"/>
          <w:sz w:val="22"/>
          <w:szCs w:val="22"/>
        </w:rPr>
        <w:t xml:space="preserve">obesity prevention </w:t>
      </w:r>
      <w:r w:rsidR="00D03B07">
        <w:rPr>
          <w:rFonts w:asciiTheme="minorHAnsi" w:hAnsiTheme="minorHAnsi" w:cstheme="minorHAnsi"/>
          <w:color w:val="000000"/>
          <w:sz w:val="22"/>
          <w:szCs w:val="22"/>
        </w:rPr>
        <w:t xml:space="preserve">was supported given the acknowledged reciprocal relationship between health and educational outcomes.  </w:t>
      </w:r>
      <w:r w:rsidR="00A1354B" w:rsidRPr="00D03B07">
        <w:rPr>
          <w:rFonts w:asciiTheme="minorHAnsi" w:hAnsiTheme="minorHAnsi" w:cstheme="minorHAnsi"/>
          <w:color w:val="000000"/>
          <w:sz w:val="22"/>
          <w:szCs w:val="22"/>
        </w:rPr>
        <w:t>H</w:t>
      </w:r>
      <w:r w:rsidR="00467FA8" w:rsidRPr="00D03B07">
        <w:rPr>
          <w:rFonts w:asciiTheme="minorHAnsi" w:hAnsiTheme="minorHAnsi" w:cstheme="minorHAnsi"/>
          <w:color w:val="000000"/>
          <w:sz w:val="22"/>
          <w:szCs w:val="22"/>
        </w:rPr>
        <w:t>owever</w:t>
      </w:r>
      <w:r w:rsidR="00D03B07">
        <w:rPr>
          <w:rFonts w:asciiTheme="minorHAnsi" w:hAnsiTheme="minorHAnsi" w:cstheme="minorHAnsi"/>
          <w:color w:val="000000"/>
          <w:sz w:val="22"/>
          <w:szCs w:val="22"/>
        </w:rPr>
        <w:t xml:space="preserve"> </w:t>
      </w:r>
      <w:r w:rsidR="00467FA8" w:rsidRPr="00D03B07">
        <w:rPr>
          <w:rFonts w:asciiTheme="minorHAnsi" w:hAnsiTheme="minorHAnsi" w:cstheme="minorHAnsi"/>
          <w:color w:val="000000"/>
          <w:sz w:val="22"/>
          <w:szCs w:val="22"/>
        </w:rPr>
        <w:t>v</w:t>
      </w:r>
      <w:r w:rsidRPr="00D03B07">
        <w:rPr>
          <w:rFonts w:asciiTheme="minorHAnsi" w:hAnsiTheme="minorHAnsi" w:cstheme="minorHAnsi"/>
          <w:color w:val="000000"/>
          <w:sz w:val="22"/>
          <w:szCs w:val="22"/>
        </w:rPr>
        <w:t xml:space="preserve">arious </w:t>
      </w:r>
      <w:r w:rsidR="00D03B07">
        <w:rPr>
          <w:rFonts w:asciiTheme="minorHAnsi" w:hAnsiTheme="minorHAnsi" w:cstheme="minorHAnsi"/>
          <w:color w:val="000000"/>
          <w:sz w:val="22"/>
          <w:szCs w:val="22"/>
        </w:rPr>
        <w:t xml:space="preserve">internal and external </w:t>
      </w:r>
      <w:r w:rsidRPr="00D03B07">
        <w:rPr>
          <w:rFonts w:asciiTheme="minorHAnsi" w:hAnsiTheme="minorHAnsi" w:cstheme="minorHAnsi"/>
          <w:color w:val="000000"/>
          <w:sz w:val="22"/>
          <w:szCs w:val="22"/>
        </w:rPr>
        <w:t xml:space="preserve">barriers </w:t>
      </w:r>
      <w:r w:rsidR="00D03B07">
        <w:rPr>
          <w:rFonts w:asciiTheme="minorHAnsi" w:hAnsiTheme="minorHAnsi" w:cstheme="minorHAnsi"/>
          <w:color w:val="000000"/>
          <w:sz w:val="22"/>
          <w:szCs w:val="22"/>
        </w:rPr>
        <w:t>were identified, which</w:t>
      </w:r>
      <w:r w:rsidR="00BB0238">
        <w:rPr>
          <w:rFonts w:asciiTheme="minorHAnsi" w:hAnsiTheme="minorHAnsi" w:cstheme="minorHAnsi"/>
          <w:color w:val="000000"/>
          <w:sz w:val="22"/>
          <w:szCs w:val="22"/>
        </w:rPr>
        <w:t xml:space="preserve"> strongly</w:t>
      </w:r>
      <w:r w:rsidR="00D03B07">
        <w:rPr>
          <w:rFonts w:asciiTheme="minorHAnsi" w:hAnsiTheme="minorHAnsi" w:cstheme="minorHAnsi"/>
          <w:color w:val="000000"/>
          <w:sz w:val="22"/>
          <w:szCs w:val="22"/>
        </w:rPr>
        <w:t xml:space="preserve"> </w:t>
      </w:r>
      <w:r w:rsidR="001667C7">
        <w:rPr>
          <w:rFonts w:asciiTheme="minorHAnsi" w:hAnsiTheme="minorHAnsi" w:cstheme="minorHAnsi"/>
          <w:color w:val="000000"/>
          <w:sz w:val="22"/>
          <w:szCs w:val="22"/>
        </w:rPr>
        <w:t>influenced participants’</w:t>
      </w:r>
      <w:r w:rsidRPr="00D03B07">
        <w:rPr>
          <w:rFonts w:asciiTheme="minorHAnsi" w:hAnsiTheme="minorHAnsi" w:cstheme="minorHAnsi"/>
          <w:color w:val="000000"/>
          <w:sz w:val="22"/>
          <w:szCs w:val="22"/>
        </w:rPr>
        <w:t xml:space="preserve"> </w:t>
      </w:r>
      <w:r w:rsidR="00BA5DA9" w:rsidRPr="00D03B07">
        <w:rPr>
          <w:rFonts w:asciiTheme="minorHAnsi" w:hAnsiTheme="minorHAnsi" w:cstheme="minorHAnsi"/>
          <w:color w:val="000000"/>
          <w:sz w:val="22"/>
          <w:szCs w:val="22"/>
        </w:rPr>
        <w:t>d</w:t>
      </w:r>
      <w:r w:rsidRPr="00D03B07">
        <w:rPr>
          <w:rFonts w:asciiTheme="minorHAnsi" w:hAnsiTheme="minorHAnsi" w:cstheme="minorHAnsi"/>
          <w:color w:val="000000"/>
          <w:sz w:val="22"/>
          <w:szCs w:val="22"/>
        </w:rPr>
        <w:t xml:space="preserve">esire and ability to deliver school-based preventative action.  </w:t>
      </w:r>
    </w:p>
    <w:p w:rsidR="005758C2" w:rsidRPr="009B3747" w:rsidRDefault="005758C2" w:rsidP="001667C7">
      <w:pPr>
        <w:pStyle w:val="NormalWeb"/>
        <w:tabs>
          <w:tab w:val="left" w:pos="3828"/>
        </w:tabs>
        <w:spacing w:before="0" w:beforeAutospacing="0" w:after="0" w:afterAutospacing="0" w:line="300" w:lineRule="auto"/>
        <w:rPr>
          <w:rFonts w:asciiTheme="minorHAnsi" w:hAnsiTheme="minorHAnsi" w:cstheme="minorHAnsi"/>
          <w:color w:val="000000"/>
          <w:sz w:val="22"/>
          <w:szCs w:val="22"/>
        </w:rPr>
      </w:pPr>
    </w:p>
    <w:p w:rsidR="005758C2" w:rsidRPr="009B3747" w:rsidRDefault="005758C2" w:rsidP="001667C7">
      <w:pPr>
        <w:pStyle w:val="NormalWeb"/>
        <w:tabs>
          <w:tab w:val="left" w:pos="3828"/>
        </w:tabs>
        <w:spacing w:before="0" w:beforeAutospacing="0" w:after="0" w:afterAutospacing="0" w:line="300" w:lineRule="auto"/>
        <w:rPr>
          <w:rFonts w:asciiTheme="minorHAnsi" w:hAnsiTheme="minorHAnsi" w:cstheme="minorHAnsi"/>
          <w:b/>
          <w:color w:val="000000"/>
          <w:sz w:val="22"/>
          <w:szCs w:val="22"/>
        </w:rPr>
      </w:pPr>
      <w:r w:rsidRPr="009B3747">
        <w:rPr>
          <w:rFonts w:asciiTheme="minorHAnsi" w:hAnsiTheme="minorHAnsi" w:cstheme="minorHAnsi"/>
          <w:b/>
          <w:color w:val="000000"/>
          <w:sz w:val="22"/>
          <w:szCs w:val="22"/>
        </w:rPr>
        <w:t xml:space="preserve">Conclusion </w:t>
      </w:r>
    </w:p>
    <w:p w:rsidR="005758C2" w:rsidRPr="009B3747" w:rsidRDefault="005758C2" w:rsidP="001667C7">
      <w:pPr>
        <w:pStyle w:val="NormalWeb"/>
        <w:tabs>
          <w:tab w:val="left" w:pos="3828"/>
        </w:tabs>
        <w:spacing w:before="0" w:beforeAutospacing="0" w:after="0" w:afterAutospacing="0" w:line="300" w:lineRule="auto"/>
        <w:rPr>
          <w:rFonts w:asciiTheme="minorHAnsi" w:hAnsiTheme="minorHAnsi" w:cstheme="minorHAnsi"/>
          <w:color w:val="000000"/>
          <w:sz w:val="22"/>
          <w:szCs w:val="22"/>
        </w:rPr>
      </w:pPr>
    </w:p>
    <w:p w:rsidR="00BA5DA9" w:rsidRPr="009B3747" w:rsidRDefault="00BA5DA9" w:rsidP="001667C7">
      <w:pPr>
        <w:tabs>
          <w:tab w:val="left" w:pos="3828"/>
        </w:tabs>
        <w:spacing w:line="300" w:lineRule="auto"/>
        <w:rPr>
          <w:rFonts w:cstheme="minorHAnsi"/>
        </w:rPr>
      </w:pPr>
      <w:r w:rsidRPr="009B3747">
        <w:rPr>
          <w:rFonts w:cstheme="minorHAnsi"/>
        </w:rPr>
        <w:t>S</w:t>
      </w:r>
      <w:r w:rsidR="005758C2" w:rsidRPr="009B3747">
        <w:rPr>
          <w:rFonts w:cstheme="minorHAnsi"/>
        </w:rPr>
        <w:t xml:space="preserve">econdary schools </w:t>
      </w:r>
      <w:r w:rsidR="00467FA8" w:rsidRPr="009B3747">
        <w:rPr>
          <w:rFonts w:cstheme="minorHAnsi"/>
        </w:rPr>
        <w:t>may be well</w:t>
      </w:r>
      <w:r w:rsidR="005758C2" w:rsidRPr="009B3747">
        <w:rPr>
          <w:rFonts w:cstheme="minorHAnsi"/>
        </w:rPr>
        <w:t xml:space="preserve"> positioned to influence adolescent lifestyle behaviours and weight status</w:t>
      </w:r>
      <w:r w:rsidR="003D781F" w:rsidRPr="009B3747">
        <w:rPr>
          <w:rFonts w:cstheme="minorHAnsi"/>
        </w:rPr>
        <w:t xml:space="preserve">.  </w:t>
      </w:r>
      <w:r w:rsidR="00A1354B" w:rsidRPr="009B3747">
        <w:rPr>
          <w:rFonts w:cstheme="minorHAnsi"/>
        </w:rPr>
        <w:t xml:space="preserve">Nevertheless </w:t>
      </w:r>
      <w:r w:rsidR="005758C2" w:rsidRPr="009B3747">
        <w:rPr>
          <w:rFonts w:cstheme="minorHAnsi"/>
        </w:rPr>
        <w:t xml:space="preserve">public health policy makers </w:t>
      </w:r>
      <w:r w:rsidR="00467FA8" w:rsidRPr="009B3747">
        <w:rPr>
          <w:rFonts w:cstheme="minorHAnsi"/>
        </w:rPr>
        <w:t xml:space="preserve">and professionals </w:t>
      </w:r>
      <w:r w:rsidR="005758C2" w:rsidRPr="009B3747">
        <w:rPr>
          <w:rFonts w:cstheme="minorHAnsi"/>
        </w:rPr>
        <w:t>need to</w:t>
      </w:r>
      <w:r w:rsidRPr="009B3747">
        <w:rPr>
          <w:rFonts w:cstheme="minorHAnsi"/>
        </w:rPr>
        <w:t xml:space="preserve"> understand the unique </w:t>
      </w:r>
      <w:r w:rsidR="005758C2" w:rsidRPr="009B3747">
        <w:rPr>
          <w:rFonts w:cstheme="minorHAnsi"/>
        </w:rPr>
        <w:t xml:space="preserve">challenges </w:t>
      </w:r>
      <w:r w:rsidR="00467FA8" w:rsidRPr="009B3747">
        <w:rPr>
          <w:rFonts w:cstheme="minorHAnsi"/>
        </w:rPr>
        <w:t xml:space="preserve">schools </w:t>
      </w:r>
      <w:r w:rsidR="005758C2" w:rsidRPr="009B3747">
        <w:rPr>
          <w:rFonts w:cstheme="minorHAnsi"/>
        </w:rPr>
        <w:t xml:space="preserve">face </w:t>
      </w:r>
      <w:r w:rsidR="00467FA8" w:rsidRPr="009B3747">
        <w:rPr>
          <w:rFonts w:cstheme="minorHAnsi"/>
        </w:rPr>
        <w:t>when</w:t>
      </w:r>
      <w:r w:rsidR="003E7917" w:rsidRPr="009B3747">
        <w:rPr>
          <w:rFonts w:cstheme="minorHAnsi"/>
        </w:rPr>
        <w:t xml:space="preserve"> contributing</w:t>
      </w:r>
      <w:r w:rsidR="00467FA8" w:rsidRPr="009B3747">
        <w:rPr>
          <w:rFonts w:cstheme="minorHAnsi"/>
        </w:rPr>
        <w:t xml:space="preserve"> to the </w:t>
      </w:r>
      <w:r w:rsidR="003A51BD">
        <w:rPr>
          <w:rFonts w:cstheme="minorHAnsi"/>
        </w:rPr>
        <w:t>obesity prevention agenda.  T</w:t>
      </w:r>
      <w:r w:rsidR="00D03B07" w:rsidRPr="00D03B07">
        <w:rPr>
          <w:rFonts w:cstheme="minorHAnsi"/>
        </w:rPr>
        <w:t xml:space="preserve">o maximise the effectiveness of school-based prevention, </w:t>
      </w:r>
      <w:r w:rsidR="003A51BD">
        <w:rPr>
          <w:rFonts w:cstheme="minorHAnsi"/>
        </w:rPr>
        <w:t>schools require a</w:t>
      </w:r>
      <w:r w:rsidR="001667C7">
        <w:rPr>
          <w:rFonts w:cstheme="minorHAnsi"/>
        </w:rPr>
        <w:t>dditional support and resources.  F</w:t>
      </w:r>
      <w:r w:rsidR="003A51BD">
        <w:rPr>
          <w:rFonts w:cstheme="minorHAnsi"/>
        </w:rPr>
        <w:t xml:space="preserve">urthermore </w:t>
      </w:r>
      <w:r w:rsidR="00D03B07" w:rsidRPr="00D03B07">
        <w:rPr>
          <w:rFonts w:cstheme="minorHAnsi"/>
        </w:rPr>
        <w:t xml:space="preserve">public health action is required to address </w:t>
      </w:r>
      <w:r w:rsidR="00071EBF">
        <w:rPr>
          <w:rFonts w:cstheme="minorHAnsi"/>
        </w:rPr>
        <w:t xml:space="preserve">systematically </w:t>
      </w:r>
      <w:r w:rsidR="00D03B07" w:rsidRPr="00D03B07">
        <w:rPr>
          <w:rFonts w:cstheme="minorHAnsi"/>
        </w:rPr>
        <w:t>the extensive social and environmental factors influencing adolescent obesity.</w:t>
      </w:r>
    </w:p>
    <w:p w:rsidR="00467FA8" w:rsidRPr="009B3747" w:rsidRDefault="00467FA8" w:rsidP="004D2FB9">
      <w:pPr>
        <w:pStyle w:val="NormalWeb"/>
        <w:spacing w:before="0" w:beforeAutospacing="0" w:after="0" w:afterAutospacing="0"/>
        <w:rPr>
          <w:rFonts w:asciiTheme="minorHAnsi" w:hAnsiTheme="minorHAnsi" w:cstheme="minorHAnsi"/>
          <w:b/>
          <w:color w:val="000000"/>
          <w:sz w:val="32"/>
          <w:szCs w:val="32"/>
          <w:u w:val="single"/>
        </w:rPr>
      </w:pPr>
    </w:p>
    <w:p w:rsidR="00BA5286" w:rsidRPr="009B3747" w:rsidRDefault="00BA5286" w:rsidP="004D2FB9">
      <w:pPr>
        <w:pStyle w:val="NormalWeb"/>
        <w:spacing w:before="0" w:beforeAutospacing="0" w:after="0" w:afterAutospacing="0"/>
        <w:rPr>
          <w:rFonts w:asciiTheme="minorHAnsi" w:hAnsiTheme="minorHAnsi" w:cstheme="minorHAnsi"/>
          <w:b/>
          <w:sz w:val="32"/>
          <w:szCs w:val="32"/>
          <w:u w:val="single"/>
        </w:rPr>
      </w:pPr>
      <w:r w:rsidRPr="009B3747">
        <w:rPr>
          <w:rFonts w:asciiTheme="minorHAnsi" w:hAnsiTheme="minorHAnsi" w:cstheme="minorHAnsi"/>
          <w:b/>
          <w:color w:val="000000"/>
          <w:sz w:val="32"/>
          <w:szCs w:val="32"/>
          <w:u w:val="single"/>
        </w:rPr>
        <w:lastRenderedPageBreak/>
        <w:t>Acknowledgements</w:t>
      </w:r>
    </w:p>
    <w:p w:rsidR="00B04FA7" w:rsidRPr="009B3747" w:rsidRDefault="00B04FA7" w:rsidP="00511DA7">
      <w:pPr>
        <w:pStyle w:val="NormalWeb"/>
        <w:spacing w:before="0" w:beforeAutospacing="0" w:after="0" w:afterAutospacing="0" w:line="360" w:lineRule="auto"/>
        <w:rPr>
          <w:rFonts w:asciiTheme="minorHAnsi" w:hAnsiTheme="minorHAnsi" w:cstheme="minorHAnsi"/>
          <w:color w:val="000000"/>
          <w:sz w:val="22"/>
          <w:szCs w:val="22"/>
        </w:rPr>
      </w:pPr>
    </w:p>
    <w:p w:rsidR="00511DA7" w:rsidRPr="009B3747" w:rsidRDefault="00511DA7" w:rsidP="00511DA7">
      <w:pPr>
        <w:autoSpaceDE w:val="0"/>
        <w:autoSpaceDN w:val="0"/>
        <w:adjustRightInd w:val="0"/>
        <w:rPr>
          <w:rFonts w:cstheme="minorHAnsi"/>
          <w:color w:val="000000"/>
        </w:rPr>
      </w:pPr>
      <w:r w:rsidRPr="009B3747">
        <w:rPr>
          <w:rFonts w:cstheme="minorHAnsi"/>
          <w:color w:val="000000"/>
        </w:rPr>
        <w:t xml:space="preserve">The journey to completing this research and producing the finished thesis would not have been possible without </w:t>
      </w:r>
      <w:r w:rsidR="00BB46E0" w:rsidRPr="009B3747">
        <w:rPr>
          <w:rFonts w:cstheme="minorHAnsi"/>
          <w:color w:val="000000"/>
        </w:rPr>
        <w:t xml:space="preserve">the guidance and </w:t>
      </w:r>
      <w:r w:rsidRPr="009B3747">
        <w:rPr>
          <w:rFonts w:cstheme="minorHAnsi"/>
          <w:color w:val="000000"/>
        </w:rPr>
        <w:t xml:space="preserve">support of many people. </w:t>
      </w:r>
    </w:p>
    <w:p w:rsidR="00BB46E0" w:rsidRPr="009B3747" w:rsidRDefault="00BB46E0" w:rsidP="00511DA7">
      <w:pPr>
        <w:autoSpaceDE w:val="0"/>
        <w:autoSpaceDN w:val="0"/>
        <w:adjustRightInd w:val="0"/>
        <w:rPr>
          <w:rFonts w:cstheme="minorHAnsi"/>
          <w:color w:val="000000"/>
        </w:rPr>
      </w:pPr>
    </w:p>
    <w:p w:rsidR="00BB46E0" w:rsidRPr="009B3747" w:rsidRDefault="00BB46E0" w:rsidP="00511DA7">
      <w:pPr>
        <w:autoSpaceDE w:val="0"/>
        <w:autoSpaceDN w:val="0"/>
        <w:adjustRightInd w:val="0"/>
        <w:rPr>
          <w:rFonts w:cstheme="minorHAnsi"/>
          <w:color w:val="000000"/>
        </w:rPr>
      </w:pPr>
      <w:r w:rsidRPr="009B3747">
        <w:rPr>
          <w:rFonts w:cstheme="minorHAnsi"/>
          <w:color w:val="000000"/>
        </w:rPr>
        <w:t xml:space="preserve">Firstly, I would like to thank my supervisors, Dr Vanessa Halliday and Dr Richard Cooper for their invaluable advice and feedback over the last three years.  I am extremely grateful to have had </w:t>
      </w:r>
      <w:r w:rsidR="00057549" w:rsidRPr="009B3747">
        <w:rPr>
          <w:rFonts w:cstheme="minorHAnsi"/>
          <w:color w:val="000000"/>
        </w:rPr>
        <w:t xml:space="preserve">two </w:t>
      </w:r>
      <w:r w:rsidR="003F074B" w:rsidRPr="009B3747">
        <w:rPr>
          <w:rFonts w:cstheme="minorHAnsi"/>
          <w:color w:val="000000"/>
        </w:rPr>
        <w:t>supervisors who throughout the</w:t>
      </w:r>
      <w:r w:rsidRPr="009B3747">
        <w:rPr>
          <w:rFonts w:cstheme="minorHAnsi"/>
          <w:color w:val="000000"/>
        </w:rPr>
        <w:t xml:space="preserve"> entire process have always been insightful, engaging and supportive.</w:t>
      </w:r>
      <w:r w:rsidR="00057549" w:rsidRPr="009B3747">
        <w:rPr>
          <w:rFonts w:cstheme="minorHAnsi"/>
          <w:color w:val="000000"/>
        </w:rPr>
        <w:t xml:space="preserve">  </w:t>
      </w:r>
    </w:p>
    <w:p w:rsidR="00BB46E0" w:rsidRPr="009B3747" w:rsidRDefault="00BB46E0" w:rsidP="00511DA7">
      <w:pPr>
        <w:autoSpaceDE w:val="0"/>
        <w:autoSpaceDN w:val="0"/>
        <w:adjustRightInd w:val="0"/>
        <w:rPr>
          <w:rFonts w:cstheme="minorHAnsi"/>
          <w:color w:val="000000"/>
        </w:rPr>
      </w:pPr>
    </w:p>
    <w:p w:rsidR="00BB46E0" w:rsidRPr="009B3747" w:rsidRDefault="00BB46E0" w:rsidP="00BB46E0">
      <w:pPr>
        <w:pStyle w:val="NormalWeb"/>
        <w:spacing w:before="0" w:beforeAutospacing="0" w:after="0" w:afterAutospacing="0" w:line="360" w:lineRule="auto"/>
        <w:rPr>
          <w:rFonts w:asciiTheme="minorHAnsi" w:hAnsiTheme="minorHAnsi" w:cstheme="minorHAnsi"/>
          <w:color w:val="000000"/>
          <w:sz w:val="22"/>
          <w:szCs w:val="22"/>
        </w:rPr>
      </w:pPr>
      <w:r w:rsidRPr="009B3747">
        <w:rPr>
          <w:rFonts w:asciiTheme="minorHAnsi" w:hAnsiTheme="minorHAnsi" w:cstheme="minorHAnsi"/>
          <w:color w:val="000000"/>
          <w:sz w:val="22"/>
          <w:szCs w:val="22"/>
        </w:rPr>
        <w:t xml:space="preserve">I would also like to say thanks to Dr Mark Strong for his crucial input on all statistical related elements and Alison Price for her brilliant wisdom regarding searching for, obtaining and critically appraising literature.   </w:t>
      </w:r>
    </w:p>
    <w:p w:rsidR="00BB46E0" w:rsidRPr="009B3747" w:rsidRDefault="00BB46E0" w:rsidP="00BB46E0">
      <w:pPr>
        <w:pStyle w:val="NormalWeb"/>
        <w:spacing w:before="0" w:beforeAutospacing="0" w:after="0" w:afterAutospacing="0" w:line="360" w:lineRule="auto"/>
        <w:rPr>
          <w:rFonts w:asciiTheme="minorHAnsi" w:hAnsiTheme="minorHAnsi" w:cstheme="minorHAnsi"/>
          <w:color w:val="000000"/>
          <w:sz w:val="22"/>
          <w:szCs w:val="22"/>
        </w:rPr>
      </w:pPr>
    </w:p>
    <w:p w:rsidR="00BB46E0" w:rsidRPr="009B3747" w:rsidRDefault="00BB46E0" w:rsidP="00BB46E0">
      <w:pPr>
        <w:pStyle w:val="NormalWeb"/>
        <w:spacing w:before="0" w:beforeAutospacing="0" w:after="0" w:afterAutospacing="0" w:line="360" w:lineRule="auto"/>
        <w:rPr>
          <w:rFonts w:asciiTheme="minorHAnsi" w:hAnsiTheme="minorHAnsi" w:cstheme="minorHAnsi"/>
          <w:color w:val="000000"/>
          <w:sz w:val="22"/>
          <w:szCs w:val="22"/>
        </w:rPr>
      </w:pPr>
      <w:r w:rsidRPr="009B3747">
        <w:rPr>
          <w:rFonts w:asciiTheme="minorHAnsi" w:hAnsiTheme="minorHAnsi" w:cstheme="minorHAnsi"/>
          <w:color w:val="000000"/>
          <w:sz w:val="22"/>
          <w:szCs w:val="22"/>
        </w:rPr>
        <w:t>This research would not of course have been possible without the contribution of participants.  A huge thanks therefore goes to the headteachers and chairs of governors</w:t>
      </w:r>
      <w:r w:rsidR="00515C73">
        <w:rPr>
          <w:rFonts w:asciiTheme="minorHAnsi" w:hAnsiTheme="minorHAnsi" w:cstheme="minorHAnsi"/>
          <w:color w:val="000000"/>
          <w:sz w:val="22"/>
          <w:szCs w:val="22"/>
        </w:rPr>
        <w:t>,</w:t>
      </w:r>
      <w:r w:rsidRPr="009B3747">
        <w:rPr>
          <w:rFonts w:asciiTheme="minorHAnsi" w:hAnsiTheme="minorHAnsi" w:cstheme="minorHAnsi"/>
          <w:color w:val="000000"/>
          <w:sz w:val="22"/>
          <w:szCs w:val="22"/>
        </w:rPr>
        <w:t xml:space="preserve"> </w:t>
      </w:r>
      <w:r w:rsidR="003F074B" w:rsidRPr="009B3747">
        <w:rPr>
          <w:rFonts w:asciiTheme="minorHAnsi" w:hAnsiTheme="minorHAnsi" w:cstheme="minorHAnsi"/>
          <w:color w:val="000000"/>
          <w:sz w:val="22"/>
          <w:szCs w:val="22"/>
        </w:rPr>
        <w:t xml:space="preserve">who </w:t>
      </w:r>
      <w:r w:rsidRPr="009B3747">
        <w:rPr>
          <w:rFonts w:asciiTheme="minorHAnsi" w:hAnsiTheme="minorHAnsi" w:cstheme="minorHAnsi"/>
          <w:color w:val="000000"/>
          <w:sz w:val="22"/>
          <w:szCs w:val="22"/>
        </w:rPr>
        <w:t>gave up thei</w:t>
      </w:r>
      <w:r w:rsidR="003F074B" w:rsidRPr="009B3747">
        <w:rPr>
          <w:rFonts w:asciiTheme="minorHAnsi" w:hAnsiTheme="minorHAnsi" w:cstheme="minorHAnsi"/>
          <w:color w:val="000000"/>
          <w:sz w:val="22"/>
          <w:szCs w:val="22"/>
        </w:rPr>
        <w:t>r valuable time to be interviewed or surveyed.</w:t>
      </w:r>
      <w:r w:rsidRPr="009B3747">
        <w:rPr>
          <w:rFonts w:asciiTheme="minorHAnsi" w:hAnsiTheme="minorHAnsi" w:cstheme="minorHAnsi"/>
          <w:color w:val="000000"/>
          <w:sz w:val="22"/>
          <w:szCs w:val="22"/>
        </w:rPr>
        <w:t xml:space="preserve">  </w:t>
      </w:r>
    </w:p>
    <w:p w:rsidR="00057549" w:rsidRPr="009B3747" w:rsidRDefault="00057549" w:rsidP="00BB46E0">
      <w:pPr>
        <w:pStyle w:val="NormalWeb"/>
        <w:spacing w:before="0" w:beforeAutospacing="0" w:after="0" w:afterAutospacing="0" w:line="360" w:lineRule="auto"/>
        <w:rPr>
          <w:rFonts w:asciiTheme="minorHAnsi" w:hAnsiTheme="minorHAnsi" w:cstheme="minorHAnsi"/>
          <w:color w:val="000000"/>
          <w:sz w:val="22"/>
          <w:szCs w:val="22"/>
        </w:rPr>
      </w:pPr>
    </w:p>
    <w:p w:rsidR="00057549" w:rsidRPr="009B3747" w:rsidRDefault="00B06FA6" w:rsidP="00BB46E0">
      <w:pPr>
        <w:pStyle w:val="NormalWeb"/>
        <w:spacing w:before="0" w:beforeAutospacing="0" w:after="0" w:afterAutospacing="0" w:line="360" w:lineRule="auto"/>
        <w:rPr>
          <w:rFonts w:asciiTheme="minorHAnsi" w:hAnsiTheme="minorHAnsi" w:cstheme="minorHAnsi"/>
          <w:color w:val="000000"/>
          <w:sz w:val="22"/>
          <w:szCs w:val="22"/>
        </w:rPr>
      </w:pPr>
      <w:r w:rsidRPr="009B3747">
        <w:rPr>
          <w:rFonts w:asciiTheme="minorHAnsi" w:hAnsiTheme="minorHAnsi" w:cstheme="minorHAnsi"/>
          <w:color w:val="000000"/>
          <w:sz w:val="22"/>
          <w:szCs w:val="22"/>
        </w:rPr>
        <w:t xml:space="preserve">My final thanks goes to my family and friends for their constant encouragement and care.  </w:t>
      </w:r>
      <w:r w:rsidR="00BC4317" w:rsidRPr="009B3747">
        <w:rPr>
          <w:rFonts w:asciiTheme="minorHAnsi" w:hAnsiTheme="minorHAnsi" w:cstheme="minorHAnsi"/>
          <w:color w:val="000000"/>
          <w:sz w:val="22"/>
          <w:szCs w:val="22"/>
        </w:rPr>
        <w:t xml:space="preserve">Particular </w:t>
      </w:r>
      <w:r w:rsidR="003F074B" w:rsidRPr="009B3747">
        <w:rPr>
          <w:rFonts w:asciiTheme="minorHAnsi" w:hAnsiTheme="minorHAnsi" w:cstheme="minorHAnsi"/>
          <w:color w:val="000000"/>
          <w:sz w:val="22"/>
          <w:szCs w:val="22"/>
        </w:rPr>
        <w:t>heartfelt thanks</w:t>
      </w:r>
      <w:r w:rsidR="00BC4317" w:rsidRPr="009B3747">
        <w:rPr>
          <w:rFonts w:asciiTheme="minorHAnsi" w:hAnsiTheme="minorHAnsi" w:cstheme="minorHAnsi"/>
          <w:color w:val="000000"/>
          <w:sz w:val="22"/>
          <w:szCs w:val="22"/>
        </w:rPr>
        <w:t xml:space="preserve"> goes to my wonderful </w:t>
      </w:r>
      <w:r w:rsidR="003F074B" w:rsidRPr="009B3747">
        <w:rPr>
          <w:rFonts w:asciiTheme="minorHAnsi" w:hAnsiTheme="minorHAnsi" w:cstheme="minorHAnsi"/>
          <w:color w:val="000000"/>
          <w:sz w:val="22"/>
          <w:szCs w:val="22"/>
        </w:rPr>
        <w:t>and soon to be husband</w:t>
      </w:r>
      <w:r w:rsidR="00BC4317" w:rsidRPr="009B3747">
        <w:rPr>
          <w:rFonts w:asciiTheme="minorHAnsi" w:hAnsiTheme="minorHAnsi" w:cstheme="minorHAnsi"/>
          <w:color w:val="000000"/>
          <w:sz w:val="22"/>
          <w:szCs w:val="22"/>
        </w:rPr>
        <w:t xml:space="preserve"> Graeme, my parents</w:t>
      </w:r>
      <w:r w:rsidRPr="009B3747">
        <w:rPr>
          <w:rFonts w:asciiTheme="minorHAnsi" w:hAnsiTheme="minorHAnsi" w:cstheme="minorHAnsi"/>
          <w:color w:val="000000"/>
          <w:sz w:val="22"/>
          <w:szCs w:val="22"/>
        </w:rPr>
        <w:t xml:space="preserve"> – </w:t>
      </w:r>
      <w:r w:rsidR="003F074B" w:rsidRPr="009B3747">
        <w:rPr>
          <w:rFonts w:asciiTheme="minorHAnsi" w:hAnsiTheme="minorHAnsi" w:cstheme="minorHAnsi"/>
          <w:color w:val="000000"/>
          <w:sz w:val="22"/>
          <w:szCs w:val="22"/>
        </w:rPr>
        <w:t>Elaine and Simon</w:t>
      </w:r>
      <w:r w:rsidR="00BC4317" w:rsidRPr="009B3747">
        <w:rPr>
          <w:rFonts w:asciiTheme="minorHAnsi" w:hAnsiTheme="minorHAnsi" w:cstheme="minorHAnsi"/>
          <w:color w:val="000000"/>
          <w:sz w:val="22"/>
          <w:szCs w:val="22"/>
        </w:rPr>
        <w:t>, my little brother</w:t>
      </w:r>
      <w:r w:rsidR="003F074B" w:rsidRPr="009B3747">
        <w:rPr>
          <w:rFonts w:asciiTheme="minorHAnsi" w:hAnsiTheme="minorHAnsi" w:cstheme="minorHAnsi"/>
          <w:color w:val="000000"/>
          <w:sz w:val="22"/>
          <w:szCs w:val="22"/>
        </w:rPr>
        <w:t xml:space="preserve"> Si</w:t>
      </w:r>
      <w:r w:rsidR="00BC4317" w:rsidRPr="009B3747">
        <w:rPr>
          <w:rFonts w:asciiTheme="minorHAnsi" w:hAnsiTheme="minorHAnsi" w:cstheme="minorHAnsi"/>
          <w:color w:val="000000"/>
          <w:sz w:val="22"/>
          <w:szCs w:val="22"/>
        </w:rPr>
        <w:t xml:space="preserve"> and my second parents </w:t>
      </w:r>
      <w:r w:rsidR="003F074B" w:rsidRPr="009B3747">
        <w:rPr>
          <w:rFonts w:asciiTheme="minorHAnsi" w:hAnsiTheme="minorHAnsi" w:cstheme="minorHAnsi"/>
          <w:color w:val="000000"/>
          <w:sz w:val="22"/>
          <w:szCs w:val="22"/>
        </w:rPr>
        <w:t>–</w:t>
      </w:r>
      <w:r w:rsidR="00BC4317" w:rsidRPr="009B3747">
        <w:rPr>
          <w:rFonts w:asciiTheme="minorHAnsi" w:hAnsiTheme="minorHAnsi" w:cstheme="minorHAnsi"/>
          <w:color w:val="000000"/>
          <w:sz w:val="22"/>
          <w:szCs w:val="22"/>
        </w:rPr>
        <w:t xml:space="preserve"> Martyn and Denise.  </w:t>
      </w:r>
      <w:r w:rsidR="00057549" w:rsidRPr="009B3747">
        <w:rPr>
          <w:rFonts w:asciiTheme="minorHAnsi" w:hAnsiTheme="minorHAnsi" w:cstheme="minorHAnsi"/>
          <w:color w:val="000000"/>
          <w:sz w:val="22"/>
          <w:szCs w:val="22"/>
        </w:rPr>
        <w:t>I would never have been able to</w:t>
      </w:r>
      <w:r w:rsidR="00E40062" w:rsidRPr="009B3747">
        <w:rPr>
          <w:rFonts w:asciiTheme="minorHAnsi" w:hAnsiTheme="minorHAnsi" w:cstheme="minorHAnsi"/>
          <w:color w:val="000000"/>
          <w:sz w:val="22"/>
          <w:szCs w:val="22"/>
        </w:rPr>
        <w:t xml:space="preserve"> find</w:t>
      </w:r>
      <w:r w:rsidR="00057549" w:rsidRPr="009B3747">
        <w:rPr>
          <w:rFonts w:asciiTheme="minorHAnsi" w:hAnsiTheme="minorHAnsi" w:cstheme="minorHAnsi"/>
          <w:color w:val="000000"/>
          <w:sz w:val="22"/>
          <w:szCs w:val="22"/>
        </w:rPr>
        <w:t xml:space="preserve"> the motivation </w:t>
      </w:r>
      <w:r w:rsidR="00E40062" w:rsidRPr="009B3747">
        <w:rPr>
          <w:rFonts w:asciiTheme="minorHAnsi" w:hAnsiTheme="minorHAnsi" w:cstheme="minorHAnsi"/>
          <w:color w:val="000000"/>
          <w:sz w:val="22"/>
          <w:szCs w:val="22"/>
        </w:rPr>
        <w:t xml:space="preserve">and strength </w:t>
      </w:r>
      <w:r w:rsidR="00057549" w:rsidRPr="009B3747">
        <w:rPr>
          <w:rFonts w:asciiTheme="minorHAnsi" w:hAnsiTheme="minorHAnsi" w:cstheme="minorHAnsi"/>
          <w:color w:val="000000"/>
          <w:sz w:val="22"/>
          <w:szCs w:val="22"/>
        </w:rPr>
        <w:t>needed to complete this project if it wasn’t for the</w:t>
      </w:r>
      <w:r w:rsidR="00BC4317" w:rsidRPr="009B3747">
        <w:rPr>
          <w:rFonts w:asciiTheme="minorHAnsi" w:hAnsiTheme="minorHAnsi" w:cstheme="minorHAnsi"/>
          <w:color w:val="000000"/>
          <w:sz w:val="22"/>
          <w:szCs w:val="22"/>
        </w:rPr>
        <w:t>ir</w:t>
      </w:r>
      <w:r w:rsidR="00057549" w:rsidRPr="009B3747">
        <w:rPr>
          <w:rFonts w:asciiTheme="minorHAnsi" w:hAnsiTheme="minorHAnsi" w:cstheme="minorHAnsi"/>
          <w:color w:val="000000"/>
          <w:sz w:val="22"/>
          <w:szCs w:val="22"/>
        </w:rPr>
        <w:t xml:space="preserve"> unwavering belief,</w:t>
      </w:r>
      <w:r w:rsidRPr="009B3747">
        <w:rPr>
          <w:rFonts w:asciiTheme="minorHAnsi" w:hAnsiTheme="minorHAnsi" w:cstheme="minorHAnsi"/>
          <w:color w:val="000000"/>
          <w:sz w:val="22"/>
          <w:szCs w:val="22"/>
        </w:rPr>
        <w:t xml:space="preserve"> patience and love</w:t>
      </w:r>
      <w:r w:rsidR="00E40062" w:rsidRPr="009B3747">
        <w:rPr>
          <w:rFonts w:asciiTheme="minorHAnsi" w:hAnsiTheme="minorHAnsi" w:cstheme="minorHAnsi"/>
          <w:color w:val="000000"/>
          <w:sz w:val="22"/>
          <w:szCs w:val="22"/>
        </w:rPr>
        <w:t xml:space="preserve">.  Individually and collectively, their support has made all the difference and is appreciated beyond measure.  I hope I have done, and continue to make them all proud.      </w:t>
      </w:r>
    </w:p>
    <w:p w:rsidR="00057549" w:rsidRPr="009B3747" w:rsidRDefault="00057549" w:rsidP="00BB46E0">
      <w:pPr>
        <w:pStyle w:val="NormalWeb"/>
        <w:spacing w:before="0" w:beforeAutospacing="0" w:after="0" w:afterAutospacing="0" w:line="360" w:lineRule="auto"/>
        <w:rPr>
          <w:rFonts w:asciiTheme="minorHAnsi" w:hAnsiTheme="minorHAnsi" w:cstheme="minorHAnsi"/>
          <w:color w:val="000000"/>
          <w:sz w:val="22"/>
          <w:szCs w:val="22"/>
        </w:rPr>
      </w:pPr>
    </w:p>
    <w:p w:rsidR="00511DA7" w:rsidRPr="009B3747" w:rsidRDefault="00511DA7" w:rsidP="00511DA7">
      <w:pPr>
        <w:pStyle w:val="NormalWeb"/>
        <w:spacing w:before="0" w:beforeAutospacing="0" w:after="0" w:afterAutospacing="0" w:line="360" w:lineRule="auto"/>
        <w:rPr>
          <w:rFonts w:asciiTheme="minorHAnsi" w:hAnsiTheme="minorHAnsi" w:cstheme="minorHAnsi"/>
          <w:color w:val="000000"/>
          <w:sz w:val="22"/>
          <w:szCs w:val="22"/>
        </w:rPr>
      </w:pPr>
    </w:p>
    <w:p w:rsidR="00B4772E" w:rsidRPr="009B3747" w:rsidRDefault="00B4772E" w:rsidP="00B4772E">
      <w:pPr>
        <w:pStyle w:val="NormalWeb"/>
        <w:spacing w:before="0" w:beforeAutospacing="0" w:after="0" w:afterAutospacing="0" w:line="360" w:lineRule="auto"/>
        <w:rPr>
          <w:rFonts w:asciiTheme="minorHAnsi" w:hAnsiTheme="minorHAnsi" w:cstheme="minorHAnsi"/>
          <w:color w:val="000000"/>
          <w:sz w:val="22"/>
          <w:szCs w:val="22"/>
        </w:rPr>
      </w:pPr>
    </w:p>
    <w:p w:rsidR="00E40062" w:rsidRPr="009B3747" w:rsidRDefault="00E40062" w:rsidP="00B4772E">
      <w:pPr>
        <w:pStyle w:val="NormalWeb"/>
        <w:spacing w:before="0" w:beforeAutospacing="0" w:after="0" w:afterAutospacing="0" w:line="360" w:lineRule="auto"/>
        <w:rPr>
          <w:rFonts w:asciiTheme="minorHAnsi" w:hAnsiTheme="minorHAnsi" w:cstheme="minorHAnsi"/>
          <w:color w:val="000000"/>
          <w:sz w:val="22"/>
          <w:szCs w:val="22"/>
        </w:rPr>
      </w:pPr>
    </w:p>
    <w:p w:rsidR="00E40062" w:rsidRPr="009B3747" w:rsidRDefault="00E40062" w:rsidP="00B4772E">
      <w:pPr>
        <w:pStyle w:val="NormalWeb"/>
        <w:spacing w:before="0" w:beforeAutospacing="0" w:after="0" w:afterAutospacing="0" w:line="360" w:lineRule="auto"/>
        <w:rPr>
          <w:rFonts w:asciiTheme="minorHAnsi" w:hAnsiTheme="minorHAnsi" w:cstheme="minorHAnsi"/>
          <w:color w:val="000000"/>
          <w:sz w:val="22"/>
          <w:szCs w:val="22"/>
        </w:rPr>
      </w:pPr>
    </w:p>
    <w:p w:rsidR="00B4772E" w:rsidRPr="009B3747" w:rsidRDefault="00B4772E" w:rsidP="00B4772E">
      <w:pPr>
        <w:pStyle w:val="NormalWeb"/>
        <w:spacing w:before="0" w:beforeAutospacing="0" w:after="0" w:afterAutospacing="0" w:line="360" w:lineRule="auto"/>
        <w:rPr>
          <w:rFonts w:asciiTheme="minorHAnsi" w:hAnsiTheme="minorHAnsi" w:cstheme="minorHAnsi"/>
          <w:color w:val="000000"/>
          <w:sz w:val="22"/>
          <w:szCs w:val="22"/>
        </w:rPr>
      </w:pPr>
    </w:p>
    <w:p w:rsidR="00B4772E" w:rsidRPr="009B3747" w:rsidRDefault="00B4772E" w:rsidP="00B4772E">
      <w:pPr>
        <w:pStyle w:val="NormalWeb"/>
        <w:spacing w:before="0" w:beforeAutospacing="0" w:after="0" w:afterAutospacing="0" w:line="360" w:lineRule="auto"/>
        <w:rPr>
          <w:rFonts w:asciiTheme="minorHAnsi" w:hAnsiTheme="minorHAnsi" w:cstheme="minorHAnsi"/>
          <w:color w:val="000000"/>
          <w:sz w:val="22"/>
          <w:szCs w:val="22"/>
        </w:rPr>
      </w:pPr>
    </w:p>
    <w:p w:rsidR="00CB18A0" w:rsidRPr="009B3747" w:rsidRDefault="00CB18A0" w:rsidP="004D2FB9">
      <w:pPr>
        <w:pStyle w:val="NormalWeb"/>
        <w:spacing w:before="0" w:beforeAutospacing="0" w:after="0" w:afterAutospacing="0"/>
        <w:rPr>
          <w:rFonts w:asciiTheme="minorHAnsi" w:hAnsiTheme="minorHAnsi" w:cstheme="minorHAnsi"/>
          <w:b/>
          <w:color w:val="000000"/>
          <w:sz w:val="32"/>
          <w:szCs w:val="32"/>
          <w:u w:val="single"/>
        </w:rPr>
      </w:pPr>
    </w:p>
    <w:p w:rsidR="00CB18A0" w:rsidRPr="009B3747" w:rsidRDefault="00CB18A0" w:rsidP="004D2FB9">
      <w:pPr>
        <w:pStyle w:val="NormalWeb"/>
        <w:spacing w:before="0" w:beforeAutospacing="0" w:after="0" w:afterAutospacing="0"/>
        <w:rPr>
          <w:rFonts w:asciiTheme="minorHAnsi" w:hAnsiTheme="minorHAnsi" w:cstheme="minorHAnsi"/>
          <w:b/>
          <w:color w:val="000000"/>
          <w:sz w:val="32"/>
          <w:szCs w:val="32"/>
          <w:u w:val="single"/>
        </w:rPr>
      </w:pPr>
    </w:p>
    <w:p w:rsidR="00B04FA7" w:rsidRPr="009B3747" w:rsidRDefault="00B7271A" w:rsidP="007C05E8">
      <w:pPr>
        <w:pStyle w:val="NormalWeb"/>
        <w:spacing w:before="0" w:beforeAutospacing="0" w:after="0" w:afterAutospacing="0"/>
        <w:rPr>
          <w:rFonts w:asciiTheme="minorHAnsi" w:hAnsiTheme="minorHAnsi" w:cstheme="minorHAnsi"/>
          <w:b/>
          <w:color w:val="000000"/>
          <w:sz w:val="32"/>
          <w:szCs w:val="32"/>
        </w:rPr>
      </w:pPr>
      <w:r w:rsidRPr="009B3747">
        <w:rPr>
          <w:rFonts w:asciiTheme="minorHAnsi" w:hAnsiTheme="minorHAnsi" w:cstheme="minorHAnsi"/>
          <w:b/>
          <w:color w:val="000000"/>
          <w:sz w:val="32"/>
          <w:szCs w:val="32"/>
          <w:u w:val="single"/>
        </w:rPr>
        <w:lastRenderedPageBreak/>
        <w:t>Table of co</w:t>
      </w:r>
      <w:r w:rsidR="00F80BF4" w:rsidRPr="009B3747">
        <w:rPr>
          <w:rFonts w:asciiTheme="minorHAnsi" w:hAnsiTheme="minorHAnsi" w:cstheme="minorHAnsi"/>
          <w:b/>
          <w:color w:val="000000"/>
          <w:sz w:val="32"/>
          <w:szCs w:val="32"/>
          <w:u w:val="single"/>
        </w:rPr>
        <w:t>ntents</w:t>
      </w:r>
      <w:r w:rsidR="003D781F" w:rsidRPr="009B3747">
        <w:rPr>
          <w:rFonts w:asciiTheme="minorHAnsi" w:hAnsiTheme="minorHAnsi" w:cstheme="minorHAnsi"/>
          <w:b/>
          <w:color w:val="000000"/>
          <w:sz w:val="32"/>
          <w:szCs w:val="32"/>
        </w:rPr>
        <w:tab/>
      </w:r>
      <w:r w:rsidR="003D781F" w:rsidRPr="009B3747">
        <w:rPr>
          <w:rFonts w:asciiTheme="minorHAnsi" w:hAnsiTheme="minorHAnsi" w:cstheme="minorHAnsi"/>
          <w:b/>
          <w:color w:val="000000"/>
          <w:sz w:val="32"/>
          <w:szCs w:val="32"/>
        </w:rPr>
        <w:tab/>
      </w:r>
      <w:r w:rsidR="003D781F" w:rsidRPr="009B3747">
        <w:rPr>
          <w:rFonts w:asciiTheme="minorHAnsi" w:hAnsiTheme="minorHAnsi" w:cstheme="minorHAnsi"/>
          <w:b/>
          <w:color w:val="000000"/>
          <w:sz w:val="32"/>
          <w:szCs w:val="32"/>
        </w:rPr>
        <w:tab/>
      </w:r>
      <w:r w:rsidR="003D781F" w:rsidRPr="009B3747">
        <w:rPr>
          <w:rFonts w:asciiTheme="minorHAnsi" w:hAnsiTheme="minorHAnsi" w:cstheme="minorHAnsi"/>
          <w:b/>
          <w:color w:val="000000"/>
          <w:sz w:val="32"/>
          <w:szCs w:val="32"/>
        </w:rPr>
        <w:tab/>
      </w:r>
      <w:r w:rsidR="003D781F" w:rsidRPr="009B3747">
        <w:rPr>
          <w:rFonts w:asciiTheme="minorHAnsi" w:hAnsiTheme="minorHAnsi" w:cstheme="minorHAnsi"/>
          <w:b/>
          <w:color w:val="000000"/>
          <w:sz w:val="32"/>
          <w:szCs w:val="32"/>
        </w:rPr>
        <w:tab/>
      </w:r>
      <w:r w:rsidR="003D781F" w:rsidRPr="009B3747">
        <w:rPr>
          <w:rFonts w:asciiTheme="minorHAnsi" w:hAnsiTheme="minorHAnsi" w:cstheme="minorHAnsi"/>
          <w:b/>
          <w:color w:val="000000"/>
          <w:sz w:val="32"/>
          <w:szCs w:val="32"/>
        </w:rPr>
        <w:tab/>
      </w:r>
      <w:r w:rsidR="003D781F" w:rsidRPr="009B3747">
        <w:rPr>
          <w:rFonts w:asciiTheme="minorHAnsi" w:hAnsiTheme="minorHAnsi" w:cstheme="minorHAnsi"/>
          <w:b/>
          <w:color w:val="000000"/>
          <w:sz w:val="32"/>
          <w:szCs w:val="32"/>
        </w:rPr>
        <w:tab/>
      </w:r>
      <w:r w:rsidR="003D781F" w:rsidRPr="009B3747">
        <w:rPr>
          <w:rFonts w:asciiTheme="minorHAnsi" w:hAnsiTheme="minorHAnsi" w:cstheme="minorHAnsi"/>
          <w:b/>
          <w:color w:val="000000"/>
          <w:sz w:val="32"/>
          <w:szCs w:val="32"/>
        </w:rPr>
        <w:tab/>
        <w:t xml:space="preserve">       </w:t>
      </w:r>
      <w:r w:rsidR="00F80BF4" w:rsidRPr="009B3747">
        <w:rPr>
          <w:rFonts w:asciiTheme="minorHAnsi" w:hAnsiTheme="minorHAnsi" w:cstheme="minorHAnsi"/>
          <w:b/>
          <w:color w:val="000000"/>
        </w:rPr>
        <w:t>Page</w:t>
      </w:r>
    </w:p>
    <w:p w:rsidR="00B04FA7" w:rsidRPr="009B3747" w:rsidRDefault="00B04FA7" w:rsidP="007C05E8">
      <w:pPr>
        <w:pStyle w:val="NormalWeb"/>
        <w:spacing w:before="0" w:beforeAutospacing="0" w:after="0" w:afterAutospacing="0"/>
        <w:rPr>
          <w:rFonts w:asciiTheme="minorHAnsi" w:hAnsiTheme="minorHAnsi" w:cstheme="minorHAnsi"/>
          <w:color w:val="000000"/>
          <w:sz w:val="22"/>
          <w:szCs w:val="22"/>
        </w:rPr>
      </w:pPr>
    </w:p>
    <w:p w:rsidR="00BE2DEA" w:rsidRPr="009B3747" w:rsidRDefault="00F80BF4" w:rsidP="007C05E8">
      <w:pPr>
        <w:pStyle w:val="NormalWeb"/>
        <w:spacing w:before="0" w:beforeAutospacing="0" w:after="0" w:afterAutospacing="0"/>
        <w:rPr>
          <w:rFonts w:asciiTheme="minorHAnsi" w:hAnsiTheme="minorHAnsi" w:cstheme="minorHAnsi"/>
          <w:color w:val="000000"/>
          <w:sz w:val="22"/>
          <w:szCs w:val="22"/>
        </w:rPr>
      </w:pPr>
      <w:r w:rsidRPr="009B3747">
        <w:rPr>
          <w:rFonts w:asciiTheme="minorHAnsi" w:hAnsiTheme="minorHAnsi" w:cstheme="minorHAnsi"/>
          <w:color w:val="000000"/>
          <w:sz w:val="22"/>
          <w:szCs w:val="22"/>
        </w:rPr>
        <w:t>Abstract</w:t>
      </w:r>
      <w:r w:rsidRPr="009B3747">
        <w:rPr>
          <w:rFonts w:asciiTheme="minorHAnsi" w:hAnsiTheme="minorHAnsi" w:cstheme="minorHAnsi"/>
          <w:color w:val="000000"/>
          <w:sz w:val="22"/>
          <w:szCs w:val="22"/>
        </w:rPr>
        <w:tab/>
      </w:r>
      <w:r w:rsidRPr="009B3747">
        <w:rPr>
          <w:rFonts w:asciiTheme="minorHAnsi" w:hAnsiTheme="minorHAnsi" w:cstheme="minorHAnsi"/>
          <w:color w:val="000000"/>
          <w:sz w:val="22"/>
          <w:szCs w:val="22"/>
        </w:rPr>
        <w:tab/>
      </w:r>
      <w:r w:rsidRPr="009B3747">
        <w:rPr>
          <w:rFonts w:asciiTheme="minorHAnsi" w:hAnsiTheme="minorHAnsi" w:cstheme="minorHAnsi"/>
          <w:color w:val="000000"/>
          <w:sz w:val="22"/>
          <w:szCs w:val="22"/>
        </w:rPr>
        <w:tab/>
      </w:r>
      <w:r w:rsidRPr="009B3747">
        <w:rPr>
          <w:rFonts w:asciiTheme="minorHAnsi" w:hAnsiTheme="minorHAnsi" w:cstheme="minorHAnsi"/>
          <w:color w:val="000000"/>
          <w:sz w:val="22"/>
          <w:szCs w:val="22"/>
        </w:rPr>
        <w:tab/>
      </w:r>
      <w:r w:rsidRPr="009B3747">
        <w:rPr>
          <w:rFonts w:asciiTheme="minorHAnsi" w:hAnsiTheme="minorHAnsi" w:cstheme="minorHAnsi"/>
          <w:color w:val="000000"/>
          <w:sz w:val="22"/>
          <w:szCs w:val="22"/>
        </w:rPr>
        <w:tab/>
      </w:r>
      <w:r w:rsidRPr="009B3747">
        <w:rPr>
          <w:rFonts w:asciiTheme="minorHAnsi" w:hAnsiTheme="minorHAnsi" w:cstheme="minorHAnsi"/>
          <w:color w:val="000000"/>
          <w:sz w:val="22"/>
          <w:szCs w:val="22"/>
        </w:rPr>
        <w:tab/>
      </w:r>
      <w:r w:rsidRPr="009B3747">
        <w:rPr>
          <w:rFonts w:asciiTheme="minorHAnsi" w:hAnsiTheme="minorHAnsi" w:cstheme="minorHAnsi"/>
          <w:color w:val="000000"/>
          <w:sz w:val="22"/>
          <w:szCs w:val="22"/>
        </w:rPr>
        <w:tab/>
      </w:r>
      <w:r w:rsidRPr="009B3747">
        <w:rPr>
          <w:rFonts w:asciiTheme="minorHAnsi" w:hAnsiTheme="minorHAnsi" w:cstheme="minorHAnsi"/>
          <w:color w:val="000000"/>
          <w:sz w:val="22"/>
          <w:szCs w:val="22"/>
        </w:rPr>
        <w:tab/>
      </w:r>
      <w:r w:rsidRPr="009B3747">
        <w:rPr>
          <w:rFonts w:asciiTheme="minorHAnsi" w:hAnsiTheme="minorHAnsi" w:cstheme="minorHAnsi"/>
          <w:color w:val="000000"/>
          <w:sz w:val="22"/>
          <w:szCs w:val="22"/>
        </w:rPr>
        <w:tab/>
      </w:r>
      <w:r w:rsidRPr="009B3747">
        <w:rPr>
          <w:rFonts w:asciiTheme="minorHAnsi" w:hAnsiTheme="minorHAnsi" w:cstheme="minorHAnsi"/>
          <w:color w:val="000000"/>
          <w:sz w:val="22"/>
          <w:szCs w:val="22"/>
        </w:rPr>
        <w:tab/>
        <w:t xml:space="preserve">      </w:t>
      </w:r>
      <w:r w:rsidRPr="009B3747">
        <w:rPr>
          <w:rFonts w:asciiTheme="minorHAnsi" w:hAnsiTheme="minorHAnsi" w:cstheme="minorHAnsi"/>
          <w:color w:val="000000"/>
          <w:sz w:val="22"/>
          <w:szCs w:val="22"/>
        </w:rPr>
        <w:tab/>
        <w:t xml:space="preserve">i </w:t>
      </w:r>
    </w:p>
    <w:p w:rsidR="00BE2DEA" w:rsidRPr="009B3747" w:rsidRDefault="00BE2DEA" w:rsidP="007C05E8">
      <w:pPr>
        <w:pStyle w:val="NormalWeb"/>
        <w:spacing w:before="0" w:beforeAutospacing="0" w:after="0" w:afterAutospacing="0"/>
        <w:rPr>
          <w:rFonts w:asciiTheme="minorHAnsi" w:hAnsiTheme="minorHAnsi" w:cstheme="minorHAnsi"/>
          <w:color w:val="000000"/>
          <w:sz w:val="22"/>
          <w:szCs w:val="22"/>
        </w:rPr>
      </w:pPr>
      <w:r w:rsidRPr="009B3747">
        <w:rPr>
          <w:rFonts w:asciiTheme="minorHAnsi" w:hAnsiTheme="minorHAnsi" w:cstheme="minorHAnsi"/>
          <w:color w:val="000000"/>
          <w:sz w:val="22"/>
          <w:szCs w:val="22"/>
        </w:rPr>
        <w:t>Acknowledgements</w:t>
      </w:r>
      <w:r w:rsidRPr="009B3747">
        <w:rPr>
          <w:rFonts w:asciiTheme="minorHAnsi" w:hAnsiTheme="minorHAnsi" w:cstheme="minorHAnsi"/>
          <w:color w:val="000000"/>
          <w:sz w:val="22"/>
          <w:szCs w:val="22"/>
        </w:rPr>
        <w:tab/>
      </w:r>
      <w:r w:rsidRPr="009B3747">
        <w:rPr>
          <w:rFonts w:asciiTheme="minorHAnsi" w:hAnsiTheme="minorHAnsi" w:cstheme="minorHAnsi"/>
          <w:color w:val="000000"/>
          <w:sz w:val="22"/>
          <w:szCs w:val="22"/>
        </w:rPr>
        <w:tab/>
      </w:r>
      <w:r w:rsidRPr="009B3747">
        <w:rPr>
          <w:rFonts w:asciiTheme="minorHAnsi" w:hAnsiTheme="minorHAnsi" w:cstheme="minorHAnsi"/>
          <w:color w:val="000000"/>
          <w:sz w:val="22"/>
          <w:szCs w:val="22"/>
        </w:rPr>
        <w:tab/>
      </w:r>
      <w:r w:rsidRPr="009B3747">
        <w:rPr>
          <w:rFonts w:asciiTheme="minorHAnsi" w:hAnsiTheme="minorHAnsi" w:cstheme="minorHAnsi"/>
          <w:color w:val="000000"/>
          <w:sz w:val="22"/>
          <w:szCs w:val="22"/>
        </w:rPr>
        <w:tab/>
      </w:r>
      <w:r w:rsidRPr="009B3747">
        <w:rPr>
          <w:rFonts w:asciiTheme="minorHAnsi" w:hAnsiTheme="minorHAnsi" w:cstheme="minorHAnsi"/>
          <w:color w:val="000000"/>
          <w:sz w:val="22"/>
          <w:szCs w:val="22"/>
        </w:rPr>
        <w:tab/>
      </w:r>
      <w:r w:rsidRPr="009B3747">
        <w:rPr>
          <w:rFonts w:asciiTheme="minorHAnsi" w:hAnsiTheme="minorHAnsi" w:cstheme="minorHAnsi"/>
          <w:color w:val="000000"/>
          <w:sz w:val="22"/>
          <w:szCs w:val="22"/>
        </w:rPr>
        <w:tab/>
      </w:r>
      <w:r w:rsidRPr="009B3747">
        <w:rPr>
          <w:rFonts w:asciiTheme="minorHAnsi" w:hAnsiTheme="minorHAnsi" w:cstheme="minorHAnsi"/>
          <w:color w:val="000000"/>
          <w:sz w:val="22"/>
          <w:szCs w:val="22"/>
        </w:rPr>
        <w:tab/>
      </w:r>
      <w:r w:rsidR="00F80BF4" w:rsidRPr="009B3747">
        <w:rPr>
          <w:rFonts w:asciiTheme="minorHAnsi" w:hAnsiTheme="minorHAnsi" w:cstheme="minorHAnsi"/>
          <w:color w:val="000000"/>
          <w:sz w:val="22"/>
          <w:szCs w:val="22"/>
        </w:rPr>
        <w:tab/>
      </w:r>
      <w:r w:rsidR="00F80BF4" w:rsidRPr="009B3747">
        <w:rPr>
          <w:rFonts w:asciiTheme="minorHAnsi" w:hAnsiTheme="minorHAnsi" w:cstheme="minorHAnsi"/>
          <w:color w:val="000000"/>
          <w:sz w:val="22"/>
          <w:szCs w:val="22"/>
        </w:rPr>
        <w:tab/>
        <w:t xml:space="preserve">      </w:t>
      </w:r>
      <w:r w:rsidR="00F80BF4" w:rsidRPr="009B3747">
        <w:rPr>
          <w:rFonts w:asciiTheme="minorHAnsi" w:hAnsiTheme="minorHAnsi" w:cstheme="minorHAnsi"/>
          <w:color w:val="000000"/>
          <w:sz w:val="22"/>
          <w:szCs w:val="22"/>
        </w:rPr>
        <w:tab/>
        <w:t>i</w:t>
      </w:r>
      <w:r w:rsidR="00773382" w:rsidRPr="009B3747">
        <w:rPr>
          <w:rFonts w:asciiTheme="minorHAnsi" w:hAnsiTheme="minorHAnsi" w:cstheme="minorHAnsi"/>
          <w:color w:val="000000"/>
          <w:sz w:val="22"/>
          <w:szCs w:val="22"/>
        </w:rPr>
        <w:t>i</w:t>
      </w:r>
    </w:p>
    <w:p w:rsidR="00BE2DEA" w:rsidRPr="009B3747" w:rsidRDefault="00387C87" w:rsidP="007C05E8">
      <w:pPr>
        <w:pStyle w:val="NormalWeb"/>
        <w:spacing w:before="0" w:beforeAutospacing="0" w:after="0" w:afterAutospacing="0"/>
        <w:rPr>
          <w:rFonts w:asciiTheme="minorHAnsi" w:hAnsiTheme="minorHAnsi" w:cstheme="minorHAnsi"/>
          <w:color w:val="000000"/>
          <w:sz w:val="22"/>
          <w:szCs w:val="22"/>
        </w:rPr>
      </w:pPr>
      <w:r w:rsidRPr="009B3747">
        <w:rPr>
          <w:rFonts w:asciiTheme="minorHAnsi" w:hAnsiTheme="minorHAnsi" w:cstheme="minorHAnsi"/>
          <w:color w:val="000000"/>
          <w:sz w:val="22"/>
          <w:szCs w:val="22"/>
        </w:rPr>
        <w:t>Ta</w:t>
      </w:r>
      <w:r w:rsidR="00B7271A" w:rsidRPr="009B3747">
        <w:rPr>
          <w:rFonts w:asciiTheme="minorHAnsi" w:hAnsiTheme="minorHAnsi" w:cstheme="minorHAnsi"/>
          <w:color w:val="000000"/>
          <w:sz w:val="22"/>
          <w:szCs w:val="22"/>
        </w:rPr>
        <w:t xml:space="preserve">ble of </w:t>
      </w:r>
      <w:r w:rsidR="00F80BF4" w:rsidRPr="009B3747">
        <w:rPr>
          <w:rFonts w:asciiTheme="minorHAnsi" w:hAnsiTheme="minorHAnsi" w:cstheme="minorHAnsi"/>
          <w:color w:val="000000"/>
          <w:sz w:val="22"/>
          <w:szCs w:val="22"/>
        </w:rPr>
        <w:t>Contents</w:t>
      </w:r>
      <w:r w:rsidR="00F80BF4" w:rsidRPr="009B3747">
        <w:rPr>
          <w:rFonts w:asciiTheme="minorHAnsi" w:hAnsiTheme="minorHAnsi" w:cstheme="minorHAnsi"/>
          <w:color w:val="000000"/>
          <w:sz w:val="22"/>
          <w:szCs w:val="22"/>
        </w:rPr>
        <w:tab/>
      </w:r>
      <w:r w:rsidR="00F80BF4" w:rsidRPr="009B3747">
        <w:rPr>
          <w:rFonts w:asciiTheme="minorHAnsi" w:hAnsiTheme="minorHAnsi" w:cstheme="minorHAnsi"/>
          <w:color w:val="000000"/>
          <w:sz w:val="22"/>
          <w:szCs w:val="22"/>
        </w:rPr>
        <w:tab/>
      </w:r>
      <w:r w:rsidR="00F80BF4" w:rsidRPr="009B3747">
        <w:rPr>
          <w:rFonts w:asciiTheme="minorHAnsi" w:hAnsiTheme="minorHAnsi" w:cstheme="minorHAnsi"/>
          <w:color w:val="000000"/>
          <w:sz w:val="22"/>
          <w:szCs w:val="22"/>
        </w:rPr>
        <w:tab/>
      </w:r>
      <w:r w:rsidR="00F80BF4" w:rsidRPr="009B3747">
        <w:rPr>
          <w:rFonts w:asciiTheme="minorHAnsi" w:hAnsiTheme="minorHAnsi" w:cstheme="minorHAnsi"/>
          <w:color w:val="000000"/>
          <w:sz w:val="22"/>
          <w:szCs w:val="22"/>
        </w:rPr>
        <w:tab/>
      </w:r>
      <w:r w:rsidR="00F80BF4" w:rsidRPr="009B3747">
        <w:rPr>
          <w:rFonts w:asciiTheme="minorHAnsi" w:hAnsiTheme="minorHAnsi" w:cstheme="minorHAnsi"/>
          <w:color w:val="000000"/>
          <w:sz w:val="22"/>
          <w:szCs w:val="22"/>
        </w:rPr>
        <w:tab/>
      </w:r>
      <w:r w:rsidR="00F80BF4" w:rsidRPr="009B3747">
        <w:rPr>
          <w:rFonts w:asciiTheme="minorHAnsi" w:hAnsiTheme="minorHAnsi" w:cstheme="minorHAnsi"/>
          <w:color w:val="000000"/>
          <w:sz w:val="22"/>
          <w:szCs w:val="22"/>
        </w:rPr>
        <w:tab/>
      </w:r>
      <w:r w:rsidR="00F80BF4" w:rsidRPr="009B3747">
        <w:rPr>
          <w:rFonts w:asciiTheme="minorHAnsi" w:hAnsiTheme="minorHAnsi" w:cstheme="minorHAnsi"/>
          <w:color w:val="000000"/>
          <w:sz w:val="22"/>
          <w:szCs w:val="22"/>
        </w:rPr>
        <w:tab/>
      </w:r>
      <w:r w:rsidR="00F80BF4" w:rsidRPr="009B3747">
        <w:rPr>
          <w:rFonts w:asciiTheme="minorHAnsi" w:hAnsiTheme="minorHAnsi" w:cstheme="minorHAnsi"/>
          <w:color w:val="000000"/>
          <w:sz w:val="22"/>
          <w:szCs w:val="22"/>
        </w:rPr>
        <w:tab/>
      </w:r>
      <w:r w:rsidR="00F80BF4" w:rsidRPr="009B3747">
        <w:rPr>
          <w:rFonts w:asciiTheme="minorHAnsi" w:hAnsiTheme="minorHAnsi" w:cstheme="minorHAnsi"/>
          <w:color w:val="000000"/>
          <w:sz w:val="22"/>
          <w:szCs w:val="22"/>
        </w:rPr>
        <w:tab/>
        <w:t xml:space="preserve">      </w:t>
      </w:r>
      <w:r w:rsidR="00F80BF4" w:rsidRPr="009B3747">
        <w:rPr>
          <w:rFonts w:asciiTheme="minorHAnsi" w:hAnsiTheme="minorHAnsi" w:cstheme="minorHAnsi"/>
          <w:color w:val="000000"/>
          <w:sz w:val="22"/>
          <w:szCs w:val="22"/>
        </w:rPr>
        <w:tab/>
      </w:r>
      <w:r w:rsidR="00773382" w:rsidRPr="009B3747">
        <w:rPr>
          <w:rFonts w:asciiTheme="minorHAnsi" w:hAnsiTheme="minorHAnsi" w:cstheme="minorHAnsi"/>
          <w:color w:val="000000"/>
          <w:sz w:val="22"/>
          <w:szCs w:val="22"/>
        </w:rPr>
        <w:t>iii</w:t>
      </w:r>
    </w:p>
    <w:p w:rsidR="00BE2DEA" w:rsidRPr="009B3747" w:rsidRDefault="00BE2DEA" w:rsidP="007C05E8">
      <w:pPr>
        <w:pStyle w:val="NormalWeb"/>
        <w:spacing w:before="0" w:beforeAutospacing="0" w:after="0" w:afterAutospacing="0"/>
        <w:rPr>
          <w:rFonts w:asciiTheme="minorHAnsi" w:hAnsiTheme="minorHAnsi" w:cstheme="minorHAnsi"/>
          <w:color w:val="000000"/>
          <w:sz w:val="22"/>
          <w:szCs w:val="22"/>
        </w:rPr>
      </w:pPr>
      <w:r w:rsidRPr="009B3747">
        <w:rPr>
          <w:rFonts w:asciiTheme="minorHAnsi" w:hAnsiTheme="minorHAnsi" w:cstheme="minorHAnsi"/>
          <w:color w:val="000000"/>
          <w:sz w:val="22"/>
          <w:szCs w:val="22"/>
        </w:rPr>
        <w:t xml:space="preserve">List </w:t>
      </w:r>
      <w:r w:rsidR="00B7271A" w:rsidRPr="009B3747">
        <w:rPr>
          <w:rFonts w:asciiTheme="minorHAnsi" w:hAnsiTheme="minorHAnsi" w:cstheme="minorHAnsi"/>
          <w:color w:val="000000"/>
          <w:sz w:val="22"/>
          <w:szCs w:val="22"/>
        </w:rPr>
        <w:t>of tables and</w:t>
      </w:r>
      <w:r w:rsidRPr="009B3747">
        <w:rPr>
          <w:rFonts w:asciiTheme="minorHAnsi" w:hAnsiTheme="minorHAnsi" w:cstheme="minorHAnsi"/>
          <w:color w:val="000000"/>
          <w:sz w:val="22"/>
          <w:szCs w:val="22"/>
        </w:rPr>
        <w:t xml:space="preserve"> figures</w:t>
      </w:r>
      <w:r w:rsidRPr="009B3747">
        <w:rPr>
          <w:rFonts w:asciiTheme="minorHAnsi" w:hAnsiTheme="minorHAnsi" w:cstheme="minorHAnsi"/>
          <w:color w:val="000000"/>
          <w:sz w:val="22"/>
          <w:szCs w:val="22"/>
        </w:rPr>
        <w:tab/>
      </w:r>
      <w:r w:rsidRPr="009B3747">
        <w:rPr>
          <w:rFonts w:asciiTheme="minorHAnsi" w:hAnsiTheme="minorHAnsi" w:cstheme="minorHAnsi"/>
          <w:color w:val="000000"/>
          <w:sz w:val="22"/>
          <w:szCs w:val="22"/>
        </w:rPr>
        <w:tab/>
      </w:r>
      <w:r w:rsidR="00B7271A" w:rsidRPr="009B3747">
        <w:rPr>
          <w:rFonts w:asciiTheme="minorHAnsi" w:hAnsiTheme="minorHAnsi" w:cstheme="minorHAnsi"/>
          <w:color w:val="000000"/>
          <w:sz w:val="22"/>
          <w:szCs w:val="22"/>
        </w:rPr>
        <w:tab/>
      </w:r>
      <w:r w:rsidR="00F80BF4" w:rsidRPr="009B3747">
        <w:rPr>
          <w:rFonts w:asciiTheme="minorHAnsi" w:hAnsiTheme="minorHAnsi" w:cstheme="minorHAnsi"/>
          <w:color w:val="000000"/>
          <w:sz w:val="22"/>
          <w:szCs w:val="22"/>
        </w:rPr>
        <w:tab/>
      </w:r>
      <w:r w:rsidR="00F80BF4" w:rsidRPr="009B3747">
        <w:rPr>
          <w:rFonts w:asciiTheme="minorHAnsi" w:hAnsiTheme="minorHAnsi" w:cstheme="minorHAnsi"/>
          <w:color w:val="000000"/>
          <w:sz w:val="22"/>
          <w:szCs w:val="22"/>
        </w:rPr>
        <w:tab/>
      </w:r>
      <w:r w:rsidR="00F80BF4" w:rsidRPr="009B3747">
        <w:rPr>
          <w:rFonts w:asciiTheme="minorHAnsi" w:hAnsiTheme="minorHAnsi" w:cstheme="minorHAnsi"/>
          <w:color w:val="000000"/>
          <w:sz w:val="22"/>
          <w:szCs w:val="22"/>
        </w:rPr>
        <w:tab/>
      </w:r>
      <w:r w:rsidR="00F80BF4" w:rsidRPr="009B3747">
        <w:rPr>
          <w:rFonts w:asciiTheme="minorHAnsi" w:hAnsiTheme="minorHAnsi" w:cstheme="minorHAnsi"/>
          <w:color w:val="000000"/>
          <w:sz w:val="22"/>
          <w:szCs w:val="22"/>
        </w:rPr>
        <w:tab/>
      </w:r>
      <w:r w:rsidR="00F80BF4" w:rsidRPr="009B3747">
        <w:rPr>
          <w:rFonts w:asciiTheme="minorHAnsi" w:hAnsiTheme="minorHAnsi" w:cstheme="minorHAnsi"/>
          <w:color w:val="000000"/>
          <w:sz w:val="22"/>
          <w:szCs w:val="22"/>
        </w:rPr>
        <w:tab/>
        <w:t xml:space="preserve">      </w:t>
      </w:r>
      <w:r w:rsidR="00F80BF4" w:rsidRPr="009B3747">
        <w:rPr>
          <w:rFonts w:asciiTheme="minorHAnsi" w:hAnsiTheme="minorHAnsi" w:cstheme="minorHAnsi"/>
          <w:color w:val="000000"/>
          <w:sz w:val="22"/>
          <w:szCs w:val="22"/>
        </w:rPr>
        <w:tab/>
      </w:r>
      <w:r w:rsidR="00773382" w:rsidRPr="009B3747">
        <w:rPr>
          <w:rFonts w:asciiTheme="minorHAnsi" w:hAnsiTheme="minorHAnsi" w:cstheme="minorHAnsi"/>
          <w:color w:val="000000"/>
          <w:sz w:val="22"/>
          <w:szCs w:val="22"/>
        </w:rPr>
        <w:t>vii</w:t>
      </w:r>
    </w:p>
    <w:p w:rsidR="00BE2DEA" w:rsidRPr="009B3747" w:rsidRDefault="00387C87" w:rsidP="007C05E8">
      <w:pPr>
        <w:pStyle w:val="NormalWeb"/>
        <w:spacing w:before="0" w:beforeAutospacing="0" w:after="0" w:afterAutospacing="0"/>
        <w:rPr>
          <w:rFonts w:asciiTheme="minorHAnsi" w:hAnsiTheme="minorHAnsi" w:cstheme="minorHAnsi"/>
          <w:color w:val="000000"/>
          <w:sz w:val="22"/>
          <w:szCs w:val="22"/>
        </w:rPr>
      </w:pPr>
      <w:r w:rsidRPr="009B3747">
        <w:rPr>
          <w:rFonts w:asciiTheme="minorHAnsi" w:hAnsiTheme="minorHAnsi" w:cstheme="minorHAnsi"/>
          <w:color w:val="000000"/>
          <w:sz w:val="22"/>
          <w:szCs w:val="22"/>
        </w:rPr>
        <w:t>Abbreviations</w:t>
      </w:r>
      <w:r w:rsidR="00F80BF4" w:rsidRPr="009B3747">
        <w:rPr>
          <w:rFonts w:asciiTheme="minorHAnsi" w:hAnsiTheme="minorHAnsi" w:cstheme="minorHAnsi"/>
          <w:color w:val="000000"/>
          <w:sz w:val="22"/>
          <w:szCs w:val="22"/>
        </w:rPr>
        <w:tab/>
      </w:r>
      <w:r w:rsidR="00F80BF4" w:rsidRPr="009B3747">
        <w:rPr>
          <w:rFonts w:asciiTheme="minorHAnsi" w:hAnsiTheme="minorHAnsi" w:cstheme="minorHAnsi"/>
          <w:color w:val="000000"/>
          <w:sz w:val="22"/>
          <w:szCs w:val="22"/>
        </w:rPr>
        <w:tab/>
      </w:r>
      <w:r w:rsidR="00F80BF4" w:rsidRPr="009B3747">
        <w:rPr>
          <w:rFonts w:asciiTheme="minorHAnsi" w:hAnsiTheme="minorHAnsi" w:cstheme="minorHAnsi"/>
          <w:color w:val="000000"/>
          <w:sz w:val="22"/>
          <w:szCs w:val="22"/>
        </w:rPr>
        <w:tab/>
      </w:r>
      <w:r w:rsidR="00F80BF4" w:rsidRPr="009B3747">
        <w:rPr>
          <w:rFonts w:asciiTheme="minorHAnsi" w:hAnsiTheme="minorHAnsi" w:cstheme="minorHAnsi"/>
          <w:color w:val="000000"/>
          <w:sz w:val="22"/>
          <w:szCs w:val="22"/>
        </w:rPr>
        <w:tab/>
      </w:r>
      <w:r w:rsidR="00F80BF4" w:rsidRPr="009B3747">
        <w:rPr>
          <w:rFonts w:asciiTheme="minorHAnsi" w:hAnsiTheme="minorHAnsi" w:cstheme="minorHAnsi"/>
          <w:color w:val="000000"/>
          <w:sz w:val="22"/>
          <w:szCs w:val="22"/>
        </w:rPr>
        <w:tab/>
      </w:r>
      <w:r w:rsidR="00F80BF4" w:rsidRPr="009B3747">
        <w:rPr>
          <w:rFonts w:asciiTheme="minorHAnsi" w:hAnsiTheme="minorHAnsi" w:cstheme="minorHAnsi"/>
          <w:color w:val="000000"/>
          <w:sz w:val="22"/>
          <w:szCs w:val="22"/>
        </w:rPr>
        <w:tab/>
      </w:r>
      <w:r w:rsidR="00F80BF4" w:rsidRPr="009B3747">
        <w:rPr>
          <w:rFonts w:asciiTheme="minorHAnsi" w:hAnsiTheme="minorHAnsi" w:cstheme="minorHAnsi"/>
          <w:color w:val="000000"/>
          <w:sz w:val="22"/>
          <w:szCs w:val="22"/>
        </w:rPr>
        <w:tab/>
      </w:r>
      <w:r w:rsidR="00F80BF4" w:rsidRPr="009B3747">
        <w:rPr>
          <w:rFonts w:asciiTheme="minorHAnsi" w:hAnsiTheme="minorHAnsi" w:cstheme="minorHAnsi"/>
          <w:color w:val="000000"/>
          <w:sz w:val="22"/>
          <w:szCs w:val="22"/>
        </w:rPr>
        <w:tab/>
      </w:r>
      <w:r w:rsidR="00F80BF4" w:rsidRPr="009B3747">
        <w:rPr>
          <w:rFonts w:asciiTheme="minorHAnsi" w:hAnsiTheme="minorHAnsi" w:cstheme="minorHAnsi"/>
          <w:color w:val="000000"/>
          <w:sz w:val="22"/>
          <w:szCs w:val="22"/>
        </w:rPr>
        <w:tab/>
      </w:r>
      <w:r w:rsidR="00F80BF4" w:rsidRPr="009B3747">
        <w:rPr>
          <w:rFonts w:asciiTheme="minorHAnsi" w:hAnsiTheme="minorHAnsi" w:cstheme="minorHAnsi"/>
          <w:color w:val="000000"/>
          <w:sz w:val="22"/>
          <w:szCs w:val="22"/>
        </w:rPr>
        <w:tab/>
        <w:t xml:space="preserve">      </w:t>
      </w:r>
      <w:r w:rsidR="00F80BF4" w:rsidRPr="009B3747">
        <w:rPr>
          <w:rFonts w:asciiTheme="minorHAnsi" w:hAnsiTheme="minorHAnsi" w:cstheme="minorHAnsi"/>
          <w:color w:val="000000"/>
          <w:sz w:val="22"/>
          <w:szCs w:val="22"/>
        </w:rPr>
        <w:tab/>
      </w:r>
      <w:r w:rsidR="00773382" w:rsidRPr="009B3747">
        <w:rPr>
          <w:rFonts w:asciiTheme="minorHAnsi" w:hAnsiTheme="minorHAnsi" w:cstheme="minorHAnsi"/>
          <w:color w:val="000000"/>
          <w:sz w:val="22"/>
          <w:szCs w:val="22"/>
        </w:rPr>
        <w:t>viii</w:t>
      </w:r>
    </w:p>
    <w:p w:rsidR="00BE2DEA" w:rsidRDefault="00515C73" w:rsidP="007C05E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Framework of the PhD</w:t>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t>ix</w:t>
      </w:r>
    </w:p>
    <w:p w:rsidR="00515C73" w:rsidRPr="009B3747" w:rsidRDefault="00515C73" w:rsidP="007C05E8">
      <w:pPr>
        <w:pStyle w:val="NormalWeb"/>
        <w:spacing w:before="0" w:beforeAutospacing="0" w:after="0" w:afterAutospacing="0"/>
        <w:rPr>
          <w:rFonts w:asciiTheme="minorHAnsi" w:hAnsiTheme="minorHAnsi" w:cstheme="minorHAnsi"/>
          <w:color w:val="000000"/>
          <w:sz w:val="22"/>
          <w:szCs w:val="22"/>
        </w:rPr>
      </w:pPr>
    </w:p>
    <w:p w:rsidR="00B04FA7" w:rsidRPr="009B3747" w:rsidRDefault="00FC0582" w:rsidP="007C05E8">
      <w:pPr>
        <w:pStyle w:val="NormalWeb"/>
        <w:spacing w:before="0" w:beforeAutospacing="0" w:after="0" w:afterAutospacing="0"/>
        <w:rPr>
          <w:rFonts w:asciiTheme="minorHAnsi" w:hAnsiTheme="minorHAnsi" w:cstheme="minorHAnsi"/>
          <w:b/>
          <w:color w:val="000000"/>
          <w:sz w:val="22"/>
          <w:szCs w:val="22"/>
        </w:rPr>
      </w:pPr>
      <w:r w:rsidRPr="009B3747">
        <w:rPr>
          <w:rFonts w:asciiTheme="minorHAnsi" w:hAnsiTheme="minorHAnsi" w:cstheme="minorHAnsi"/>
          <w:b/>
          <w:color w:val="000000"/>
          <w:sz w:val="22"/>
          <w:szCs w:val="22"/>
        </w:rPr>
        <w:t>Chapter 1 – Introduction</w:t>
      </w:r>
      <w:r w:rsidRPr="009B3747">
        <w:rPr>
          <w:rFonts w:asciiTheme="minorHAnsi" w:hAnsiTheme="minorHAnsi" w:cstheme="minorHAnsi"/>
          <w:b/>
          <w:color w:val="000000"/>
          <w:sz w:val="22"/>
          <w:szCs w:val="22"/>
        </w:rPr>
        <w:tab/>
      </w:r>
      <w:r w:rsidR="00F80BF4" w:rsidRPr="009B3747">
        <w:rPr>
          <w:rFonts w:asciiTheme="minorHAnsi" w:hAnsiTheme="minorHAnsi" w:cstheme="minorHAnsi"/>
          <w:b/>
          <w:color w:val="000000"/>
          <w:sz w:val="22"/>
          <w:szCs w:val="22"/>
        </w:rPr>
        <w:tab/>
      </w:r>
      <w:r w:rsidR="00F80BF4" w:rsidRPr="009B3747">
        <w:rPr>
          <w:rFonts w:asciiTheme="minorHAnsi" w:hAnsiTheme="minorHAnsi" w:cstheme="minorHAnsi"/>
          <w:b/>
          <w:color w:val="000000"/>
          <w:sz w:val="22"/>
          <w:szCs w:val="22"/>
        </w:rPr>
        <w:tab/>
      </w:r>
      <w:r w:rsidR="00F80BF4" w:rsidRPr="009B3747">
        <w:rPr>
          <w:rFonts w:asciiTheme="minorHAnsi" w:hAnsiTheme="minorHAnsi" w:cstheme="minorHAnsi"/>
          <w:b/>
          <w:color w:val="000000"/>
          <w:sz w:val="22"/>
          <w:szCs w:val="22"/>
        </w:rPr>
        <w:tab/>
      </w:r>
      <w:r w:rsidR="00F80BF4" w:rsidRPr="009B3747">
        <w:rPr>
          <w:rFonts w:asciiTheme="minorHAnsi" w:hAnsiTheme="minorHAnsi" w:cstheme="minorHAnsi"/>
          <w:b/>
          <w:color w:val="000000"/>
          <w:sz w:val="22"/>
          <w:szCs w:val="22"/>
        </w:rPr>
        <w:tab/>
      </w:r>
      <w:r w:rsidR="00F80BF4" w:rsidRPr="009B3747">
        <w:rPr>
          <w:rFonts w:asciiTheme="minorHAnsi" w:hAnsiTheme="minorHAnsi" w:cstheme="minorHAnsi"/>
          <w:b/>
          <w:color w:val="000000"/>
          <w:sz w:val="22"/>
          <w:szCs w:val="22"/>
        </w:rPr>
        <w:tab/>
      </w:r>
      <w:r w:rsidR="00F80BF4" w:rsidRPr="009B3747">
        <w:rPr>
          <w:rFonts w:asciiTheme="minorHAnsi" w:hAnsiTheme="minorHAnsi" w:cstheme="minorHAnsi"/>
          <w:b/>
          <w:color w:val="000000"/>
          <w:sz w:val="22"/>
          <w:szCs w:val="22"/>
        </w:rPr>
        <w:tab/>
      </w:r>
      <w:r w:rsidR="00F80BF4" w:rsidRPr="009B3747">
        <w:rPr>
          <w:rFonts w:asciiTheme="minorHAnsi" w:hAnsiTheme="minorHAnsi" w:cstheme="minorHAnsi"/>
          <w:b/>
          <w:color w:val="000000"/>
          <w:sz w:val="22"/>
          <w:szCs w:val="22"/>
        </w:rPr>
        <w:tab/>
        <w:t xml:space="preserve">      </w:t>
      </w:r>
      <w:r w:rsidR="00F80BF4" w:rsidRPr="009B3747">
        <w:rPr>
          <w:rFonts w:asciiTheme="minorHAnsi" w:hAnsiTheme="minorHAnsi" w:cstheme="minorHAnsi"/>
          <w:b/>
          <w:color w:val="000000"/>
          <w:sz w:val="22"/>
          <w:szCs w:val="22"/>
        </w:rPr>
        <w:tab/>
      </w:r>
      <w:r w:rsidR="0091309E" w:rsidRPr="009B3747">
        <w:rPr>
          <w:rFonts w:asciiTheme="minorHAnsi" w:hAnsiTheme="minorHAnsi" w:cstheme="minorHAnsi"/>
          <w:b/>
          <w:color w:val="000000"/>
          <w:sz w:val="22"/>
          <w:szCs w:val="22"/>
        </w:rPr>
        <w:t>1</w:t>
      </w:r>
    </w:p>
    <w:p w:rsidR="0026185B" w:rsidRPr="009B3747" w:rsidRDefault="0026185B" w:rsidP="007C05E8">
      <w:pPr>
        <w:spacing w:line="240" w:lineRule="auto"/>
        <w:rPr>
          <w:rFonts w:eastAsia="Times New Roman" w:cstheme="minorHAnsi"/>
          <w:bCs/>
          <w:color w:val="000000"/>
          <w:sz w:val="20"/>
          <w:szCs w:val="20"/>
          <w:lang w:eastAsia="en-GB"/>
        </w:rPr>
      </w:pPr>
    </w:p>
    <w:p w:rsidR="00B04FA7" w:rsidRPr="009B3747" w:rsidRDefault="00B04FA7" w:rsidP="007C05E8">
      <w:pPr>
        <w:spacing w:line="240" w:lineRule="auto"/>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1.1 Research back</w:t>
      </w:r>
      <w:r w:rsidR="00F80BF4" w:rsidRPr="009B3747">
        <w:rPr>
          <w:rFonts w:eastAsia="Times New Roman" w:cstheme="minorHAnsi"/>
          <w:bCs/>
          <w:color w:val="000000"/>
          <w:sz w:val="20"/>
          <w:szCs w:val="20"/>
          <w:lang w:eastAsia="en-GB"/>
        </w:rPr>
        <w:t>ground and rationale</w:t>
      </w:r>
      <w:r w:rsidR="00F80BF4" w:rsidRPr="009B3747">
        <w:rPr>
          <w:rFonts w:eastAsia="Times New Roman" w:cstheme="minorHAnsi"/>
          <w:bCs/>
          <w:color w:val="000000"/>
          <w:sz w:val="20"/>
          <w:szCs w:val="20"/>
          <w:lang w:eastAsia="en-GB"/>
        </w:rPr>
        <w:tab/>
      </w:r>
      <w:r w:rsidR="00F80BF4" w:rsidRPr="009B3747">
        <w:rPr>
          <w:rFonts w:eastAsia="Times New Roman" w:cstheme="minorHAnsi"/>
          <w:bCs/>
          <w:color w:val="000000"/>
          <w:sz w:val="20"/>
          <w:szCs w:val="20"/>
          <w:lang w:eastAsia="en-GB"/>
        </w:rPr>
        <w:tab/>
      </w:r>
      <w:r w:rsidR="00F80BF4" w:rsidRPr="009B3747">
        <w:rPr>
          <w:rFonts w:eastAsia="Times New Roman" w:cstheme="minorHAnsi"/>
          <w:bCs/>
          <w:color w:val="000000"/>
          <w:sz w:val="20"/>
          <w:szCs w:val="20"/>
          <w:lang w:eastAsia="en-GB"/>
        </w:rPr>
        <w:tab/>
      </w:r>
      <w:r w:rsidR="00F80BF4" w:rsidRPr="009B3747">
        <w:rPr>
          <w:rFonts w:eastAsia="Times New Roman" w:cstheme="minorHAnsi"/>
          <w:bCs/>
          <w:color w:val="000000"/>
          <w:sz w:val="20"/>
          <w:szCs w:val="20"/>
          <w:lang w:eastAsia="en-GB"/>
        </w:rPr>
        <w:tab/>
      </w:r>
      <w:r w:rsidR="00F80BF4" w:rsidRPr="009B3747">
        <w:rPr>
          <w:rFonts w:eastAsia="Times New Roman" w:cstheme="minorHAnsi"/>
          <w:bCs/>
          <w:color w:val="000000"/>
          <w:sz w:val="20"/>
          <w:szCs w:val="20"/>
          <w:lang w:eastAsia="en-GB"/>
        </w:rPr>
        <w:tab/>
      </w:r>
      <w:r w:rsidR="00F80BF4" w:rsidRPr="009B3747">
        <w:rPr>
          <w:rFonts w:eastAsia="Times New Roman" w:cstheme="minorHAnsi"/>
          <w:bCs/>
          <w:color w:val="000000"/>
          <w:sz w:val="20"/>
          <w:szCs w:val="20"/>
          <w:lang w:eastAsia="en-GB"/>
        </w:rPr>
        <w:tab/>
      </w:r>
      <w:r w:rsidR="00F80BF4" w:rsidRPr="009B3747">
        <w:rPr>
          <w:rFonts w:eastAsia="Times New Roman" w:cstheme="minorHAnsi"/>
          <w:bCs/>
          <w:color w:val="000000"/>
          <w:sz w:val="20"/>
          <w:szCs w:val="20"/>
          <w:lang w:eastAsia="en-GB"/>
        </w:rPr>
        <w:tab/>
        <w:t xml:space="preserve">       </w:t>
      </w:r>
      <w:r w:rsidR="00F80BF4" w:rsidRPr="009B3747">
        <w:rPr>
          <w:rFonts w:eastAsia="Times New Roman" w:cstheme="minorHAnsi"/>
          <w:bCs/>
          <w:color w:val="000000"/>
          <w:sz w:val="20"/>
          <w:szCs w:val="20"/>
          <w:lang w:eastAsia="en-GB"/>
        </w:rPr>
        <w:tab/>
        <w:t>1</w:t>
      </w:r>
    </w:p>
    <w:p w:rsidR="00B04FA7" w:rsidRPr="009B3747" w:rsidRDefault="00B04FA7" w:rsidP="007C05E8">
      <w:pPr>
        <w:spacing w:line="240" w:lineRule="auto"/>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 xml:space="preserve">1.2 Purpose of the research study </w:t>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0026185B" w:rsidRPr="009B3747">
        <w:rPr>
          <w:rFonts w:eastAsia="Times New Roman" w:cstheme="minorHAnsi"/>
          <w:bCs/>
          <w:color w:val="000000"/>
          <w:sz w:val="20"/>
          <w:szCs w:val="20"/>
          <w:lang w:eastAsia="en-GB"/>
        </w:rPr>
        <w:tab/>
      </w:r>
      <w:r w:rsidR="00F80BF4" w:rsidRPr="009B3747">
        <w:rPr>
          <w:rFonts w:eastAsia="Times New Roman" w:cstheme="minorHAnsi"/>
          <w:bCs/>
          <w:color w:val="000000"/>
          <w:sz w:val="20"/>
          <w:szCs w:val="20"/>
          <w:lang w:eastAsia="en-GB"/>
        </w:rPr>
        <w:t xml:space="preserve">       </w:t>
      </w:r>
      <w:r w:rsidR="00F80BF4" w:rsidRPr="009B3747">
        <w:rPr>
          <w:rFonts w:eastAsia="Times New Roman" w:cstheme="minorHAnsi"/>
          <w:bCs/>
          <w:color w:val="000000"/>
          <w:sz w:val="20"/>
          <w:szCs w:val="20"/>
          <w:lang w:eastAsia="en-GB"/>
        </w:rPr>
        <w:tab/>
      </w:r>
      <w:r w:rsidR="009A0D97">
        <w:rPr>
          <w:rFonts w:eastAsia="Times New Roman" w:cstheme="minorHAnsi"/>
          <w:bCs/>
          <w:color w:val="000000"/>
          <w:sz w:val="20"/>
          <w:szCs w:val="20"/>
          <w:lang w:eastAsia="en-GB"/>
        </w:rPr>
        <w:t>4</w:t>
      </w:r>
    </w:p>
    <w:p w:rsidR="00B04FA7" w:rsidRPr="009B3747" w:rsidRDefault="00B04FA7" w:rsidP="007C05E8">
      <w:pPr>
        <w:spacing w:line="240" w:lineRule="auto"/>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1.3 Approach of the research study</w:t>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00F80BF4" w:rsidRPr="009B3747">
        <w:rPr>
          <w:rFonts w:eastAsia="Times New Roman" w:cstheme="minorHAnsi"/>
          <w:bCs/>
          <w:color w:val="000000"/>
          <w:sz w:val="20"/>
          <w:szCs w:val="20"/>
          <w:lang w:eastAsia="en-GB"/>
        </w:rPr>
        <w:tab/>
      </w:r>
      <w:r w:rsidR="00F80BF4" w:rsidRPr="009B3747">
        <w:rPr>
          <w:rFonts w:eastAsia="Times New Roman" w:cstheme="minorHAnsi"/>
          <w:bCs/>
          <w:color w:val="000000"/>
          <w:sz w:val="20"/>
          <w:szCs w:val="20"/>
          <w:lang w:eastAsia="en-GB"/>
        </w:rPr>
        <w:tab/>
      </w:r>
      <w:r w:rsidR="009A0D97">
        <w:rPr>
          <w:rFonts w:eastAsia="Times New Roman" w:cstheme="minorHAnsi"/>
          <w:bCs/>
          <w:color w:val="000000"/>
          <w:sz w:val="20"/>
          <w:szCs w:val="20"/>
          <w:lang w:eastAsia="en-GB"/>
        </w:rPr>
        <w:t>4</w:t>
      </w:r>
    </w:p>
    <w:p w:rsidR="00B04FA7" w:rsidRPr="009B3747" w:rsidRDefault="00B04FA7" w:rsidP="007C05E8">
      <w:pPr>
        <w:spacing w:line="240" w:lineRule="auto"/>
        <w:rPr>
          <w:rFonts w:eastAsia="Times New Roman" w:cstheme="minorHAnsi"/>
          <w:sz w:val="20"/>
          <w:szCs w:val="20"/>
          <w:lang w:eastAsia="en-GB"/>
        </w:rPr>
      </w:pPr>
      <w:r w:rsidRPr="009B3747">
        <w:rPr>
          <w:rFonts w:eastAsia="Times New Roman" w:cstheme="minorHAnsi"/>
          <w:bCs/>
          <w:color w:val="000000"/>
          <w:sz w:val="20"/>
          <w:szCs w:val="20"/>
          <w:lang w:eastAsia="en-GB"/>
        </w:rPr>
        <w:t>1.4 Potential contribution o</w:t>
      </w:r>
      <w:r w:rsidR="0091309E" w:rsidRPr="009B3747">
        <w:rPr>
          <w:rFonts w:eastAsia="Times New Roman" w:cstheme="minorHAnsi"/>
          <w:bCs/>
          <w:color w:val="000000"/>
          <w:sz w:val="20"/>
          <w:szCs w:val="20"/>
          <w:lang w:eastAsia="en-GB"/>
        </w:rPr>
        <w:t>f this research</w:t>
      </w:r>
      <w:r w:rsidR="00F80BF4" w:rsidRPr="009B3747">
        <w:rPr>
          <w:rFonts w:eastAsia="Times New Roman" w:cstheme="minorHAnsi"/>
          <w:bCs/>
          <w:color w:val="000000"/>
          <w:sz w:val="20"/>
          <w:szCs w:val="20"/>
          <w:lang w:eastAsia="en-GB"/>
        </w:rPr>
        <w:t xml:space="preserve"> study</w:t>
      </w:r>
      <w:r w:rsidR="00F80BF4" w:rsidRPr="009B3747">
        <w:rPr>
          <w:rFonts w:eastAsia="Times New Roman" w:cstheme="minorHAnsi"/>
          <w:bCs/>
          <w:color w:val="000000"/>
          <w:sz w:val="20"/>
          <w:szCs w:val="20"/>
          <w:lang w:eastAsia="en-GB"/>
        </w:rPr>
        <w:tab/>
      </w:r>
      <w:r w:rsidR="00F80BF4" w:rsidRPr="009B3747">
        <w:rPr>
          <w:rFonts w:eastAsia="Times New Roman" w:cstheme="minorHAnsi"/>
          <w:bCs/>
          <w:color w:val="000000"/>
          <w:sz w:val="20"/>
          <w:szCs w:val="20"/>
          <w:lang w:eastAsia="en-GB"/>
        </w:rPr>
        <w:tab/>
      </w:r>
      <w:r w:rsidR="00F80BF4" w:rsidRPr="009B3747">
        <w:rPr>
          <w:rFonts w:eastAsia="Times New Roman" w:cstheme="minorHAnsi"/>
          <w:bCs/>
          <w:color w:val="000000"/>
          <w:sz w:val="20"/>
          <w:szCs w:val="20"/>
          <w:lang w:eastAsia="en-GB"/>
        </w:rPr>
        <w:tab/>
      </w:r>
      <w:r w:rsidR="00F80BF4" w:rsidRPr="009B3747">
        <w:rPr>
          <w:rFonts w:eastAsia="Times New Roman" w:cstheme="minorHAnsi"/>
          <w:bCs/>
          <w:color w:val="000000"/>
          <w:sz w:val="20"/>
          <w:szCs w:val="20"/>
          <w:lang w:eastAsia="en-GB"/>
        </w:rPr>
        <w:tab/>
      </w:r>
      <w:r w:rsidR="00F80BF4" w:rsidRPr="009B3747">
        <w:rPr>
          <w:rFonts w:eastAsia="Times New Roman" w:cstheme="minorHAnsi"/>
          <w:bCs/>
          <w:color w:val="000000"/>
          <w:sz w:val="20"/>
          <w:szCs w:val="20"/>
          <w:lang w:eastAsia="en-GB"/>
        </w:rPr>
        <w:tab/>
      </w:r>
      <w:r w:rsidR="00F80BF4" w:rsidRPr="009B3747">
        <w:rPr>
          <w:rFonts w:eastAsia="Times New Roman" w:cstheme="minorHAnsi"/>
          <w:bCs/>
          <w:color w:val="000000"/>
          <w:sz w:val="20"/>
          <w:szCs w:val="20"/>
          <w:lang w:eastAsia="en-GB"/>
        </w:rPr>
        <w:tab/>
      </w:r>
      <w:r w:rsidR="00F80BF4" w:rsidRPr="009B3747">
        <w:rPr>
          <w:rFonts w:eastAsia="Times New Roman" w:cstheme="minorHAnsi"/>
          <w:bCs/>
          <w:color w:val="000000"/>
          <w:sz w:val="20"/>
          <w:szCs w:val="20"/>
          <w:lang w:eastAsia="en-GB"/>
        </w:rPr>
        <w:tab/>
      </w:r>
      <w:r w:rsidR="0091309E" w:rsidRPr="009B3747">
        <w:rPr>
          <w:rFonts w:eastAsia="Times New Roman" w:cstheme="minorHAnsi"/>
          <w:bCs/>
          <w:color w:val="000000"/>
          <w:sz w:val="20"/>
          <w:szCs w:val="20"/>
          <w:lang w:eastAsia="en-GB"/>
        </w:rPr>
        <w:t>5</w:t>
      </w:r>
    </w:p>
    <w:p w:rsidR="003D781F" w:rsidRPr="009B3747" w:rsidRDefault="00F80BF4" w:rsidP="007C05E8">
      <w:pPr>
        <w:spacing w:line="240" w:lineRule="auto"/>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1.5 The researcher</w:t>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009A0D97">
        <w:rPr>
          <w:rFonts w:eastAsia="Times New Roman" w:cstheme="minorHAnsi"/>
          <w:bCs/>
          <w:color w:val="000000"/>
          <w:sz w:val="20"/>
          <w:szCs w:val="20"/>
          <w:lang w:eastAsia="en-GB"/>
        </w:rPr>
        <w:t>6</w:t>
      </w:r>
    </w:p>
    <w:p w:rsidR="00B04FA7" w:rsidRPr="009B3747" w:rsidRDefault="00B04FA7" w:rsidP="007C05E8">
      <w:pPr>
        <w:spacing w:line="240" w:lineRule="auto"/>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1.6 Structure and organisation of the thesis</w:t>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0026185B" w:rsidRPr="009B3747">
        <w:rPr>
          <w:rFonts w:eastAsia="Times New Roman" w:cstheme="minorHAnsi"/>
          <w:bCs/>
          <w:color w:val="000000"/>
          <w:sz w:val="20"/>
          <w:szCs w:val="20"/>
          <w:lang w:eastAsia="en-GB"/>
        </w:rPr>
        <w:tab/>
      </w:r>
      <w:r w:rsidR="00F80BF4" w:rsidRPr="009B3747">
        <w:rPr>
          <w:rFonts w:eastAsia="Times New Roman" w:cstheme="minorHAnsi"/>
          <w:bCs/>
          <w:color w:val="000000"/>
          <w:sz w:val="20"/>
          <w:szCs w:val="20"/>
          <w:lang w:eastAsia="en-GB"/>
        </w:rPr>
        <w:tab/>
      </w:r>
      <w:r w:rsidR="00F82536" w:rsidRPr="009B3747">
        <w:rPr>
          <w:rFonts w:eastAsia="Times New Roman" w:cstheme="minorHAnsi"/>
          <w:bCs/>
          <w:color w:val="000000"/>
          <w:sz w:val="20"/>
          <w:szCs w:val="20"/>
          <w:lang w:eastAsia="en-GB"/>
        </w:rPr>
        <w:t>7</w:t>
      </w:r>
    </w:p>
    <w:p w:rsidR="00B04FA7" w:rsidRPr="009B3747" w:rsidRDefault="00B04FA7" w:rsidP="007C05E8">
      <w:pPr>
        <w:pStyle w:val="NormalWeb"/>
        <w:spacing w:before="0" w:beforeAutospacing="0" w:after="0" w:afterAutospacing="0"/>
        <w:rPr>
          <w:rFonts w:asciiTheme="minorHAnsi" w:hAnsiTheme="minorHAnsi" w:cstheme="minorHAnsi"/>
          <w:color w:val="000000"/>
          <w:sz w:val="20"/>
          <w:szCs w:val="20"/>
        </w:rPr>
      </w:pPr>
    </w:p>
    <w:p w:rsidR="00B04FA7" w:rsidRPr="009B3747" w:rsidRDefault="00157ED8" w:rsidP="007C05E8">
      <w:pPr>
        <w:pStyle w:val="NormalWeb"/>
        <w:spacing w:before="0" w:beforeAutospacing="0" w:after="0" w:afterAutospacing="0"/>
        <w:rPr>
          <w:rFonts w:asciiTheme="minorHAnsi" w:hAnsiTheme="minorHAnsi" w:cstheme="minorHAnsi"/>
          <w:b/>
          <w:color w:val="000000"/>
          <w:sz w:val="22"/>
          <w:szCs w:val="22"/>
        </w:rPr>
      </w:pPr>
      <w:r w:rsidRPr="009B3747">
        <w:rPr>
          <w:rFonts w:asciiTheme="minorHAnsi" w:hAnsiTheme="minorHAnsi" w:cstheme="minorHAnsi"/>
          <w:b/>
          <w:color w:val="000000"/>
          <w:sz w:val="22"/>
          <w:szCs w:val="22"/>
        </w:rPr>
        <w:t>Chapter 2 – General r</w:t>
      </w:r>
      <w:r w:rsidR="00B04FA7" w:rsidRPr="009B3747">
        <w:rPr>
          <w:rFonts w:asciiTheme="minorHAnsi" w:hAnsiTheme="minorHAnsi" w:cstheme="minorHAnsi"/>
          <w:b/>
          <w:color w:val="000000"/>
          <w:sz w:val="22"/>
          <w:szCs w:val="22"/>
        </w:rPr>
        <w:t>eview of literature and study setting</w:t>
      </w:r>
      <w:r w:rsidR="00F80BF4" w:rsidRPr="009B3747">
        <w:rPr>
          <w:rFonts w:asciiTheme="minorHAnsi" w:hAnsiTheme="minorHAnsi" w:cstheme="minorHAnsi"/>
          <w:b/>
          <w:color w:val="000000"/>
          <w:sz w:val="22"/>
          <w:szCs w:val="22"/>
        </w:rPr>
        <w:tab/>
      </w:r>
      <w:r w:rsidR="00F80BF4" w:rsidRPr="009B3747">
        <w:rPr>
          <w:rFonts w:asciiTheme="minorHAnsi" w:hAnsiTheme="minorHAnsi" w:cstheme="minorHAnsi"/>
          <w:b/>
          <w:color w:val="000000"/>
          <w:sz w:val="22"/>
          <w:szCs w:val="22"/>
        </w:rPr>
        <w:tab/>
      </w:r>
      <w:r w:rsidR="00F80BF4" w:rsidRPr="009B3747">
        <w:rPr>
          <w:rFonts w:asciiTheme="minorHAnsi" w:hAnsiTheme="minorHAnsi" w:cstheme="minorHAnsi"/>
          <w:b/>
          <w:color w:val="000000"/>
          <w:sz w:val="22"/>
          <w:szCs w:val="22"/>
        </w:rPr>
        <w:tab/>
      </w:r>
      <w:r w:rsidR="00F80BF4" w:rsidRPr="009B3747">
        <w:rPr>
          <w:rFonts w:asciiTheme="minorHAnsi" w:hAnsiTheme="minorHAnsi" w:cstheme="minorHAnsi"/>
          <w:b/>
          <w:color w:val="000000"/>
          <w:sz w:val="22"/>
          <w:szCs w:val="22"/>
        </w:rPr>
        <w:tab/>
      </w:r>
      <w:r w:rsidR="00F80BF4" w:rsidRPr="009B3747">
        <w:rPr>
          <w:rFonts w:asciiTheme="minorHAnsi" w:hAnsiTheme="minorHAnsi" w:cstheme="minorHAnsi"/>
          <w:b/>
          <w:color w:val="000000"/>
          <w:sz w:val="22"/>
          <w:szCs w:val="22"/>
        </w:rPr>
        <w:tab/>
      </w:r>
      <w:r w:rsidR="001217DC">
        <w:rPr>
          <w:rFonts w:asciiTheme="minorHAnsi" w:hAnsiTheme="minorHAnsi" w:cstheme="minorHAnsi"/>
          <w:b/>
          <w:color w:val="000000"/>
          <w:sz w:val="22"/>
          <w:szCs w:val="22"/>
        </w:rPr>
        <w:t>11</w:t>
      </w:r>
    </w:p>
    <w:p w:rsidR="0026185B" w:rsidRPr="009B3747" w:rsidRDefault="0026185B" w:rsidP="007C05E8">
      <w:pPr>
        <w:spacing w:line="240" w:lineRule="auto"/>
        <w:rPr>
          <w:rFonts w:eastAsia="Times New Roman" w:cstheme="minorHAnsi"/>
          <w:color w:val="000000"/>
          <w:sz w:val="20"/>
          <w:szCs w:val="20"/>
          <w:lang w:eastAsia="en-GB"/>
        </w:rPr>
      </w:pPr>
    </w:p>
    <w:p w:rsidR="00410AD0" w:rsidRPr="009B3747" w:rsidRDefault="00B04FA7" w:rsidP="007C05E8">
      <w:pPr>
        <w:spacing w:line="24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 xml:space="preserve">2.1 </w:t>
      </w:r>
      <w:r w:rsidR="00410AD0" w:rsidRPr="009B3747">
        <w:rPr>
          <w:rFonts w:eastAsia="Times New Roman" w:cstheme="minorHAnsi"/>
          <w:color w:val="000000"/>
          <w:sz w:val="20"/>
          <w:szCs w:val="20"/>
          <w:lang w:eastAsia="en-GB"/>
        </w:rPr>
        <w:t>Introduction</w:t>
      </w:r>
      <w:r w:rsidR="001217DC">
        <w:rPr>
          <w:rFonts w:eastAsia="Times New Roman" w:cstheme="minorHAnsi"/>
          <w:color w:val="000000"/>
          <w:sz w:val="20"/>
          <w:szCs w:val="20"/>
          <w:lang w:eastAsia="en-GB"/>
        </w:rPr>
        <w:tab/>
      </w:r>
      <w:r w:rsidR="001217DC">
        <w:rPr>
          <w:rFonts w:eastAsia="Times New Roman" w:cstheme="minorHAnsi"/>
          <w:color w:val="000000"/>
          <w:sz w:val="20"/>
          <w:szCs w:val="20"/>
          <w:lang w:eastAsia="en-GB"/>
        </w:rPr>
        <w:tab/>
      </w:r>
      <w:r w:rsidR="001217DC">
        <w:rPr>
          <w:rFonts w:eastAsia="Times New Roman" w:cstheme="minorHAnsi"/>
          <w:color w:val="000000"/>
          <w:sz w:val="20"/>
          <w:szCs w:val="20"/>
          <w:lang w:eastAsia="en-GB"/>
        </w:rPr>
        <w:tab/>
      </w:r>
      <w:r w:rsidR="001217DC">
        <w:rPr>
          <w:rFonts w:eastAsia="Times New Roman" w:cstheme="minorHAnsi"/>
          <w:color w:val="000000"/>
          <w:sz w:val="20"/>
          <w:szCs w:val="20"/>
          <w:lang w:eastAsia="en-GB"/>
        </w:rPr>
        <w:tab/>
      </w:r>
      <w:r w:rsidR="001217DC">
        <w:rPr>
          <w:rFonts w:eastAsia="Times New Roman" w:cstheme="minorHAnsi"/>
          <w:color w:val="000000"/>
          <w:sz w:val="20"/>
          <w:szCs w:val="20"/>
          <w:lang w:eastAsia="en-GB"/>
        </w:rPr>
        <w:tab/>
      </w:r>
      <w:r w:rsidR="001217DC">
        <w:rPr>
          <w:rFonts w:eastAsia="Times New Roman" w:cstheme="minorHAnsi"/>
          <w:color w:val="000000"/>
          <w:sz w:val="20"/>
          <w:szCs w:val="20"/>
          <w:lang w:eastAsia="en-GB"/>
        </w:rPr>
        <w:tab/>
      </w:r>
      <w:r w:rsidR="001217DC">
        <w:rPr>
          <w:rFonts w:eastAsia="Times New Roman" w:cstheme="minorHAnsi"/>
          <w:color w:val="000000"/>
          <w:sz w:val="20"/>
          <w:szCs w:val="20"/>
          <w:lang w:eastAsia="en-GB"/>
        </w:rPr>
        <w:tab/>
      </w:r>
      <w:r w:rsidR="001217DC">
        <w:rPr>
          <w:rFonts w:eastAsia="Times New Roman" w:cstheme="minorHAnsi"/>
          <w:color w:val="000000"/>
          <w:sz w:val="20"/>
          <w:szCs w:val="20"/>
          <w:lang w:eastAsia="en-GB"/>
        </w:rPr>
        <w:tab/>
      </w:r>
      <w:r w:rsidR="001217DC">
        <w:rPr>
          <w:rFonts w:eastAsia="Times New Roman" w:cstheme="minorHAnsi"/>
          <w:color w:val="000000"/>
          <w:sz w:val="20"/>
          <w:szCs w:val="20"/>
          <w:lang w:eastAsia="en-GB"/>
        </w:rPr>
        <w:tab/>
      </w:r>
      <w:r w:rsidR="001217DC">
        <w:rPr>
          <w:rFonts w:eastAsia="Times New Roman" w:cstheme="minorHAnsi"/>
          <w:color w:val="000000"/>
          <w:sz w:val="20"/>
          <w:szCs w:val="20"/>
          <w:lang w:eastAsia="en-GB"/>
        </w:rPr>
        <w:tab/>
      </w:r>
      <w:r w:rsidR="001217DC">
        <w:rPr>
          <w:rFonts w:eastAsia="Times New Roman" w:cstheme="minorHAnsi"/>
          <w:color w:val="000000"/>
          <w:sz w:val="20"/>
          <w:szCs w:val="20"/>
          <w:lang w:eastAsia="en-GB"/>
        </w:rPr>
        <w:tab/>
        <w:t>11</w:t>
      </w:r>
    </w:p>
    <w:p w:rsidR="00B04FA7" w:rsidRPr="009B3747" w:rsidRDefault="00410AD0" w:rsidP="007C05E8">
      <w:pPr>
        <w:spacing w:line="240" w:lineRule="auto"/>
        <w:ind w:firstLine="720"/>
        <w:rPr>
          <w:rFonts w:eastAsia="Times New Roman" w:cstheme="minorHAnsi"/>
          <w:color w:val="000000"/>
          <w:sz w:val="20"/>
          <w:szCs w:val="20"/>
          <w:lang w:eastAsia="en-GB"/>
        </w:rPr>
      </w:pPr>
      <w:r w:rsidRPr="009B3747">
        <w:rPr>
          <w:rFonts w:eastAsia="Times New Roman" w:cstheme="minorHAnsi"/>
          <w:color w:val="000000"/>
          <w:sz w:val="20"/>
          <w:szCs w:val="20"/>
          <w:lang w:eastAsia="en-GB"/>
        </w:rPr>
        <w:t>2.1.</w:t>
      </w:r>
      <w:r w:rsidR="00F82536" w:rsidRPr="009B3747">
        <w:rPr>
          <w:rFonts w:eastAsia="Times New Roman" w:cstheme="minorHAnsi"/>
          <w:color w:val="000000"/>
          <w:sz w:val="20"/>
          <w:szCs w:val="20"/>
          <w:lang w:eastAsia="en-GB"/>
        </w:rPr>
        <w:t>1</w:t>
      </w:r>
      <w:r w:rsidRPr="009B3747">
        <w:rPr>
          <w:rFonts w:eastAsia="Times New Roman" w:cstheme="minorHAnsi"/>
          <w:color w:val="000000"/>
          <w:sz w:val="20"/>
          <w:szCs w:val="20"/>
          <w:lang w:eastAsia="en-GB"/>
        </w:rPr>
        <w:t xml:space="preserve"> Defining key terms</w:t>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1217DC">
        <w:rPr>
          <w:rFonts w:eastAsia="Times New Roman" w:cstheme="minorHAnsi"/>
          <w:color w:val="000000"/>
          <w:sz w:val="20"/>
          <w:szCs w:val="20"/>
          <w:lang w:eastAsia="en-GB"/>
        </w:rPr>
        <w:t>12</w:t>
      </w:r>
    </w:p>
    <w:p w:rsidR="001217DC" w:rsidRPr="009B3747" w:rsidRDefault="005A7786" w:rsidP="007C05E8">
      <w:pPr>
        <w:spacing w:line="24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 xml:space="preserve">2.2 </w:t>
      </w:r>
      <w:r w:rsidR="00B04FA7" w:rsidRPr="009B3747">
        <w:rPr>
          <w:rFonts w:eastAsia="Times New Roman" w:cstheme="minorHAnsi"/>
          <w:color w:val="000000"/>
          <w:sz w:val="20"/>
          <w:szCs w:val="20"/>
          <w:lang w:eastAsia="en-GB"/>
        </w:rPr>
        <w:t>Globesity</w:t>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1217DC">
        <w:rPr>
          <w:rFonts w:eastAsia="Times New Roman" w:cstheme="minorHAnsi"/>
          <w:color w:val="000000"/>
          <w:sz w:val="20"/>
          <w:szCs w:val="20"/>
          <w:lang w:eastAsia="en-GB"/>
        </w:rPr>
        <w:t>13</w:t>
      </w:r>
    </w:p>
    <w:p w:rsidR="00B04FA7" w:rsidRPr="009B3747" w:rsidRDefault="005A7786" w:rsidP="007C05E8">
      <w:pPr>
        <w:spacing w:line="24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 xml:space="preserve">2.3 </w:t>
      </w:r>
      <w:r w:rsidR="00B04FA7" w:rsidRPr="009B3747">
        <w:rPr>
          <w:rFonts w:eastAsia="Times New Roman" w:cstheme="minorHAnsi"/>
          <w:color w:val="000000"/>
          <w:sz w:val="20"/>
          <w:szCs w:val="20"/>
          <w:lang w:eastAsia="en-GB"/>
        </w:rPr>
        <w:t>Defining obesity</w:t>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1217DC">
        <w:rPr>
          <w:rFonts w:eastAsia="Times New Roman" w:cstheme="minorHAnsi"/>
          <w:color w:val="000000"/>
          <w:sz w:val="20"/>
          <w:szCs w:val="20"/>
          <w:lang w:eastAsia="en-GB"/>
        </w:rPr>
        <w:t>14</w:t>
      </w:r>
    </w:p>
    <w:p w:rsidR="00B04FA7" w:rsidRPr="009B3747" w:rsidRDefault="005A7786" w:rsidP="007C05E8">
      <w:pPr>
        <w:spacing w:line="24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ab/>
        <w:t>2.3.1</w:t>
      </w:r>
      <w:r w:rsidR="00B04FA7" w:rsidRPr="009B3747">
        <w:rPr>
          <w:rFonts w:eastAsia="Times New Roman" w:cstheme="minorHAnsi"/>
          <w:color w:val="000000"/>
          <w:sz w:val="20"/>
          <w:szCs w:val="20"/>
          <w:lang w:eastAsia="en-GB"/>
        </w:rPr>
        <w:t xml:space="preserve"> BMI in children and adolescence</w:t>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1217DC">
        <w:rPr>
          <w:rFonts w:eastAsia="Times New Roman" w:cstheme="minorHAnsi"/>
          <w:color w:val="000000"/>
          <w:sz w:val="20"/>
          <w:szCs w:val="20"/>
          <w:lang w:eastAsia="en-GB"/>
        </w:rPr>
        <w:t>15</w:t>
      </w:r>
    </w:p>
    <w:p w:rsidR="00B04FA7" w:rsidRPr="009B3747" w:rsidRDefault="005A7786" w:rsidP="007C05E8">
      <w:pPr>
        <w:spacing w:line="240" w:lineRule="auto"/>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2.4</w:t>
      </w:r>
      <w:r w:rsidR="00B04FA7" w:rsidRPr="009B3747">
        <w:rPr>
          <w:rFonts w:eastAsia="Times New Roman" w:cstheme="minorHAnsi"/>
          <w:bCs/>
          <w:color w:val="000000"/>
          <w:sz w:val="20"/>
          <w:szCs w:val="20"/>
          <w:lang w:eastAsia="en-GB"/>
        </w:rPr>
        <w:t xml:space="preserve"> Childhood and adolescent obesity prevalence</w:t>
      </w:r>
      <w:r w:rsidR="0026185B" w:rsidRPr="009B3747">
        <w:rPr>
          <w:rFonts w:eastAsia="Times New Roman" w:cstheme="minorHAnsi"/>
          <w:bCs/>
          <w:color w:val="000000"/>
          <w:sz w:val="20"/>
          <w:szCs w:val="20"/>
          <w:lang w:eastAsia="en-GB"/>
        </w:rPr>
        <w:tab/>
      </w:r>
      <w:r w:rsidR="0026185B" w:rsidRPr="009B3747">
        <w:rPr>
          <w:rFonts w:eastAsia="Times New Roman" w:cstheme="minorHAnsi"/>
          <w:bCs/>
          <w:color w:val="000000"/>
          <w:sz w:val="20"/>
          <w:szCs w:val="20"/>
          <w:lang w:eastAsia="en-GB"/>
        </w:rPr>
        <w:tab/>
      </w:r>
      <w:r w:rsidR="0026185B" w:rsidRPr="009B3747">
        <w:rPr>
          <w:rFonts w:eastAsia="Times New Roman" w:cstheme="minorHAnsi"/>
          <w:bCs/>
          <w:color w:val="000000"/>
          <w:sz w:val="20"/>
          <w:szCs w:val="20"/>
          <w:lang w:eastAsia="en-GB"/>
        </w:rPr>
        <w:tab/>
      </w:r>
      <w:r w:rsidR="0026185B"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00F80BF4" w:rsidRPr="009B3747">
        <w:rPr>
          <w:rFonts w:eastAsia="Times New Roman" w:cstheme="minorHAnsi"/>
          <w:bCs/>
          <w:color w:val="000000"/>
          <w:sz w:val="20"/>
          <w:szCs w:val="20"/>
          <w:lang w:eastAsia="en-GB"/>
        </w:rPr>
        <w:tab/>
      </w:r>
      <w:r w:rsidR="00F80BF4" w:rsidRPr="009B3747">
        <w:rPr>
          <w:rFonts w:eastAsia="Times New Roman" w:cstheme="minorHAnsi"/>
          <w:bCs/>
          <w:color w:val="000000"/>
          <w:sz w:val="20"/>
          <w:szCs w:val="20"/>
          <w:lang w:eastAsia="en-GB"/>
        </w:rPr>
        <w:tab/>
      </w:r>
      <w:r w:rsidR="001217DC">
        <w:rPr>
          <w:rFonts w:eastAsia="Times New Roman" w:cstheme="minorHAnsi"/>
          <w:bCs/>
          <w:color w:val="000000"/>
          <w:sz w:val="20"/>
          <w:szCs w:val="20"/>
          <w:lang w:eastAsia="en-GB"/>
        </w:rPr>
        <w:t>17</w:t>
      </w:r>
    </w:p>
    <w:p w:rsidR="00F82536" w:rsidRPr="009B3747" w:rsidRDefault="00C34D84" w:rsidP="007C05E8">
      <w:pPr>
        <w:spacing w:line="240" w:lineRule="auto"/>
        <w:rPr>
          <w:rFonts w:eastAsia="Times New Roman" w:cstheme="minorHAnsi"/>
          <w:color w:val="000000"/>
          <w:sz w:val="20"/>
          <w:szCs w:val="20"/>
          <w:lang w:eastAsia="en-GB"/>
        </w:rPr>
      </w:pPr>
      <w:r w:rsidRPr="009B3747">
        <w:rPr>
          <w:rFonts w:eastAsia="Times New Roman" w:cstheme="minorHAnsi"/>
          <w:bCs/>
          <w:color w:val="000000"/>
          <w:sz w:val="20"/>
          <w:szCs w:val="20"/>
          <w:lang w:eastAsia="en-GB"/>
        </w:rPr>
        <w:tab/>
      </w:r>
      <w:r w:rsidR="005A7786" w:rsidRPr="009B3747">
        <w:rPr>
          <w:rFonts w:eastAsia="Times New Roman" w:cstheme="minorHAnsi"/>
          <w:color w:val="000000"/>
          <w:sz w:val="20"/>
          <w:szCs w:val="20"/>
          <w:lang w:eastAsia="en-GB"/>
        </w:rPr>
        <w:t>2.4.1</w:t>
      </w:r>
      <w:r w:rsidR="00410AD0" w:rsidRPr="009B3747">
        <w:rPr>
          <w:rFonts w:eastAsia="Times New Roman" w:cstheme="minorHAnsi"/>
          <w:color w:val="000000"/>
          <w:sz w:val="20"/>
          <w:szCs w:val="20"/>
          <w:lang w:eastAsia="en-GB"/>
        </w:rPr>
        <w:t xml:space="preserve"> </w:t>
      </w:r>
      <w:r w:rsidRPr="009B3747">
        <w:rPr>
          <w:rFonts w:eastAsia="Times New Roman" w:cstheme="minorHAnsi"/>
          <w:color w:val="000000"/>
          <w:sz w:val="20"/>
          <w:szCs w:val="20"/>
          <w:lang w:eastAsia="en-GB"/>
        </w:rPr>
        <w:t>Childhood and adolescent obesity and inequalities</w:t>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005A7786"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1217DC">
        <w:rPr>
          <w:rFonts w:eastAsia="Times New Roman" w:cstheme="minorHAnsi"/>
          <w:color w:val="000000"/>
          <w:sz w:val="20"/>
          <w:szCs w:val="20"/>
          <w:lang w:eastAsia="en-GB"/>
        </w:rPr>
        <w:t>19</w:t>
      </w:r>
    </w:p>
    <w:p w:rsidR="00C34D84" w:rsidRPr="009B3747" w:rsidRDefault="005A7786" w:rsidP="007C05E8">
      <w:pPr>
        <w:spacing w:line="240" w:lineRule="auto"/>
        <w:rPr>
          <w:rFonts w:eastAsia="Times New Roman" w:cstheme="minorHAnsi"/>
          <w:sz w:val="20"/>
          <w:szCs w:val="20"/>
          <w:lang w:eastAsia="en-GB"/>
        </w:rPr>
      </w:pPr>
      <w:r w:rsidRPr="009B3747">
        <w:rPr>
          <w:rFonts w:eastAsia="Times New Roman" w:cstheme="minorHAnsi"/>
          <w:bCs/>
          <w:color w:val="000000"/>
          <w:sz w:val="20"/>
          <w:szCs w:val="20"/>
          <w:lang w:eastAsia="en-GB"/>
        </w:rPr>
        <w:t xml:space="preserve">2.5 </w:t>
      </w:r>
      <w:r w:rsidR="00C34D84" w:rsidRPr="009B3747">
        <w:rPr>
          <w:rFonts w:eastAsia="Times New Roman" w:cstheme="minorHAnsi"/>
          <w:bCs/>
          <w:color w:val="000000"/>
          <w:sz w:val="20"/>
          <w:szCs w:val="20"/>
          <w:lang w:eastAsia="en-GB"/>
        </w:rPr>
        <w:t>Childhood obesity causation and consequences</w:t>
      </w:r>
      <w:r w:rsidR="0026185B" w:rsidRPr="009B3747">
        <w:rPr>
          <w:rFonts w:eastAsia="Times New Roman" w:cstheme="minorHAnsi"/>
          <w:bCs/>
          <w:color w:val="000000"/>
          <w:sz w:val="20"/>
          <w:szCs w:val="20"/>
          <w:lang w:eastAsia="en-GB"/>
        </w:rPr>
        <w:tab/>
      </w:r>
      <w:r w:rsidR="0026185B" w:rsidRPr="009B3747">
        <w:rPr>
          <w:rFonts w:eastAsia="Times New Roman" w:cstheme="minorHAnsi"/>
          <w:bCs/>
          <w:color w:val="000000"/>
          <w:sz w:val="20"/>
          <w:szCs w:val="20"/>
          <w:lang w:eastAsia="en-GB"/>
        </w:rPr>
        <w:tab/>
      </w:r>
      <w:r w:rsidR="0026185B" w:rsidRPr="009B3747">
        <w:rPr>
          <w:rFonts w:eastAsia="Times New Roman" w:cstheme="minorHAnsi"/>
          <w:bCs/>
          <w:color w:val="000000"/>
          <w:sz w:val="20"/>
          <w:szCs w:val="20"/>
          <w:lang w:eastAsia="en-GB"/>
        </w:rPr>
        <w:tab/>
      </w:r>
      <w:r w:rsidR="0026185B" w:rsidRPr="009B3747">
        <w:rPr>
          <w:rFonts w:eastAsia="Times New Roman" w:cstheme="minorHAnsi"/>
          <w:bCs/>
          <w:color w:val="000000"/>
          <w:sz w:val="20"/>
          <w:szCs w:val="20"/>
          <w:lang w:eastAsia="en-GB"/>
        </w:rPr>
        <w:tab/>
      </w:r>
      <w:r w:rsidR="0026185B"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00F80BF4" w:rsidRPr="009B3747">
        <w:rPr>
          <w:rFonts w:eastAsia="Times New Roman" w:cstheme="minorHAnsi"/>
          <w:bCs/>
          <w:color w:val="000000"/>
          <w:sz w:val="20"/>
          <w:szCs w:val="20"/>
          <w:lang w:eastAsia="en-GB"/>
        </w:rPr>
        <w:tab/>
      </w:r>
      <w:r w:rsidR="001217DC">
        <w:rPr>
          <w:rFonts w:eastAsia="Times New Roman" w:cstheme="minorHAnsi"/>
          <w:bCs/>
          <w:color w:val="000000"/>
          <w:sz w:val="20"/>
          <w:szCs w:val="20"/>
          <w:lang w:eastAsia="en-GB"/>
        </w:rPr>
        <w:t>20</w:t>
      </w:r>
    </w:p>
    <w:p w:rsidR="00C34D84" w:rsidRPr="009B3747" w:rsidRDefault="00C34D84" w:rsidP="007C05E8">
      <w:pPr>
        <w:spacing w:line="24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ab/>
      </w:r>
      <w:r w:rsidR="005A7786" w:rsidRPr="009B3747">
        <w:rPr>
          <w:rFonts w:eastAsia="Times New Roman" w:cstheme="minorHAnsi"/>
          <w:color w:val="000000"/>
          <w:sz w:val="20"/>
          <w:szCs w:val="20"/>
          <w:lang w:eastAsia="en-GB"/>
        </w:rPr>
        <w:t>2.5.1</w:t>
      </w:r>
      <w:r w:rsidRPr="009B3747">
        <w:rPr>
          <w:rFonts w:eastAsia="Times New Roman" w:cstheme="minorHAnsi"/>
          <w:color w:val="000000"/>
          <w:sz w:val="20"/>
          <w:szCs w:val="20"/>
          <w:lang w:eastAsia="en-GB"/>
        </w:rPr>
        <w:t xml:space="preserve"> Causation</w:t>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0060708E" w:rsidRPr="009B3747">
        <w:rPr>
          <w:rFonts w:eastAsia="Times New Roman" w:cstheme="minorHAnsi"/>
          <w:color w:val="000000"/>
          <w:sz w:val="20"/>
          <w:szCs w:val="20"/>
          <w:lang w:eastAsia="en-GB"/>
        </w:rPr>
        <w:tab/>
      </w:r>
      <w:r w:rsidR="005A7786"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1217DC">
        <w:rPr>
          <w:rFonts w:eastAsia="Times New Roman" w:cstheme="minorHAnsi"/>
          <w:color w:val="000000"/>
          <w:sz w:val="20"/>
          <w:szCs w:val="20"/>
          <w:lang w:eastAsia="en-GB"/>
        </w:rPr>
        <w:t>20</w:t>
      </w:r>
    </w:p>
    <w:p w:rsidR="0060708E" w:rsidRPr="009B3747" w:rsidRDefault="00C34D84" w:rsidP="007C05E8">
      <w:pPr>
        <w:spacing w:line="240" w:lineRule="auto"/>
        <w:rPr>
          <w:rFonts w:eastAsia="Times New Roman" w:cstheme="minorHAnsi"/>
          <w:sz w:val="20"/>
          <w:szCs w:val="20"/>
          <w:lang w:eastAsia="en-GB"/>
        </w:rPr>
      </w:pPr>
      <w:r w:rsidRPr="009B3747">
        <w:rPr>
          <w:rFonts w:eastAsia="Times New Roman" w:cstheme="minorHAnsi"/>
          <w:color w:val="000000"/>
          <w:sz w:val="20"/>
          <w:szCs w:val="20"/>
          <w:lang w:eastAsia="en-GB"/>
        </w:rPr>
        <w:tab/>
      </w:r>
      <w:r w:rsidR="0060708E" w:rsidRPr="009B3747">
        <w:rPr>
          <w:rFonts w:eastAsia="Times New Roman" w:cstheme="minorHAnsi"/>
          <w:color w:val="000000"/>
          <w:sz w:val="20"/>
          <w:szCs w:val="20"/>
          <w:lang w:eastAsia="en-GB"/>
        </w:rPr>
        <w:tab/>
        <w:t>2</w:t>
      </w:r>
      <w:r w:rsidR="005A7786" w:rsidRPr="009B3747">
        <w:rPr>
          <w:rFonts w:eastAsia="Times New Roman" w:cstheme="minorHAnsi"/>
          <w:color w:val="000000"/>
          <w:sz w:val="20"/>
          <w:szCs w:val="20"/>
          <w:lang w:eastAsia="en-GB"/>
        </w:rPr>
        <w:t>.5.1.1</w:t>
      </w:r>
      <w:r w:rsidR="0060708E" w:rsidRPr="009B3747">
        <w:rPr>
          <w:rFonts w:eastAsia="Times New Roman" w:cstheme="minorHAnsi"/>
          <w:color w:val="000000"/>
          <w:sz w:val="20"/>
          <w:szCs w:val="20"/>
          <w:lang w:eastAsia="en-GB"/>
        </w:rPr>
        <w:t xml:space="preserve"> </w:t>
      </w:r>
      <w:r w:rsidR="0060708E" w:rsidRPr="009B3747">
        <w:rPr>
          <w:rFonts w:eastAsia="Times New Roman" w:cstheme="minorHAnsi"/>
          <w:iCs/>
          <w:color w:val="000000"/>
          <w:sz w:val="20"/>
          <w:szCs w:val="20"/>
          <w:lang w:eastAsia="en-GB"/>
        </w:rPr>
        <w:t>Physiology</w:t>
      </w:r>
      <w:r w:rsidR="0060708E" w:rsidRPr="009B3747">
        <w:rPr>
          <w:rFonts w:eastAsia="Times New Roman" w:cstheme="minorHAnsi"/>
          <w:color w:val="000000"/>
          <w:sz w:val="20"/>
          <w:szCs w:val="20"/>
          <w:lang w:eastAsia="en-GB"/>
        </w:rPr>
        <w:tab/>
      </w:r>
      <w:r w:rsidR="0060708E" w:rsidRPr="009B3747">
        <w:rPr>
          <w:rFonts w:eastAsia="Times New Roman" w:cstheme="minorHAnsi"/>
          <w:color w:val="000000"/>
          <w:sz w:val="20"/>
          <w:szCs w:val="20"/>
          <w:lang w:eastAsia="en-GB"/>
        </w:rPr>
        <w:tab/>
      </w:r>
      <w:r w:rsidR="0060708E" w:rsidRPr="009B3747">
        <w:rPr>
          <w:rFonts w:eastAsia="Times New Roman" w:cstheme="minorHAnsi"/>
          <w:color w:val="000000"/>
          <w:sz w:val="20"/>
          <w:szCs w:val="20"/>
          <w:lang w:eastAsia="en-GB"/>
        </w:rPr>
        <w:tab/>
      </w:r>
      <w:r w:rsidR="0060708E" w:rsidRPr="009B3747">
        <w:rPr>
          <w:rFonts w:eastAsia="Times New Roman" w:cstheme="minorHAnsi"/>
          <w:color w:val="000000"/>
          <w:sz w:val="20"/>
          <w:szCs w:val="20"/>
          <w:lang w:eastAsia="en-GB"/>
        </w:rPr>
        <w:tab/>
      </w:r>
      <w:r w:rsidR="0060708E" w:rsidRPr="009B3747">
        <w:rPr>
          <w:rFonts w:eastAsia="Times New Roman" w:cstheme="minorHAnsi"/>
          <w:color w:val="000000"/>
          <w:sz w:val="20"/>
          <w:szCs w:val="20"/>
          <w:lang w:eastAsia="en-GB"/>
        </w:rPr>
        <w:tab/>
      </w:r>
      <w:r w:rsidR="0060708E" w:rsidRPr="009B3747">
        <w:rPr>
          <w:rFonts w:eastAsia="Times New Roman" w:cstheme="minorHAnsi"/>
          <w:color w:val="000000"/>
          <w:sz w:val="20"/>
          <w:szCs w:val="20"/>
          <w:lang w:eastAsia="en-GB"/>
        </w:rPr>
        <w:tab/>
      </w:r>
      <w:r w:rsidR="005A7786"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1217DC">
        <w:rPr>
          <w:rFonts w:eastAsia="Times New Roman" w:cstheme="minorHAnsi"/>
          <w:color w:val="000000"/>
          <w:sz w:val="20"/>
          <w:szCs w:val="20"/>
          <w:lang w:eastAsia="en-GB"/>
        </w:rPr>
        <w:t>22</w:t>
      </w:r>
    </w:p>
    <w:p w:rsidR="008818AD" w:rsidRPr="009B3747" w:rsidRDefault="000F38B0" w:rsidP="007C05E8">
      <w:pPr>
        <w:spacing w:line="240" w:lineRule="auto"/>
        <w:rPr>
          <w:rFonts w:eastAsia="Times New Roman" w:cstheme="minorHAnsi"/>
          <w:sz w:val="20"/>
          <w:szCs w:val="20"/>
          <w:lang w:eastAsia="en-GB"/>
        </w:rPr>
      </w:pPr>
      <w:r w:rsidRPr="009B3747">
        <w:rPr>
          <w:rFonts w:eastAsia="Times New Roman" w:cstheme="minorHAnsi"/>
          <w:color w:val="000000"/>
          <w:sz w:val="20"/>
          <w:szCs w:val="20"/>
          <w:lang w:eastAsia="en-GB"/>
        </w:rPr>
        <w:tab/>
      </w:r>
      <w:r w:rsidR="005A7786" w:rsidRPr="009B3747">
        <w:rPr>
          <w:rFonts w:eastAsia="Times New Roman" w:cstheme="minorHAnsi"/>
          <w:color w:val="000000"/>
          <w:sz w:val="20"/>
          <w:szCs w:val="20"/>
          <w:lang w:eastAsia="en-GB"/>
        </w:rPr>
        <w:tab/>
        <w:t>2.5.1.2</w:t>
      </w:r>
      <w:r w:rsidR="00FA31CD" w:rsidRPr="009B3747">
        <w:rPr>
          <w:rFonts w:eastAsia="Times New Roman" w:cstheme="minorHAnsi"/>
          <w:color w:val="000000"/>
          <w:sz w:val="20"/>
          <w:szCs w:val="20"/>
          <w:lang w:eastAsia="en-GB"/>
        </w:rPr>
        <w:t xml:space="preserve"> </w:t>
      </w:r>
      <w:r w:rsidR="00FA31CD" w:rsidRPr="009B3747">
        <w:rPr>
          <w:rFonts w:eastAsia="Times New Roman" w:cstheme="minorHAnsi"/>
          <w:iCs/>
          <w:color w:val="000000"/>
          <w:sz w:val="20"/>
          <w:szCs w:val="20"/>
          <w:lang w:eastAsia="en-GB"/>
        </w:rPr>
        <w:t>Individual behaviours</w:t>
      </w:r>
      <w:r w:rsidR="00FA31CD" w:rsidRPr="009B3747">
        <w:rPr>
          <w:rFonts w:eastAsia="Times New Roman" w:cstheme="minorHAnsi"/>
          <w:sz w:val="20"/>
          <w:szCs w:val="20"/>
          <w:lang w:eastAsia="en-GB"/>
        </w:rPr>
        <w:tab/>
      </w:r>
      <w:r w:rsidR="008818AD" w:rsidRPr="009B3747">
        <w:rPr>
          <w:rFonts w:eastAsia="Times New Roman" w:cstheme="minorHAnsi"/>
          <w:sz w:val="20"/>
          <w:szCs w:val="20"/>
          <w:lang w:eastAsia="en-GB"/>
        </w:rPr>
        <w:tab/>
      </w:r>
      <w:r w:rsidR="00F80BF4" w:rsidRPr="009B3747">
        <w:rPr>
          <w:rFonts w:eastAsia="Times New Roman" w:cstheme="minorHAnsi"/>
          <w:sz w:val="20"/>
          <w:szCs w:val="20"/>
          <w:lang w:eastAsia="en-GB"/>
        </w:rPr>
        <w:tab/>
      </w:r>
      <w:r w:rsidR="00F80BF4" w:rsidRPr="009B3747">
        <w:rPr>
          <w:rFonts w:eastAsia="Times New Roman" w:cstheme="minorHAnsi"/>
          <w:sz w:val="20"/>
          <w:szCs w:val="20"/>
          <w:lang w:eastAsia="en-GB"/>
        </w:rPr>
        <w:tab/>
      </w:r>
      <w:r w:rsidR="00F80BF4" w:rsidRPr="009B3747">
        <w:rPr>
          <w:rFonts w:eastAsia="Times New Roman" w:cstheme="minorHAnsi"/>
          <w:sz w:val="20"/>
          <w:szCs w:val="20"/>
          <w:lang w:eastAsia="en-GB"/>
        </w:rPr>
        <w:tab/>
      </w:r>
      <w:r w:rsidR="00F80BF4" w:rsidRPr="009B3747">
        <w:rPr>
          <w:rFonts w:eastAsia="Times New Roman" w:cstheme="minorHAnsi"/>
          <w:sz w:val="20"/>
          <w:szCs w:val="20"/>
          <w:lang w:eastAsia="en-GB"/>
        </w:rPr>
        <w:tab/>
      </w:r>
      <w:r w:rsidR="00F80BF4" w:rsidRPr="009B3747">
        <w:rPr>
          <w:rFonts w:eastAsia="Times New Roman" w:cstheme="minorHAnsi"/>
          <w:sz w:val="20"/>
          <w:szCs w:val="20"/>
          <w:lang w:eastAsia="en-GB"/>
        </w:rPr>
        <w:tab/>
      </w:r>
      <w:r w:rsidR="001217DC">
        <w:rPr>
          <w:rFonts w:eastAsia="Times New Roman" w:cstheme="minorHAnsi"/>
          <w:sz w:val="20"/>
          <w:szCs w:val="20"/>
          <w:lang w:eastAsia="en-GB"/>
        </w:rPr>
        <w:t>22</w:t>
      </w:r>
    </w:p>
    <w:p w:rsidR="0060708E" w:rsidRPr="009B3747" w:rsidRDefault="008818AD" w:rsidP="007C05E8">
      <w:pPr>
        <w:spacing w:line="240" w:lineRule="auto"/>
        <w:rPr>
          <w:rFonts w:eastAsia="Times New Roman" w:cstheme="minorHAnsi"/>
          <w:sz w:val="20"/>
          <w:szCs w:val="20"/>
          <w:lang w:eastAsia="en-GB"/>
        </w:rPr>
      </w:pPr>
      <w:r w:rsidRPr="009B3747">
        <w:rPr>
          <w:rFonts w:eastAsia="Times New Roman" w:cstheme="minorHAnsi"/>
          <w:sz w:val="20"/>
          <w:szCs w:val="20"/>
          <w:lang w:eastAsia="en-GB"/>
        </w:rPr>
        <w:tab/>
      </w:r>
      <w:r w:rsidRPr="009B3747">
        <w:rPr>
          <w:rFonts w:eastAsia="Times New Roman" w:cstheme="minorHAnsi"/>
          <w:sz w:val="20"/>
          <w:szCs w:val="20"/>
          <w:lang w:eastAsia="en-GB"/>
        </w:rPr>
        <w:tab/>
        <w:t>2.5.1.3 The environment</w:t>
      </w:r>
      <w:r w:rsidRPr="009B3747">
        <w:rPr>
          <w:rFonts w:eastAsia="Times New Roman" w:cstheme="minorHAnsi"/>
          <w:sz w:val="20"/>
          <w:szCs w:val="20"/>
          <w:lang w:eastAsia="en-GB"/>
        </w:rPr>
        <w:tab/>
      </w:r>
      <w:r w:rsidRPr="009B3747">
        <w:rPr>
          <w:rFonts w:eastAsia="Times New Roman" w:cstheme="minorHAnsi"/>
          <w:sz w:val="20"/>
          <w:szCs w:val="20"/>
          <w:lang w:eastAsia="en-GB"/>
        </w:rPr>
        <w:tab/>
      </w:r>
      <w:r w:rsidR="00FA31CD" w:rsidRPr="009B3747">
        <w:rPr>
          <w:rFonts w:eastAsia="Times New Roman" w:cstheme="minorHAnsi"/>
          <w:sz w:val="20"/>
          <w:szCs w:val="20"/>
          <w:lang w:eastAsia="en-GB"/>
        </w:rPr>
        <w:tab/>
      </w:r>
      <w:r w:rsidR="00FA31CD" w:rsidRPr="009B3747">
        <w:rPr>
          <w:rFonts w:eastAsia="Times New Roman" w:cstheme="minorHAnsi"/>
          <w:sz w:val="20"/>
          <w:szCs w:val="20"/>
          <w:lang w:eastAsia="en-GB"/>
        </w:rPr>
        <w:tab/>
      </w:r>
      <w:r w:rsidR="00FA31CD" w:rsidRPr="009B3747">
        <w:rPr>
          <w:rFonts w:eastAsia="Times New Roman" w:cstheme="minorHAnsi"/>
          <w:sz w:val="20"/>
          <w:szCs w:val="20"/>
          <w:lang w:eastAsia="en-GB"/>
        </w:rPr>
        <w:tab/>
      </w:r>
      <w:r w:rsidR="00FA31CD" w:rsidRPr="009B3747">
        <w:rPr>
          <w:rFonts w:eastAsia="Times New Roman" w:cstheme="minorHAnsi"/>
          <w:sz w:val="20"/>
          <w:szCs w:val="20"/>
          <w:lang w:eastAsia="en-GB"/>
        </w:rPr>
        <w:tab/>
      </w:r>
      <w:r w:rsidR="005A7786" w:rsidRPr="009B3747">
        <w:rPr>
          <w:rFonts w:eastAsia="Times New Roman" w:cstheme="minorHAnsi"/>
          <w:sz w:val="20"/>
          <w:szCs w:val="20"/>
          <w:lang w:eastAsia="en-GB"/>
        </w:rPr>
        <w:tab/>
      </w:r>
      <w:r w:rsidR="00F80BF4" w:rsidRPr="009B3747">
        <w:rPr>
          <w:rFonts w:eastAsia="Times New Roman" w:cstheme="minorHAnsi"/>
          <w:sz w:val="20"/>
          <w:szCs w:val="20"/>
          <w:lang w:eastAsia="en-GB"/>
        </w:rPr>
        <w:tab/>
      </w:r>
      <w:r w:rsidR="001217DC">
        <w:rPr>
          <w:rFonts w:eastAsia="Times New Roman" w:cstheme="minorHAnsi"/>
          <w:sz w:val="20"/>
          <w:szCs w:val="20"/>
          <w:lang w:eastAsia="en-GB"/>
        </w:rPr>
        <w:t>23</w:t>
      </w:r>
    </w:p>
    <w:p w:rsidR="00C34D84" w:rsidRPr="009B3747" w:rsidRDefault="005A7786" w:rsidP="007C05E8">
      <w:pPr>
        <w:spacing w:line="240" w:lineRule="auto"/>
        <w:ind w:firstLine="720"/>
        <w:rPr>
          <w:rFonts w:eastAsia="Times New Roman" w:cstheme="minorHAnsi"/>
          <w:color w:val="000000"/>
          <w:sz w:val="20"/>
          <w:szCs w:val="20"/>
          <w:lang w:eastAsia="en-GB"/>
        </w:rPr>
      </w:pPr>
      <w:r w:rsidRPr="009B3747">
        <w:rPr>
          <w:rFonts w:eastAsia="Times New Roman" w:cstheme="minorHAnsi"/>
          <w:color w:val="000000"/>
          <w:sz w:val="20"/>
          <w:szCs w:val="20"/>
          <w:lang w:eastAsia="en-GB"/>
        </w:rPr>
        <w:t xml:space="preserve">2.5.2 </w:t>
      </w:r>
      <w:r w:rsidR="00C34D84" w:rsidRPr="009B3747">
        <w:rPr>
          <w:rFonts w:eastAsia="Times New Roman" w:cstheme="minorHAnsi"/>
          <w:color w:val="000000"/>
          <w:sz w:val="20"/>
          <w:szCs w:val="20"/>
          <w:lang w:eastAsia="en-GB"/>
        </w:rPr>
        <w:t>Childhood and adolescent obesity consequences</w:t>
      </w:r>
      <w:r w:rsidR="0026185B"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1217DC">
        <w:rPr>
          <w:rFonts w:eastAsia="Times New Roman" w:cstheme="minorHAnsi"/>
          <w:color w:val="000000"/>
          <w:sz w:val="20"/>
          <w:szCs w:val="20"/>
          <w:lang w:eastAsia="en-GB"/>
        </w:rPr>
        <w:t>24</w:t>
      </w:r>
    </w:p>
    <w:p w:rsidR="00FA31CD" w:rsidRPr="009B3747" w:rsidRDefault="00FA31CD" w:rsidP="007C05E8">
      <w:pPr>
        <w:spacing w:line="240" w:lineRule="auto"/>
        <w:rPr>
          <w:rFonts w:eastAsia="Times New Roman" w:cstheme="minorHAnsi"/>
          <w:iCs/>
          <w:color w:val="000000"/>
          <w:sz w:val="20"/>
          <w:szCs w:val="20"/>
          <w:lang w:eastAsia="en-GB"/>
        </w:rPr>
      </w:pPr>
      <w:r w:rsidRPr="009B3747">
        <w:rPr>
          <w:rFonts w:eastAsia="Times New Roman" w:cstheme="minorHAnsi"/>
          <w:color w:val="000000"/>
          <w:sz w:val="20"/>
          <w:szCs w:val="20"/>
          <w:lang w:eastAsia="en-GB"/>
        </w:rPr>
        <w:tab/>
      </w:r>
      <w:r w:rsidR="005A7786" w:rsidRPr="009B3747">
        <w:rPr>
          <w:rFonts w:eastAsia="Times New Roman" w:cstheme="minorHAnsi"/>
          <w:color w:val="000000"/>
          <w:sz w:val="20"/>
          <w:szCs w:val="20"/>
          <w:lang w:eastAsia="en-GB"/>
        </w:rPr>
        <w:tab/>
      </w:r>
      <w:r w:rsidR="005A7786" w:rsidRPr="009B3747">
        <w:rPr>
          <w:rFonts w:eastAsia="Times New Roman" w:cstheme="minorHAnsi"/>
          <w:iCs/>
          <w:color w:val="000000"/>
          <w:sz w:val="20"/>
          <w:szCs w:val="20"/>
          <w:lang w:eastAsia="en-GB"/>
        </w:rPr>
        <w:t>2.5.2.1</w:t>
      </w:r>
      <w:r w:rsidRPr="009B3747">
        <w:rPr>
          <w:rFonts w:eastAsia="Times New Roman" w:cstheme="minorHAnsi"/>
          <w:iCs/>
          <w:color w:val="000000"/>
          <w:sz w:val="20"/>
          <w:szCs w:val="20"/>
          <w:lang w:eastAsia="en-GB"/>
        </w:rPr>
        <w:t xml:space="preserve"> Physical health</w:t>
      </w:r>
      <w:r w:rsidRPr="009B3747">
        <w:rPr>
          <w:rFonts w:eastAsia="Times New Roman" w:cstheme="minorHAnsi"/>
          <w:iCs/>
          <w:color w:val="000000"/>
          <w:sz w:val="20"/>
          <w:szCs w:val="20"/>
          <w:lang w:eastAsia="en-GB"/>
        </w:rPr>
        <w:tab/>
      </w:r>
      <w:r w:rsidRPr="009B3747">
        <w:rPr>
          <w:rFonts w:eastAsia="Times New Roman" w:cstheme="minorHAnsi"/>
          <w:iCs/>
          <w:color w:val="000000"/>
          <w:sz w:val="20"/>
          <w:szCs w:val="20"/>
          <w:lang w:eastAsia="en-GB"/>
        </w:rPr>
        <w:tab/>
      </w:r>
      <w:r w:rsidRPr="009B3747">
        <w:rPr>
          <w:rFonts w:eastAsia="Times New Roman" w:cstheme="minorHAnsi"/>
          <w:iCs/>
          <w:color w:val="000000"/>
          <w:sz w:val="20"/>
          <w:szCs w:val="20"/>
          <w:lang w:eastAsia="en-GB"/>
        </w:rPr>
        <w:tab/>
      </w:r>
      <w:r w:rsidRPr="009B3747">
        <w:rPr>
          <w:rFonts w:eastAsia="Times New Roman" w:cstheme="minorHAnsi"/>
          <w:iCs/>
          <w:color w:val="000000"/>
          <w:sz w:val="20"/>
          <w:szCs w:val="20"/>
          <w:lang w:eastAsia="en-GB"/>
        </w:rPr>
        <w:tab/>
      </w:r>
      <w:r w:rsidRPr="009B3747">
        <w:rPr>
          <w:rFonts w:eastAsia="Times New Roman" w:cstheme="minorHAnsi"/>
          <w:iCs/>
          <w:color w:val="000000"/>
          <w:sz w:val="20"/>
          <w:szCs w:val="20"/>
          <w:lang w:eastAsia="en-GB"/>
        </w:rPr>
        <w:tab/>
      </w:r>
      <w:r w:rsidRPr="009B3747">
        <w:rPr>
          <w:rFonts w:eastAsia="Times New Roman" w:cstheme="minorHAnsi"/>
          <w:iCs/>
          <w:color w:val="000000"/>
          <w:sz w:val="20"/>
          <w:szCs w:val="20"/>
          <w:lang w:eastAsia="en-GB"/>
        </w:rPr>
        <w:tab/>
      </w:r>
      <w:r w:rsidR="005A7786" w:rsidRPr="009B3747">
        <w:rPr>
          <w:rFonts w:eastAsia="Times New Roman" w:cstheme="minorHAnsi"/>
          <w:iCs/>
          <w:color w:val="000000"/>
          <w:sz w:val="20"/>
          <w:szCs w:val="20"/>
          <w:lang w:eastAsia="en-GB"/>
        </w:rPr>
        <w:tab/>
      </w:r>
      <w:r w:rsidR="00F80BF4" w:rsidRPr="009B3747">
        <w:rPr>
          <w:rFonts w:eastAsia="Times New Roman" w:cstheme="minorHAnsi"/>
          <w:iCs/>
          <w:color w:val="000000"/>
          <w:sz w:val="20"/>
          <w:szCs w:val="20"/>
          <w:lang w:eastAsia="en-GB"/>
        </w:rPr>
        <w:tab/>
      </w:r>
      <w:r w:rsidR="001217DC">
        <w:rPr>
          <w:rFonts w:eastAsia="Times New Roman" w:cstheme="minorHAnsi"/>
          <w:iCs/>
          <w:color w:val="000000"/>
          <w:sz w:val="20"/>
          <w:szCs w:val="20"/>
          <w:lang w:eastAsia="en-GB"/>
        </w:rPr>
        <w:t>25</w:t>
      </w:r>
    </w:p>
    <w:p w:rsidR="00FA31CD" w:rsidRPr="009B3747" w:rsidRDefault="005A7786" w:rsidP="007C05E8">
      <w:pPr>
        <w:spacing w:line="240" w:lineRule="auto"/>
        <w:rPr>
          <w:rFonts w:eastAsia="Times New Roman" w:cstheme="minorHAnsi"/>
          <w:iCs/>
          <w:color w:val="000000"/>
          <w:sz w:val="20"/>
          <w:szCs w:val="20"/>
          <w:lang w:eastAsia="en-GB"/>
        </w:rPr>
      </w:pPr>
      <w:r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t xml:space="preserve">2.5.2.2 </w:t>
      </w:r>
      <w:r w:rsidRPr="009B3747">
        <w:rPr>
          <w:rFonts w:eastAsia="Times New Roman" w:cstheme="minorHAnsi"/>
          <w:iCs/>
          <w:color w:val="000000"/>
          <w:sz w:val="20"/>
          <w:szCs w:val="20"/>
          <w:lang w:eastAsia="en-GB"/>
        </w:rPr>
        <w:t>Psychological and social health</w:t>
      </w:r>
      <w:r w:rsidRPr="009B3747">
        <w:rPr>
          <w:rFonts w:eastAsia="Times New Roman" w:cstheme="minorHAnsi"/>
          <w:iCs/>
          <w:color w:val="000000"/>
          <w:sz w:val="20"/>
          <w:szCs w:val="20"/>
          <w:lang w:eastAsia="en-GB"/>
        </w:rPr>
        <w:tab/>
      </w:r>
      <w:r w:rsidRPr="009B3747">
        <w:rPr>
          <w:rFonts w:eastAsia="Times New Roman" w:cstheme="minorHAnsi"/>
          <w:iCs/>
          <w:color w:val="000000"/>
          <w:sz w:val="20"/>
          <w:szCs w:val="20"/>
          <w:lang w:eastAsia="en-GB"/>
        </w:rPr>
        <w:tab/>
      </w:r>
      <w:r w:rsidRPr="009B3747">
        <w:rPr>
          <w:rFonts w:eastAsia="Times New Roman" w:cstheme="minorHAnsi"/>
          <w:iCs/>
          <w:color w:val="000000"/>
          <w:sz w:val="20"/>
          <w:szCs w:val="20"/>
          <w:lang w:eastAsia="en-GB"/>
        </w:rPr>
        <w:tab/>
      </w:r>
      <w:r w:rsidRPr="009B3747">
        <w:rPr>
          <w:rFonts w:eastAsia="Times New Roman" w:cstheme="minorHAnsi"/>
          <w:iCs/>
          <w:color w:val="000000"/>
          <w:sz w:val="20"/>
          <w:szCs w:val="20"/>
          <w:lang w:eastAsia="en-GB"/>
        </w:rPr>
        <w:tab/>
      </w:r>
      <w:r w:rsidRPr="009B3747">
        <w:rPr>
          <w:rFonts w:eastAsia="Times New Roman" w:cstheme="minorHAnsi"/>
          <w:iCs/>
          <w:color w:val="000000"/>
          <w:sz w:val="20"/>
          <w:szCs w:val="20"/>
          <w:lang w:eastAsia="en-GB"/>
        </w:rPr>
        <w:tab/>
      </w:r>
      <w:r w:rsidR="00F80BF4" w:rsidRPr="009B3747">
        <w:rPr>
          <w:rFonts w:eastAsia="Times New Roman" w:cstheme="minorHAnsi"/>
          <w:iCs/>
          <w:color w:val="000000"/>
          <w:sz w:val="20"/>
          <w:szCs w:val="20"/>
          <w:lang w:eastAsia="en-GB"/>
        </w:rPr>
        <w:tab/>
      </w:r>
      <w:r w:rsidR="001217DC">
        <w:rPr>
          <w:rFonts w:eastAsia="Times New Roman" w:cstheme="minorHAnsi"/>
          <w:iCs/>
          <w:color w:val="000000"/>
          <w:sz w:val="20"/>
          <w:szCs w:val="20"/>
          <w:lang w:eastAsia="en-GB"/>
        </w:rPr>
        <w:t>26</w:t>
      </w:r>
    </w:p>
    <w:p w:rsidR="005A7786" w:rsidRPr="009B3747" w:rsidRDefault="005A7786" w:rsidP="007C05E8">
      <w:pPr>
        <w:spacing w:line="240" w:lineRule="auto"/>
        <w:rPr>
          <w:rFonts w:eastAsia="Times New Roman" w:cstheme="minorHAnsi"/>
          <w:iCs/>
          <w:color w:val="000000"/>
          <w:sz w:val="20"/>
          <w:szCs w:val="20"/>
          <w:lang w:eastAsia="en-GB"/>
        </w:rPr>
      </w:pPr>
      <w:r w:rsidRPr="009B3747">
        <w:rPr>
          <w:rFonts w:eastAsia="Times New Roman" w:cstheme="minorHAnsi"/>
          <w:iCs/>
          <w:color w:val="000000"/>
          <w:sz w:val="20"/>
          <w:szCs w:val="20"/>
          <w:lang w:eastAsia="en-GB"/>
        </w:rPr>
        <w:tab/>
      </w:r>
      <w:r w:rsidRPr="009B3747">
        <w:rPr>
          <w:rFonts w:eastAsia="Times New Roman" w:cstheme="minorHAnsi"/>
          <w:iCs/>
          <w:color w:val="000000"/>
          <w:sz w:val="20"/>
          <w:szCs w:val="20"/>
          <w:lang w:eastAsia="en-GB"/>
        </w:rPr>
        <w:tab/>
        <w:t>2.5.2.3 Financial and economic</w:t>
      </w:r>
      <w:r w:rsidRPr="009B3747">
        <w:rPr>
          <w:rFonts w:eastAsia="Times New Roman" w:cstheme="minorHAnsi"/>
          <w:iCs/>
          <w:color w:val="000000"/>
          <w:sz w:val="20"/>
          <w:szCs w:val="20"/>
          <w:lang w:eastAsia="en-GB"/>
        </w:rPr>
        <w:tab/>
      </w:r>
      <w:r w:rsidRPr="009B3747">
        <w:rPr>
          <w:rFonts w:eastAsia="Times New Roman" w:cstheme="minorHAnsi"/>
          <w:iCs/>
          <w:color w:val="000000"/>
          <w:sz w:val="20"/>
          <w:szCs w:val="20"/>
          <w:lang w:eastAsia="en-GB"/>
        </w:rPr>
        <w:tab/>
      </w:r>
      <w:r w:rsidRPr="009B3747">
        <w:rPr>
          <w:rFonts w:eastAsia="Times New Roman" w:cstheme="minorHAnsi"/>
          <w:iCs/>
          <w:color w:val="000000"/>
          <w:sz w:val="20"/>
          <w:szCs w:val="20"/>
          <w:lang w:eastAsia="en-GB"/>
        </w:rPr>
        <w:tab/>
      </w:r>
      <w:r w:rsidRPr="009B3747">
        <w:rPr>
          <w:rFonts w:eastAsia="Times New Roman" w:cstheme="minorHAnsi"/>
          <w:iCs/>
          <w:color w:val="000000"/>
          <w:sz w:val="20"/>
          <w:szCs w:val="20"/>
          <w:lang w:eastAsia="en-GB"/>
        </w:rPr>
        <w:tab/>
      </w:r>
      <w:r w:rsidRPr="009B3747">
        <w:rPr>
          <w:rFonts w:eastAsia="Times New Roman" w:cstheme="minorHAnsi"/>
          <w:iCs/>
          <w:color w:val="000000"/>
          <w:sz w:val="20"/>
          <w:szCs w:val="20"/>
          <w:lang w:eastAsia="en-GB"/>
        </w:rPr>
        <w:tab/>
      </w:r>
      <w:r w:rsidRPr="009B3747">
        <w:rPr>
          <w:rFonts w:eastAsia="Times New Roman" w:cstheme="minorHAnsi"/>
          <w:iCs/>
          <w:color w:val="000000"/>
          <w:sz w:val="20"/>
          <w:szCs w:val="20"/>
          <w:lang w:eastAsia="en-GB"/>
        </w:rPr>
        <w:tab/>
      </w:r>
      <w:r w:rsidR="00F80BF4" w:rsidRPr="009B3747">
        <w:rPr>
          <w:rFonts w:eastAsia="Times New Roman" w:cstheme="minorHAnsi"/>
          <w:iCs/>
          <w:color w:val="000000"/>
          <w:sz w:val="20"/>
          <w:szCs w:val="20"/>
          <w:lang w:eastAsia="en-GB"/>
        </w:rPr>
        <w:tab/>
      </w:r>
      <w:r w:rsidR="001217DC">
        <w:rPr>
          <w:rFonts w:eastAsia="Times New Roman" w:cstheme="minorHAnsi"/>
          <w:iCs/>
          <w:color w:val="000000"/>
          <w:sz w:val="20"/>
          <w:szCs w:val="20"/>
          <w:lang w:eastAsia="en-GB"/>
        </w:rPr>
        <w:t>27</w:t>
      </w:r>
    </w:p>
    <w:p w:rsidR="005A7786" w:rsidRPr="009B3747" w:rsidRDefault="005A7786" w:rsidP="007C05E8">
      <w:pPr>
        <w:spacing w:line="240" w:lineRule="auto"/>
        <w:rPr>
          <w:rFonts w:eastAsia="Times New Roman" w:cstheme="minorHAnsi"/>
          <w:sz w:val="20"/>
          <w:szCs w:val="20"/>
          <w:lang w:eastAsia="en-GB"/>
        </w:rPr>
      </w:pPr>
      <w:r w:rsidRPr="009B3747">
        <w:rPr>
          <w:rFonts w:eastAsia="Times New Roman" w:cstheme="minorHAnsi"/>
          <w:bCs/>
          <w:color w:val="000000"/>
          <w:sz w:val="20"/>
          <w:szCs w:val="20"/>
          <w:lang w:eastAsia="en-GB"/>
        </w:rPr>
        <w:t xml:space="preserve">2.6 </w:t>
      </w:r>
      <w:r w:rsidR="00C34D84" w:rsidRPr="009B3747">
        <w:rPr>
          <w:rFonts w:eastAsia="Times New Roman" w:cstheme="minorHAnsi"/>
          <w:bCs/>
          <w:color w:val="000000"/>
          <w:sz w:val="20"/>
          <w:szCs w:val="20"/>
          <w:lang w:eastAsia="en-GB"/>
        </w:rPr>
        <w:t>National approach to tackling childhood and adolescent obesity</w:t>
      </w:r>
      <w:r w:rsidR="00C34D84" w:rsidRPr="009B3747">
        <w:rPr>
          <w:rFonts w:eastAsia="Times New Roman" w:cstheme="minorHAnsi"/>
          <w:sz w:val="20"/>
          <w:szCs w:val="20"/>
          <w:lang w:eastAsia="en-GB"/>
        </w:rPr>
        <w:t> </w:t>
      </w:r>
      <w:r w:rsidR="0026185B" w:rsidRPr="009B3747">
        <w:rPr>
          <w:rFonts w:eastAsia="Times New Roman" w:cstheme="minorHAnsi"/>
          <w:sz w:val="20"/>
          <w:szCs w:val="20"/>
          <w:lang w:eastAsia="en-GB"/>
        </w:rPr>
        <w:tab/>
      </w:r>
      <w:r w:rsidR="0026185B" w:rsidRPr="009B3747">
        <w:rPr>
          <w:rFonts w:eastAsia="Times New Roman" w:cstheme="minorHAnsi"/>
          <w:sz w:val="20"/>
          <w:szCs w:val="20"/>
          <w:lang w:eastAsia="en-GB"/>
        </w:rPr>
        <w:tab/>
      </w:r>
      <w:r w:rsidR="0026185B" w:rsidRPr="009B3747">
        <w:rPr>
          <w:rFonts w:eastAsia="Times New Roman" w:cstheme="minorHAnsi"/>
          <w:sz w:val="20"/>
          <w:szCs w:val="20"/>
          <w:lang w:eastAsia="en-GB"/>
        </w:rPr>
        <w:tab/>
      </w:r>
      <w:r w:rsidRPr="009B3747">
        <w:rPr>
          <w:rFonts w:eastAsia="Times New Roman" w:cstheme="minorHAnsi"/>
          <w:sz w:val="20"/>
          <w:szCs w:val="20"/>
          <w:lang w:eastAsia="en-GB"/>
        </w:rPr>
        <w:tab/>
      </w:r>
      <w:r w:rsidR="00F80BF4" w:rsidRPr="009B3747">
        <w:rPr>
          <w:rFonts w:eastAsia="Times New Roman" w:cstheme="minorHAnsi"/>
          <w:sz w:val="20"/>
          <w:szCs w:val="20"/>
          <w:lang w:eastAsia="en-GB"/>
        </w:rPr>
        <w:tab/>
      </w:r>
      <w:r w:rsidR="001217DC">
        <w:rPr>
          <w:rFonts w:eastAsia="Times New Roman" w:cstheme="minorHAnsi"/>
          <w:sz w:val="20"/>
          <w:szCs w:val="20"/>
          <w:lang w:eastAsia="en-GB"/>
        </w:rPr>
        <w:t>27</w:t>
      </w:r>
    </w:p>
    <w:p w:rsidR="00C34D84" w:rsidRPr="009B3747" w:rsidRDefault="008818AD" w:rsidP="007C05E8">
      <w:pPr>
        <w:spacing w:line="240" w:lineRule="auto"/>
        <w:ind w:firstLine="720"/>
        <w:rPr>
          <w:rFonts w:eastAsia="Times New Roman" w:cstheme="minorHAnsi"/>
          <w:color w:val="000000"/>
          <w:sz w:val="20"/>
          <w:szCs w:val="20"/>
          <w:lang w:eastAsia="en-GB"/>
        </w:rPr>
      </w:pPr>
      <w:r w:rsidRPr="009B3747">
        <w:rPr>
          <w:rFonts w:eastAsia="Times New Roman" w:cstheme="minorHAnsi"/>
          <w:color w:val="000000"/>
          <w:sz w:val="20"/>
          <w:szCs w:val="20"/>
          <w:lang w:eastAsia="en-GB"/>
        </w:rPr>
        <w:t xml:space="preserve">2.6.1 </w:t>
      </w:r>
      <w:r w:rsidR="00C34D84" w:rsidRPr="009B3747">
        <w:rPr>
          <w:rFonts w:eastAsia="Times New Roman" w:cstheme="minorHAnsi"/>
          <w:color w:val="000000"/>
          <w:sz w:val="20"/>
          <w:szCs w:val="20"/>
          <w:lang w:eastAsia="en-GB"/>
        </w:rPr>
        <w:t xml:space="preserve">Preventing childhood and adolescent obesity </w:t>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1217DC">
        <w:rPr>
          <w:rFonts w:eastAsia="Times New Roman" w:cstheme="minorHAnsi"/>
          <w:color w:val="000000"/>
          <w:sz w:val="20"/>
          <w:szCs w:val="20"/>
          <w:lang w:eastAsia="en-GB"/>
        </w:rPr>
        <w:t>29</w:t>
      </w:r>
    </w:p>
    <w:p w:rsidR="008818AD" w:rsidRPr="009B3747" w:rsidRDefault="008818AD" w:rsidP="007C05E8">
      <w:pPr>
        <w:spacing w:line="240" w:lineRule="auto"/>
        <w:rPr>
          <w:rFonts w:eastAsia="Times New Roman" w:cstheme="minorHAnsi"/>
          <w:sz w:val="20"/>
          <w:szCs w:val="20"/>
          <w:lang w:eastAsia="en-GB"/>
        </w:rPr>
      </w:pPr>
      <w:r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r>
      <w:r w:rsidRPr="009B3747">
        <w:rPr>
          <w:rFonts w:eastAsia="Times New Roman" w:cstheme="minorHAnsi"/>
          <w:sz w:val="20"/>
          <w:szCs w:val="20"/>
          <w:lang w:eastAsia="en-GB"/>
        </w:rPr>
        <w:t xml:space="preserve">2.6.1.1 </w:t>
      </w:r>
      <w:r w:rsidRPr="009B3747">
        <w:rPr>
          <w:rFonts w:eastAsia="Times New Roman" w:cstheme="minorHAnsi"/>
          <w:iCs/>
          <w:color w:val="000000"/>
          <w:sz w:val="20"/>
          <w:szCs w:val="20"/>
          <w:lang w:eastAsia="en-GB"/>
        </w:rPr>
        <w:t xml:space="preserve">Critical period for obesity prevention - adolescence </w:t>
      </w:r>
      <w:r w:rsidR="00F80BF4" w:rsidRPr="009B3747">
        <w:rPr>
          <w:rFonts w:eastAsia="Times New Roman" w:cstheme="minorHAnsi"/>
          <w:iCs/>
          <w:color w:val="000000"/>
          <w:sz w:val="20"/>
          <w:szCs w:val="20"/>
          <w:lang w:eastAsia="en-GB"/>
        </w:rPr>
        <w:tab/>
      </w:r>
      <w:r w:rsidR="00F80BF4" w:rsidRPr="009B3747">
        <w:rPr>
          <w:rFonts w:eastAsia="Times New Roman" w:cstheme="minorHAnsi"/>
          <w:iCs/>
          <w:color w:val="000000"/>
          <w:sz w:val="20"/>
          <w:szCs w:val="20"/>
          <w:lang w:eastAsia="en-GB"/>
        </w:rPr>
        <w:tab/>
      </w:r>
      <w:r w:rsidR="00F80BF4" w:rsidRPr="009B3747">
        <w:rPr>
          <w:rFonts w:eastAsia="Times New Roman" w:cstheme="minorHAnsi"/>
          <w:iCs/>
          <w:color w:val="000000"/>
          <w:sz w:val="20"/>
          <w:szCs w:val="20"/>
          <w:lang w:eastAsia="en-GB"/>
        </w:rPr>
        <w:tab/>
      </w:r>
      <w:r w:rsidR="00F80BF4" w:rsidRPr="009B3747">
        <w:rPr>
          <w:rFonts w:eastAsia="Times New Roman" w:cstheme="minorHAnsi"/>
          <w:iCs/>
          <w:color w:val="000000"/>
          <w:sz w:val="20"/>
          <w:szCs w:val="20"/>
          <w:lang w:eastAsia="en-GB"/>
        </w:rPr>
        <w:tab/>
      </w:r>
      <w:r w:rsidR="001217DC">
        <w:rPr>
          <w:rFonts w:eastAsia="Times New Roman" w:cstheme="minorHAnsi"/>
          <w:iCs/>
          <w:color w:val="000000"/>
          <w:sz w:val="20"/>
          <w:szCs w:val="20"/>
          <w:lang w:eastAsia="en-GB"/>
        </w:rPr>
        <w:t>29</w:t>
      </w:r>
    </w:p>
    <w:p w:rsidR="008818AD" w:rsidRPr="009B3747" w:rsidRDefault="008818AD" w:rsidP="007C05E8">
      <w:pPr>
        <w:spacing w:line="240" w:lineRule="auto"/>
        <w:ind w:left="720" w:firstLine="720"/>
        <w:rPr>
          <w:rFonts w:eastAsia="Times New Roman" w:cstheme="minorHAnsi"/>
          <w:sz w:val="20"/>
          <w:szCs w:val="20"/>
          <w:lang w:eastAsia="en-GB"/>
        </w:rPr>
      </w:pPr>
      <w:r w:rsidRPr="009B3747">
        <w:rPr>
          <w:rFonts w:eastAsia="Times New Roman" w:cstheme="minorHAnsi"/>
          <w:color w:val="000000"/>
          <w:sz w:val="20"/>
          <w:szCs w:val="20"/>
          <w:lang w:eastAsia="en-GB"/>
        </w:rPr>
        <w:t>2.6.1.2 Approaches to childhood and adolescent prevention</w:t>
      </w:r>
      <w:r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1217DC">
        <w:rPr>
          <w:rFonts w:eastAsia="Times New Roman" w:cstheme="minorHAnsi"/>
          <w:color w:val="000000"/>
          <w:sz w:val="20"/>
          <w:szCs w:val="20"/>
          <w:lang w:eastAsia="en-GB"/>
        </w:rPr>
        <w:t>31</w:t>
      </w:r>
    </w:p>
    <w:p w:rsidR="00C34D84" w:rsidRPr="009B3747" w:rsidRDefault="005A7786" w:rsidP="007C05E8">
      <w:pPr>
        <w:spacing w:line="240" w:lineRule="auto"/>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2.7</w:t>
      </w:r>
      <w:r w:rsidR="00C34D84" w:rsidRPr="009B3747">
        <w:rPr>
          <w:rFonts w:eastAsia="Times New Roman" w:cstheme="minorHAnsi"/>
          <w:bCs/>
          <w:color w:val="000000"/>
          <w:sz w:val="20"/>
          <w:szCs w:val="20"/>
          <w:lang w:eastAsia="en-GB"/>
        </w:rPr>
        <w:t xml:space="preserve"> Health promoting schools</w:t>
      </w:r>
      <w:r w:rsidR="0026185B"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00F80BF4" w:rsidRPr="009B3747">
        <w:rPr>
          <w:rFonts w:eastAsia="Times New Roman" w:cstheme="minorHAnsi"/>
          <w:bCs/>
          <w:color w:val="000000"/>
          <w:sz w:val="20"/>
          <w:szCs w:val="20"/>
          <w:lang w:eastAsia="en-GB"/>
        </w:rPr>
        <w:tab/>
      </w:r>
      <w:r w:rsidR="00F80BF4" w:rsidRPr="009B3747">
        <w:rPr>
          <w:rFonts w:eastAsia="Times New Roman" w:cstheme="minorHAnsi"/>
          <w:bCs/>
          <w:color w:val="000000"/>
          <w:sz w:val="20"/>
          <w:szCs w:val="20"/>
          <w:lang w:eastAsia="en-GB"/>
        </w:rPr>
        <w:tab/>
      </w:r>
      <w:r w:rsidR="00F80BF4" w:rsidRPr="009B3747">
        <w:rPr>
          <w:rFonts w:eastAsia="Times New Roman" w:cstheme="minorHAnsi"/>
          <w:bCs/>
          <w:color w:val="000000"/>
          <w:sz w:val="20"/>
          <w:szCs w:val="20"/>
          <w:lang w:eastAsia="en-GB"/>
        </w:rPr>
        <w:tab/>
      </w:r>
      <w:r w:rsidR="00F80BF4" w:rsidRPr="009B3747">
        <w:rPr>
          <w:rFonts w:eastAsia="Times New Roman" w:cstheme="minorHAnsi"/>
          <w:bCs/>
          <w:color w:val="000000"/>
          <w:sz w:val="20"/>
          <w:szCs w:val="20"/>
          <w:lang w:eastAsia="en-GB"/>
        </w:rPr>
        <w:tab/>
      </w:r>
      <w:r w:rsidR="00F80BF4" w:rsidRPr="009B3747">
        <w:rPr>
          <w:rFonts w:eastAsia="Times New Roman" w:cstheme="minorHAnsi"/>
          <w:bCs/>
          <w:color w:val="000000"/>
          <w:sz w:val="20"/>
          <w:szCs w:val="20"/>
          <w:lang w:eastAsia="en-GB"/>
        </w:rPr>
        <w:tab/>
      </w:r>
      <w:r w:rsidR="00F80BF4" w:rsidRPr="009B3747">
        <w:rPr>
          <w:rFonts w:eastAsia="Times New Roman" w:cstheme="minorHAnsi"/>
          <w:bCs/>
          <w:color w:val="000000"/>
          <w:sz w:val="20"/>
          <w:szCs w:val="20"/>
          <w:lang w:eastAsia="en-GB"/>
        </w:rPr>
        <w:tab/>
      </w:r>
      <w:r w:rsidR="00F80BF4" w:rsidRPr="009B3747">
        <w:rPr>
          <w:rFonts w:eastAsia="Times New Roman" w:cstheme="minorHAnsi"/>
          <w:bCs/>
          <w:color w:val="000000"/>
          <w:sz w:val="20"/>
          <w:szCs w:val="20"/>
          <w:lang w:eastAsia="en-GB"/>
        </w:rPr>
        <w:tab/>
      </w:r>
      <w:r w:rsidR="001217DC">
        <w:rPr>
          <w:rFonts w:eastAsia="Times New Roman" w:cstheme="minorHAnsi"/>
          <w:bCs/>
          <w:color w:val="000000"/>
          <w:sz w:val="20"/>
          <w:szCs w:val="20"/>
          <w:lang w:eastAsia="en-GB"/>
        </w:rPr>
        <w:t>32</w:t>
      </w:r>
    </w:p>
    <w:p w:rsidR="00C34D84" w:rsidRPr="009B3747" w:rsidRDefault="005A7786" w:rsidP="007C05E8">
      <w:pPr>
        <w:spacing w:line="240" w:lineRule="auto"/>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ab/>
        <w:t>2.7.1</w:t>
      </w:r>
      <w:r w:rsidR="00C34D84" w:rsidRPr="009B3747">
        <w:rPr>
          <w:rFonts w:eastAsia="Times New Roman" w:cstheme="minorHAnsi"/>
          <w:bCs/>
          <w:color w:val="000000"/>
          <w:sz w:val="20"/>
          <w:szCs w:val="20"/>
          <w:lang w:eastAsia="en-GB"/>
        </w:rPr>
        <w:t xml:space="preserve"> Childhood and adolescent obesity prevention in schools </w:t>
      </w:r>
      <w:r w:rsidR="0026185B" w:rsidRPr="009B3747">
        <w:rPr>
          <w:rFonts w:eastAsia="Times New Roman" w:cstheme="minorHAnsi"/>
          <w:bCs/>
          <w:color w:val="000000"/>
          <w:sz w:val="20"/>
          <w:szCs w:val="20"/>
          <w:lang w:eastAsia="en-GB"/>
        </w:rPr>
        <w:tab/>
      </w:r>
      <w:r w:rsidR="0026185B"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00F80BF4" w:rsidRPr="009B3747">
        <w:rPr>
          <w:rFonts w:eastAsia="Times New Roman" w:cstheme="minorHAnsi"/>
          <w:bCs/>
          <w:color w:val="000000"/>
          <w:sz w:val="20"/>
          <w:szCs w:val="20"/>
          <w:lang w:eastAsia="en-GB"/>
        </w:rPr>
        <w:tab/>
      </w:r>
      <w:r w:rsidR="001217DC">
        <w:rPr>
          <w:rFonts w:eastAsia="Times New Roman" w:cstheme="minorHAnsi"/>
          <w:bCs/>
          <w:color w:val="000000"/>
          <w:sz w:val="20"/>
          <w:szCs w:val="20"/>
          <w:lang w:eastAsia="en-GB"/>
        </w:rPr>
        <w:t>34</w:t>
      </w:r>
    </w:p>
    <w:p w:rsidR="00C34D84" w:rsidRPr="009B3747" w:rsidRDefault="00C34D84" w:rsidP="007C05E8">
      <w:pPr>
        <w:spacing w:line="240" w:lineRule="auto"/>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ab/>
      </w:r>
      <w:r w:rsidR="005A7786" w:rsidRPr="009B3747">
        <w:rPr>
          <w:rFonts w:eastAsia="Times New Roman" w:cstheme="minorHAnsi"/>
          <w:bCs/>
          <w:color w:val="000000"/>
          <w:sz w:val="20"/>
          <w:szCs w:val="20"/>
          <w:lang w:eastAsia="en-GB"/>
        </w:rPr>
        <w:t xml:space="preserve">2.7.2 </w:t>
      </w:r>
      <w:r w:rsidRPr="009B3747">
        <w:rPr>
          <w:rFonts w:eastAsia="Times New Roman" w:cstheme="minorHAnsi"/>
          <w:bCs/>
          <w:color w:val="000000"/>
          <w:sz w:val="20"/>
          <w:szCs w:val="20"/>
          <w:lang w:eastAsia="en-GB"/>
        </w:rPr>
        <w:t xml:space="preserve">Childhood obesity prevention - school stakeholders </w:t>
      </w:r>
      <w:r w:rsidR="0026185B" w:rsidRPr="009B3747">
        <w:rPr>
          <w:rFonts w:eastAsia="Times New Roman" w:cstheme="minorHAnsi"/>
          <w:bCs/>
          <w:color w:val="000000"/>
          <w:sz w:val="20"/>
          <w:szCs w:val="20"/>
          <w:lang w:eastAsia="en-GB"/>
        </w:rPr>
        <w:tab/>
      </w:r>
      <w:r w:rsidR="0026185B" w:rsidRPr="009B3747">
        <w:rPr>
          <w:rFonts w:eastAsia="Times New Roman" w:cstheme="minorHAnsi"/>
          <w:bCs/>
          <w:color w:val="000000"/>
          <w:sz w:val="20"/>
          <w:szCs w:val="20"/>
          <w:lang w:eastAsia="en-GB"/>
        </w:rPr>
        <w:tab/>
      </w:r>
      <w:r w:rsidR="0026185B" w:rsidRPr="009B3747">
        <w:rPr>
          <w:rFonts w:eastAsia="Times New Roman" w:cstheme="minorHAnsi"/>
          <w:bCs/>
          <w:color w:val="000000"/>
          <w:sz w:val="20"/>
          <w:szCs w:val="20"/>
          <w:lang w:eastAsia="en-GB"/>
        </w:rPr>
        <w:tab/>
      </w:r>
      <w:r w:rsidR="005A7786" w:rsidRPr="009B3747">
        <w:rPr>
          <w:rFonts w:eastAsia="Times New Roman" w:cstheme="minorHAnsi"/>
          <w:bCs/>
          <w:color w:val="000000"/>
          <w:sz w:val="20"/>
          <w:szCs w:val="20"/>
          <w:lang w:eastAsia="en-GB"/>
        </w:rPr>
        <w:tab/>
      </w:r>
      <w:r w:rsidR="00F80BF4" w:rsidRPr="009B3747">
        <w:rPr>
          <w:rFonts w:eastAsia="Times New Roman" w:cstheme="minorHAnsi"/>
          <w:bCs/>
          <w:color w:val="000000"/>
          <w:sz w:val="20"/>
          <w:szCs w:val="20"/>
          <w:lang w:eastAsia="en-GB"/>
        </w:rPr>
        <w:tab/>
      </w:r>
      <w:r w:rsidR="001217DC">
        <w:rPr>
          <w:rFonts w:eastAsia="Times New Roman" w:cstheme="minorHAnsi"/>
          <w:bCs/>
          <w:color w:val="000000"/>
          <w:sz w:val="20"/>
          <w:szCs w:val="20"/>
          <w:lang w:eastAsia="en-GB"/>
        </w:rPr>
        <w:t>37</w:t>
      </w:r>
    </w:p>
    <w:p w:rsidR="00C34D84" w:rsidRPr="009B3747" w:rsidRDefault="005A7786" w:rsidP="007C05E8">
      <w:pPr>
        <w:spacing w:line="24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2.8</w:t>
      </w:r>
      <w:r w:rsidR="00C34D84" w:rsidRPr="009B3747">
        <w:rPr>
          <w:rFonts w:eastAsia="Times New Roman" w:cstheme="minorHAnsi"/>
          <w:color w:val="000000"/>
          <w:sz w:val="20"/>
          <w:szCs w:val="20"/>
          <w:lang w:eastAsia="en-GB"/>
        </w:rPr>
        <w:t xml:space="preserve"> The education system in England</w:t>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1217DC">
        <w:rPr>
          <w:rFonts w:eastAsia="Times New Roman" w:cstheme="minorHAnsi"/>
          <w:color w:val="000000"/>
          <w:sz w:val="20"/>
          <w:szCs w:val="20"/>
          <w:lang w:eastAsia="en-GB"/>
        </w:rPr>
        <w:t>38</w:t>
      </w:r>
    </w:p>
    <w:p w:rsidR="00C34D84" w:rsidRPr="009B3747" w:rsidRDefault="00C34D84" w:rsidP="007C05E8">
      <w:pPr>
        <w:spacing w:line="240" w:lineRule="auto"/>
        <w:rPr>
          <w:rFonts w:eastAsia="Times New Roman" w:cstheme="minorHAnsi"/>
          <w:iCs/>
          <w:color w:val="000000"/>
          <w:sz w:val="20"/>
          <w:szCs w:val="20"/>
          <w:lang w:eastAsia="en-GB"/>
        </w:rPr>
      </w:pPr>
      <w:r w:rsidRPr="009B3747">
        <w:rPr>
          <w:rFonts w:eastAsia="Times New Roman" w:cstheme="minorHAnsi"/>
          <w:color w:val="000000"/>
          <w:sz w:val="20"/>
          <w:szCs w:val="20"/>
          <w:lang w:eastAsia="en-GB"/>
        </w:rPr>
        <w:tab/>
      </w:r>
      <w:r w:rsidRPr="009B3747">
        <w:rPr>
          <w:rFonts w:eastAsia="Times New Roman" w:cstheme="minorHAnsi"/>
          <w:iCs/>
          <w:color w:val="000000"/>
          <w:sz w:val="20"/>
          <w:szCs w:val="20"/>
          <w:lang w:eastAsia="en-GB"/>
        </w:rPr>
        <w:t>2.</w:t>
      </w:r>
      <w:r w:rsidR="00F82536" w:rsidRPr="009B3747">
        <w:rPr>
          <w:rFonts w:eastAsia="Times New Roman" w:cstheme="minorHAnsi"/>
          <w:iCs/>
          <w:color w:val="000000"/>
          <w:sz w:val="20"/>
          <w:szCs w:val="20"/>
          <w:lang w:eastAsia="en-GB"/>
        </w:rPr>
        <w:t>8</w:t>
      </w:r>
      <w:r w:rsidR="000F38B0" w:rsidRPr="009B3747">
        <w:rPr>
          <w:rFonts w:eastAsia="Times New Roman" w:cstheme="minorHAnsi"/>
          <w:iCs/>
          <w:color w:val="000000"/>
          <w:sz w:val="20"/>
          <w:szCs w:val="20"/>
          <w:lang w:eastAsia="en-GB"/>
        </w:rPr>
        <w:t>.1</w:t>
      </w:r>
      <w:r w:rsidRPr="009B3747">
        <w:rPr>
          <w:rFonts w:eastAsia="Times New Roman" w:cstheme="minorHAnsi"/>
          <w:iCs/>
          <w:color w:val="000000"/>
          <w:sz w:val="20"/>
          <w:szCs w:val="20"/>
          <w:lang w:eastAsia="en-GB"/>
        </w:rPr>
        <w:t xml:space="preserve"> School characteristics </w:t>
      </w:r>
      <w:r w:rsidR="00F82536" w:rsidRPr="009B3747">
        <w:rPr>
          <w:rFonts w:eastAsia="Times New Roman" w:cstheme="minorHAnsi"/>
          <w:iCs/>
          <w:color w:val="000000"/>
          <w:sz w:val="20"/>
          <w:szCs w:val="20"/>
          <w:lang w:eastAsia="en-GB"/>
        </w:rPr>
        <w:tab/>
      </w:r>
      <w:r w:rsidR="00F82536" w:rsidRPr="009B3747">
        <w:rPr>
          <w:rFonts w:eastAsia="Times New Roman" w:cstheme="minorHAnsi"/>
          <w:iCs/>
          <w:color w:val="000000"/>
          <w:sz w:val="20"/>
          <w:szCs w:val="20"/>
          <w:lang w:eastAsia="en-GB"/>
        </w:rPr>
        <w:tab/>
      </w:r>
      <w:r w:rsidR="00F82536" w:rsidRPr="009B3747">
        <w:rPr>
          <w:rFonts w:eastAsia="Times New Roman" w:cstheme="minorHAnsi"/>
          <w:iCs/>
          <w:color w:val="000000"/>
          <w:sz w:val="20"/>
          <w:szCs w:val="20"/>
          <w:lang w:eastAsia="en-GB"/>
        </w:rPr>
        <w:tab/>
      </w:r>
      <w:r w:rsidR="00F82536" w:rsidRPr="009B3747">
        <w:rPr>
          <w:rFonts w:eastAsia="Times New Roman" w:cstheme="minorHAnsi"/>
          <w:iCs/>
          <w:color w:val="000000"/>
          <w:sz w:val="20"/>
          <w:szCs w:val="20"/>
          <w:lang w:eastAsia="en-GB"/>
        </w:rPr>
        <w:tab/>
      </w:r>
      <w:r w:rsidR="00F82536" w:rsidRPr="009B3747">
        <w:rPr>
          <w:rFonts w:eastAsia="Times New Roman" w:cstheme="minorHAnsi"/>
          <w:iCs/>
          <w:color w:val="000000"/>
          <w:sz w:val="20"/>
          <w:szCs w:val="20"/>
          <w:lang w:eastAsia="en-GB"/>
        </w:rPr>
        <w:tab/>
      </w:r>
      <w:r w:rsidR="00F80BF4" w:rsidRPr="009B3747">
        <w:rPr>
          <w:rFonts w:eastAsia="Times New Roman" w:cstheme="minorHAnsi"/>
          <w:iCs/>
          <w:color w:val="000000"/>
          <w:sz w:val="20"/>
          <w:szCs w:val="20"/>
          <w:lang w:eastAsia="en-GB"/>
        </w:rPr>
        <w:tab/>
      </w:r>
      <w:r w:rsidR="00F80BF4" w:rsidRPr="009B3747">
        <w:rPr>
          <w:rFonts w:eastAsia="Times New Roman" w:cstheme="minorHAnsi"/>
          <w:iCs/>
          <w:color w:val="000000"/>
          <w:sz w:val="20"/>
          <w:szCs w:val="20"/>
          <w:lang w:eastAsia="en-GB"/>
        </w:rPr>
        <w:tab/>
      </w:r>
      <w:r w:rsidR="00F80BF4" w:rsidRPr="009B3747">
        <w:rPr>
          <w:rFonts w:eastAsia="Times New Roman" w:cstheme="minorHAnsi"/>
          <w:iCs/>
          <w:color w:val="000000"/>
          <w:sz w:val="20"/>
          <w:szCs w:val="20"/>
          <w:lang w:eastAsia="en-GB"/>
        </w:rPr>
        <w:tab/>
      </w:r>
      <w:r w:rsidR="001217DC">
        <w:rPr>
          <w:rFonts w:eastAsia="Times New Roman" w:cstheme="minorHAnsi"/>
          <w:iCs/>
          <w:color w:val="000000"/>
          <w:sz w:val="20"/>
          <w:szCs w:val="20"/>
          <w:lang w:eastAsia="en-GB"/>
        </w:rPr>
        <w:t>39</w:t>
      </w:r>
    </w:p>
    <w:p w:rsidR="00C34D84" w:rsidRPr="009B3747" w:rsidRDefault="00F82536" w:rsidP="007C05E8">
      <w:pPr>
        <w:spacing w:line="240" w:lineRule="auto"/>
        <w:ind w:firstLine="720"/>
        <w:rPr>
          <w:rFonts w:eastAsia="Times New Roman" w:cstheme="minorHAnsi"/>
          <w:iCs/>
          <w:color w:val="000000"/>
          <w:sz w:val="20"/>
          <w:szCs w:val="20"/>
          <w:lang w:eastAsia="en-GB"/>
        </w:rPr>
      </w:pPr>
      <w:r w:rsidRPr="009B3747">
        <w:rPr>
          <w:rFonts w:eastAsia="Times New Roman" w:cstheme="minorHAnsi"/>
          <w:iCs/>
          <w:color w:val="000000"/>
          <w:sz w:val="20"/>
          <w:szCs w:val="20"/>
          <w:lang w:eastAsia="en-GB"/>
        </w:rPr>
        <w:t>2.8</w:t>
      </w:r>
      <w:r w:rsidR="000F38B0" w:rsidRPr="009B3747">
        <w:rPr>
          <w:rFonts w:eastAsia="Times New Roman" w:cstheme="minorHAnsi"/>
          <w:iCs/>
          <w:color w:val="000000"/>
          <w:sz w:val="20"/>
          <w:szCs w:val="20"/>
          <w:lang w:eastAsia="en-GB"/>
        </w:rPr>
        <w:t>.2</w:t>
      </w:r>
      <w:r w:rsidR="00C34D84" w:rsidRPr="009B3747">
        <w:rPr>
          <w:rFonts w:eastAsia="Times New Roman" w:cstheme="minorHAnsi"/>
          <w:iCs/>
          <w:color w:val="000000"/>
          <w:sz w:val="20"/>
          <w:szCs w:val="20"/>
          <w:lang w:eastAsia="en-GB"/>
        </w:rPr>
        <w:t xml:space="preserve"> Secondary schools in England</w:t>
      </w:r>
      <w:r w:rsidR="00F80BF4" w:rsidRPr="009B3747">
        <w:rPr>
          <w:rFonts w:eastAsia="Times New Roman" w:cstheme="minorHAnsi"/>
          <w:iCs/>
          <w:color w:val="000000"/>
          <w:sz w:val="20"/>
          <w:szCs w:val="20"/>
          <w:lang w:eastAsia="en-GB"/>
        </w:rPr>
        <w:tab/>
      </w:r>
      <w:r w:rsidR="00F80BF4" w:rsidRPr="009B3747">
        <w:rPr>
          <w:rFonts w:eastAsia="Times New Roman" w:cstheme="minorHAnsi"/>
          <w:iCs/>
          <w:color w:val="000000"/>
          <w:sz w:val="20"/>
          <w:szCs w:val="20"/>
          <w:lang w:eastAsia="en-GB"/>
        </w:rPr>
        <w:tab/>
      </w:r>
      <w:r w:rsidR="00F80BF4" w:rsidRPr="009B3747">
        <w:rPr>
          <w:rFonts w:eastAsia="Times New Roman" w:cstheme="minorHAnsi"/>
          <w:iCs/>
          <w:color w:val="000000"/>
          <w:sz w:val="20"/>
          <w:szCs w:val="20"/>
          <w:lang w:eastAsia="en-GB"/>
        </w:rPr>
        <w:tab/>
      </w:r>
      <w:r w:rsidR="00F80BF4" w:rsidRPr="009B3747">
        <w:rPr>
          <w:rFonts w:eastAsia="Times New Roman" w:cstheme="minorHAnsi"/>
          <w:iCs/>
          <w:color w:val="000000"/>
          <w:sz w:val="20"/>
          <w:szCs w:val="20"/>
          <w:lang w:eastAsia="en-GB"/>
        </w:rPr>
        <w:tab/>
      </w:r>
      <w:r w:rsidR="00F80BF4" w:rsidRPr="009B3747">
        <w:rPr>
          <w:rFonts w:eastAsia="Times New Roman" w:cstheme="minorHAnsi"/>
          <w:iCs/>
          <w:color w:val="000000"/>
          <w:sz w:val="20"/>
          <w:szCs w:val="20"/>
          <w:lang w:eastAsia="en-GB"/>
        </w:rPr>
        <w:tab/>
      </w:r>
      <w:r w:rsidR="00F80BF4" w:rsidRPr="009B3747">
        <w:rPr>
          <w:rFonts w:eastAsia="Times New Roman" w:cstheme="minorHAnsi"/>
          <w:iCs/>
          <w:color w:val="000000"/>
          <w:sz w:val="20"/>
          <w:szCs w:val="20"/>
          <w:lang w:eastAsia="en-GB"/>
        </w:rPr>
        <w:tab/>
      </w:r>
      <w:r w:rsidR="00F80BF4" w:rsidRPr="009B3747">
        <w:rPr>
          <w:rFonts w:eastAsia="Times New Roman" w:cstheme="minorHAnsi"/>
          <w:iCs/>
          <w:color w:val="000000"/>
          <w:sz w:val="20"/>
          <w:szCs w:val="20"/>
          <w:lang w:eastAsia="en-GB"/>
        </w:rPr>
        <w:tab/>
      </w:r>
      <w:r w:rsidR="00F80BF4" w:rsidRPr="009B3747">
        <w:rPr>
          <w:rFonts w:eastAsia="Times New Roman" w:cstheme="minorHAnsi"/>
          <w:iCs/>
          <w:color w:val="000000"/>
          <w:sz w:val="20"/>
          <w:szCs w:val="20"/>
          <w:lang w:eastAsia="en-GB"/>
        </w:rPr>
        <w:tab/>
      </w:r>
      <w:r w:rsidR="001217DC">
        <w:rPr>
          <w:rFonts w:eastAsia="Times New Roman" w:cstheme="minorHAnsi"/>
          <w:iCs/>
          <w:color w:val="000000"/>
          <w:sz w:val="20"/>
          <w:szCs w:val="20"/>
          <w:lang w:eastAsia="en-GB"/>
        </w:rPr>
        <w:t>40</w:t>
      </w:r>
    </w:p>
    <w:p w:rsidR="00C34D84" w:rsidRPr="009B3747" w:rsidRDefault="00F82536" w:rsidP="007C05E8">
      <w:pPr>
        <w:spacing w:line="240" w:lineRule="auto"/>
        <w:ind w:firstLine="720"/>
        <w:rPr>
          <w:rFonts w:eastAsia="Times New Roman" w:cstheme="minorHAnsi"/>
          <w:color w:val="000000"/>
          <w:sz w:val="20"/>
          <w:szCs w:val="20"/>
          <w:lang w:eastAsia="en-GB"/>
        </w:rPr>
      </w:pPr>
      <w:r w:rsidRPr="009B3747">
        <w:rPr>
          <w:rFonts w:eastAsia="Times New Roman" w:cstheme="minorHAnsi"/>
          <w:color w:val="000000"/>
          <w:sz w:val="20"/>
          <w:szCs w:val="20"/>
          <w:lang w:eastAsia="en-GB"/>
        </w:rPr>
        <w:t>2.8</w:t>
      </w:r>
      <w:r w:rsidR="000F38B0" w:rsidRPr="009B3747">
        <w:rPr>
          <w:rFonts w:eastAsia="Times New Roman" w:cstheme="minorHAnsi"/>
          <w:color w:val="000000"/>
          <w:sz w:val="20"/>
          <w:szCs w:val="20"/>
          <w:lang w:eastAsia="en-GB"/>
        </w:rPr>
        <w:t>.3</w:t>
      </w:r>
      <w:r w:rsidR="00C34D84" w:rsidRPr="009B3747">
        <w:rPr>
          <w:rFonts w:eastAsia="Times New Roman" w:cstheme="minorHAnsi"/>
          <w:color w:val="000000"/>
          <w:sz w:val="20"/>
          <w:szCs w:val="20"/>
          <w:lang w:eastAsia="en-GB"/>
        </w:rPr>
        <w:t xml:space="preserve"> School leadership and governance</w:t>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4944F2">
        <w:rPr>
          <w:rFonts w:eastAsia="Times New Roman" w:cstheme="minorHAnsi"/>
          <w:color w:val="000000"/>
          <w:sz w:val="20"/>
          <w:szCs w:val="20"/>
          <w:lang w:eastAsia="en-GB"/>
        </w:rPr>
        <w:t>41</w:t>
      </w:r>
    </w:p>
    <w:p w:rsidR="00C34D84" w:rsidRPr="009B3747" w:rsidRDefault="00C34D84" w:rsidP="007C05E8">
      <w:pPr>
        <w:pStyle w:val="NormalWeb"/>
        <w:spacing w:before="0" w:beforeAutospacing="0" w:after="0" w:afterAutospacing="0"/>
        <w:rPr>
          <w:rFonts w:asciiTheme="minorHAnsi" w:hAnsiTheme="minorHAnsi" w:cstheme="minorHAnsi"/>
          <w:color w:val="000000"/>
          <w:sz w:val="20"/>
          <w:szCs w:val="20"/>
        </w:rPr>
      </w:pPr>
    </w:p>
    <w:p w:rsidR="00B04FA7" w:rsidRPr="009B3747" w:rsidRDefault="00B04FA7" w:rsidP="007C05E8">
      <w:pPr>
        <w:pStyle w:val="NormalWeb"/>
        <w:spacing w:before="0" w:beforeAutospacing="0" w:after="0" w:afterAutospacing="0"/>
        <w:rPr>
          <w:rFonts w:asciiTheme="minorHAnsi" w:hAnsiTheme="minorHAnsi" w:cstheme="minorHAnsi"/>
          <w:b/>
          <w:color w:val="000000"/>
          <w:sz w:val="22"/>
          <w:szCs w:val="22"/>
        </w:rPr>
      </w:pPr>
      <w:r w:rsidRPr="009B3747">
        <w:rPr>
          <w:rFonts w:asciiTheme="minorHAnsi" w:hAnsiTheme="minorHAnsi" w:cstheme="minorHAnsi"/>
          <w:b/>
          <w:color w:val="000000"/>
          <w:sz w:val="22"/>
          <w:szCs w:val="22"/>
        </w:rPr>
        <w:t xml:space="preserve">Chapter 3 – </w:t>
      </w:r>
      <w:r w:rsidR="00C34D84" w:rsidRPr="009B3747">
        <w:rPr>
          <w:rFonts w:asciiTheme="minorHAnsi" w:hAnsiTheme="minorHAnsi" w:cstheme="minorHAnsi"/>
          <w:b/>
          <w:color w:val="000000"/>
          <w:sz w:val="22"/>
          <w:szCs w:val="22"/>
        </w:rPr>
        <w:t xml:space="preserve">Systematic review and qualitative synthesis </w:t>
      </w:r>
      <w:r w:rsidR="00F80BF4" w:rsidRPr="009B3747">
        <w:rPr>
          <w:rFonts w:asciiTheme="minorHAnsi" w:hAnsiTheme="minorHAnsi" w:cstheme="minorHAnsi"/>
          <w:b/>
          <w:color w:val="000000"/>
          <w:sz w:val="22"/>
          <w:szCs w:val="22"/>
        </w:rPr>
        <w:tab/>
      </w:r>
      <w:r w:rsidR="00F80BF4" w:rsidRPr="009B3747">
        <w:rPr>
          <w:rFonts w:asciiTheme="minorHAnsi" w:hAnsiTheme="minorHAnsi" w:cstheme="minorHAnsi"/>
          <w:b/>
          <w:color w:val="000000"/>
          <w:sz w:val="22"/>
          <w:szCs w:val="22"/>
        </w:rPr>
        <w:tab/>
      </w:r>
      <w:r w:rsidR="00F80BF4" w:rsidRPr="009B3747">
        <w:rPr>
          <w:rFonts w:asciiTheme="minorHAnsi" w:hAnsiTheme="minorHAnsi" w:cstheme="minorHAnsi"/>
          <w:b/>
          <w:color w:val="000000"/>
          <w:sz w:val="22"/>
          <w:szCs w:val="22"/>
        </w:rPr>
        <w:tab/>
      </w:r>
      <w:r w:rsidR="00F80BF4" w:rsidRPr="009B3747">
        <w:rPr>
          <w:rFonts w:asciiTheme="minorHAnsi" w:hAnsiTheme="minorHAnsi" w:cstheme="minorHAnsi"/>
          <w:b/>
          <w:color w:val="000000"/>
          <w:sz w:val="22"/>
          <w:szCs w:val="22"/>
        </w:rPr>
        <w:tab/>
      </w:r>
      <w:r w:rsidR="00F80BF4" w:rsidRPr="009B3747">
        <w:rPr>
          <w:rFonts w:asciiTheme="minorHAnsi" w:hAnsiTheme="minorHAnsi" w:cstheme="minorHAnsi"/>
          <w:b/>
          <w:color w:val="000000"/>
          <w:sz w:val="22"/>
          <w:szCs w:val="22"/>
        </w:rPr>
        <w:tab/>
      </w:r>
      <w:r w:rsidR="004944F2">
        <w:rPr>
          <w:rFonts w:asciiTheme="minorHAnsi" w:hAnsiTheme="minorHAnsi" w:cstheme="minorHAnsi"/>
          <w:b/>
          <w:color w:val="000000"/>
          <w:sz w:val="22"/>
          <w:szCs w:val="22"/>
        </w:rPr>
        <w:t>4</w:t>
      </w:r>
      <w:r w:rsidR="008120F3">
        <w:rPr>
          <w:rFonts w:asciiTheme="minorHAnsi" w:hAnsiTheme="minorHAnsi" w:cstheme="minorHAnsi"/>
          <w:b/>
          <w:color w:val="000000"/>
          <w:sz w:val="22"/>
          <w:szCs w:val="22"/>
        </w:rPr>
        <w:t>3</w:t>
      </w:r>
    </w:p>
    <w:p w:rsidR="0026185B" w:rsidRPr="009B3747" w:rsidRDefault="0026185B" w:rsidP="007C05E8">
      <w:pPr>
        <w:spacing w:line="240" w:lineRule="auto"/>
        <w:rPr>
          <w:rFonts w:eastAsia="Times New Roman" w:cstheme="minorHAnsi"/>
          <w:color w:val="000000"/>
          <w:sz w:val="20"/>
          <w:szCs w:val="20"/>
          <w:lang w:eastAsia="en-GB"/>
        </w:rPr>
      </w:pPr>
    </w:p>
    <w:p w:rsidR="00CD3F14" w:rsidRPr="009B3747" w:rsidRDefault="00F80BF4" w:rsidP="007C05E8">
      <w:pPr>
        <w:spacing w:line="24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3.1 Introduction</w:t>
      </w:r>
      <w:r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r>
      <w:r w:rsidR="008120F3">
        <w:rPr>
          <w:rFonts w:eastAsia="Times New Roman" w:cstheme="minorHAnsi"/>
          <w:color w:val="000000"/>
          <w:sz w:val="20"/>
          <w:szCs w:val="20"/>
          <w:lang w:eastAsia="en-GB"/>
        </w:rPr>
        <w:t>43</w:t>
      </w:r>
    </w:p>
    <w:p w:rsidR="00C34D84" w:rsidRPr="009B3747" w:rsidRDefault="00CD3F14" w:rsidP="007C05E8">
      <w:pPr>
        <w:spacing w:line="24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3.2</w:t>
      </w:r>
      <w:r w:rsidR="00C34D84" w:rsidRPr="009B3747">
        <w:rPr>
          <w:rFonts w:eastAsia="Times New Roman" w:cstheme="minorHAnsi"/>
          <w:color w:val="000000"/>
          <w:sz w:val="20"/>
          <w:szCs w:val="20"/>
          <w:lang w:eastAsia="en-GB"/>
        </w:rPr>
        <w:t xml:space="preserve"> Scope of the review</w:t>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8120F3">
        <w:rPr>
          <w:rFonts w:eastAsia="Times New Roman" w:cstheme="minorHAnsi"/>
          <w:color w:val="000000"/>
          <w:sz w:val="20"/>
          <w:szCs w:val="20"/>
          <w:lang w:eastAsia="en-GB"/>
        </w:rPr>
        <w:t>4</w:t>
      </w:r>
      <w:r w:rsidR="000549D0">
        <w:rPr>
          <w:rFonts w:eastAsia="Times New Roman" w:cstheme="minorHAnsi"/>
          <w:color w:val="000000"/>
          <w:sz w:val="20"/>
          <w:szCs w:val="20"/>
          <w:lang w:eastAsia="en-GB"/>
        </w:rPr>
        <w:t>3</w:t>
      </w:r>
    </w:p>
    <w:p w:rsidR="00C34D84" w:rsidRPr="009B3747" w:rsidRDefault="005B2B4F" w:rsidP="007C05E8">
      <w:pPr>
        <w:spacing w:line="240" w:lineRule="auto"/>
        <w:ind w:firstLine="720"/>
        <w:rPr>
          <w:rFonts w:eastAsia="Times New Roman" w:cstheme="minorHAnsi"/>
          <w:color w:val="000000"/>
          <w:sz w:val="20"/>
          <w:szCs w:val="20"/>
          <w:lang w:eastAsia="en-GB"/>
        </w:rPr>
      </w:pPr>
      <w:r w:rsidRPr="009B3747">
        <w:rPr>
          <w:rFonts w:eastAsia="Times New Roman" w:cstheme="minorHAnsi"/>
          <w:color w:val="000000"/>
          <w:sz w:val="20"/>
          <w:szCs w:val="20"/>
          <w:lang w:eastAsia="en-GB"/>
        </w:rPr>
        <w:t>3.2.1</w:t>
      </w:r>
      <w:r w:rsidR="00C34D84" w:rsidRPr="009B3747">
        <w:rPr>
          <w:rFonts w:eastAsia="Times New Roman" w:cstheme="minorHAnsi"/>
          <w:color w:val="000000"/>
          <w:sz w:val="20"/>
          <w:szCs w:val="20"/>
          <w:lang w:eastAsia="en-GB"/>
        </w:rPr>
        <w:t xml:space="preserve"> Defining the scope</w:t>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0549D0">
        <w:rPr>
          <w:rFonts w:eastAsia="Times New Roman" w:cstheme="minorHAnsi"/>
          <w:color w:val="000000"/>
          <w:sz w:val="20"/>
          <w:szCs w:val="20"/>
          <w:lang w:eastAsia="en-GB"/>
        </w:rPr>
        <w:t>45</w:t>
      </w:r>
    </w:p>
    <w:p w:rsidR="005B2B4F" w:rsidRPr="009B3747" w:rsidRDefault="005B2B4F" w:rsidP="007C05E8">
      <w:pPr>
        <w:spacing w:line="240" w:lineRule="auto"/>
        <w:rPr>
          <w:rFonts w:eastAsia="Times New Roman" w:cstheme="minorHAnsi"/>
          <w:sz w:val="20"/>
          <w:szCs w:val="20"/>
          <w:lang w:eastAsia="en-GB"/>
        </w:rPr>
      </w:pPr>
      <w:r w:rsidRPr="009B3747">
        <w:rPr>
          <w:rFonts w:eastAsia="Times New Roman" w:cstheme="minorHAnsi"/>
          <w:color w:val="000000"/>
          <w:sz w:val="20"/>
          <w:szCs w:val="20"/>
          <w:lang w:eastAsia="en-GB"/>
        </w:rPr>
        <w:t>3.3 Review methods</w:t>
      </w:r>
      <w:r w:rsidR="00C0654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00C0654B"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0549D0">
        <w:rPr>
          <w:rFonts w:eastAsia="Times New Roman" w:cstheme="minorHAnsi"/>
          <w:color w:val="000000"/>
          <w:sz w:val="20"/>
          <w:szCs w:val="20"/>
          <w:lang w:eastAsia="en-GB"/>
        </w:rPr>
        <w:t>47</w:t>
      </w:r>
      <w:r w:rsidR="0026185B"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 xml:space="preserve">3.3.1 Search strategy </w:t>
      </w:r>
      <w:r w:rsidR="004237EA" w:rsidRPr="009B3747">
        <w:rPr>
          <w:rFonts w:eastAsia="Times New Roman" w:cstheme="minorHAnsi"/>
          <w:color w:val="000000"/>
          <w:sz w:val="20"/>
          <w:szCs w:val="20"/>
          <w:lang w:eastAsia="en-GB"/>
        </w:rPr>
        <w:tab/>
      </w:r>
      <w:r w:rsidR="000549D0">
        <w:rPr>
          <w:rFonts w:eastAsia="Times New Roman" w:cstheme="minorHAnsi"/>
          <w:color w:val="000000"/>
          <w:sz w:val="20"/>
          <w:szCs w:val="20"/>
          <w:lang w:eastAsia="en-GB"/>
        </w:rPr>
        <w:tab/>
      </w:r>
      <w:r w:rsidR="000549D0">
        <w:rPr>
          <w:rFonts w:eastAsia="Times New Roman" w:cstheme="minorHAnsi"/>
          <w:color w:val="000000"/>
          <w:sz w:val="20"/>
          <w:szCs w:val="20"/>
          <w:lang w:eastAsia="en-GB"/>
        </w:rPr>
        <w:tab/>
      </w:r>
      <w:r w:rsidR="000549D0">
        <w:rPr>
          <w:rFonts w:eastAsia="Times New Roman" w:cstheme="minorHAnsi"/>
          <w:color w:val="000000"/>
          <w:sz w:val="20"/>
          <w:szCs w:val="20"/>
          <w:lang w:eastAsia="en-GB"/>
        </w:rPr>
        <w:tab/>
      </w:r>
      <w:r w:rsidR="000549D0">
        <w:rPr>
          <w:rFonts w:eastAsia="Times New Roman" w:cstheme="minorHAnsi"/>
          <w:color w:val="000000"/>
          <w:sz w:val="20"/>
          <w:szCs w:val="20"/>
          <w:lang w:eastAsia="en-GB"/>
        </w:rPr>
        <w:tab/>
      </w:r>
      <w:r w:rsidR="000549D0">
        <w:rPr>
          <w:rFonts w:eastAsia="Times New Roman" w:cstheme="minorHAnsi"/>
          <w:color w:val="000000"/>
          <w:sz w:val="20"/>
          <w:szCs w:val="20"/>
          <w:lang w:eastAsia="en-GB"/>
        </w:rPr>
        <w:tab/>
      </w:r>
      <w:r w:rsidR="000549D0">
        <w:rPr>
          <w:rFonts w:eastAsia="Times New Roman" w:cstheme="minorHAnsi"/>
          <w:color w:val="000000"/>
          <w:sz w:val="20"/>
          <w:szCs w:val="20"/>
          <w:lang w:eastAsia="en-GB"/>
        </w:rPr>
        <w:tab/>
      </w:r>
      <w:r w:rsidR="000549D0">
        <w:rPr>
          <w:rFonts w:eastAsia="Times New Roman" w:cstheme="minorHAnsi"/>
          <w:color w:val="000000"/>
          <w:sz w:val="20"/>
          <w:szCs w:val="20"/>
          <w:lang w:eastAsia="en-GB"/>
        </w:rPr>
        <w:tab/>
      </w:r>
      <w:r w:rsidR="000549D0">
        <w:rPr>
          <w:rFonts w:eastAsia="Times New Roman" w:cstheme="minorHAnsi"/>
          <w:color w:val="000000"/>
          <w:sz w:val="20"/>
          <w:szCs w:val="20"/>
          <w:lang w:eastAsia="en-GB"/>
        </w:rPr>
        <w:tab/>
        <w:t>47</w:t>
      </w:r>
    </w:p>
    <w:p w:rsidR="00C34D84" w:rsidRPr="009B3747" w:rsidRDefault="005B2B4F" w:rsidP="007C05E8">
      <w:pPr>
        <w:spacing w:line="240" w:lineRule="auto"/>
        <w:ind w:firstLine="720"/>
        <w:rPr>
          <w:rFonts w:eastAsia="Times New Roman" w:cstheme="minorHAnsi"/>
          <w:color w:val="000000"/>
          <w:sz w:val="20"/>
          <w:szCs w:val="20"/>
          <w:lang w:eastAsia="en-GB"/>
        </w:rPr>
      </w:pPr>
      <w:r w:rsidRPr="009B3747">
        <w:rPr>
          <w:rFonts w:eastAsia="Times New Roman" w:cstheme="minorHAnsi"/>
          <w:color w:val="000000"/>
          <w:sz w:val="20"/>
          <w:szCs w:val="20"/>
          <w:lang w:eastAsia="en-GB"/>
        </w:rPr>
        <w:lastRenderedPageBreak/>
        <w:t>3.3.2</w:t>
      </w:r>
      <w:r w:rsidR="00C34D84" w:rsidRPr="009B3747">
        <w:rPr>
          <w:rFonts w:eastAsia="Times New Roman" w:cstheme="minorHAnsi"/>
          <w:color w:val="000000"/>
          <w:sz w:val="20"/>
          <w:szCs w:val="20"/>
          <w:lang w:eastAsia="en-GB"/>
        </w:rPr>
        <w:t xml:space="preserve"> Screening and selecting studies</w:t>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0549D0">
        <w:rPr>
          <w:rFonts w:eastAsia="Times New Roman" w:cstheme="minorHAnsi"/>
          <w:color w:val="000000"/>
          <w:sz w:val="20"/>
          <w:szCs w:val="20"/>
          <w:lang w:eastAsia="en-GB"/>
        </w:rPr>
        <w:t>48</w:t>
      </w:r>
    </w:p>
    <w:p w:rsidR="00C34D84" w:rsidRPr="009B3747" w:rsidRDefault="005B2B4F" w:rsidP="007C05E8">
      <w:pPr>
        <w:spacing w:line="240" w:lineRule="auto"/>
        <w:ind w:firstLine="720"/>
        <w:rPr>
          <w:rFonts w:eastAsia="Times New Roman" w:cstheme="minorHAnsi"/>
          <w:color w:val="000000"/>
          <w:sz w:val="20"/>
          <w:szCs w:val="20"/>
          <w:lang w:eastAsia="en-GB"/>
        </w:rPr>
      </w:pPr>
      <w:r w:rsidRPr="009B3747">
        <w:rPr>
          <w:rFonts w:eastAsia="Times New Roman" w:cstheme="minorHAnsi"/>
          <w:color w:val="000000"/>
          <w:sz w:val="20"/>
          <w:szCs w:val="20"/>
          <w:lang w:eastAsia="en-GB"/>
        </w:rPr>
        <w:t>3.3.3</w:t>
      </w:r>
      <w:r w:rsidR="00C34D84" w:rsidRPr="009B3747">
        <w:rPr>
          <w:rFonts w:eastAsia="Times New Roman" w:cstheme="minorHAnsi"/>
          <w:color w:val="000000"/>
          <w:sz w:val="20"/>
          <w:szCs w:val="20"/>
          <w:lang w:eastAsia="en-GB"/>
        </w:rPr>
        <w:t xml:space="preserve"> Quality assessment method</w:t>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0549D0">
        <w:rPr>
          <w:rFonts w:eastAsia="Times New Roman" w:cstheme="minorHAnsi"/>
          <w:color w:val="000000"/>
          <w:sz w:val="20"/>
          <w:szCs w:val="20"/>
          <w:lang w:eastAsia="en-GB"/>
        </w:rPr>
        <w:t>49</w:t>
      </w:r>
    </w:p>
    <w:p w:rsidR="00983506" w:rsidRPr="009B3747" w:rsidRDefault="005B2B4F" w:rsidP="007C05E8">
      <w:pPr>
        <w:spacing w:line="240" w:lineRule="auto"/>
        <w:ind w:firstLine="720"/>
        <w:rPr>
          <w:rFonts w:eastAsia="Times New Roman" w:cstheme="minorHAnsi"/>
          <w:color w:val="000000"/>
          <w:sz w:val="20"/>
          <w:szCs w:val="20"/>
          <w:lang w:eastAsia="en-GB"/>
        </w:rPr>
      </w:pPr>
      <w:r w:rsidRPr="009B3747">
        <w:rPr>
          <w:rFonts w:eastAsia="Times New Roman" w:cstheme="minorHAnsi"/>
          <w:color w:val="000000"/>
          <w:sz w:val="20"/>
          <w:szCs w:val="20"/>
          <w:lang w:eastAsia="en-GB"/>
        </w:rPr>
        <w:t>3.3.4</w:t>
      </w:r>
      <w:r w:rsidR="00983506" w:rsidRPr="009B3747">
        <w:rPr>
          <w:rFonts w:eastAsia="Times New Roman" w:cstheme="minorHAnsi"/>
          <w:color w:val="000000"/>
          <w:sz w:val="20"/>
          <w:szCs w:val="20"/>
          <w:lang w:eastAsia="en-GB"/>
        </w:rPr>
        <w:t xml:space="preserve"> Data extraction </w:t>
      </w:r>
      <w:r w:rsidR="0026185B"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0549D0">
        <w:rPr>
          <w:rFonts w:eastAsia="Times New Roman" w:cstheme="minorHAnsi"/>
          <w:color w:val="000000"/>
          <w:sz w:val="20"/>
          <w:szCs w:val="20"/>
          <w:lang w:eastAsia="en-GB"/>
        </w:rPr>
        <w:t>50</w:t>
      </w:r>
    </w:p>
    <w:p w:rsidR="00983506" w:rsidRPr="009B3747" w:rsidRDefault="005B2B4F" w:rsidP="007C05E8">
      <w:pPr>
        <w:spacing w:line="240" w:lineRule="auto"/>
        <w:ind w:firstLine="720"/>
        <w:rPr>
          <w:rFonts w:eastAsia="Times New Roman" w:cstheme="minorHAnsi"/>
          <w:color w:val="000000"/>
          <w:sz w:val="20"/>
          <w:szCs w:val="20"/>
          <w:lang w:eastAsia="en-GB"/>
        </w:rPr>
      </w:pPr>
      <w:r w:rsidRPr="009B3747">
        <w:rPr>
          <w:rFonts w:eastAsia="Times New Roman" w:cstheme="minorHAnsi"/>
          <w:color w:val="000000"/>
          <w:sz w:val="20"/>
          <w:szCs w:val="20"/>
          <w:lang w:eastAsia="en-GB"/>
        </w:rPr>
        <w:t>3.3.5</w:t>
      </w:r>
      <w:r w:rsidR="00983506" w:rsidRPr="009B3747">
        <w:rPr>
          <w:rFonts w:eastAsia="Times New Roman" w:cstheme="minorHAnsi"/>
          <w:color w:val="000000"/>
          <w:sz w:val="20"/>
          <w:szCs w:val="20"/>
          <w:lang w:eastAsia="en-GB"/>
        </w:rPr>
        <w:t xml:space="preserve"> Data synthesis and analysis </w:t>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0549D0">
        <w:rPr>
          <w:rFonts w:eastAsia="Times New Roman" w:cstheme="minorHAnsi"/>
          <w:color w:val="000000"/>
          <w:sz w:val="20"/>
          <w:szCs w:val="20"/>
          <w:lang w:eastAsia="en-GB"/>
        </w:rPr>
        <w:t>51</w:t>
      </w:r>
    </w:p>
    <w:p w:rsidR="005B2B4F" w:rsidRPr="009B3747" w:rsidRDefault="005B2B4F" w:rsidP="007C05E8">
      <w:pPr>
        <w:spacing w:line="24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3.4</w:t>
      </w:r>
      <w:r w:rsidR="00983506" w:rsidRPr="009B3747">
        <w:rPr>
          <w:rFonts w:eastAsia="Times New Roman" w:cstheme="minorHAnsi"/>
          <w:color w:val="000000"/>
          <w:sz w:val="20"/>
          <w:szCs w:val="20"/>
          <w:lang w:eastAsia="en-GB"/>
        </w:rPr>
        <w:t xml:space="preserve"> </w:t>
      </w:r>
      <w:r w:rsidRPr="009B3747">
        <w:rPr>
          <w:rFonts w:eastAsia="Times New Roman" w:cstheme="minorHAnsi"/>
          <w:color w:val="000000"/>
          <w:sz w:val="20"/>
          <w:szCs w:val="20"/>
          <w:lang w:eastAsia="en-GB"/>
        </w:rPr>
        <w:t>Results of the review</w:t>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0549D0">
        <w:rPr>
          <w:rFonts w:eastAsia="Times New Roman" w:cstheme="minorHAnsi"/>
          <w:color w:val="000000"/>
          <w:sz w:val="20"/>
          <w:szCs w:val="20"/>
          <w:lang w:eastAsia="en-GB"/>
        </w:rPr>
        <w:t>53</w:t>
      </w:r>
    </w:p>
    <w:p w:rsidR="00C967E9" w:rsidRPr="009B3747" w:rsidRDefault="00C967E9" w:rsidP="007C05E8">
      <w:pPr>
        <w:spacing w:line="240" w:lineRule="auto"/>
        <w:ind w:firstLine="720"/>
        <w:rPr>
          <w:rFonts w:eastAsia="Times New Roman" w:cstheme="minorHAnsi"/>
          <w:color w:val="000000"/>
          <w:sz w:val="20"/>
          <w:szCs w:val="20"/>
          <w:lang w:eastAsia="en-GB"/>
        </w:rPr>
      </w:pPr>
      <w:r w:rsidRPr="009B3747">
        <w:rPr>
          <w:rFonts w:eastAsia="Times New Roman" w:cstheme="minorHAnsi"/>
          <w:color w:val="000000"/>
          <w:sz w:val="20"/>
          <w:szCs w:val="20"/>
          <w:lang w:eastAsia="en-GB"/>
        </w:rPr>
        <w:t>3.4.1</w:t>
      </w:r>
      <w:r w:rsidR="00F80BF4" w:rsidRPr="009B3747">
        <w:rPr>
          <w:rFonts w:eastAsia="Times New Roman" w:cstheme="minorHAnsi"/>
          <w:color w:val="000000"/>
          <w:sz w:val="20"/>
          <w:szCs w:val="20"/>
          <w:lang w:eastAsia="en-GB"/>
        </w:rPr>
        <w:t xml:space="preserve"> Study selection</w:t>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0549D0">
        <w:rPr>
          <w:rFonts w:eastAsia="Times New Roman" w:cstheme="minorHAnsi"/>
          <w:color w:val="000000"/>
          <w:sz w:val="20"/>
          <w:szCs w:val="20"/>
          <w:lang w:eastAsia="en-GB"/>
        </w:rPr>
        <w:t>53</w:t>
      </w:r>
    </w:p>
    <w:p w:rsidR="00983506" w:rsidRPr="009B3747" w:rsidRDefault="00C967E9" w:rsidP="007C05E8">
      <w:pPr>
        <w:spacing w:line="240" w:lineRule="auto"/>
        <w:ind w:firstLine="720"/>
        <w:rPr>
          <w:rFonts w:eastAsia="Times New Roman" w:cstheme="minorHAnsi"/>
          <w:color w:val="000000"/>
          <w:sz w:val="20"/>
          <w:szCs w:val="20"/>
          <w:lang w:eastAsia="en-GB"/>
        </w:rPr>
      </w:pPr>
      <w:r w:rsidRPr="009B3747">
        <w:rPr>
          <w:rFonts w:eastAsia="Times New Roman" w:cstheme="minorHAnsi"/>
          <w:color w:val="000000"/>
          <w:sz w:val="20"/>
          <w:szCs w:val="20"/>
          <w:lang w:eastAsia="en-GB"/>
        </w:rPr>
        <w:t>3.4.2</w:t>
      </w:r>
      <w:r w:rsidR="005B2B4F" w:rsidRPr="009B3747">
        <w:rPr>
          <w:rFonts w:eastAsia="Times New Roman" w:cstheme="minorHAnsi"/>
          <w:color w:val="000000"/>
          <w:sz w:val="20"/>
          <w:szCs w:val="20"/>
          <w:lang w:eastAsia="en-GB"/>
        </w:rPr>
        <w:t xml:space="preserve"> </w:t>
      </w:r>
      <w:r w:rsidR="00983506" w:rsidRPr="009B3747">
        <w:rPr>
          <w:rFonts w:eastAsia="Times New Roman" w:cstheme="minorHAnsi"/>
          <w:color w:val="000000"/>
          <w:sz w:val="20"/>
          <w:szCs w:val="20"/>
          <w:lang w:eastAsia="en-GB"/>
        </w:rPr>
        <w:t>Characteristics of included studies</w:t>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0549D0">
        <w:rPr>
          <w:rFonts w:eastAsia="Times New Roman" w:cstheme="minorHAnsi"/>
          <w:color w:val="000000"/>
          <w:sz w:val="20"/>
          <w:szCs w:val="20"/>
          <w:lang w:eastAsia="en-GB"/>
        </w:rPr>
        <w:t>54</w:t>
      </w:r>
    </w:p>
    <w:p w:rsidR="00983506" w:rsidRPr="009B3747" w:rsidRDefault="00C967E9" w:rsidP="007C05E8">
      <w:pPr>
        <w:spacing w:line="240" w:lineRule="auto"/>
        <w:ind w:firstLine="720"/>
        <w:rPr>
          <w:rFonts w:eastAsia="Times New Roman" w:cstheme="minorHAnsi"/>
          <w:color w:val="000000"/>
          <w:sz w:val="20"/>
          <w:szCs w:val="20"/>
          <w:lang w:eastAsia="en-GB"/>
        </w:rPr>
      </w:pPr>
      <w:r w:rsidRPr="009B3747">
        <w:rPr>
          <w:rFonts w:eastAsia="Times New Roman" w:cstheme="minorHAnsi"/>
          <w:color w:val="000000"/>
          <w:sz w:val="20"/>
          <w:szCs w:val="20"/>
          <w:lang w:eastAsia="en-GB"/>
        </w:rPr>
        <w:t>3.4.3</w:t>
      </w:r>
      <w:r w:rsidR="00983506" w:rsidRPr="009B3747">
        <w:rPr>
          <w:rFonts w:eastAsia="Times New Roman" w:cstheme="minorHAnsi"/>
          <w:color w:val="000000"/>
          <w:sz w:val="20"/>
          <w:szCs w:val="20"/>
          <w:lang w:eastAsia="en-GB"/>
        </w:rPr>
        <w:t xml:space="preserve"> Results of quality assessment</w:t>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0549D0">
        <w:rPr>
          <w:rFonts w:eastAsia="Times New Roman" w:cstheme="minorHAnsi"/>
          <w:color w:val="000000"/>
          <w:sz w:val="20"/>
          <w:szCs w:val="20"/>
          <w:lang w:eastAsia="en-GB"/>
        </w:rPr>
        <w:t>58</w:t>
      </w:r>
    </w:p>
    <w:p w:rsidR="00983506" w:rsidRPr="009B3747" w:rsidRDefault="00C967E9" w:rsidP="007C05E8">
      <w:pPr>
        <w:spacing w:line="240" w:lineRule="auto"/>
        <w:ind w:firstLine="720"/>
        <w:rPr>
          <w:rFonts w:eastAsia="Times New Roman" w:cstheme="minorHAnsi"/>
          <w:color w:val="000000"/>
          <w:sz w:val="20"/>
          <w:szCs w:val="20"/>
          <w:lang w:eastAsia="en-GB"/>
        </w:rPr>
      </w:pPr>
      <w:r w:rsidRPr="009B3747">
        <w:rPr>
          <w:rFonts w:eastAsia="Times New Roman" w:cstheme="minorHAnsi"/>
          <w:color w:val="000000"/>
          <w:sz w:val="20"/>
          <w:szCs w:val="20"/>
          <w:lang w:eastAsia="en-GB"/>
        </w:rPr>
        <w:t>3.4.4</w:t>
      </w:r>
      <w:r w:rsidR="00983506" w:rsidRPr="009B3747">
        <w:rPr>
          <w:rFonts w:eastAsia="Times New Roman" w:cstheme="minorHAnsi"/>
          <w:color w:val="000000"/>
          <w:sz w:val="20"/>
          <w:szCs w:val="20"/>
          <w:lang w:eastAsia="en-GB"/>
        </w:rPr>
        <w:t xml:space="preserve"> Key findings from the thematic synthesis </w:t>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0549D0">
        <w:rPr>
          <w:rFonts w:eastAsia="Times New Roman" w:cstheme="minorHAnsi"/>
          <w:color w:val="000000"/>
          <w:sz w:val="20"/>
          <w:szCs w:val="20"/>
          <w:lang w:eastAsia="en-GB"/>
        </w:rPr>
        <w:t>61</w:t>
      </w:r>
    </w:p>
    <w:p w:rsidR="002A3A24" w:rsidRPr="009B3747" w:rsidRDefault="002A3A24" w:rsidP="007C05E8">
      <w:pPr>
        <w:spacing w:line="24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t>3.4.4.1 Theme 1 - Existenc</w:t>
      </w:r>
      <w:r w:rsidR="00F80BF4" w:rsidRPr="009B3747">
        <w:rPr>
          <w:rFonts w:eastAsia="Times New Roman" w:cstheme="minorHAnsi"/>
          <w:color w:val="000000"/>
          <w:sz w:val="20"/>
          <w:szCs w:val="20"/>
          <w:lang w:eastAsia="en-GB"/>
        </w:rPr>
        <w:t xml:space="preserve">e of childhood obesity </w:t>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0549D0">
        <w:rPr>
          <w:rFonts w:eastAsia="Times New Roman" w:cstheme="minorHAnsi"/>
          <w:color w:val="000000"/>
          <w:sz w:val="20"/>
          <w:szCs w:val="20"/>
          <w:lang w:eastAsia="en-GB"/>
        </w:rPr>
        <w:t>61</w:t>
      </w:r>
    </w:p>
    <w:p w:rsidR="002A3A24" w:rsidRPr="009B3747" w:rsidRDefault="002A3A24" w:rsidP="007C05E8">
      <w:pPr>
        <w:spacing w:line="240" w:lineRule="auto"/>
        <w:ind w:left="720" w:firstLine="720"/>
        <w:rPr>
          <w:rFonts w:eastAsia="Times New Roman" w:cstheme="minorHAnsi"/>
          <w:sz w:val="20"/>
          <w:szCs w:val="20"/>
          <w:lang w:eastAsia="en-GB"/>
        </w:rPr>
      </w:pPr>
      <w:r w:rsidRPr="009B3747">
        <w:rPr>
          <w:rFonts w:eastAsia="Times New Roman" w:cstheme="minorHAnsi"/>
          <w:color w:val="000000"/>
          <w:sz w:val="20"/>
          <w:szCs w:val="20"/>
          <w:lang w:eastAsia="en-GB"/>
        </w:rPr>
        <w:t>3.4.4.2 Theme two - The school setting</w:t>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0549D0">
        <w:rPr>
          <w:rFonts w:eastAsia="Times New Roman" w:cstheme="minorHAnsi"/>
          <w:color w:val="000000"/>
          <w:sz w:val="20"/>
          <w:szCs w:val="20"/>
          <w:lang w:eastAsia="en-GB"/>
        </w:rPr>
        <w:t>64</w:t>
      </w:r>
    </w:p>
    <w:p w:rsidR="002A3A24" w:rsidRPr="009B3747" w:rsidRDefault="002A3A24" w:rsidP="007C05E8">
      <w:pPr>
        <w:spacing w:line="240" w:lineRule="auto"/>
        <w:ind w:left="720" w:firstLine="720"/>
        <w:rPr>
          <w:rFonts w:eastAsia="Times New Roman" w:cstheme="minorHAnsi"/>
          <w:color w:val="000000"/>
          <w:sz w:val="20"/>
          <w:szCs w:val="20"/>
          <w:lang w:eastAsia="en-GB"/>
        </w:rPr>
      </w:pPr>
      <w:r w:rsidRPr="009B3747">
        <w:rPr>
          <w:rFonts w:eastAsia="Times New Roman" w:cstheme="minorHAnsi"/>
          <w:color w:val="000000"/>
          <w:sz w:val="20"/>
          <w:szCs w:val="20"/>
          <w:lang w:eastAsia="en-GB"/>
        </w:rPr>
        <w:t>3.4.4.3 Theme 3 - Constraining factors</w:t>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F80BF4" w:rsidRPr="009B3747">
        <w:rPr>
          <w:rFonts w:eastAsia="Times New Roman" w:cstheme="minorHAnsi"/>
          <w:color w:val="000000"/>
          <w:sz w:val="20"/>
          <w:szCs w:val="20"/>
          <w:lang w:eastAsia="en-GB"/>
        </w:rPr>
        <w:tab/>
      </w:r>
      <w:r w:rsidR="000549D0">
        <w:rPr>
          <w:rFonts w:eastAsia="Times New Roman" w:cstheme="minorHAnsi"/>
          <w:color w:val="000000"/>
          <w:sz w:val="20"/>
          <w:szCs w:val="20"/>
          <w:lang w:eastAsia="en-GB"/>
        </w:rPr>
        <w:t>66</w:t>
      </w:r>
    </w:p>
    <w:p w:rsidR="002A3A24" w:rsidRPr="009B3747" w:rsidRDefault="002A3A24" w:rsidP="007C05E8">
      <w:pPr>
        <w:spacing w:line="240" w:lineRule="auto"/>
        <w:ind w:left="720" w:firstLine="720"/>
        <w:rPr>
          <w:rFonts w:eastAsia="Times New Roman" w:cstheme="minorHAnsi"/>
          <w:sz w:val="20"/>
          <w:szCs w:val="20"/>
          <w:lang w:eastAsia="en-GB"/>
        </w:rPr>
      </w:pPr>
      <w:r w:rsidRPr="009B3747">
        <w:rPr>
          <w:rFonts w:eastAsia="Times New Roman" w:cstheme="minorHAnsi"/>
          <w:color w:val="000000"/>
          <w:sz w:val="20"/>
          <w:szCs w:val="20"/>
          <w:lang w:eastAsia="en-GB"/>
        </w:rPr>
        <w:t>3.4.4.4 Theme 4 - Enabling factors</w:t>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0549D0">
        <w:rPr>
          <w:rFonts w:eastAsia="Times New Roman" w:cstheme="minorHAnsi"/>
          <w:color w:val="000000"/>
          <w:sz w:val="20"/>
          <w:szCs w:val="20"/>
          <w:lang w:eastAsia="en-GB"/>
        </w:rPr>
        <w:t>68</w:t>
      </w:r>
    </w:p>
    <w:p w:rsidR="00983506" w:rsidRPr="009B3747" w:rsidRDefault="005B2B4F" w:rsidP="007C05E8">
      <w:pPr>
        <w:spacing w:line="24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3.5</w:t>
      </w:r>
      <w:r w:rsidR="00983506" w:rsidRPr="009B3747">
        <w:rPr>
          <w:rFonts w:eastAsia="Times New Roman" w:cstheme="minorHAnsi"/>
          <w:color w:val="000000"/>
          <w:sz w:val="20"/>
          <w:szCs w:val="20"/>
          <w:lang w:eastAsia="en-GB"/>
        </w:rPr>
        <w:t xml:space="preserve"> Discussion</w:t>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0549D0">
        <w:rPr>
          <w:rFonts w:eastAsia="Times New Roman" w:cstheme="minorHAnsi"/>
          <w:color w:val="000000"/>
          <w:sz w:val="20"/>
          <w:szCs w:val="20"/>
          <w:lang w:eastAsia="en-GB"/>
        </w:rPr>
        <w:t>69</w:t>
      </w:r>
    </w:p>
    <w:p w:rsidR="00983506" w:rsidRPr="009B3747" w:rsidRDefault="005B2B4F" w:rsidP="007C05E8">
      <w:pPr>
        <w:spacing w:line="24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ab/>
        <w:t>3.5</w:t>
      </w:r>
      <w:r w:rsidR="00983506" w:rsidRPr="009B3747">
        <w:rPr>
          <w:rFonts w:eastAsia="Times New Roman" w:cstheme="minorHAnsi"/>
          <w:color w:val="000000"/>
          <w:sz w:val="20"/>
          <w:szCs w:val="20"/>
          <w:lang w:eastAsia="en-GB"/>
        </w:rPr>
        <w:t>.1 Limitations</w:t>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0549D0">
        <w:rPr>
          <w:rFonts w:eastAsia="Times New Roman" w:cstheme="minorHAnsi"/>
          <w:color w:val="000000"/>
          <w:sz w:val="20"/>
          <w:szCs w:val="20"/>
          <w:lang w:eastAsia="en-GB"/>
        </w:rPr>
        <w:t>71</w:t>
      </w:r>
    </w:p>
    <w:p w:rsidR="00983506" w:rsidRPr="009B3747" w:rsidRDefault="005B2B4F" w:rsidP="007C05E8">
      <w:pPr>
        <w:spacing w:line="24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3.6</w:t>
      </w:r>
      <w:r w:rsidR="00983506" w:rsidRPr="009B3747">
        <w:rPr>
          <w:rFonts w:eastAsia="Times New Roman" w:cstheme="minorHAnsi"/>
          <w:color w:val="000000"/>
          <w:sz w:val="20"/>
          <w:szCs w:val="20"/>
          <w:lang w:eastAsia="en-GB"/>
        </w:rPr>
        <w:t xml:space="preserve"> Conclusion and recommendations for further research</w:t>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0549D0">
        <w:rPr>
          <w:rFonts w:eastAsia="Times New Roman" w:cstheme="minorHAnsi"/>
          <w:color w:val="000000"/>
          <w:sz w:val="20"/>
          <w:szCs w:val="20"/>
          <w:lang w:eastAsia="en-GB"/>
        </w:rPr>
        <w:t>72</w:t>
      </w:r>
    </w:p>
    <w:p w:rsidR="00983506" w:rsidRPr="009B3747" w:rsidRDefault="005B2B4F" w:rsidP="007C05E8">
      <w:pPr>
        <w:spacing w:line="240" w:lineRule="auto"/>
        <w:rPr>
          <w:rFonts w:eastAsia="Times New Roman" w:cstheme="minorHAnsi"/>
          <w:sz w:val="20"/>
          <w:szCs w:val="20"/>
          <w:lang w:eastAsia="en-GB"/>
        </w:rPr>
      </w:pPr>
      <w:r w:rsidRPr="009B3747">
        <w:rPr>
          <w:rFonts w:eastAsia="Times New Roman" w:cstheme="minorHAnsi"/>
          <w:sz w:val="20"/>
          <w:szCs w:val="20"/>
          <w:lang w:eastAsia="en-GB"/>
        </w:rPr>
        <w:t>3.7</w:t>
      </w:r>
      <w:r w:rsidR="00983506" w:rsidRPr="009B3747">
        <w:rPr>
          <w:rFonts w:eastAsia="Times New Roman" w:cstheme="minorHAnsi"/>
          <w:sz w:val="20"/>
          <w:szCs w:val="20"/>
          <w:lang w:eastAsia="en-GB"/>
        </w:rPr>
        <w:t xml:space="preserve"> Research question, aims and objectives</w:t>
      </w:r>
      <w:r w:rsidR="001E7173" w:rsidRPr="009B3747">
        <w:rPr>
          <w:rFonts w:eastAsia="Times New Roman" w:cstheme="minorHAnsi"/>
          <w:sz w:val="20"/>
          <w:szCs w:val="20"/>
          <w:lang w:eastAsia="en-GB"/>
        </w:rPr>
        <w:tab/>
      </w:r>
      <w:r w:rsidR="001E7173" w:rsidRPr="009B3747">
        <w:rPr>
          <w:rFonts w:eastAsia="Times New Roman" w:cstheme="minorHAnsi"/>
          <w:sz w:val="20"/>
          <w:szCs w:val="20"/>
          <w:lang w:eastAsia="en-GB"/>
        </w:rPr>
        <w:tab/>
      </w:r>
      <w:r w:rsidR="001E7173" w:rsidRPr="009B3747">
        <w:rPr>
          <w:rFonts w:eastAsia="Times New Roman" w:cstheme="minorHAnsi"/>
          <w:sz w:val="20"/>
          <w:szCs w:val="20"/>
          <w:lang w:eastAsia="en-GB"/>
        </w:rPr>
        <w:tab/>
      </w:r>
      <w:r w:rsidR="001E7173" w:rsidRPr="009B3747">
        <w:rPr>
          <w:rFonts w:eastAsia="Times New Roman" w:cstheme="minorHAnsi"/>
          <w:sz w:val="20"/>
          <w:szCs w:val="20"/>
          <w:lang w:eastAsia="en-GB"/>
        </w:rPr>
        <w:tab/>
      </w:r>
      <w:r w:rsidR="001E7173" w:rsidRPr="009B3747">
        <w:rPr>
          <w:rFonts w:eastAsia="Times New Roman" w:cstheme="minorHAnsi"/>
          <w:sz w:val="20"/>
          <w:szCs w:val="20"/>
          <w:lang w:eastAsia="en-GB"/>
        </w:rPr>
        <w:tab/>
      </w:r>
      <w:r w:rsidR="001E7173" w:rsidRPr="009B3747">
        <w:rPr>
          <w:rFonts w:eastAsia="Times New Roman" w:cstheme="minorHAnsi"/>
          <w:sz w:val="20"/>
          <w:szCs w:val="20"/>
          <w:lang w:eastAsia="en-GB"/>
        </w:rPr>
        <w:tab/>
      </w:r>
      <w:r w:rsidR="001E7173" w:rsidRPr="009B3747">
        <w:rPr>
          <w:rFonts w:eastAsia="Times New Roman" w:cstheme="minorHAnsi"/>
          <w:sz w:val="20"/>
          <w:szCs w:val="20"/>
          <w:lang w:eastAsia="en-GB"/>
        </w:rPr>
        <w:tab/>
      </w:r>
      <w:r w:rsidR="001E7173" w:rsidRPr="009B3747">
        <w:rPr>
          <w:rFonts w:eastAsia="Times New Roman" w:cstheme="minorHAnsi"/>
          <w:sz w:val="20"/>
          <w:szCs w:val="20"/>
          <w:lang w:eastAsia="en-GB"/>
        </w:rPr>
        <w:tab/>
      </w:r>
      <w:r w:rsidR="000549D0">
        <w:rPr>
          <w:rFonts w:eastAsia="Times New Roman" w:cstheme="minorHAnsi"/>
          <w:sz w:val="20"/>
          <w:szCs w:val="20"/>
          <w:lang w:eastAsia="en-GB"/>
        </w:rPr>
        <w:t>72</w:t>
      </w:r>
    </w:p>
    <w:p w:rsidR="00983506" w:rsidRPr="009B3747" w:rsidRDefault="00983506" w:rsidP="007C05E8">
      <w:pPr>
        <w:pStyle w:val="NormalWeb"/>
        <w:spacing w:before="0" w:beforeAutospacing="0" w:after="0" w:afterAutospacing="0"/>
        <w:rPr>
          <w:rFonts w:asciiTheme="minorHAnsi" w:hAnsiTheme="minorHAnsi" w:cstheme="minorHAnsi"/>
          <w:color w:val="000000"/>
          <w:sz w:val="20"/>
          <w:szCs w:val="20"/>
        </w:rPr>
      </w:pPr>
    </w:p>
    <w:p w:rsidR="00B04FA7" w:rsidRPr="009B3747" w:rsidRDefault="00B04FA7" w:rsidP="007C05E8">
      <w:pPr>
        <w:pStyle w:val="NormalWeb"/>
        <w:spacing w:before="0" w:beforeAutospacing="0" w:after="0" w:afterAutospacing="0"/>
        <w:rPr>
          <w:rFonts w:asciiTheme="minorHAnsi" w:hAnsiTheme="minorHAnsi" w:cstheme="minorHAnsi"/>
          <w:b/>
          <w:color w:val="000000"/>
          <w:sz w:val="22"/>
          <w:szCs w:val="22"/>
        </w:rPr>
      </w:pPr>
      <w:r w:rsidRPr="009B3747">
        <w:rPr>
          <w:rFonts w:asciiTheme="minorHAnsi" w:hAnsiTheme="minorHAnsi" w:cstheme="minorHAnsi"/>
          <w:b/>
          <w:color w:val="000000"/>
          <w:sz w:val="22"/>
          <w:szCs w:val="22"/>
        </w:rPr>
        <w:t xml:space="preserve">Chapter 4 – Research </w:t>
      </w:r>
      <w:r w:rsidR="00782EBA" w:rsidRPr="009B3747">
        <w:rPr>
          <w:rFonts w:asciiTheme="minorHAnsi" w:hAnsiTheme="minorHAnsi" w:cstheme="minorHAnsi"/>
          <w:b/>
          <w:color w:val="000000"/>
          <w:sz w:val="22"/>
          <w:szCs w:val="22"/>
        </w:rPr>
        <w:t>approach and design</w:t>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5E052F" w:rsidRPr="009B3747">
        <w:rPr>
          <w:rFonts w:asciiTheme="minorHAnsi" w:hAnsiTheme="minorHAnsi" w:cstheme="minorHAnsi"/>
          <w:b/>
          <w:color w:val="000000"/>
          <w:sz w:val="22"/>
          <w:szCs w:val="22"/>
        </w:rPr>
        <w:t>74</w:t>
      </w:r>
    </w:p>
    <w:p w:rsidR="002A3A24" w:rsidRPr="009B3747" w:rsidRDefault="0026185B" w:rsidP="007C05E8">
      <w:pPr>
        <w:tabs>
          <w:tab w:val="left" w:pos="720"/>
          <w:tab w:val="left" w:pos="1440"/>
          <w:tab w:val="left" w:pos="2310"/>
        </w:tabs>
        <w:spacing w:line="240" w:lineRule="auto"/>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007C05E8" w:rsidRPr="009B3747">
        <w:rPr>
          <w:rFonts w:eastAsia="Times New Roman" w:cstheme="minorHAnsi"/>
          <w:bCs/>
          <w:color w:val="000000"/>
          <w:sz w:val="20"/>
          <w:szCs w:val="20"/>
          <w:lang w:eastAsia="en-GB"/>
        </w:rPr>
        <w:tab/>
      </w:r>
    </w:p>
    <w:p w:rsidR="00665616" w:rsidRPr="009B3747" w:rsidRDefault="00665616" w:rsidP="007C05E8">
      <w:pPr>
        <w:spacing w:line="240" w:lineRule="auto"/>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4.1 Introduction</w:t>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5E052F" w:rsidRPr="009B3747">
        <w:rPr>
          <w:rFonts w:eastAsia="Times New Roman" w:cstheme="minorHAnsi"/>
          <w:bCs/>
          <w:color w:val="000000"/>
          <w:sz w:val="20"/>
          <w:szCs w:val="20"/>
          <w:lang w:eastAsia="en-GB"/>
        </w:rPr>
        <w:t>74</w:t>
      </w:r>
    </w:p>
    <w:p w:rsidR="00983506" w:rsidRPr="009B3747" w:rsidRDefault="00983506" w:rsidP="007C05E8">
      <w:pPr>
        <w:spacing w:line="240" w:lineRule="auto"/>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4.</w:t>
      </w:r>
      <w:r w:rsidR="00665616" w:rsidRPr="009B3747">
        <w:rPr>
          <w:rFonts w:eastAsia="Times New Roman" w:cstheme="minorHAnsi"/>
          <w:bCs/>
          <w:color w:val="000000"/>
          <w:sz w:val="20"/>
          <w:szCs w:val="20"/>
          <w:lang w:eastAsia="en-GB"/>
        </w:rPr>
        <w:t>2</w:t>
      </w:r>
      <w:r w:rsidRPr="009B3747">
        <w:rPr>
          <w:rFonts w:eastAsia="Times New Roman" w:cstheme="minorHAnsi"/>
          <w:bCs/>
          <w:color w:val="000000"/>
          <w:sz w:val="20"/>
          <w:szCs w:val="20"/>
          <w:lang w:eastAsia="en-GB"/>
        </w:rPr>
        <w:t xml:space="preserve"> Approaches to research</w:t>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5E052F" w:rsidRPr="009B3747">
        <w:rPr>
          <w:rFonts w:eastAsia="Times New Roman" w:cstheme="minorHAnsi"/>
          <w:bCs/>
          <w:color w:val="000000"/>
          <w:sz w:val="20"/>
          <w:szCs w:val="20"/>
          <w:lang w:eastAsia="en-GB"/>
        </w:rPr>
        <w:t>74</w:t>
      </w:r>
    </w:p>
    <w:p w:rsidR="00665616" w:rsidRPr="009B3747" w:rsidRDefault="00665616" w:rsidP="007C05E8">
      <w:pPr>
        <w:spacing w:line="240" w:lineRule="auto"/>
        <w:rPr>
          <w:rFonts w:eastAsia="Times New Roman" w:cstheme="minorHAnsi"/>
          <w:sz w:val="20"/>
          <w:szCs w:val="20"/>
          <w:lang w:eastAsia="en-GB"/>
        </w:rPr>
      </w:pPr>
      <w:r w:rsidRPr="009B3747">
        <w:rPr>
          <w:rFonts w:eastAsia="Times New Roman" w:cstheme="minorHAnsi"/>
          <w:bCs/>
          <w:color w:val="000000"/>
          <w:sz w:val="20"/>
          <w:szCs w:val="20"/>
          <w:lang w:eastAsia="en-GB"/>
        </w:rPr>
        <w:tab/>
        <w:t>4.2.1 Quantitative and qualitative</w:t>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5E052F" w:rsidRPr="009B3747">
        <w:rPr>
          <w:rFonts w:eastAsia="Times New Roman" w:cstheme="minorHAnsi"/>
          <w:bCs/>
          <w:color w:val="000000"/>
          <w:sz w:val="20"/>
          <w:szCs w:val="20"/>
          <w:lang w:eastAsia="en-GB"/>
        </w:rPr>
        <w:t>74</w:t>
      </w:r>
    </w:p>
    <w:p w:rsidR="00665616" w:rsidRPr="009B3747" w:rsidRDefault="00665616" w:rsidP="007C05E8">
      <w:pPr>
        <w:spacing w:line="240" w:lineRule="auto"/>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4.2.2 Mixed methods</w:t>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AD02BD" w:rsidRPr="009B3747">
        <w:rPr>
          <w:rFonts w:eastAsia="Times New Roman" w:cstheme="minorHAnsi"/>
          <w:bCs/>
          <w:color w:val="000000"/>
          <w:sz w:val="20"/>
          <w:szCs w:val="20"/>
          <w:lang w:eastAsia="en-GB"/>
        </w:rPr>
        <w:t>75</w:t>
      </w:r>
    </w:p>
    <w:p w:rsidR="00983506" w:rsidRPr="009B3747" w:rsidRDefault="00665616" w:rsidP="007C05E8">
      <w:pPr>
        <w:spacing w:line="240" w:lineRule="auto"/>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4.3</w:t>
      </w:r>
      <w:r w:rsidR="00983506" w:rsidRPr="009B3747">
        <w:rPr>
          <w:rFonts w:eastAsia="Times New Roman" w:cstheme="minorHAnsi"/>
          <w:bCs/>
          <w:color w:val="000000"/>
          <w:sz w:val="20"/>
          <w:szCs w:val="20"/>
          <w:lang w:eastAsia="en-GB"/>
        </w:rPr>
        <w:t xml:space="preserve"> Components of a research approach </w:t>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AD02BD" w:rsidRPr="009B3747">
        <w:rPr>
          <w:rFonts w:eastAsia="Times New Roman" w:cstheme="minorHAnsi"/>
          <w:bCs/>
          <w:color w:val="000000"/>
          <w:sz w:val="20"/>
          <w:szCs w:val="20"/>
          <w:lang w:eastAsia="en-GB"/>
        </w:rPr>
        <w:t>77</w:t>
      </w:r>
    </w:p>
    <w:p w:rsidR="00F74CA0" w:rsidRPr="009B3747" w:rsidRDefault="00512B03" w:rsidP="007C05E8">
      <w:pPr>
        <w:spacing w:line="240" w:lineRule="auto"/>
        <w:textAlignment w:val="baseline"/>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ab/>
        <w:t>4.3</w:t>
      </w:r>
      <w:r w:rsidR="00F74CA0" w:rsidRPr="009B3747">
        <w:rPr>
          <w:rFonts w:eastAsia="Times New Roman" w:cstheme="minorHAnsi"/>
          <w:bCs/>
          <w:color w:val="000000"/>
          <w:sz w:val="20"/>
          <w:szCs w:val="20"/>
          <w:lang w:eastAsia="en-GB"/>
        </w:rPr>
        <w:t>.1 Philosophical worldview</w:t>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AD02BD" w:rsidRPr="009B3747">
        <w:rPr>
          <w:rFonts w:eastAsia="Times New Roman" w:cstheme="minorHAnsi"/>
          <w:bCs/>
          <w:color w:val="000000"/>
          <w:sz w:val="20"/>
          <w:szCs w:val="20"/>
          <w:lang w:eastAsia="en-GB"/>
        </w:rPr>
        <w:t>78</w:t>
      </w:r>
    </w:p>
    <w:p w:rsidR="00512B03" w:rsidRPr="009B3747" w:rsidRDefault="001A2F63" w:rsidP="007C05E8">
      <w:pPr>
        <w:spacing w:line="240" w:lineRule="auto"/>
        <w:rPr>
          <w:rFonts w:eastAsia="Times New Roman" w:cstheme="minorHAnsi"/>
          <w:sz w:val="20"/>
          <w:szCs w:val="20"/>
          <w:lang w:eastAsia="en-GB"/>
        </w:rPr>
      </w:pP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iCs/>
          <w:color w:val="000000"/>
          <w:sz w:val="20"/>
          <w:szCs w:val="20"/>
          <w:lang w:eastAsia="en-GB"/>
        </w:rPr>
        <w:t>4.3.1.1 Postpositivism</w:t>
      </w:r>
      <w:r w:rsidRPr="009B3747">
        <w:rPr>
          <w:rFonts w:eastAsia="Times New Roman" w:cstheme="minorHAnsi"/>
          <w:iCs/>
          <w:color w:val="000000"/>
          <w:sz w:val="20"/>
          <w:szCs w:val="20"/>
          <w:lang w:eastAsia="en-GB"/>
        </w:rPr>
        <w:tab/>
      </w:r>
      <w:r w:rsidRPr="009B3747">
        <w:rPr>
          <w:rFonts w:eastAsia="Times New Roman" w:cstheme="minorHAnsi"/>
          <w:iCs/>
          <w:color w:val="000000"/>
          <w:sz w:val="20"/>
          <w:szCs w:val="20"/>
          <w:lang w:eastAsia="en-GB"/>
        </w:rPr>
        <w:tab/>
      </w:r>
      <w:r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AD02BD" w:rsidRPr="009B3747">
        <w:rPr>
          <w:rFonts w:eastAsia="Times New Roman" w:cstheme="minorHAnsi"/>
          <w:iCs/>
          <w:color w:val="000000"/>
          <w:sz w:val="20"/>
          <w:szCs w:val="20"/>
          <w:lang w:eastAsia="en-GB"/>
        </w:rPr>
        <w:t>79</w:t>
      </w:r>
    </w:p>
    <w:p w:rsidR="008D4C53" w:rsidRPr="009B3747" w:rsidRDefault="00512B03" w:rsidP="007C05E8">
      <w:pPr>
        <w:spacing w:line="240" w:lineRule="auto"/>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t>4.3.1.2 Constructivism</w:t>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AD02BD" w:rsidRPr="009B3747">
        <w:rPr>
          <w:rFonts w:eastAsia="Times New Roman" w:cstheme="minorHAnsi"/>
          <w:bCs/>
          <w:color w:val="000000"/>
          <w:sz w:val="20"/>
          <w:szCs w:val="20"/>
          <w:lang w:eastAsia="en-GB"/>
        </w:rPr>
        <w:t>80</w:t>
      </w:r>
    </w:p>
    <w:p w:rsidR="00512B03" w:rsidRPr="009B3747" w:rsidRDefault="00512B03" w:rsidP="007C05E8">
      <w:pPr>
        <w:spacing w:line="240" w:lineRule="auto"/>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t>4.3.1.3 Transformative</w:t>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AD02BD" w:rsidRPr="009B3747">
        <w:rPr>
          <w:rFonts w:eastAsia="Times New Roman" w:cstheme="minorHAnsi"/>
          <w:bCs/>
          <w:color w:val="000000"/>
          <w:sz w:val="20"/>
          <w:szCs w:val="20"/>
          <w:lang w:eastAsia="en-GB"/>
        </w:rPr>
        <w:t>80</w:t>
      </w:r>
    </w:p>
    <w:p w:rsidR="00512B03" w:rsidRPr="009B3747" w:rsidRDefault="00512B03" w:rsidP="007C05E8">
      <w:pPr>
        <w:spacing w:line="240" w:lineRule="auto"/>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t>4.3.1.4 Pragmatism</w:t>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AD02BD" w:rsidRPr="009B3747">
        <w:rPr>
          <w:rFonts w:eastAsia="Times New Roman" w:cstheme="minorHAnsi"/>
          <w:bCs/>
          <w:color w:val="000000"/>
          <w:sz w:val="20"/>
          <w:szCs w:val="20"/>
          <w:lang w:eastAsia="en-GB"/>
        </w:rPr>
        <w:t>81</w:t>
      </w:r>
    </w:p>
    <w:p w:rsidR="00F74CA0" w:rsidRPr="009B3747" w:rsidRDefault="00512B03" w:rsidP="007C05E8">
      <w:pPr>
        <w:spacing w:line="240" w:lineRule="auto"/>
        <w:ind w:left="720"/>
        <w:rPr>
          <w:rFonts w:eastAsia="Times New Roman" w:cstheme="minorHAnsi"/>
          <w:sz w:val="20"/>
          <w:szCs w:val="20"/>
          <w:lang w:eastAsia="en-GB"/>
        </w:rPr>
      </w:pPr>
      <w:r w:rsidRPr="009B3747">
        <w:rPr>
          <w:rFonts w:eastAsia="Times New Roman" w:cstheme="minorHAnsi"/>
          <w:bCs/>
          <w:color w:val="000000"/>
          <w:sz w:val="20"/>
          <w:szCs w:val="20"/>
          <w:lang w:eastAsia="en-GB"/>
        </w:rPr>
        <w:t>4.3</w:t>
      </w:r>
      <w:r w:rsidR="00F74CA0" w:rsidRPr="009B3747">
        <w:rPr>
          <w:rFonts w:eastAsia="Times New Roman" w:cstheme="minorHAnsi"/>
          <w:bCs/>
          <w:color w:val="000000"/>
          <w:sz w:val="20"/>
          <w:szCs w:val="20"/>
          <w:lang w:eastAsia="en-GB"/>
        </w:rPr>
        <w:t>.2. Research designs</w:t>
      </w:r>
      <w:r w:rsidR="0026185B" w:rsidRPr="009B3747">
        <w:rPr>
          <w:rFonts w:eastAsia="Times New Roman" w:cstheme="minorHAnsi"/>
          <w:bCs/>
          <w:color w:val="000000"/>
          <w:sz w:val="20"/>
          <w:szCs w:val="20"/>
          <w:lang w:eastAsia="en-GB"/>
        </w:rPr>
        <w:tab/>
      </w:r>
      <w:r w:rsidR="0026185B" w:rsidRPr="009B3747">
        <w:rPr>
          <w:rFonts w:eastAsia="Times New Roman" w:cstheme="minorHAnsi"/>
          <w:bCs/>
          <w:color w:val="000000"/>
          <w:sz w:val="20"/>
          <w:szCs w:val="20"/>
          <w:lang w:eastAsia="en-GB"/>
        </w:rPr>
        <w:tab/>
      </w:r>
      <w:r w:rsidR="0026185B" w:rsidRPr="009B3747">
        <w:rPr>
          <w:rFonts w:eastAsia="Times New Roman" w:cstheme="minorHAnsi"/>
          <w:bCs/>
          <w:color w:val="000000"/>
          <w:sz w:val="20"/>
          <w:szCs w:val="20"/>
          <w:lang w:eastAsia="en-GB"/>
        </w:rPr>
        <w:tab/>
      </w:r>
      <w:r w:rsidR="0026185B" w:rsidRPr="009B3747">
        <w:rPr>
          <w:rFonts w:eastAsia="Times New Roman" w:cstheme="minorHAnsi"/>
          <w:bCs/>
          <w:color w:val="000000"/>
          <w:sz w:val="20"/>
          <w:szCs w:val="20"/>
          <w:lang w:eastAsia="en-GB"/>
        </w:rPr>
        <w:tab/>
      </w:r>
      <w:r w:rsidR="0026185B" w:rsidRPr="009B3747">
        <w:rPr>
          <w:rFonts w:eastAsia="Times New Roman" w:cstheme="minorHAnsi"/>
          <w:bCs/>
          <w:color w:val="000000"/>
          <w:sz w:val="20"/>
          <w:szCs w:val="20"/>
          <w:lang w:eastAsia="en-GB"/>
        </w:rPr>
        <w:tab/>
      </w:r>
      <w:r w:rsidR="0026185B" w:rsidRPr="009B3747">
        <w:rPr>
          <w:rFonts w:eastAsia="Times New Roman" w:cstheme="minorHAnsi"/>
          <w:bCs/>
          <w:color w:val="000000"/>
          <w:sz w:val="20"/>
          <w:szCs w:val="20"/>
          <w:lang w:eastAsia="en-GB"/>
        </w:rPr>
        <w:tab/>
      </w:r>
      <w:r w:rsidR="0026185B"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AD02BD" w:rsidRPr="009B3747">
        <w:rPr>
          <w:rFonts w:eastAsia="Times New Roman" w:cstheme="minorHAnsi"/>
          <w:bCs/>
          <w:color w:val="000000"/>
          <w:sz w:val="20"/>
          <w:szCs w:val="20"/>
          <w:lang w:eastAsia="en-GB"/>
        </w:rPr>
        <w:t>82</w:t>
      </w:r>
    </w:p>
    <w:p w:rsidR="00782EBA" w:rsidRPr="009B3747" w:rsidRDefault="00F74CA0" w:rsidP="007C05E8">
      <w:pPr>
        <w:spacing w:line="240" w:lineRule="auto"/>
        <w:ind w:left="720" w:firstLine="720"/>
        <w:rPr>
          <w:rFonts w:eastAsia="Times New Roman" w:cstheme="minorHAnsi"/>
          <w:sz w:val="20"/>
          <w:szCs w:val="20"/>
          <w:lang w:eastAsia="en-GB"/>
        </w:rPr>
      </w:pPr>
      <w:r w:rsidRPr="009B3747">
        <w:rPr>
          <w:rFonts w:eastAsia="Times New Roman" w:cstheme="minorHAnsi"/>
          <w:color w:val="000000"/>
          <w:sz w:val="20"/>
          <w:szCs w:val="20"/>
          <w:lang w:eastAsia="en-GB"/>
        </w:rPr>
        <w:t>4.3</w:t>
      </w:r>
      <w:r w:rsidR="008D4C53" w:rsidRPr="009B3747">
        <w:rPr>
          <w:rFonts w:eastAsia="Times New Roman" w:cstheme="minorHAnsi"/>
          <w:color w:val="000000"/>
          <w:sz w:val="20"/>
          <w:szCs w:val="20"/>
          <w:lang w:eastAsia="en-GB"/>
        </w:rPr>
        <w:t>.2.1</w:t>
      </w:r>
      <w:r w:rsidRPr="009B3747">
        <w:rPr>
          <w:rFonts w:eastAsia="Times New Roman" w:cstheme="minorHAnsi"/>
          <w:color w:val="000000"/>
          <w:sz w:val="20"/>
          <w:szCs w:val="20"/>
          <w:lang w:eastAsia="en-GB"/>
        </w:rPr>
        <w:t xml:space="preserve"> </w:t>
      </w:r>
      <w:r w:rsidR="00782EBA" w:rsidRPr="009B3747">
        <w:rPr>
          <w:rFonts w:eastAsia="Times New Roman" w:cstheme="minorHAnsi"/>
          <w:color w:val="000000"/>
          <w:sz w:val="20"/>
          <w:szCs w:val="20"/>
          <w:lang w:eastAsia="en-GB"/>
        </w:rPr>
        <w:t>Exploratory sequential research design</w:t>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AD02BD" w:rsidRPr="009B3747">
        <w:rPr>
          <w:rFonts w:eastAsia="Times New Roman" w:cstheme="minorHAnsi"/>
          <w:color w:val="000000"/>
          <w:sz w:val="20"/>
          <w:szCs w:val="20"/>
          <w:lang w:eastAsia="en-GB"/>
        </w:rPr>
        <w:t>85</w:t>
      </w:r>
    </w:p>
    <w:p w:rsidR="00F74CA0" w:rsidRPr="009B3747" w:rsidRDefault="00F74CA0" w:rsidP="007C05E8">
      <w:pPr>
        <w:spacing w:line="24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4.4 Quality in mixed methods studies</w:t>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AD02BD" w:rsidRPr="009B3747">
        <w:rPr>
          <w:rFonts w:eastAsia="Times New Roman" w:cstheme="minorHAnsi"/>
          <w:color w:val="000000"/>
          <w:sz w:val="20"/>
          <w:szCs w:val="20"/>
          <w:lang w:eastAsia="en-GB"/>
        </w:rPr>
        <w:t>89</w:t>
      </w:r>
    </w:p>
    <w:p w:rsidR="00F74CA0" w:rsidRPr="009B3747" w:rsidRDefault="005A045A" w:rsidP="007C05E8">
      <w:pPr>
        <w:spacing w:line="240" w:lineRule="auto"/>
        <w:rPr>
          <w:rFonts w:eastAsia="Times New Roman" w:cstheme="minorHAnsi"/>
          <w:sz w:val="20"/>
          <w:szCs w:val="20"/>
          <w:lang w:eastAsia="en-GB"/>
        </w:rPr>
      </w:pPr>
      <w:r w:rsidRPr="009B3747">
        <w:rPr>
          <w:rFonts w:eastAsia="Times New Roman" w:cstheme="minorHAnsi"/>
          <w:color w:val="000000"/>
          <w:sz w:val="20"/>
          <w:szCs w:val="20"/>
          <w:shd w:val="clear" w:color="auto" w:fill="FFFFFF"/>
          <w:lang w:eastAsia="en-GB"/>
        </w:rPr>
        <w:t>4.5 S</w:t>
      </w:r>
      <w:r w:rsidR="00F74CA0" w:rsidRPr="009B3747">
        <w:rPr>
          <w:rFonts w:eastAsia="Times New Roman" w:cstheme="minorHAnsi"/>
          <w:color w:val="000000"/>
          <w:sz w:val="20"/>
          <w:szCs w:val="20"/>
          <w:shd w:val="clear" w:color="auto" w:fill="FFFFFF"/>
          <w:lang w:eastAsia="en-GB"/>
        </w:rPr>
        <w:t>ummary</w:t>
      </w:r>
      <w:r w:rsidR="001E7173" w:rsidRPr="009B3747">
        <w:rPr>
          <w:rFonts w:eastAsia="Times New Roman" w:cstheme="minorHAnsi"/>
          <w:color w:val="000000"/>
          <w:sz w:val="20"/>
          <w:szCs w:val="20"/>
          <w:shd w:val="clear" w:color="auto" w:fill="FFFFFF"/>
          <w:lang w:eastAsia="en-GB"/>
        </w:rPr>
        <w:tab/>
      </w:r>
      <w:r w:rsidR="001E7173" w:rsidRPr="009B3747">
        <w:rPr>
          <w:rFonts w:eastAsia="Times New Roman" w:cstheme="minorHAnsi"/>
          <w:color w:val="000000"/>
          <w:sz w:val="20"/>
          <w:szCs w:val="20"/>
          <w:shd w:val="clear" w:color="auto" w:fill="FFFFFF"/>
          <w:lang w:eastAsia="en-GB"/>
        </w:rPr>
        <w:tab/>
      </w:r>
      <w:r w:rsidR="001E7173" w:rsidRPr="009B3747">
        <w:rPr>
          <w:rFonts w:eastAsia="Times New Roman" w:cstheme="minorHAnsi"/>
          <w:color w:val="000000"/>
          <w:sz w:val="20"/>
          <w:szCs w:val="20"/>
          <w:shd w:val="clear" w:color="auto" w:fill="FFFFFF"/>
          <w:lang w:eastAsia="en-GB"/>
        </w:rPr>
        <w:tab/>
      </w:r>
      <w:r w:rsidR="001E7173" w:rsidRPr="009B3747">
        <w:rPr>
          <w:rFonts w:eastAsia="Times New Roman" w:cstheme="minorHAnsi"/>
          <w:color w:val="000000"/>
          <w:sz w:val="20"/>
          <w:szCs w:val="20"/>
          <w:shd w:val="clear" w:color="auto" w:fill="FFFFFF"/>
          <w:lang w:eastAsia="en-GB"/>
        </w:rPr>
        <w:tab/>
      </w:r>
      <w:r w:rsidR="001E7173" w:rsidRPr="009B3747">
        <w:rPr>
          <w:rFonts w:eastAsia="Times New Roman" w:cstheme="minorHAnsi"/>
          <w:color w:val="000000"/>
          <w:sz w:val="20"/>
          <w:szCs w:val="20"/>
          <w:shd w:val="clear" w:color="auto" w:fill="FFFFFF"/>
          <w:lang w:eastAsia="en-GB"/>
        </w:rPr>
        <w:tab/>
      </w:r>
      <w:r w:rsidR="001E7173" w:rsidRPr="009B3747">
        <w:rPr>
          <w:rFonts w:eastAsia="Times New Roman" w:cstheme="minorHAnsi"/>
          <w:color w:val="000000"/>
          <w:sz w:val="20"/>
          <w:szCs w:val="20"/>
          <w:shd w:val="clear" w:color="auto" w:fill="FFFFFF"/>
          <w:lang w:eastAsia="en-GB"/>
        </w:rPr>
        <w:tab/>
      </w:r>
      <w:r w:rsidR="001E7173" w:rsidRPr="009B3747">
        <w:rPr>
          <w:rFonts w:eastAsia="Times New Roman" w:cstheme="minorHAnsi"/>
          <w:color w:val="000000"/>
          <w:sz w:val="20"/>
          <w:szCs w:val="20"/>
          <w:shd w:val="clear" w:color="auto" w:fill="FFFFFF"/>
          <w:lang w:eastAsia="en-GB"/>
        </w:rPr>
        <w:tab/>
      </w:r>
      <w:r w:rsidR="001E7173" w:rsidRPr="009B3747">
        <w:rPr>
          <w:rFonts w:eastAsia="Times New Roman" w:cstheme="minorHAnsi"/>
          <w:color w:val="000000"/>
          <w:sz w:val="20"/>
          <w:szCs w:val="20"/>
          <w:shd w:val="clear" w:color="auto" w:fill="FFFFFF"/>
          <w:lang w:eastAsia="en-GB"/>
        </w:rPr>
        <w:tab/>
      </w:r>
      <w:r w:rsidR="001E7173" w:rsidRPr="009B3747">
        <w:rPr>
          <w:rFonts w:eastAsia="Times New Roman" w:cstheme="minorHAnsi"/>
          <w:color w:val="000000"/>
          <w:sz w:val="20"/>
          <w:szCs w:val="20"/>
          <w:shd w:val="clear" w:color="auto" w:fill="FFFFFF"/>
          <w:lang w:eastAsia="en-GB"/>
        </w:rPr>
        <w:tab/>
      </w:r>
      <w:r w:rsidR="001E7173" w:rsidRPr="009B3747">
        <w:rPr>
          <w:rFonts w:eastAsia="Times New Roman" w:cstheme="minorHAnsi"/>
          <w:color w:val="000000"/>
          <w:sz w:val="20"/>
          <w:szCs w:val="20"/>
          <w:shd w:val="clear" w:color="auto" w:fill="FFFFFF"/>
          <w:lang w:eastAsia="en-GB"/>
        </w:rPr>
        <w:tab/>
      </w:r>
      <w:r w:rsidR="001E7173" w:rsidRPr="009B3747">
        <w:rPr>
          <w:rFonts w:eastAsia="Times New Roman" w:cstheme="minorHAnsi"/>
          <w:color w:val="000000"/>
          <w:sz w:val="20"/>
          <w:szCs w:val="20"/>
          <w:shd w:val="clear" w:color="auto" w:fill="FFFFFF"/>
          <w:lang w:eastAsia="en-GB"/>
        </w:rPr>
        <w:tab/>
      </w:r>
      <w:r w:rsidR="00AD02BD" w:rsidRPr="009B3747">
        <w:rPr>
          <w:rFonts w:eastAsia="Times New Roman" w:cstheme="minorHAnsi"/>
          <w:color w:val="000000"/>
          <w:sz w:val="20"/>
          <w:szCs w:val="20"/>
          <w:shd w:val="clear" w:color="auto" w:fill="FFFFFF"/>
          <w:lang w:eastAsia="en-GB"/>
        </w:rPr>
        <w:t>90</w:t>
      </w:r>
    </w:p>
    <w:p w:rsidR="00161F38" w:rsidRPr="009B3747" w:rsidRDefault="00161F38" w:rsidP="007C05E8">
      <w:pPr>
        <w:spacing w:line="240" w:lineRule="auto"/>
        <w:rPr>
          <w:rFonts w:eastAsia="Times New Roman" w:cstheme="minorHAnsi"/>
          <w:b/>
          <w:bCs/>
          <w:color w:val="000000"/>
          <w:sz w:val="20"/>
          <w:szCs w:val="20"/>
          <w:u w:val="single"/>
          <w:lang w:eastAsia="en-GB"/>
        </w:rPr>
      </w:pPr>
    </w:p>
    <w:p w:rsidR="00782EBA" w:rsidRPr="009B3747" w:rsidRDefault="00782EBA" w:rsidP="007C05E8">
      <w:pPr>
        <w:spacing w:line="240" w:lineRule="auto"/>
        <w:rPr>
          <w:rFonts w:eastAsia="Times New Roman" w:cstheme="minorHAnsi"/>
          <w:b/>
          <w:bCs/>
          <w:color w:val="000000"/>
          <w:lang w:eastAsia="en-GB"/>
        </w:rPr>
      </w:pPr>
      <w:r w:rsidRPr="009B3747">
        <w:rPr>
          <w:rFonts w:eastAsia="Times New Roman" w:cstheme="minorHAnsi"/>
          <w:b/>
          <w:bCs/>
          <w:color w:val="000000"/>
          <w:lang w:eastAsia="en-GB"/>
        </w:rPr>
        <w:t xml:space="preserve">Chapter 5 </w:t>
      </w:r>
      <w:r w:rsidR="004237EA" w:rsidRPr="009B3747">
        <w:rPr>
          <w:rFonts w:eastAsia="Times New Roman" w:cstheme="minorHAnsi"/>
          <w:b/>
          <w:bCs/>
          <w:color w:val="000000"/>
          <w:lang w:eastAsia="en-GB"/>
        </w:rPr>
        <w:t>–</w:t>
      </w:r>
      <w:r w:rsidRPr="009B3747">
        <w:rPr>
          <w:rFonts w:eastAsia="Times New Roman" w:cstheme="minorHAnsi"/>
          <w:b/>
          <w:bCs/>
          <w:color w:val="000000"/>
          <w:lang w:eastAsia="en-GB"/>
        </w:rPr>
        <w:t xml:space="preserve"> Research</w:t>
      </w:r>
      <w:r w:rsidR="0026185B" w:rsidRPr="009B3747">
        <w:rPr>
          <w:rFonts w:eastAsia="Times New Roman" w:cstheme="minorHAnsi"/>
          <w:b/>
          <w:bCs/>
          <w:color w:val="000000"/>
          <w:lang w:eastAsia="en-GB"/>
        </w:rPr>
        <w:t xml:space="preserve"> methodology - Qualitative phase</w:t>
      </w:r>
      <w:r w:rsidR="001E7173" w:rsidRPr="009B3747">
        <w:rPr>
          <w:rFonts w:eastAsia="Times New Roman" w:cstheme="minorHAnsi"/>
          <w:b/>
          <w:bCs/>
          <w:color w:val="000000"/>
          <w:lang w:eastAsia="en-GB"/>
        </w:rPr>
        <w:tab/>
      </w:r>
      <w:r w:rsidR="001E7173" w:rsidRPr="009B3747">
        <w:rPr>
          <w:rFonts w:eastAsia="Times New Roman" w:cstheme="minorHAnsi"/>
          <w:b/>
          <w:bCs/>
          <w:color w:val="000000"/>
          <w:lang w:eastAsia="en-GB"/>
        </w:rPr>
        <w:tab/>
      </w:r>
      <w:r w:rsidR="001E7173" w:rsidRPr="009B3747">
        <w:rPr>
          <w:rFonts w:eastAsia="Times New Roman" w:cstheme="minorHAnsi"/>
          <w:b/>
          <w:bCs/>
          <w:color w:val="000000"/>
          <w:lang w:eastAsia="en-GB"/>
        </w:rPr>
        <w:tab/>
      </w:r>
      <w:r w:rsidR="001E7173" w:rsidRPr="009B3747">
        <w:rPr>
          <w:rFonts w:eastAsia="Times New Roman" w:cstheme="minorHAnsi"/>
          <w:b/>
          <w:bCs/>
          <w:color w:val="000000"/>
          <w:lang w:eastAsia="en-GB"/>
        </w:rPr>
        <w:tab/>
      </w:r>
      <w:r w:rsidR="001E7173" w:rsidRPr="009B3747">
        <w:rPr>
          <w:rFonts w:eastAsia="Times New Roman" w:cstheme="minorHAnsi"/>
          <w:b/>
          <w:bCs/>
          <w:color w:val="000000"/>
          <w:lang w:eastAsia="en-GB"/>
        </w:rPr>
        <w:tab/>
      </w:r>
      <w:r w:rsidR="001E7173" w:rsidRPr="009B3747">
        <w:rPr>
          <w:rFonts w:eastAsia="Times New Roman" w:cstheme="minorHAnsi"/>
          <w:b/>
          <w:bCs/>
          <w:color w:val="000000"/>
          <w:lang w:eastAsia="en-GB"/>
        </w:rPr>
        <w:tab/>
      </w:r>
      <w:r w:rsidR="005A045A" w:rsidRPr="009B3747">
        <w:rPr>
          <w:rFonts w:eastAsia="Times New Roman" w:cstheme="minorHAnsi"/>
          <w:b/>
          <w:bCs/>
          <w:color w:val="000000"/>
          <w:lang w:eastAsia="en-GB"/>
        </w:rPr>
        <w:t>91</w:t>
      </w:r>
    </w:p>
    <w:p w:rsidR="0026185B" w:rsidRPr="009B3747" w:rsidRDefault="0026185B" w:rsidP="007C05E8">
      <w:pPr>
        <w:spacing w:line="240" w:lineRule="auto"/>
        <w:rPr>
          <w:rFonts w:eastAsia="Times New Roman" w:cstheme="minorHAnsi"/>
          <w:sz w:val="20"/>
          <w:szCs w:val="20"/>
          <w:lang w:eastAsia="en-GB"/>
        </w:rPr>
      </w:pPr>
    </w:p>
    <w:p w:rsidR="00084B45" w:rsidRPr="009B3747" w:rsidRDefault="001E7173" w:rsidP="007C05E8">
      <w:pPr>
        <w:spacing w:line="240" w:lineRule="auto"/>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5.1 Introduction</w:t>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005A045A" w:rsidRPr="009B3747">
        <w:rPr>
          <w:rFonts w:eastAsia="Times New Roman" w:cstheme="minorHAnsi"/>
          <w:bCs/>
          <w:color w:val="000000"/>
          <w:sz w:val="20"/>
          <w:szCs w:val="20"/>
          <w:lang w:eastAsia="en-GB"/>
        </w:rPr>
        <w:t>91</w:t>
      </w:r>
    </w:p>
    <w:p w:rsidR="00782EBA" w:rsidRPr="009B3747" w:rsidRDefault="00084B45" w:rsidP="007C05E8">
      <w:pPr>
        <w:spacing w:line="240" w:lineRule="auto"/>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5.2</w:t>
      </w:r>
      <w:r w:rsidR="00782EBA" w:rsidRPr="009B3747">
        <w:rPr>
          <w:rFonts w:eastAsia="Times New Roman" w:cstheme="minorHAnsi"/>
          <w:bCs/>
          <w:color w:val="000000"/>
          <w:sz w:val="20"/>
          <w:szCs w:val="20"/>
          <w:lang w:eastAsia="en-GB"/>
        </w:rPr>
        <w:t xml:space="preserve"> Study Population - Inclusion and Exclusion criteria</w:t>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5A045A" w:rsidRPr="009B3747">
        <w:rPr>
          <w:rFonts w:eastAsia="Times New Roman" w:cstheme="minorHAnsi"/>
          <w:bCs/>
          <w:color w:val="000000"/>
          <w:sz w:val="20"/>
          <w:szCs w:val="20"/>
          <w:lang w:eastAsia="en-GB"/>
        </w:rPr>
        <w:t>92</w:t>
      </w:r>
    </w:p>
    <w:p w:rsidR="00FA25A3" w:rsidRPr="009B3747" w:rsidRDefault="001E7173" w:rsidP="007C05E8">
      <w:pPr>
        <w:spacing w:line="240" w:lineRule="auto"/>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 xml:space="preserve">5.3 Sampling </w:t>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005A045A" w:rsidRPr="009B3747">
        <w:rPr>
          <w:rFonts w:eastAsia="Times New Roman" w:cstheme="minorHAnsi"/>
          <w:bCs/>
          <w:color w:val="000000"/>
          <w:sz w:val="20"/>
          <w:szCs w:val="20"/>
          <w:lang w:eastAsia="en-GB"/>
        </w:rPr>
        <w:t>93</w:t>
      </w:r>
    </w:p>
    <w:p w:rsidR="00782EBA" w:rsidRPr="009B3747" w:rsidRDefault="00084B45" w:rsidP="007C05E8">
      <w:pPr>
        <w:spacing w:line="240" w:lineRule="auto"/>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ab/>
        <w:t>5.3</w:t>
      </w:r>
      <w:r w:rsidR="00782EBA" w:rsidRPr="009B3747">
        <w:rPr>
          <w:rFonts w:eastAsia="Times New Roman" w:cstheme="minorHAnsi"/>
          <w:bCs/>
          <w:color w:val="000000"/>
          <w:sz w:val="20"/>
          <w:szCs w:val="20"/>
          <w:lang w:eastAsia="en-GB"/>
        </w:rPr>
        <w:t>.1 Sampling strategy</w:t>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5A045A" w:rsidRPr="009B3747">
        <w:rPr>
          <w:rFonts w:eastAsia="Times New Roman" w:cstheme="minorHAnsi"/>
          <w:bCs/>
          <w:color w:val="000000"/>
          <w:sz w:val="20"/>
          <w:szCs w:val="20"/>
          <w:lang w:eastAsia="en-GB"/>
        </w:rPr>
        <w:t>93</w:t>
      </w:r>
    </w:p>
    <w:p w:rsidR="00782EBA" w:rsidRPr="009B3747" w:rsidRDefault="00084B45" w:rsidP="007C05E8">
      <w:pPr>
        <w:spacing w:line="240" w:lineRule="auto"/>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ab/>
        <w:t>5.3</w:t>
      </w:r>
      <w:r w:rsidR="00782EBA" w:rsidRPr="009B3747">
        <w:rPr>
          <w:rFonts w:eastAsia="Times New Roman" w:cstheme="minorHAnsi"/>
          <w:bCs/>
          <w:color w:val="000000"/>
          <w:sz w:val="20"/>
          <w:szCs w:val="20"/>
          <w:lang w:eastAsia="en-GB"/>
        </w:rPr>
        <w:t>.2 Purposive Sample – Stratification</w:t>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5A045A" w:rsidRPr="009B3747">
        <w:rPr>
          <w:rFonts w:eastAsia="Times New Roman" w:cstheme="minorHAnsi"/>
          <w:bCs/>
          <w:color w:val="000000"/>
          <w:sz w:val="20"/>
          <w:szCs w:val="20"/>
          <w:lang w:eastAsia="en-GB"/>
        </w:rPr>
        <w:t>94</w:t>
      </w:r>
    </w:p>
    <w:p w:rsidR="00782EBA" w:rsidRPr="009B3747" w:rsidRDefault="00084B45" w:rsidP="007C05E8">
      <w:pPr>
        <w:spacing w:line="240" w:lineRule="auto"/>
        <w:ind w:firstLine="720"/>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5.3</w:t>
      </w:r>
      <w:r w:rsidR="00782EBA" w:rsidRPr="009B3747">
        <w:rPr>
          <w:rFonts w:eastAsia="Times New Roman" w:cstheme="minorHAnsi"/>
          <w:bCs/>
          <w:color w:val="000000"/>
          <w:sz w:val="20"/>
          <w:szCs w:val="20"/>
          <w:lang w:eastAsia="en-GB"/>
        </w:rPr>
        <w:t>.3 Approach, recruitment and engagement of the sample</w:t>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5A045A" w:rsidRPr="009B3747">
        <w:rPr>
          <w:rFonts w:eastAsia="Times New Roman" w:cstheme="minorHAnsi"/>
          <w:bCs/>
          <w:color w:val="000000"/>
          <w:sz w:val="20"/>
          <w:szCs w:val="20"/>
          <w:lang w:eastAsia="en-GB"/>
        </w:rPr>
        <w:t>94</w:t>
      </w:r>
    </w:p>
    <w:p w:rsidR="00782EBA" w:rsidRPr="009B3747" w:rsidRDefault="00084B45" w:rsidP="007C05E8">
      <w:pPr>
        <w:spacing w:line="240" w:lineRule="auto"/>
        <w:ind w:firstLine="720"/>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5.3</w:t>
      </w:r>
      <w:r w:rsidR="00782EBA" w:rsidRPr="009B3747">
        <w:rPr>
          <w:rFonts w:eastAsia="Times New Roman" w:cstheme="minorHAnsi"/>
          <w:bCs/>
          <w:color w:val="000000"/>
          <w:sz w:val="20"/>
          <w:szCs w:val="20"/>
          <w:lang w:eastAsia="en-GB"/>
        </w:rPr>
        <w:t>.4 Sample Size and Data saturation</w:t>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5A045A" w:rsidRPr="009B3747">
        <w:rPr>
          <w:rFonts w:eastAsia="Times New Roman" w:cstheme="minorHAnsi"/>
          <w:bCs/>
          <w:color w:val="000000"/>
          <w:sz w:val="20"/>
          <w:szCs w:val="20"/>
          <w:lang w:eastAsia="en-GB"/>
        </w:rPr>
        <w:t>97</w:t>
      </w:r>
    </w:p>
    <w:p w:rsidR="00782EBA" w:rsidRPr="009B3747" w:rsidRDefault="00084B45" w:rsidP="007C05E8">
      <w:pPr>
        <w:spacing w:line="240" w:lineRule="auto"/>
        <w:rPr>
          <w:rFonts w:eastAsia="Times New Roman" w:cstheme="minorHAnsi"/>
          <w:sz w:val="20"/>
          <w:szCs w:val="20"/>
          <w:lang w:eastAsia="en-GB"/>
        </w:rPr>
      </w:pPr>
      <w:r w:rsidRPr="009B3747">
        <w:rPr>
          <w:rFonts w:eastAsia="Times New Roman" w:cstheme="minorHAnsi"/>
          <w:bCs/>
          <w:color w:val="000000"/>
          <w:sz w:val="20"/>
          <w:szCs w:val="20"/>
          <w:lang w:eastAsia="en-GB"/>
        </w:rPr>
        <w:t>5.4</w:t>
      </w:r>
      <w:r w:rsidR="00782EBA" w:rsidRPr="009B3747">
        <w:rPr>
          <w:rFonts w:eastAsia="Times New Roman" w:cstheme="minorHAnsi"/>
          <w:bCs/>
          <w:color w:val="000000"/>
          <w:sz w:val="20"/>
          <w:szCs w:val="20"/>
          <w:lang w:eastAsia="en-GB"/>
        </w:rPr>
        <w:t xml:space="preserve"> Data collection</w:t>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5A045A" w:rsidRPr="009B3747">
        <w:rPr>
          <w:rFonts w:eastAsia="Times New Roman" w:cstheme="minorHAnsi"/>
          <w:bCs/>
          <w:color w:val="000000"/>
          <w:sz w:val="20"/>
          <w:szCs w:val="20"/>
          <w:lang w:eastAsia="en-GB"/>
        </w:rPr>
        <w:t>98</w:t>
      </w:r>
    </w:p>
    <w:p w:rsidR="00782EBA" w:rsidRPr="009B3747" w:rsidRDefault="00084B45" w:rsidP="007C05E8">
      <w:pPr>
        <w:spacing w:line="240" w:lineRule="auto"/>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ab/>
        <w:t>5.4</w:t>
      </w:r>
      <w:r w:rsidR="00782EBA" w:rsidRPr="009B3747">
        <w:rPr>
          <w:rFonts w:eastAsia="Times New Roman" w:cstheme="minorHAnsi"/>
          <w:bCs/>
          <w:color w:val="000000"/>
          <w:sz w:val="20"/>
          <w:szCs w:val="20"/>
          <w:lang w:eastAsia="en-GB"/>
        </w:rPr>
        <w:t>.1 Interviews</w:t>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5A045A" w:rsidRPr="009B3747">
        <w:rPr>
          <w:rFonts w:eastAsia="Times New Roman" w:cstheme="minorHAnsi"/>
          <w:bCs/>
          <w:color w:val="000000"/>
          <w:sz w:val="20"/>
          <w:szCs w:val="20"/>
          <w:lang w:eastAsia="en-GB"/>
        </w:rPr>
        <w:t>99</w:t>
      </w:r>
    </w:p>
    <w:p w:rsidR="00782EBA" w:rsidRPr="009B3747" w:rsidRDefault="00084B45" w:rsidP="007C05E8">
      <w:pPr>
        <w:spacing w:line="240" w:lineRule="auto"/>
        <w:ind w:firstLine="720"/>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5.4</w:t>
      </w:r>
      <w:r w:rsidR="00782EBA" w:rsidRPr="009B3747">
        <w:rPr>
          <w:rFonts w:eastAsia="Times New Roman" w:cstheme="minorHAnsi"/>
          <w:bCs/>
          <w:color w:val="000000"/>
          <w:sz w:val="20"/>
          <w:szCs w:val="20"/>
          <w:lang w:eastAsia="en-GB"/>
        </w:rPr>
        <w:t>.2 Interview schedule</w:t>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5A045A" w:rsidRPr="009B3747">
        <w:rPr>
          <w:rFonts w:eastAsia="Times New Roman" w:cstheme="minorHAnsi"/>
          <w:bCs/>
          <w:color w:val="000000"/>
          <w:sz w:val="20"/>
          <w:szCs w:val="20"/>
          <w:lang w:eastAsia="en-GB"/>
        </w:rPr>
        <w:t>100</w:t>
      </w:r>
    </w:p>
    <w:p w:rsidR="00782EBA" w:rsidRPr="009B3747" w:rsidRDefault="00084B45" w:rsidP="007C05E8">
      <w:pPr>
        <w:spacing w:line="240" w:lineRule="auto"/>
        <w:ind w:firstLine="720"/>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5.4</w:t>
      </w:r>
      <w:r w:rsidR="00782EBA" w:rsidRPr="009B3747">
        <w:rPr>
          <w:rFonts w:eastAsia="Times New Roman" w:cstheme="minorHAnsi"/>
          <w:bCs/>
          <w:color w:val="000000"/>
          <w:sz w:val="20"/>
          <w:szCs w:val="20"/>
          <w:lang w:eastAsia="en-GB"/>
        </w:rPr>
        <w:t>.3 Interview procedure</w:t>
      </w:r>
      <w:r w:rsidR="00FA25A3" w:rsidRPr="009B3747">
        <w:rPr>
          <w:rFonts w:eastAsia="Times New Roman" w:cstheme="minorHAnsi"/>
          <w:bCs/>
          <w:color w:val="000000"/>
          <w:sz w:val="20"/>
          <w:szCs w:val="20"/>
          <w:lang w:eastAsia="en-GB"/>
        </w:rPr>
        <w:tab/>
      </w:r>
      <w:r w:rsidR="00FA25A3" w:rsidRPr="009B3747">
        <w:rPr>
          <w:rFonts w:eastAsia="Times New Roman" w:cstheme="minorHAnsi"/>
          <w:bCs/>
          <w:color w:val="000000"/>
          <w:sz w:val="20"/>
          <w:szCs w:val="20"/>
          <w:lang w:eastAsia="en-GB"/>
        </w:rPr>
        <w:tab/>
      </w:r>
      <w:r w:rsidR="00FA25A3" w:rsidRPr="009B3747">
        <w:rPr>
          <w:rFonts w:eastAsia="Times New Roman" w:cstheme="minorHAnsi"/>
          <w:bCs/>
          <w:color w:val="000000"/>
          <w:sz w:val="20"/>
          <w:szCs w:val="20"/>
          <w:lang w:eastAsia="en-GB"/>
        </w:rPr>
        <w:tab/>
      </w:r>
      <w:r w:rsidR="00FA25A3" w:rsidRPr="009B3747">
        <w:rPr>
          <w:rFonts w:eastAsia="Times New Roman" w:cstheme="minorHAnsi"/>
          <w:bCs/>
          <w:color w:val="000000"/>
          <w:sz w:val="20"/>
          <w:szCs w:val="20"/>
          <w:lang w:eastAsia="en-GB"/>
        </w:rPr>
        <w:tab/>
      </w:r>
      <w:r w:rsidR="00FA25A3" w:rsidRPr="009B3747">
        <w:rPr>
          <w:rFonts w:eastAsia="Times New Roman" w:cstheme="minorHAnsi"/>
          <w:bCs/>
          <w:color w:val="000000"/>
          <w:sz w:val="20"/>
          <w:szCs w:val="20"/>
          <w:lang w:eastAsia="en-GB"/>
        </w:rPr>
        <w:tab/>
      </w:r>
      <w:r w:rsidR="00FA25A3" w:rsidRPr="009B3747">
        <w:rPr>
          <w:rFonts w:eastAsia="Times New Roman" w:cstheme="minorHAnsi"/>
          <w:bCs/>
          <w:color w:val="000000"/>
          <w:sz w:val="20"/>
          <w:szCs w:val="20"/>
          <w:lang w:eastAsia="en-GB"/>
        </w:rPr>
        <w:tab/>
      </w:r>
      <w:r w:rsidR="00FA25A3" w:rsidRPr="009B3747">
        <w:rPr>
          <w:rFonts w:eastAsia="Times New Roman" w:cstheme="minorHAnsi"/>
          <w:bCs/>
          <w:color w:val="000000"/>
          <w:sz w:val="20"/>
          <w:szCs w:val="20"/>
          <w:lang w:eastAsia="en-GB"/>
        </w:rPr>
        <w:tab/>
      </w:r>
      <w:r w:rsidR="00FA25A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F62D86">
        <w:rPr>
          <w:rFonts w:eastAsia="Times New Roman" w:cstheme="minorHAnsi"/>
          <w:bCs/>
          <w:color w:val="000000"/>
          <w:sz w:val="20"/>
          <w:szCs w:val="20"/>
          <w:lang w:eastAsia="en-GB"/>
        </w:rPr>
        <w:t>102</w:t>
      </w:r>
    </w:p>
    <w:p w:rsidR="00782EBA" w:rsidRPr="009B3747" w:rsidRDefault="00084B45" w:rsidP="007C05E8">
      <w:pPr>
        <w:spacing w:line="240" w:lineRule="auto"/>
        <w:ind w:firstLine="720"/>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5.4</w:t>
      </w:r>
      <w:r w:rsidR="00782EBA" w:rsidRPr="009B3747">
        <w:rPr>
          <w:rFonts w:eastAsia="Times New Roman" w:cstheme="minorHAnsi"/>
          <w:bCs/>
          <w:color w:val="000000"/>
          <w:sz w:val="20"/>
          <w:szCs w:val="20"/>
          <w:lang w:eastAsia="en-GB"/>
        </w:rPr>
        <w:t>.4 The interviewer and interviewing skills</w:t>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5A045A" w:rsidRPr="009B3747">
        <w:rPr>
          <w:rFonts w:eastAsia="Times New Roman" w:cstheme="minorHAnsi"/>
          <w:bCs/>
          <w:color w:val="000000"/>
          <w:sz w:val="20"/>
          <w:szCs w:val="20"/>
          <w:lang w:eastAsia="en-GB"/>
        </w:rPr>
        <w:t>102</w:t>
      </w:r>
    </w:p>
    <w:p w:rsidR="00782EBA" w:rsidRPr="009B3747" w:rsidRDefault="00084B45" w:rsidP="007C05E8">
      <w:pPr>
        <w:spacing w:line="240" w:lineRule="auto"/>
        <w:ind w:firstLine="720"/>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5.4</w:t>
      </w:r>
      <w:r w:rsidR="00782EBA" w:rsidRPr="009B3747">
        <w:rPr>
          <w:rFonts w:eastAsia="Times New Roman" w:cstheme="minorHAnsi"/>
          <w:bCs/>
          <w:color w:val="000000"/>
          <w:sz w:val="20"/>
          <w:szCs w:val="20"/>
          <w:lang w:eastAsia="en-GB"/>
        </w:rPr>
        <w:t>.5 Recording of Interviews</w:t>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5A045A" w:rsidRPr="009B3747">
        <w:rPr>
          <w:rFonts w:eastAsia="Times New Roman" w:cstheme="minorHAnsi"/>
          <w:bCs/>
          <w:color w:val="000000"/>
          <w:sz w:val="20"/>
          <w:szCs w:val="20"/>
          <w:lang w:eastAsia="en-GB"/>
        </w:rPr>
        <w:t>103</w:t>
      </w:r>
    </w:p>
    <w:p w:rsidR="00782EBA" w:rsidRPr="009B3747" w:rsidRDefault="00084B45" w:rsidP="007C05E8">
      <w:pPr>
        <w:spacing w:line="240" w:lineRule="auto"/>
        <w:ind w:firstLine="720"/>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5.4</w:t>
      </w:r>
      <w:r w:rsidR="00782EBA" w:rsidRPr="009B3747">
        <w:rPr>
          <w:rFonts w:eastAsia="Times New Roman" w:cstheme="minorHAnsi"/>
          <w:bCs/>
          <w:color w:val="000000"/>
          <w:sz w:val="20"/>
          <w:szCs w:val="20"/>
          <w:lang w:eastAsia="en-GB"/>
        </w:rPr>
        <w:t>.6 Pilot interview</w:t>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5A045A" w:rsidRPr="009B3747">
        <w:rPr>
          <w:rFonts w:eastAsia="Times New Roman" w:cstheme="minorHAnsi"/>
          <w:bCs/>
          <w:color w:val="000000"/>
          <w:sz w:val="20"/>
          <w:szCs w:val="20"/>
          <w:lang w:eastAsia="en-GB"/>
        </w:rPr>
        <w:t>103</w:t>
      </w:r>
    </w:p>
    <w:p w:rsidR="00782EBA" w:rsidRPr="009B3747" w:rsidRDefault="00084B45" w:rsidP="007C05E8">
      <w:pPr>
        <w:spacing w:line="240" w:lineRule="auto"/>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5.5 Data An</w:t>
      </w:r>
      <w:r w:rsidR="00782EBA" w:rsidRPr="009B3747">
        <w:rPr>
          <w:rFonts w:eastAsia="Times New Roman" w:cstheme="minorHAnsi"/>
          <w:bCs/>
          <w:color w:val="000000"/>
          <w:sz w:val="20"/>
          <w:szCs w:val="20"/>
          <w:lang w:eastAsia="en-GB"/>
        </w:rPr>
        <w:t>alysis</w:t>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F62D86">
        <w:rPr>
          <w:rFonts w:eastAsia="Times New Roman" w:cstheme="minorHAnsi"/>
          <w:bCs/>
          <w:color w:val="000000"/>
          <w:sz w:val="20"/>
          <w:szCs w:val="20"/>
          <w:lang w:eastAsia="en-GB"/>
        </w:rPr>
        <w:t>105</w:t>
      </w:r>
    </w:p>
    <w:p w:rsidR="00782EBA" w:rsidRPr="009B3747" w:rsidRDefault="00084B45" w:rsidP="007C05E8">
      <w:pPr>
        <w:spacing w:line="240" w:lineRule="auto"/>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ab/>
        <w:t>5.5</w:t>
      </w:r>
      <w:r w:rsidR="00782EBA" w:rsidRPr="009B3747">
        <w:rPr>
          <w:rFonts w:eastAsia="Times New Roman" w:cstheme="minorHAnsi"/>
          <w:bCs/>
          <w:color w:val="000000"/>
          <w:sz w:val="20"/>
          <w:szCs w:val="20"/>
          <w:lang w:eastAsia="en-GB"/>
        </w:rPr>
        <w:t>.1 Thematic analysis</w:t>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F62D86">
        <w:rPr>
          <w:rFonts w:eastAsia="Times New Roman" w:cstheme="minorHAnsi"/>
          <w:bCs/>
          <w:color w:val="000000"/>
          <w:sz w:val="20"/>
          <w:szCs w:val="20"/>
          <w:lang w:eastAsia="en-GB"/>
        </w:rPr>
        <w:t>106</w:t>
      </w:r>
    </w:p>
    <w:p w:rsidR="00782EBA" w:rsidRPr="009B3747" w:rsidRDefault="00084B45" w:rsidP="007C05E8">
      <w:pPr>
        <w:spacing w:line="240" w:lineRule="auto"/>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ab/>
        <w:t>5.5</w:t>
      </w:r>
      <w:r w:rsidR="00782EBA" w:rsidRPr="009B3747">
        <w:rPr>
          <w:rFonts w:eastAsia="Times New Roman" w:cstheme="minorHAnsi"/>
          <w:bCs/>
          <w:color w:val="000000"/>
          <w:sz w:val="20"/>
          <w:szCs w:val="20"/>
          <w:lang w:eastAsia="en-GB"/>
        </w:rPr>
        <w:t>.2 Thematic analysis - step by step</w:t>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F62D86">
        <w:rPr>
          <w:rFonts w:eastAsia="Times New Roman" w:cstheme="minorHAnsi"/>
          <w:bCs/>
          <w:color w:val="000000"/>
          <w:sz w:val="20"/>
          <w:szCs w:val="20"/>
          <w:lang w:eastAsia="en-GB"/>
        </w:rPr>
        <w:t>107</w:t>
      </w:r>
    </w:p>
    <w:p w:rsidR="00161F38" w:rsidRPr="009B3747" w:rsidRDefault="00084B45" w:rsidP="007C05E8">
      <w:pPr>
        <w:spacing w:line="240" w:lineRule="auto"/>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5.6</w:t>
      </w:r>
      <w:r w:rsidR="00161F38" w:rsidRPr="009B3747">
        <w:rPr>
          <w:rFonts w:eastAsia="Times New Roman" w:cstheme="minorHAnsi"/>
          <w:bCs/>
          <w:color w:val="000000"/>
          <w:sz w:val="20"/>
          <w:szCs w:val="20"/>
          <w:lang w:eastAsia="en-GB"/>
        </w:rPr>
        <w:t xml:space="preserve"> Quality in research</w:t>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5A045A" w:rsidRPr="009B3747">
        <w:rPr>
          <w:rFonts w:eastAsia="Times New Roman" w:cstheme="minorHAnsi"/>
          <w:bCs/>
          <w:color w:val="000000"/>
          <w:sz w:val="20"/>
          <w:szCs w:val="20"/>
          <w:lang w:eastAsia="en-GB"/>
        </w:rPr>
        <w:t>111</w:t>
      </w:r>
    </w:p>
    <w:p w:rsidR="00161F38" w:rsidRPr="009B3747" w:rsidRDefault="00161F38" w:rsidP="007C05E8">
      <w:pPr>
        <w:spacing w:line="240" w:lineRule="auto"/>
        <w:rPr>
          <w:rFonts w:eastAsia="Times New Roman" w:cstheme="minorHAnsi"/>
          <w:color w:val="000000"/>
          <w:sz w:val="20"/>
          <w:szCs w:val="20"/>
          <w:lang w:eastAsia="en-GB"/>
        </w:rPr>
      </w:pPr>
      <w:r w:rsidRPr="009B3747">
        <w:rPr>
          <w:rFonts w:eastAsia="Times New Roman" w:cstheme="minorHAnsi"/>
          <w:bCs/>
          <w:color w:val="000000"/>
          <w:sz w:val="20"/>
          <w:szCs w:val="20"/>
          <w:lang w:eastAsia="en-GB"/>
        </w:rPr>
        <w:tab/>
      </w:r>
      <w:r w:rsidR="00084B45" w:rsidRPr="009B3747">
        <w:rPr>
          <w:rFonts w:eastAsia="Times New Roman" w:cstheme="minorHAnsi"/>
          <w:color w:val="000000"/>
          <w:sz w:val="20"/>
          <w:szCs w:val="20"/>
          <w:lang w:eastAsia="en-GB"/>
        </w:rPr>
        <w:t>5.6</w:t>
      </w:r>
      <w:r w:rsidRPr="009B3747">
        <w:rPr>
          <w:rFonts w:eastAsia="Times New Roman" w:cstheme="minorHAnsi"/>
          <w:color w:val="000000"/>
          <w:sz w:val="20"/>
          <w:szCs w:val="20"/>
          <w:lang w:eastAsia="en-GB"/>
        </w:rPr>
        <w:t xml:space="preserve">.1 Qualitative quality criteria </w:t>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5A045A" w:rsidRPr="009B3747">
        <w:rPr>
          <w:rFonts w:eastAsia="Times New Roman" w:cstheme="minorHAnsi"/>
          <w:color w:val="000000"/>
          <w:sz w:val="20"/>
          <w:szCs w:val="20"/>
          <w:lang w:eastAsia="en-GB"/>
        </w:rPr>
        <w:t>112</w:t>
      </w:r>
    </w:p>
    <w:p w:rsidR="00782EBA" w:rsidRPr="009B3747" w:rsidRDefault="00084B45" w:rsidP="005A045A">
      <w:pPr>
        <w:spacing w:line="240" w:lineRule="auto"/>
        <w:rPr>
          <w:rFonts w:eastAsia="Times New Roman" w:cstheme="minorHAnsi"/>
          <w:sz w:val="20"/>
          <w:szCs w:val="20"/>
          <w:lang w:eastAsia="en-GB"/>
        </w:rPr>
      </w:pPr>
      <w:r w:rsidRPr="009B3747">
        <w:rPr>
          <w:rFonts w:eastAsia="Times New Roman" w:cstheme="minorHAnsi"/>
          <w:bCs/>
          <w:color w:val="000000"/>
          <w:sz w:val="20"/>
          <w:szCs w:val="20"/>
          <w:lang w:eastAsia="en-GB"/>
        </w:rPr>
        <w:lastRenderedPageBreak/>
        <w:t>5.7</w:t>
      </w:r>
      <w:r w:rsidR="00161F38" w:rsidRPr="009B3747">
        <w:rPr>
          <w:rFonts w:eastAsia="Times New Roman" w:cstheme="minorHAnsi"/>
          <w:bCs/>
          <w:color w:val="000000"/>
          <w:sz w:val="20"/>
          <w:szCs w:val="20"/>
          <w:lang w:eastAsia="en-GB"/>
        </w:rPr>
        <w:t xml:space="preserve"> Ethical approach and procedures</w:t>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5A045A" w:rsidRPr="009B3747">
        <w:rPr>
          <w:rFonts w:eastAsia="Times New Roman" w:cstheme="minorHAnsi"/>
          <w:bCs/>
          <w:color w:val="000000"/>
          <w:sz w:val="20"/>
          <w:szCs w:val="20"/>
          <w:lang w:eastAsia="en-GB"/>
        </w:rPr>
        <w:t>116</w:t>
      </w:r>
    </w:p>
    <w:p w:rsidR="00B06FA6" w:rsidRPr="009B3747" w:rsidRDefault="00B06FA6" w:rsidP="007C05E8">
      <w:pPr>
        <w:pStyle w:val="NormalWeb"/>
        <w:spacing w:before="0" w:beforeAutospacing="0" w:after="0" w:afterAutospacing="0"/>
        <w:rPr>
          <w:rFonts w:asciiTheme="minorHAnsi" w:hAnsiTheme="minorHAnsi" w:cstheme="minorHAnsi"/>
          <w:b/>
          <w:color w:val="000000"/>
          <w:sz w:val="22"/>
          <w:szCs w:val="22"/>
        </w:rPr>
      </w:pPr>
    </w:p>
    <w:p w:rsidR="00B04FA7" w:rsidRPr="009B3747" w:rsidRDefault="00B04FA7" w:rsidP="007C05E8">
      <w:pPr>
        <w:pStyle w:val="NormalWeb"/>
        <w:spacing w:before="0" w:beforeAutospacing="0" w:after="0" w:afterAutospacing="0"/>
        <w:rPr>
          <w:rFonts w:asciiTheme="minorHAnsi" w:hAnsiTheme="minorHAnsi" w:cstheme="minorHAnsi"/>
          <w:b/>
          <w:color w:val="000000"/>
          <w:sz w:val="22"/>
          <w:szCs w:val="22"/>
        </w:rPr>
      </w:pPr>
      <w:r w:rsidRPr="009B3747">
        <w:rPr>
          <w:rFonts w:asciiTheme="minorHAnsi" w:hAnsiTheme="minorHAnsi" w:cstheme="minorHAnsi"/>
          <w:b/>
          <w:color w:val="000000"/>
          <w:sz w:val="22"/>
          <w:szCs w:val="22"/>
        </w:rPr>
        <w:t>Chapter 6 – Qualitative findings</w:t>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EC4081" w:rsidRPr="009B3747">
        <w:rPr>
          <w:rFonts w:asciiTheme="minorHAnsi" w:hAnsiTheme="minorHAnsi" w:cstheme="minorHAnsi"/>
          <w:b/>
          <w:color w:val="000000"/>
          <w:sz w:val="22"/>
          <w:szCs w:val="22"/>
        </w:rPr>
        <w:t>120</w:t>
      </w:r>
    </w:p>
    <w:p w:rsidR="0026185B" w:rsidRPr="009B3747" w:rsidRDefault="0026185B" w:rsidP="007C05E8">
      <w:pPr>
        <w:spacing w:line="240" w:lineRule="auto"/>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ab/>
      </w:r>
    </w:p>
    <w:p w:rsidR="00084B45" w:rsidRPr="009B3747" w:rsidRDefault="001E7173" w:rsidP="007C05E8">
      <w:pPr>
        <w:spacing w:line="240" w:lineRule="auto"/>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6.1 Introduction</w:t>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00EC4081" w:rsidRPr="009B3747">
        <w:rPr>
          <w:rFonts w:eastAsia="Times New Roman" w:cstheme="minorHAnsi"/>
          <w:bCs/>
          <w:color w:val="000000"/>
          <w:sz w:val="20"/>
          <w:szCs w:val="20"/>
          <w:lang w:eastAsia="en-GB"/>
        </w:rPr>
        <w:t>120</w:t>
      </w:r>
    </w:p>
    <w:p w:rsidR="00161F38" w:rsidRPr="009B3747" w:rsidRDefault="00084B45" w:rsidP="007C05E8">
      <w:pPr>
        <w:spacing w:line="240" w:lineRule="auto"/>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6.2</w:t>
      </w:r>
      <w:r w:rsidR="00161F38" w:rsidRPr="009B3747">
        <w:rPr>
          <w:rFonts w:eastAsia="Times New Roman" w:cstheme="minorHAnsi"/>
          <w:bCs/>
          <w:color w:val="000000"/>
          <w:sz w:val="20"/>
          <w:szCs w:val="20"/>
          <w:lang w:eastAsia="en-GB"/>
        </w:rPr>
        <w:t xml:space="preserve"> Participant demographics and school characteristics </w:t>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EC4081" w:rsidRPr="009B3747">
        <w:rPr>
          <w:rFonts w:eastAsia="Times New Roman" w:cstheme="minorHAnsi"/>
          <w:bCs/>
          <w:color w:val="000000"/>
          <w:sz w:val="20"/>
          <w:szCs w:val="20"/>
          <w:lang w:eastAsia="en-GB"/>
        </w:rPr>
        <w:t>120</w:t>
      </w:r>
    </w:p>
    <w:p w:rsidR="00161F38" w:rsidRPr="009B3747" w:rsidRDefault="00084B45" w:rsidP="007C05E8">
      <w:pPr>
        <w:spacing w:line="240" w:lineRule="auto"/>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6.3</w:t>
      </w:r>
      <w:r w:rsidR="00161F38" w:rsidRPr="009B3747">
        <w:rPr>
          <w:rFonts w:eastAsia="Times New Roman" w:cstheme="minorHAnsi"/>
          <w:bCs/>
          <w:color w:val="000000"/>
          <w:sz w:val="20"/>
          <w:szCs w:val="20"/>
          <w:lang w:eastAsia="en-GB"/>
        </w:rPr>
        <w:t xml:space="preserve"> Overview of themes</w:t>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EC4081" w:rsidRPr="009B3747">
        <w:rPr>
          <w:rFonts w:eastAsia="Times New Roman" w:cstheme="minorHAnsi"/>
          <w:bCs/>
          <w:color w:val="000000"/>
          <w:sz w:val="20"/>
          <w:szCs w:val="20"/>
          <w:lang w:eastAsia="en-GB"/>
        </w:rPr>
        <w:t>123</w:t>
      </w:r>
    </w:p>
    <w:p w:rsidR="00161F38" w:rsidRPr="009B3747" w:rsidRDefault="00161F38" w:rsidP="007C05E8">
      <w:pPr>
        <w:spacing w:line="240" w:lineRule="auto"/>
        <w:rPr>
          <w:rFonts w:eastAsia="Times New Roman" w:cstheme="minorHAnsi"/>
          <w:color w:val="000000"/>
          <w:sz w:val="20"/>
          <w:szCs w:val="20"/>
          <w:lang w:eastAsia="en-GB"/>
        </w:rPr>
      </w:pPr>
      <w:r w:rsidRPr="009B3747">
        <w:rPr>
          <w:rFonts w:eastAsia="Times New Roman" w:cstheme="minorHAnsi"/>
          <w:bCs/>
          <w:color w:val="000000"/>
          <w:sz w:val="20"/>
          <w:szCs w:val="20"/>
          <w:lang w:eastAsia="en-GB"/>
        </w:rPr>
        <w:tab/>
      </w:r>
      <w:r w:rsidR="00084B45" w:rsidRPr="009B3747">
        <w:rPr>
          <w:rFonts w:eastAsia="Times New Roman" w:cstheme="minorHAnsi"/>
          <w:color w:val="000000"/>
          <w:sz w:val="20"/>
          <w:szCs w:val="20"/>
          <w:lang w:eastAsia="en-GB"/>
        </w:rPr>
        <w:t>6.3</w:t>
      </w:r>
      <w:r w:rsidRPr="009B3747">
        <w:rPr>
          <w:rFonts w:eastAsia="Times New Roman" w:cstheme="minorHAnsi"/>
          <w:color w:val="000000"/>
          <w:sz w:val="20"/>
          <w:szCs w:val="20"/>
          <w:lang w:eastAsia="en-GB"/>
        </w:rPr>
        <w:t>.1 Summary of individual themes</w:t>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C22EC4">
        <w:rPr>
          <w:rFonts w:eastAsia="Times New Roman" w:cstheme="minorHAnsi"/>
          <w:color w:val="000000"/>
          <w:sz w:val="20"/>
          <w:szCs w:val="20"/>
          <w:lang w:eastAsia="en-GB"/>
        </w:rPr>
        <w:t>124</w:t>
      </w:r>
    </w:p>
    <w:p w:rsidR="00161F38" w:rsidRPr="009B3747" w:rsidRDefault="00084B45" w:rsidP="007C05E8">
      <w:pPr>
        <w:spacing w:line="240" w:lineRule="auto"/>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6.4</w:t>
      </w:r>
      <w:r w:rsidR="00161F38" w:rsidRPr="009B3747">
        <w:rPr>
          <w:rFonts w:eastAsia="Times New Roman" w:cstheme="minorHAnsi"/>
          <w:bCs/>
          <w:color w:val="000000"/>
          <w:sz w:val="20"/>
          <w:szCs w:val="20"/>
          <w:lang w:eastAsia="en-GB"/>
        </w:rPr>
        <w:t xml:space="preserve"> Perceptions of adolescent obesity and lifestyle behaviours</w:t>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EC4081" w:rsidRPr="009B3747">
        <w:rPr>
          <w:rFonts w:eastAsia="Times New Roman" w:cstheme="minorHAnsi"/>
          <w:bCs/>
          <w:color w:val="000000"/>
          <w:sz w:val="20"/>
          <w:szCs w:val="20"/>
          <w:lang w:eastAsia="en-GB"/>
        </w:rPr>
        <w:t>126</w:t>
      </w:r>
    </w:p>
    <w:p w:rsidR="00161F38" w:rsidRPr="009B3747" w:rsidRDefault="00161F38" w:rsidP="007C05E8">
      <w:pPr>
        <w:spacing w:line="240" w:lineRule="auto"/>
        <w:rPr>
          <w:rFonts w:eastAsia="Times New Roman" w:cstheme="minorHAnsi"/>
          <w:iCs/>
          <w:color w:val="000000"/>
          <w:sz w:val="20"/>
          <w:szCs w:val="20"/>
          <w:lang w:eastAsia="en-GB"/>
        </w:rPr>
      </w:pPr>
      <w:r w:rsidRPr="009B3747">
        <w:rPr>
          <w:rFonts w:eastAsia="Times New Roman" w:cstheme="minorHAnsi"/>
          <w:bCs/>
          <w:color w:val="000000"/>
          <w:sz w:val="20"/>
          <w:szCs w:val="20"/>
          <w:lang w:eastAsia="en-GB"/>
        </w:rPr>
        <w:tab/>
      </w:r>
      <w:r w:rsidR="00084B45" w:rsidRPr="009B3747">
        <w:rPr>
          <w:rFonts w:eastAsia="Times New Roman" w:cstheme="minorHAnsi"/>
          <w:iCs/>
          <w:color w:val="000000"/>
          <w:sz w:val="20"/>
          <w:szCs w:val="20"/>
          <w:lang w:eastAsia="en-GB"/>
        </w:rPr>
        <w:t>6.4</w:t>
      </w:r>
      <w:r w:rsidRPr="009B3747">
        <w:rPr>
          <w:rFonts w:eastAsia="Times New Roman" w:cstheme="minorHAnsi"/>
          <w:iCs/>
          <w:color w:val="000000"/>
          <w:sz w:val="20"/>
          <w:szCs w:val="20"/>
          <w:lang w:eastAsia="en-GB"/>
        </w:rPr>
        <w:t>.1 The issue of obesity</w:t>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EC4081" w:rsidRPr="009B3747">
        <w:rPr>
          <w:rFonts w:eastAsia="Times New Roman" w:cstheme="minorHAnsi"/>
          <w:iCs/>
          <w:color w:val="000000"/>
          <w:sz w:val="20"/>
          <w:szCs w:val="20"/>
          <w:lang w:eastAsia="en-GB"/>
        </w:rPr>
        <w:t>126</w:t>
      </w:r>
    </w:p>
    <w:p w:rsidR="00161F38" w:rsidRPr="009B3747" w:rsidRDefault="00084B45" w:rsidP="007C05E8">
      <w:pPr>
        <w:spacing w:line="240" w:lineRule="auto"/>
        <w:ind w:firstLine="720"/>
        <w:rPr>
          <w:rFonts w:eastAsia="Times New Roman" w:cstheme="minorHAnsi"/>
          <w:iCs/>
          <w:color w:val="000000"/>
          <w:sz w:val="20"/>
          <w:szCs w:val="20"/>
          <w:lang w:eastAsia="en-GB"/>
        </w:rPr>
      </w:pPr>
      <w:r w:rsidRPr="009B3747">
        <w:rPr>
          <w:rFonts w:eastAsia="Times New Roman" w:cstheme="minorHAnsi"/>
          <w:iCs/>
          <w:color w:val="000000"/>
          <w:sz w:val="20"/>
          <w:szCs w:val="20"/>
          <w:lang w:eastAsia="en-GB"/>
        </w:rPr>
        <w:t>6.4</w:t>
      </w:r>
      <w:r w:rsidR="00161F38" w:rsidRPr="009B3747">
        <w:rPr>
          <w:rFonts w:eastAsia="Times New Roman" w:cstheme="minorHAnsi"/>
          <w:iCs/>
          <w:color w:val="000000"/>
          <w:sz w:val="20"/>
          <w:szCs w:val="20"/>
          <w:lang w:eastAsia="en-GB"/>
        </w:rPr>
        <w:t xml:space="preserve">.2 Dietary habits and preferences </w:t>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EC4081" w:rsidRPr="009B3747">
        <w:rPr>
          <w:rFonts w:eastAsia="Times New Roman" w:cstheme="minorHAnsi"/>
          <w:iCs/>
          <w:color w:val="000000"/>
          <w:sz w:val="20"/>
          <w:szCs w:val="20"/>
          <w:lang w:eastAsia="en-GB"/>
        </w:rPr>
        <w:t>130</w:t>
      </w:r>
    </w:p>
    <w:p w:rsidR="00BC77D3" w:rsidRPr="009B3747" w:rsidRDefault="00084B45" w:rsidP="007C05E8">
      <w:pPr>
        <w:spacing w:line="240" w:lineRule="auto"/>
        <w:ind w:firstLine="720"/>
        <w:rPr>
          <w:rFonts w:eastAsia="Times New Roman" w:cstheme="minorHAnsi"/>
          <w:iCs/>
          <w:color w:val="000000"/>
          <w:sz w:val="20"/>
          <w:szCs w:val="20"/>
          <w:lang w:eastAsia="en-GB"/>
        </w:rPr>
      </w:pPr>
      <w:r w:rsidRPr="009B3747">
        <w:rPr>
          <w:rFonts w:eastAsia="Times New Roman" w:cstheme="minorHAnsi"/>
          <w:iCs/>
          <w:color w:val="000000"/>
          <w:sz w:val="20"/>
          <w:szCs w:val="20"/>
          <w:lang w:eastAsia="en-GB"/>
        </w:rPr>
        <w:t>6.4</w:t>
      </w:r>
      <w:r w:rsidR="00BC77D3" w:rsidRPr="009B3747">
        <w:rPr>
          <w:rFonts w:eastAsia="Times New Roman" w:cstheme="minorHAnsi"/>
          <w:iCs/>
          <w:color w:val="000000"/>
          <w:sz w:val="20"/>
          <w:szCs w:val="20"/>
          <w:lang w:eastAsia="en-GB"/>
        </w:rPr>
        <w:t xml:space="preserve">.3 Physical activity and sedentary behaviour </w:t>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EC4081" w:rsidRPr="009B3747">
        <w:rPr>
          <w:rFonts w:eastAsia="Times New Roman" w:cstheme="minorHAnsi"/>
          <w:iCs/>
          <w:color w:val="000000"/>
          <w:sz w:val="20"/>
          <w:szCs w:val="20"/>
          <w:lang w:eastAsia="en-GB"/>
        </w:rPr>
        <w:t>132</w:t>
      </w:r>
    </w:p>
    <w:p w:rsidR="00BC77D3" w:rsidRPr="009B3747" w:rsidRDefault="00084B45" w:rsidP="007C05E8">
      <w:pPr>
        <w:spacing w:line="240" w:lineRule="auto"/>
        <w:ind w:firstLine="720"/>
        <w:rPr>
          <w:rFonts w:eastAsia="Times New Roman" w:cstheme="minorHAnsi"/>
          <w:iCs/>
          <w:color w:val="000000"/>
          <w:sz w:val="20"/>
          <w:szCs w:val="20"/>
          <w:lang w:eastAsia="en-GB"/>
        </w:rPr>
      </w:pPr>
      <w:r w:rsidRPr="009B3747">
        <w:rPr>
          <w:rFonts w:eastAsia="Times New Roman" w:cstheme="minorHAnsi"/>
          <w:iCs/>
          <w:color w:val="000000"/>
          <w:sz w:val="20"/>
          <w:szCs w:val="20"/>
          <w:lang w:eastAsia="en-GB"/>
        </w:rPr>
        <w:t>6.4</w:t>
      </w:r>
      <w:r w:rsidR="00BC77D3" w:rsidRPr="009B3747">
        <w:rPr>
          <w:rFonts w:eastAsia="Times New Roman" w:cstheme="minorHAnsi"/>
          <w:iCs/>
          <w:color w:val="000000"/>
          <w:sz w:val="20"/>
          <w:szCs w:val="20"/>
          <w:lang w:eastAsia="en-GB"/>
        </w:rPr>
        <w:t>.4 Wider health and well-being issues</w:t>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EC4081" w:rsidRPr="009B3747">
        <w:rPr>
          <w:rFonts w:eastAsia="Times New Roman" w:cstheme="minorHAnsi"/>
          <w:iCs/>
          <w:color w:val="000000"/>
          <w:sz w:val="20"/>
          <w:szCs w:val="20"/>
          <w:lang w:eastAsia="en-GB"/>
        </w:rPr>
        <w:t>134</w:t>
      </w:r>
    </w:p>
    <w:p w:rsidR="00BC77D3" w:rsidRPr="009B3747" w:rsidRDefault="00084B45" w:rsidP="007C05E8">
      <w:pPr>
        <w:spacing w:line="240" w:lineRule="auto"/>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6.5</w:t>
      </w:r>
      <w:r w:rsidR="00BC77D3" w:rsidRPr="009B3747">
        <w:rPr>
          <w:rFonts w:eastAsia="Times New Roman" w:cstheme="minorHAnsi"/>
          <w:bCs/>
          <w:color w:val="000000"/>
          <w:sz w:val="20"/>
          <w:szCs w:val="20"/>
          <w:lang w:eastAsia="en-GB"/>
        </w:rPr>
        <w:t xml:space="preserve"> The influence of place</w:t>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EC4081" w:rsidRPr="009B3747">
        <w:rPr>
          <w:rFonts w:eastAsia="Times New Roman" w:cstheme="minorHAnsi"/>
          <w:bCs/>
          <w:color w:val="000000"/>
          <w:sz w:val="20"/>
          <w:szCs w:val="20"/>
          <w:lang w:eastAsia="en-GB"/>
        </w:rPr>
        <w:t>135</w:t>
      </w:r>
    </w:p>
    <w:p w:rsidR="00BC77D3" w:rsidRPr="009B3747" w:rsidRDefault="00BC77D3" w:rsidP="007C05E8">
      <w:pPr>
        <w:spacing w:line="240" w:lineRule="auto"/>
        <w:rPr>
          <w:rFonts w:eastAsia="Times New Roman" w:cstheme="minorHAnsi"/>
          <w:iCs/>
          <w:color w:val="000000"/>
          <w:sz w:val="20"/>
          <w:szCs w:val="20"/>
          <w:lang w:eastAsia="en-GB"/>
        </w:rPr>
      </w:pPr>
      <w:r w:rsidRPr="009B3747">
        <w:rPr>
          <w:rFonts w:eastAsia="Times New Roman" w:cstheme="minorHAnsi"/>
          <w:bCs/>
          <w:color w:val="000000"/>
          <w:sz w:val="20"/>
          <w:szCs w:val="20"/>
          <w:lang w:eastAsia="en-GB"/>
        </w:rPr>
        <w:tab/>
      </w:r>
      <w:r w:rsidR="00084B45" w:rsidRPr="009B3747">
        <w:rPr>
          <w:rFonts w:eastAsia="Times New Roman" w:cstheme="minorHAnsi"/>
          <w:iCs/>
          <w:color w:val="000000"/>
          <w:sz w:val="20"/>
          <w:szCs w:val="20"/>
          <w:lang w:eastAsia="en-GB"/>
        </w:rPr>
        <w:t>6.5</w:t>
      </w:r>
      <w:r w:rsidRPr="009B3747">
        <w:rPr>
          <w:rFonts w:eastAsia="Times New Roman" w:cstheme="minorHAnsi"/>
          <w:iCs/>
          <w:color w:val="000000"/>
          <w:sz w:val="20"/>
          <w:szCs w:val="20"/>
          <w:lang w:eastAsia="en-GB"/>
        </w:rPr>
        <w:t>.1 Home environment</w:t>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EC4081" w:rsidRPr="009B3747">
        <w:rPr>
          <w:rFonts w:eastAsia="Times New Roman" w:cstheme="minorHAnsi"/>
          <w:iCs/>
          <w:color w:val="000000"/>
          <w:sz w:val="20"/>
          <w:szCs w:val="20"/>
          <w:lang w:eastAsia="en-GB"/>
        </w:rPr>
        <w:t>135</w:t>
      </w:r>
    </w:p>
    <w:p w:rsidR="00BC77D3" w:rsidRPr="009B3747" w:rsidRDefault="00084B45" w:rsidP="007C05E8">
      <w:pPr>
        <w:spacing w:line="240" w:lineRule="auto"/>
        <w:rPr>
          <w:rFonts w:eastAsia="Times New Roman" w:cstheme="minorHAnsi"/>
          <w:iCs/>
          <w:color w:val="000000"/>
          <w:sz w:val="20"/>
          <w:szCs w:val="20"/>
          <w:lang w:eastAsia="en-GB"/>
        </w:rPr>
      </w:pPr>
      <w:r w:rsidRPr="009B3747">
        <w:rPr>
          <w:rFonts w:eastAsia="Times New Roman" w:cstheme="minorHAnsi"/>
          <w:iCs/>
          <w:color w:val="000000"/>
          <w:sz w:val="20"/>
          <w:szCs w:val="20"/>
          <w:lang w:eastAsia="en-GB"/>
        </w:rPr>
        <w:tab/>
        <w:t>6.5</w:t>
      </w:r>
      <w:r w:rsidR="00BC77D3" w:rsidRPr="009B3747">
        <w:rPr>
          <w:rFonts w:eastAsia="Times New Roman" w:cstheme="minorHAnsi"/>
          <w:iCs/>
          <w:color w:val="000000"/>
          <w:sz w:val="20"/>
          <w:szCs w:val="20"/>
          <w:lang w:eastAsia="en-GB"/>
        </w:rPr>
        <w:t>.2 Wider food environment</w:t>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EC4081" w:rsidRPr="009B3747">
        <w:rPr>
          <w:rFonts w:eastAsia="Times New Roman" w:cstheme="minorHAnsi"/>
          <w:iCs/>
          <w:color w:val="000000"/>
          <w:sz w:val="20"/>
          <w:szCs w:val="20"/>
          <w:lang w:eastAsia="en-GB"/>
        </w:rPr>
        <w:t>140</w:t>
      </w:r>
    </w:p>
    <w:p w:rsidR="00BC77D3" w:rsidRPr="009B3747" w:rsidRDefault="00084B45" w:rsidP="007C05E8">
      <w:pPr>
        <w:spacing w:line="240" w:lineRule="auto"/>
        <w:rPr>
          <w:rFonts w:eastAsia="Times New Roman" w:cstheme="minorHAnsi"/>
          <w:iCs/>
          <w:color w:val="000000"/>
          <w:sz w:val="20"/>
          <w:szCs w:val="20"/>
          <w:lang w:eastAsia="en-GB"/>
        </w:rPr>
      </w:pPr>
      <w:r w:rsidRPr="009B3747">
        <w:rPr>
          <w:rFonts w:eastAsia="Times New Roman" w:cstheme="minorHAnsi"/>
          <w:iCs/>
          <w:color w:val="000000"/>
          <w:sz w:val="20"/>
          <w:szCs w:val="20"/>
          <w:lang w:eastAsia="en-GB"/>
        </w:rPr>
        <w:tab/>
        <w:t>6.5</w:t>
      </w:r>
      <w:r w:rsidR="00BC77D3" w:rsidRPr="009B3747">
        <w:rPr>
          <w:rFonts w:eastAsia="Times New Roman" w:cstheme="minorHAnsi"/>
          <w:iCs/>
          <w:color w:val="000000"/>
          <w:sz w:val="20"/>
          <w:szCs w:val="20"/>
          <w:lang w:eastAsia="en-GB"/>
        </w:rPr>
        <w:t>.3 Deprivation</w:t>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4F13B7">
        <w:rPr>
          <w:rFonts w:eastAsia="Times New Roman" w:cstheme="minorHAnsi"/>
          <w:iCs/>
          <w:color w:val="000000"/>
          <w:sz w:val="20"/>
          <w:szCs w:val="20"/>
          <w:lang w:eastAsia="en-GB"/>
        </w:rPr>
        <w:t>146</w:t>
      </w:r>
    </w:p>
    <w:p w:rsidR="00BC77D3" w:rsidRPr="009B3747" w:rsidRDefault="00084B45" w:rsidP="007C05E8">
      <w:pPr>
        <w:spacing w:line="240" w:lineRule="auto"/>
        <w:rPr>
          <w:rFonts w:eastAsia="Times New Roman" w:cstheme="minorHAnsi"/>
          <w:sz w:val="20"/>
          <w:szCs w:val="20"/>
          <w:lang w:eastAsia="en-GB"/>
        </w:rPr>
      </w:pPr>
      <w:r w:rsidRPr="009B3747">
        <w:rPr>
          <w:rFonts w:eastAsia="Times New Roman" w:cstheme="minorHAnsi"/>
          <w:bCs/>
          <w:color w:val="000000"/>
          <w:sz w:val="20"/>
          <w:szCs w:val="20"/>
          <w:lang w:eastAsia="en-GB"/>
        </w:rPr>
        <w:t>6.6</w:t>
      </w:r>
      <w:r w:rsidR="00BC77D3" w:rsidRPr="009B3747">
        <w:rPr>
          <w:rFonts w:eastAsia="Times New Roman" w:cstheme="minorHAnsi"/>
          <w:bCs/>
          <w:color w:val="000000"/>
          <w:sz w:val="20"/>
          <w:szCs w:val="20"/>
          <w:lang w:eastAsia="en-GB"/>
        </w:rPr>
        <w:t xml:space="preserve"> Shared responsibility, collective solutions</w:t>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4F13B7">
        <w:rPr>
          <w:rFonts w:eastAsia="Times New Roman" w:cstheme="minorHAnsi"/>
          <w:bCs/>
          <w:color w:val="000000"/>
          <w:sz w:val="20"/>
          <w:szCs w:val="20"/>
          <w:lang w:eastAsia="en-GB"/>
        </w:rPr>
        <w:t>151</w:t>
      </w:r>
    </w:p>
    <w:p w:rsidR="00BC77D3" w:rsidRPr="009B3747" w:rsidRDefault="00084B45" w:rsidP="007C05E8">
      <w:pPr>
        <w:spacing w:line="240" w:lineRule="auto"/>
        <w:rPr>
          <w:rFonts w:eastAsia="Times New Roman" w:cstheme="minorHAnsi"/>
          <w:sz w:val="20"/>
          <w:szCs w:val="20"/>
          <w:lang w:eastAsia="en-GB"/>
        </w:rPr>
      </w:pPr>
      <w:r w:rsidRPr="009B3747">
        <w:rPr>
          <w:rFonts w:eastAsia="Times New Roman" w:cstheme="minorHAnsi"/>
          <w:sz w:val="20"/>
          <w:szCs w:val="20"/>
          <w:lang w:eastAsia="en-GB"/>
        </w:rPr>
        <w:tab/>
        <w:t>6.6</w:t>
      </w:r>
      <w:r w:rsidR="00BC77D3" w:rsidRPr="009B3747">
        <w:rPr>
          <w:rFonts w:eastAsia="Times New Roman" w:cstheme="minorHAnsi"/>
          <w:sz w:val="20"/>
          <w:szCs w:val="20"/>
          <w:lang w:eastAsia="en-GB"/>
        </w:rPr>
        <w:t>.1 Continuum of responsibility</w:t>
      </w:r>
      <w:r w:rsidR="001E7173" w:rsidRPr="009B3747">
        <w:rPr>
          <w:rFonts w:eastAsia="Times New Roman" w:cstheme="minorHAnsi"/>
          <w:sz w:val="20"/>
          <w:szCs w:val="20"/>
          <w:lang w:eastAsia="en-GB"/>
        </w:rPr>
        <w:tab/>
      </w:r>
      <w:r w:rsidR="001E7173" w:rsidRPr="009B3747">
        <w:rPr>
          <w:rFonts w:eastAsia="Times New Roman" w:cstheme="minorHAnsi"/>
          <w:sz w:val="20"/>
          <w:szCs w:val="20"/>
          <w:lang w:eastAsia="en-GB"/>
        </w:rPr>
        <w:tab/>
      </w:r>
      <w:r w:rsidR="001E7173" w:rsidRPr="009B3747">
        <w:rPr>
          <w:rFonts w:eastAsia="Times New Roman" w:cstheme="minorHAnsi"/>
          <w:sz w:val="20"/>
          <w:szCs w:val="20"/>
          <w:lang w:eastAsia="en-GB"/>
        </w:rPr>
        <w:tab/>
      </w:r>
      <w:r w:rsidR="001E7173" w:rsidRPr="009B3747">
        <w:rPr>
          <w:rFonts w:eastAsia="Times New Roman" w:cstheme="minorHAnsi"/>
          <w:sz w:val="20"/>
          <w:szCs w:val="20"/>
          <w:lang w:eastAsia="en-GB"/>
        </w:rPr>
        <w:tab/>
      </w:r>
      <w:r w:rsidR="001E7173" w:rsidRPr="009B3747">
        <w:rPr>
          <w:rFonts w:eastAsia="Times New Roman" w:cstheme="minorHAnsi"/>
          <w:sz w:val="20"/>
          <w:szCs w:val="20"/>
          <w:lang w:eastAsia="en-GB"/>
        </w:rPr>
        <w:tab/>
      </w:r>
      <w:r w:rsidR="001E7173" w:rsidRPr="009B3747">
        <w:rPr>
          <w:rFonts w:eastAsia="Times New Roman" w:cstheme="minorHAnsi"/>
          <w:sz w:val="20"/>
          <w:szCs w:val="20"/>
          <w:lang w:eastAsia="en-GB"/>
        </w:rPr>
        <w:tab/>
      </w:r>
      <w:r w:rsidR="001E7173" w:rsidRPr="009B3747">
        <w:rPr>
          <w:rFonts w:eastAsia="Times New Roman" w:cstheme="minorHAnsi"/>
          <w:sz w:val="20"/>
          <w:szCs w:val="20"/>
          <w:lang w:eastAsia="en-GB"/>
        </w:rPr>
        <w:tab/>
      </w:r>
      <w:r w:rsidR="001E7173" w:rsidRPr="009B3747">
        <w:rPr>
          <w:rFonts w:eastAsia="Times New Roman" w:cstheme="minorHAnsi"/>
          <w:sz w:val="20"/>
          <w:szCs w:val="20"/>
          <w:lang w:eastAsia="en-GB"/>
        </w:rPr>
        <w:tab/>
      </w:r>
      <w:r w:rsidR="00EC4081" w:rsidRPr="009B3747">
        <w:rPr>
          <w:rFonts w:eastAsia="Times New Roman" w:cstheme="minorHAnsi"/>
          <w:sz w:val="20"/>
          <w:szCs w:val="20"/>
          <w:lang w:eastAsia="en-GB"/>
        </w:rPr>
        <w:t>151</w:t>
      </w:r>
    </w:p>
    <w:p w:rsidR="00010668" w:rsidRPr="009B3747" w:rsidRDefault="00010668" w:rsidP="007C05E8">
      <w:pPr>
        <w:spacing w:line="240" w:lineRule="auto"/>
        <w:rPr>
          <w:rFonts w:eastAsia="Times New Roman" w:cstheme="minorHAnsi"/>
          <w:iCs/>
          <w:color w:val="000000"/>
          <w:sz w:val="20"/>
          <w:szCs w:val="20"/>
          <w:lang w:eastAsia="en-GB"/>
        </w:rPr>
      </w:pPr>
      <w:r w:rsidRPr="009B3747">
        <w:rPr>
          <w:rFonts w:eastAsia="Times New Roman" w:cstheme="minorHAnsi"/>
          <w:sz w:val="20"/>
          <w:szCs w:val="20"/>
          <w:lang w:eastAsia="en-GB"/>
        </w:rPr>
        <w:tab/>
      </w:r>
      <w:r w:rsidR="00084B45" w:rsidRPr="009B3747">
        <w:rPr>
          <w:rFonts w:eastAsia="Times New Roman" w:cstheme="minorHAnsi"/>
          <w:iCs/>
          <w:color w:val="000000"/>
          <w:sz w:val="20"/>
          <w:szCs w:val="20"/>
          <w:lang w:eastAsia="en-GB"/>
        </w:rPr>
        <w:t>6.6</w:t>
      </w:r>
      <w:r w:rsidRPr="009B3747">
        <w:rPr>
          <w:rFonts w:eastAsia="Times New Roman" w:cstheme="minorHAnsi"/>
          <w:iCs/>
          <w:color w:val="000000"/>
          <w:sz w:val="20"/>
          <w:szCs w:val="20"/>
          <w:lang w:eastAsia="en-GB"/>
        </w:rPr>
        <w:t>.2 Approaches to behaviour change</w:t>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4F13B7">
        <w:rPr>
          <w:rFonts w:eastAsia="Times New Roman" w:cstheme="minorHAnsi"/>
          <w:iCs/>
          <w:color w:val="000000"/>
          <w:sz w:val="20"/>
          <w:szCs w:val="20"/>
          <w:lang w:eastAsia="en-GB"/>
        </w:rPr>
        <w:t>160</w:t>
      </w:r>
    </w:p>
    <w:p w:rsidR="00010668" w:rsidRPr="009B3747" w:rsidRDefault="00010668" w:rsidP="007C05E8">
      <w:pPr>
        <w:spacing w:line="240" w:lineRule="auto"/>
        <w:rPr>
          <w:rFonts w:eastAsia="Times New Roman" w:cstheme="minorHAnsi"/>
          <w:color w:val="000000"/>
          <w:sz w:val="20"/>
          <w:szCs w:val="20"/>
          <w:lang w:eastAsia="en-GB"/>
        </w:rPr>
      </w:pPr>
      <w:r w:rsidRPr="009B3747">
        <w:rPr>
          <w:rFonts w:eastAsia="Times New Roman" w:cstheme="minorHAnsi"/>
          <w:iCs/>
          <w:color w:val="000000"/>
          <w:sz w:val="20"/>
          <w:szCs w:val="20"/>
          <w:lang w:eastAsia="en-GB"/>
        </w:rPr>
        <w:tab/>
      </w:r>
      <w:r w:rsidR="00084B45" w:rsidRPr="009B3747">
        <w:rPr>
          <w:rFonts w:eastAsia="Times New Roman" w:cstheme="minorHAnsi"/>
          <w:color w:val="000000"/>
          <w:sz w:val="20"/>
          <w:szCs w:val="20"/>
          <w:lang w:eastAsia="en-GB"/>
        </w:rPr>
        <w:t>6.6</w:t>
      </w:r>
      <w:r w:rsidRPr="009B3747">
        <w:rPr>
          <w:rFonts w:eastAsia="Times New Roman" w:cstheme="minorHAnsi"/>
          <w:color w:val="000000"/>
          <w:sz w:val="20"/>
          <w:szCs w:val="20"/>
          <w:lang w:eastAsia="en-GB"/>
        </w:rPr>
        <w:t>.3 - The importance of partnerships</w:t>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0026185B"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4F13B7">
        <w:rPr>
          <w:rFonts w:eastAsia="Times New Roman" w:cstheme="minorHAnsi"/>
          <w:color w:val="000000"/>
          <w:sz w:val="20"/>
          <w:szCs w:val="20"/>
          <w:lang w:eastAsia="en-GB"/>
        </w:rPr>
        <w:t>166</w:t>
      </w:r>
    </w:p>
    <w:p w:rsidR="00010668" w:rsidRPr="009B3747" w:rsidRDefault="00084B45" w:rsidP="007C05E8">
      <w:pPr>
        <w:spacing w:line="240" w:lineRule="auto"/>
        <w:rPr>
          <w:rFonts w:eastAsia="Times New Roman" w:cstheme="minorHAnsi"/>
          <w:sz w:val="20"/>
          <w:szCs w:val="20"/>
          <w:lang w:eastAsia="en-GB"/>
        </w:rPr>
      </w:pPr>
      <w:r w:rsidRPr="009B3747">
        <w:rPr>
          <w:rFonts w:eastAsia="Times New Roman" w:cstheme="minorHAnsi"/>
          <w:bCs/>
          <w:color w:val="000000"/>
          <w:sz w:val="20"/>
          <w:szCs w:val="20"/>
          <w:lang w:eastAsia="en-GB"/>
        </w:rPr>
        <w:t>6.7</w:t>
      </w:r>
      <w:r w:rsidR="00010668" w:rsidRPr="009B3747">
        <w:rPr>
          <w:rFonts w:eastAsia="Times New Roman" w:cstheme="minorHAnsi"/>
          <w:bCs/>
          <w:color w:val="000000"/>
          <w:sz w:val="20"/>
          <w:szCs w:val="20"/>
          <w:lang w:eastAsia="en-GB"/>
        </w:rPr>
        <w:t xml:space="preserve"> The secondary school setting</w:t>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EC4081" w:rsidRPr="009B3747">
        <w:rPr>
          <w:rFonts w:eastAsia="Times New Roman" w:cstheme="minorHAnsi"/>
          <w:bCs/>
          <w:color w:val="000000"/>
          <w:sz w:val="20"/>
          <w:szCs w:val="20"/>
          <w:lang w:eastAsia="en-GB"/>
        </w:rPr>
        <w:t>170</w:t>
      </w:r>
    </w:p>
    <w:p w:rsidR="00010668" w:rsidRPr="009B3747" w:rsidRDefault="00084B45" w:rsidP="007C05E8">
      <w:pPr>
        <w:spacing w:line="240" w:lineRule="auto"/>
        <w:rPr>
          <w:rFonts w:eastAsia="Times New Roman" w:cstheme="minorHAnsi"/>
          <w:sz w:val="20"/>
          <w:szCs w:val="20"/>
          <w:lang w:eastAsia="en-GB"/>
        </w:rPr>
      </w:pPr>
      <w:r w:rsidRPr="009B3747">
        <w:rPr>
          <w:rFonts w:eastAsia="Times New Roman" w:cstheme="minorHAnsi"/>
          <w:sz w:val="20"/>
          <w:szCs w:val="20"/>
          <w:lang w:eastAsia="en-GB"/>
        </w:rPr>
        <w:tab/>
        <w:t>6.7</w:t>
      </w:r>
      <w:r w:rsidR="00010668" w:rsidRPr="009B3747">
        <w:rPr>
          <w:rFonts w:eastAsia="Times New Roman" w:cstheme="minorHAnsi"/>
          <w:sz w:val="20"/>
          <w:szCs w:val="20"/>
          <w:lang w:eastAsia="en-GB"/>
        </w:rPr>
        <w:t>.1 Action contributing to obesity prevention</w:t>
      </w:r>
      <w:r w:rsidR="001E7173" w:rsidRPr="009B3747">
        <w:rPr>
          <w:rFonts w:eastAsia="Times New Roman" w:cstheme="minorHAnsi"/>
          <w:sz w:val="20"/>
          <w:szCs w:val="20"/>
          <w:lang w:eastAsia="en-GB"/>
        </w:rPr>
        <w:tab/>
      </w:r>
      <w:r w:rsidR="001E7173" w:rsidRPr="009B3747">
        <w:rPr>
          <w:rFonts w:eastAsia="Times New Roman" w:cstheme="minorHAnsi"/>
          <w:sz w:val="20"/>
          <w:szCs w:val="20"/>
          <w:lang w:eastAsia="en-GB"/>
        </w:rPr>
        <w:tab/>
      </w:r>
      <w:r w:rsidR="001E7173" w:rsidRPr="009B3747">
        <w:rPr>
          <w:rFonts w:eastAsia="Times New Roman" w:cstheme="minorHAnsi"/>
          <w:sz w:val="20"/>
          <w:szCs w:val="20"/>
          <w:lang w:eastAsia="en-GB"/>
        </w:rPr>
        <w:tab/>
      </w:r>
      <w:r w:rsidR="001E7173" w:rsidRPr="009B3747">
        <w:rPr>
          <w:rFonts w:eastAsia="Times New Roman" w:cstheme="minorHAnsi"/>
          <w:sz w:val="20"/>
          <w:szCs w:val="20"/>
          <w:lang w:eastAsia="en-GB"/>
        </w:rPr>
        <w:tab/>
      </w:r>
      <w:r w:rsidR="001E7173" w:rsidRPr="009B3747">
        <w:rPr>
          <w:rFonts w:eastAsia="Times New Roman" w:cstheme="minorHAnsi"/>
          <w:sz w:val="20"/>
          <w:szCs w:val="20"/>
          <w:lang w:eastAsia="en-GB"/>
        </w:rPr>
        <w:tab/>
      </w:r>
      <w:r w:rsidR="001E7173" w:rsidRPr="009B3747">
        <w:rPr>
          <w:rFonts w:eastAsia="Times New Roman" w:cstheme="minorHAnsi"/>
          <w:sz w:val="20"/>
          <w:szCs w:val="20"/>
          <w:lang w:eastAsia="en-GB"/>
        </w:rPr>
        <w:tab/>
      </w:r>
      <w:r w:rsidR="00EC4081" w:rsidRPr="009B3747">
        <w:rPr>
          <w:rFonts w:eastAsia="Times New Roman" w:cstheme="minorHAnsi"/>
          <w:sz w:val="20"/>
          <w:szCs w:val="20"/>
          <w:lang w:eastAsia="en-GB"/>
        </w:rPr>
        <w:t>170</w:t>
      </w:r>
    </w:p>
    <w:p w:rsidR="00010668" w:rsidRPr="009B3747" w:rsidRDefault="00010668" w:rsidP="007C05E8">
      <w:pPr>
        <w:spacing w:line="240" w:lineRule="auto"/>
        <w:rPr>
          <w:rFonts w:eastAsia="Times New Roman" w:cstheme="minorHAnsi"/>
          <w:iCs/>
          <w:color w:val="000000"/>
          <w:sz w:val="20"/>
          <w:szCs w:val="20"/>
          <w:lang w:eastAsia="en-GB"/>
        </w:rPr>
      </w:pPr>
      <w:r w:rsidRPr="009B3747">
        <w:rPr>
          <w:rFonts w:eastAsia="Times New Roman" w:cstheme="minorHAnsi"/>
          <w:sz w:val="20"/>
          <w:szCs w:val="20"/>
          <w:lang w:eastAsia="en-GB"/>
        </w:rPr>
        <w:tab/>
      </w:r>
      <w:r w:rsidRPr="009B3747">
        <w:rPr>
          <w:rFonts w:eastAsia="Times New Roman" w:cstheme="minorHAnsi"/>
          <w:iCs/>
          <w:color w:val="000000"/>
          <w:sz w:val="20"/>
          <w:szCs w:val="20"/>
          <w:lang w:eastAsia="en-GB"/>
        </w:rPr>
        <w:t>6.</w:t>
      </w:r>
      <w:r w:rsidR="00084B45" w:rsidRPr="009B3747">
        <w:rPr>
          <w:rFonts w:eastAsia="Times New Roman" w:cstheme="minorHAnsi"/>
          <w:iCs/>
          <w:color w:val="000000"/>
          <w:sz w:val="20"/>
          <w:szCs w:val="20"/>
          <w:lang w:eastAsia="en-GB"/>
        </w:rPr>
        <w:t>7</w:t>
      </w:r>
      <w:r w:rsidRPr="009B3747">
        <w:rPr>
          <w:rFonts w:eastAsia="Times New Roman" w:cstheme="minorHAnsi"/>
          <w:iCs/>
          <w:color w:val="000000"/>
          <w:sz w:val="20"/>
          <w:szCs w:val="20"/>
          <w:lang w:eastAsia="en-GB"/>
        </w:rPr>
        <w:t xml:space="preserve">.2 Competing priorities </w:t>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4F13B7">
        <w:rPr>
          <w:rFonts w:eastAsia="Times New Roman" w:cstheme="minorHAnsi"/>
          <w:iCs/>
          <w:color w:val="000000"/>
          <w:sz w:val="20"/>
          <w:szCs w:val="20"/>
          <w:lang w:eastAsia="en-GB"/>
        </w:rPr>
        <w:t>177</w:t>
      </w:r>
    </w:p>
    <w:p w:rsidR="00010668" w:rsidRPr="009B3747" w:rsidRDefault="00084B45" w:rsidP="007C05E8">
      <w:pPr>
        <w:spacing w:line="240" w:lineRule="auto"/>
        <w:rPr>
          <w:rFonts w:eastAsia="Times New Roman" w:cstheme="minorHAnsi"/>
          <w:iCs/>
          <w:color w:val="000000"/>
          <w:sz w:val="20"/>
          <w:szCs w:val="20"/>
          <w:lang w:eastAsia="en-GB"/>
        </w:rPr>
      </w:pPr>
      <w:r w:rsidRPr="009B3747">
        <w:rPr>
          <w:rFonts w:eastAsia="Times New Roman" w:cstheme="minorHAnsi"/>
          <w:iCs/>
          <w:color w:val="000000"/>
          <w:sz w:val="20"/>
          <w:szCs w:val="20"/>
          <w:lang w:eastAsia="en-GB"/>
        </w:rPr>
        <w:tab/>
        <w:t>6.7</w:t>
      </w:r>
      <w:r w:rsidR="00010668" w:rsidRPr="009B3747">
        <w:rPr>
          <w:rFonts w:eastAsia="Times New Roman" w:cstheme="minorHAnsi"/>
          <w:iCs/>
          <w:color w:val="000000"/>
          <w:sz w:val="20"/>
          <w:szCs w:val="20"/>
          <w:lang w:eastAsia="en-GB"/>
        </w:rPr>
        <w:t>.3 Role modelling in schools</w:t>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EC4081" w:rsidRPr="009B3747">
        <w:rPr>
          <w:rFonts w:eastAsia="Times New Roman" w:cstheme="minorHAnsi"/>
          <w:iCs/>
          <w:color w:val="000000"/>
          <w:sz w:val="20"/>
          <w:szCs w:val="20"/>
          <w:lang w:eastAsia="en-GB"/>
        </w:rPr>
        <w:t>180</w:t>
      </w:r>
    </w:p>
    <w:p w:rsidR="00010668" w:rsidRPr="009B3747" w:rsidRDefault="00084B45" w:rsidP="007C05E8">
      <w:pPr>
        <w:spacing w:line="240" w:lineRule="auto"/>
        <w:ind w:firstLine="720"/>
        <w:rPr>
          <w:rFonts w:eastAsia="Times New Roman" w:cstheme="minorHAnsi"/>
          <w:sz w:val="20"/>
          <w:szCs w:val="20"/>
          <w:lang w:eastAsia="en-GB"/>
        </w:rPr>
      </w:pPr>
      <w:r w:rsidRPr="009B3747">
        <w:rPr>
          <w:rFonts w:eastAsia="Times New Roman" w:cstheme="minorHAnsi"/>
          <w:iCs/>
          <w:color w:val="000000"/>
          <w:sz w:val="20"/>
          <w:szCs w:val="20"/>
          <w:lang w:eastAsia="en-GB"/>
        </w:rPr>
        <w:t>6.7</w:t>
      </w:r>
      <w:r w:rsidR="00010668" w:rsidRPr="009B3747">
        <w:rPr>
          <w:rFonts w:eastAsia="Times New Roman" w:cstheme="minorHAnsi"/>
          <w:iCs/>
          <w:color w:val="000000"/>
          <w:sz w:val="20"/>
          <w:szCs w:val="20"/>
          <w:lang w:eastAsia="en-GB"/>
        </w:rPr>
        <w:t>.4 Leadership and governance</w:t>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EC4081" w:rsidRPr="009B3747">
        <w:rPr>
          <w:rFonts w:eastAsia="Times New Roman" w:cstheme="minorHAnsi"/>
          <w:iCs/>
          <w:color w:val="000000"/>
          <w:sz w:val="20"/>
          <w:szCs w:val="20"/>
          <w:lang w:eastAsia="en-GB"/>
        </w:rPr>
        <w:t>184</w:t>
      </w:r>
    </w:p>
    <w:p w:rsidR="00010668" w:rsidRPr="009B3747" w:rsidRDefault="00010668" w:rsidP="007C05E8">
      <w:pPr>
        <w:spacing w:line="240" w:lineRule="auto"/>
        <w:rPr>
          <w:rFonts w:eastAsia="Times New Roman" w:cstheme="minorHAnsi"/>
          <w:sz w:val="20"/>
          <w:szCs w:val="20"/>
          <w:lang w:eastAsia="en-GB"/>
        </w:rPr>
      </w:pPr>
    </w:p>
    <w:p w:rsidR="00010668" w:rsidRPr="009B3747" w:rsidRDefault="00010668" w:rsidP="007C05E8">
      <w:pPr>
        <w:spacing w:line="240" w:lineRule="auto"/>
        <w:rPr>
          <w:rFonts w:eastAsia="Times New Roman" w:cstheme="minorHAnsi"/>
          <w:b/>
          <w:bCs/>
          <w:color w:val="000000"/>
          <w:lang w:eastAsia="en-GB"/>
        </w:rPr>
      </w:pPr>
      <w:r w:rsidRPr="009B3747">
        <w:rPr>
          <w:rFonts w:eastAsia="Times New Roman" w:cstheme="minorHAnsi"/>
          <w:b/>
          <w:bCs/>
          <w:color w:val="000000"/>
          <w:lang w:eastAsia="en-GB"/>
        </w:rPr>
        <w:t xml:space="preserve">Chapter 7 </w:t>
      </w:r>
      <w:r w:rsidR="004237EA" w:rsidRPr="009B3747">
        <w:rPr>
          <w:rFonts w:eastAsia="Times New Roman" w:cstheme="minorHAnsi"/>
          <w:b/>
          <w:bCs/>
          <w:color w:val="000000"/>
          <w:lang w:eastAsia="en-GB"/>
        </w:rPr>
        <w:t>–</w:t>
      </w:r>
      <w:r w:rsidRPr="009B3747">
        <w:rPr>
          <w:rFonts w:eastAsia="Times New Roman" w:cstheme="minorHAnsi"/>
          <w:b/>
          <w:bCs/>
          <w:color w:val="000000"/>
          <w:lang w:eastAsia="en-GB"/>
        </w:rPr>
        <w:t xml:space="preserve"> Research methodology of quantitative phase</w:t>
      </w:r>
      <w:r w:rsidR="001E7173" w:rsidRPr="009B3747">
        <w:rPr>
          <w:rFonts w:eastAsia="Times New Roman" w:cstheme="minorHAnsi"/>
          <w:b/>
          <w:bCs/>
          <w:color w:val="000000"/>
          <w:lang w:eastAsia="en-GB"/>
        </w:rPr>
        <w:tab/>
      </w:r>
      <w:r w:rsidR="001E7173" w:rsidRPr="009B3747">
        <w:rPr>
          <w:rFonts w:eastAsia="Times New Roman" w:cstheme="minorHAnsi"/>
          <w:b/>
          <w:bCs/>
          <w:color w:val="000000"/>
          <w:lang w:eastAsia="en-GB"/>
        </w:rPr>
        <w:tab/>
      </w:r>
      <w:r w:rsidR="001E7173" w:rsidRPr="009B3747">
        <w:rPr>
          <w:rFonts w:eastAsia="Times New Roman" w:cstheme="minorHAnsi"/>
          <w:b/>
          <w:bCs/>
          <w:color w:val="000000"/>
          <w:lang w:eastAsia="en-GB"/>
        </w:rPr>
        <w:tab/>
      </w:r>
      <w:r w:rsidR="001E7173" w:rsidRPr="009B3747">
        <w:rPr>
          <w:rFonts w:eastAsia="Times New Roman" w:cstheme="minorHAnsi"/>
          <w:b/>
          <w:bCs/>
          <w:color w:val="000000"/>
          <w:lang w:eastAsia="en-GB"/>
        </w:rPr>
        <w:tab/>
      </w:r>
      <w:r w:rsidR="001E7173" w:rsidRPr="009B3747">
        <w:rPr>
          <w:rFonts w:eastAsia="Times New Roman" w:cstheme="minorHAnsi"/>
          <w:b/>
          <w:bCs/>
          <w:color w:val="000000"/>
          <w:lang w:eastAsia="en-GB"/>
        </w:rPr>
        <w:tab/>
      </w:r>
      <w:r w:rsidR="005D3459" w:rsidRPr="009B3747">
        <w:rPr>
          <w:rFonts w:eastAsia="Times New Roman" w:cstheme="minorHAnsi"/>
          <w:b/>
          <w:bCs/>
          <w:color w:val="000000"/>
          <w:lang w:eastAsia="en-GB"/>
        </w:rPr>
        <w:t>190</w:t>
      </w:r>
    </w:p>
    <w:p w:rsidR="0026185B" w:rsidRPr="009B3747" w:rsidRDefault="0026185B" w:rsidP="007C05E8">
      <w:pPr>
        <w:spacing w:line="240" w:lineRule="auto"/>
        <w:rPr>
          <w:rFonts w:eastAsia="Times New Roman" w:cstheme="minorHAnsi"/>
          <w:b/>
          <w:bCs/>
          <w:color w:val="000000"/>
          <w:sz w:val="20"/>
          <w:szCs w:val="20"/>
          <w:u w:val="single"/>
          <w:lang w:eastAsia="en-GB"/>
        </w:rPr>
      </w:pPr>
    </w:p>
    <w:p w:rsidR="00862852" w:rsidRPr="009B3747" w:rsidRDefault="001E7173" w:rsidP="007C05E8">
      <w:pPr>
        <w:spacing w:line="24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7.1 Introduction</w:t>
      </w:r>
      <w:r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r>
      <w:r w:rsidR="005D3459" w:rsidRPr="009B3747">
        <w:rPr>
          <w:rFonts w:eastAsia="Times New Roman" w:cstheme="minorHAnsi"/>
          <w:color w:val="000000"/>
          <w:sz w:val="20"/>
          <w:szCs w:val="20"/>
          <w:lang w:eastAsia="en-GB"/>
        </w:rPr>
        <w:t>190</w:t>
      </w:r>
    </w:p>
    <w:p w:rsidR="00010668" w:rsidRPr="009B3747" w:rsidRDefault="00862852" w:rsidP="007C05E8">
      <w:pPr>
        <w:spacing w:line="24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7.2</w:t>
      </w:r>
      <w:r w:rsidR="00787223" w:rsidRPr="009B3747">
        <w:rPr>
          <w:rFonts w:eastAsia="Times New Roman" w:cstheme="minorHAnsi"/>
          <w:color w:val="000000"/>
          <w:sz w:val="20"/>
          <w:szCs w:val="20"/>
          <w:lang w:eastAsia="en-GB"/>
        </w:rPr>
        <w:t xml:space="preserve"> </w:t>
      </w:r>
      <w:r w:rsidR="00010668" w:rsidRPr="009B3747">
        <w:rPr>
          <w:rFonts w:eastAsia="Times New Roman" w:cstheme="minorHAnsi"/>
          <w:color w:val="000000"/>
          <w:sz w:val="20"/>
          <w:szCs w:val="20"/>
          <w:lang w:eastAsia="en-GB"/>
        </w:rPr>
        <w:t>Approaching the task of integration</w:t>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5D3459" w:rsidRPr="009B3747">
        <w:rPr>
          <w:rFonts w:eastAsia="Times New Roman" w:cstheme="minorHAnsi"/>
          <w:color w:val="000000"/>
          <w:sz w:val="20"/>
          <w:szCs w:val="20"/>
          <w:lang w:eastAsia="en-GB"/>
        </w:rPr>
        <w:t>191</w:t>
      </w:r>
    </w:p>
    <w:p w:rsidR="00010668" w:rsidRPr="009B3747" w:rsidRDefault="00862852" w:rsidP="007C05E8">
      <w:pPr>
        <w:spacing w:line="24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7.3</w:t>
      </w:r>
      <w:r w:rsidR="00010668" w:rsidRPr="009B3747">
        <w:rPr>
          <w:rFonts w:eastAsia="Times New Roman" w:cstheme="minorHAnsi"/>
          <w:color w:val="000000"/>
          <w:sz w:val="20"/>
          <w:szCs w:val="20"/>
          <w:lang w:eastAsia="en-GB"/>
        </w:rPr>
        <w:t xml:space="preserve"> Survey research</w:t>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5D3459" w:rsidRPr="009B3747">
        <w:rPr>
          <w:rFonts w:eastAsia="Times New Roman" w:cstheme="minorHAnsi"/>
          <w:color w:val="000000"/>
          <w:sz w:val="20"/>
          <w:szCs w:val="20"/>
          <w:lang w:eastAsia="en-GB"/>
        </w:rPr>
        <w:t>193</w:t>
      </w:r>
    </w:p>
    <w:p w:rsidR="00010668" w:rsidRPr="009B3747" w:rsidRDefault="00862852" w:rsidP="007C05E8">
      <w:pPr>
        <w:spacing w:line="24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ab/>
        <w:t>7.3</w:t>
      </w:r>
      <w:r w:rsidR="00010668" w:rsidRPr="009B3747">
        <w:rPr>
          <w:rFonts w:eastAsia="Times New Roman" w:cstheme="minorHAnsi"/>
          <w:color w:val="000000"/>
          <w:sz w:val="20"/>
          <w:szCs w:val="20"/>
          <w:lang w:eastAsia="en-GB"/>
        </w:rPr>
        <w:t>.1 Techniques to collect survey data</w:t>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5D3459" w:rsidRPr="009B3747">
        <w:rPr>
          <w:rFonts w:eastAsia="Times New Roman" w:cstheme="minorHAnsi"/>
          <w:color w:val="000000"/>
          <w:sz w:val="20"/>
          <w:szCs w:val="20"/>
          <w:lang w:eastAsia="en-GB"/>
        </w:rPr>
        <w:t>194</w:t>
      </w:r>
    </w:p>
    <w:p w:rsidR="00010668" w:rsidRPr="009B3747" w:rsidRDefault="00862852" w:rsidP="007C05E8">
      <w:pPr>
        <w:spacing w:line="240" w:lineRule="auto"/>
        <w:ind w:firstLine="720"/>
        <w:rPr>
          <w:rFonts w:eastAsia="Times New Roman" w:cstheme="minorHAnsi"/>
          <w:sz w:val="20"/>
          <w:szCs w:val="20"/>
          <w:lang w:eastAsia="en-GB"/>
        </w:rPr>
      </w:pPr>
      <w:r w:rsidRPr="009B3747">
        <w:rPr>
          <w:rFonts w:eastAsia="Times New Roman" w:cstheme="minorHAnsi"/>
          <w:color w:val="000000"/>
          <w:sz w:val="20"/>
          <w:szCs w:val="20"/>
          <w:lang w:eastAsia="en-GB"/>
        </w:rPr>
        <w:t>7.3</w:t>
      </w:r>
      <w:r w:rsidR="00010668" w:rsidRPr="009B3747">
        <w:rPr>
          <w:rFonts w:eastAsia="Times New Roman" w:cstheme="minorHAnsi"/>
          <w:color w:val="000000"/>
          <w:sz w:val="20"/>
          <w:szCs w:val="20"/>
          <w:lang w:eastAsia="en-GB"/>
        </w:rPr>
        <w:t>.2 Development of questionnaire content</w:t>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5D3459" w:rsidRPr="009B3747">
        <w:rPr>
          <w:rFonts w:eastAsia="Times New Roman" w:cstheme="minorHAnsi"/>
          <w:color w:val="000000"/>
          <w:sz w:val="20"/>
          <w:szCs w:val="20"/>
          <w:lang w:eastAsia="en-GB"/>
        </w:rPr>
        <w:t>195</w:t>
      </w:r>
    </w:p>
    <w:p w:rsidR="00010668" w:rsidRPr="009B3747" w:rsidRDefault="00862852" w:rsidP="007C05E8">
      <w:pPr>
        <w:spacing w:line="240" w:lineRule="auto"/>
        <w:ind w:firstLine="720"/>
        <w:rPr>
          <w:rFonts w:eastAsia="Times New Roman" w:cstheme="minorHAnsi"/>
          <w:sz w:val="20"/>
          <w:szCs w:val="20"/>
          <w:lang w:eastAsia="en-GB"/>
        </w:rPr>
      </w:pPr>
      <w:r w:rsidRPr="009B3747">
        <w:rPr>
          <w:rFonts w:eastAsia="Times New Roman" w:cstheme="minorHAnsi"/>
          <w:color w:val="000000"/>
          <w:sz w:val="20"/>
          <w:szCs w:val="20"/>
          <w:lang w:eastAsia="en-GB"/>
        </w:rPr>
        <w:t>7.3</w:t>
      </w:r>
      <w:r w:rsidR="00010668" w:rsidRPr="009B3747">
        <w:rPr>
          <w:rFonts w:eastAsia="Times New Roman" w:cstheme="minorHAnsi"/>
          <w:color w:val="000000"/>
          <w:sz w:val="20"/>
          <w:szCs w:val="20"/>
          <w:lang w:eastAsia="en-GB"/>
        </w:rPr>
        <w:t>.3 Generating the item pool</w:t>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5D3459" w:rsidRPr="009B3747">
        <w:rPr>
          <w:rFonts w:eastAsia="Times New Roman" w:cstheme="minorHAnsi"/>
          <w:color w:val="000000"/>
          <w:sz w:val="20"/>
          <w:szCs w:val="20"/>
          <w:lang w:eastAsia="en-GB"/>
        </w:rPr>
        <w:t>196</w:t>
      </w:r>
    </w:p>
    <w:p w:rsidR="00010668" w:rsidRPr="009B3747" w:rsidRDefault="00862852" w:rsidP="007C05E8">
      <w:pPr>
        <w:spacing w:line="240" w:lineRule="auto"/>
        <w:ind w:firstLine="720"/>
        <w:rPr>
          <w:rFonts w:eastAsia="Times New Roman" w:cstheme="minorHAnsi"/>
          <w:color w:val="000000"/>
          <w:sz w:val="20"/>
          <w:szCs w:val="20"/>
          <w:lang w:eastAsia="en-GB"/>
        </w:rPr>
      </w:pPr>
      <w:r w:rsidRPr="009B3747">
        <w:rPr>
          <w:rFonts w:eastAsia="Times New Roman" w:cstheme="minorHAnsi"/>
          <w:color w:val="000000"/>
          <w:sz w:val="20"/>
          <w:szCs w:val="20"/>
          <w:lang w:eastAsia="en-GB"/>
        </w:rPr>
        <w:t>7.3</w:t>
      </w:r>
      <w:r w:rsidR="00010668" w:rsidRPr="009B3747">
        <w:rPr>
          <w:rFonts w:eastAsia="Times New Roman" w:cstheme="minorHAnsi"/>
          <w:color w:val="000000"/>
          <w:sz w:val="20"/>
          <w:szCs w:val="20"/>
          <w:lang w:eastAsia="en-GB"/>
        </w:rPr>
        <w:t>.4 Measuring the item pool</w:t>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5D3459" w:rsidRPr="009B3747">
        <w:rPr>
          <w:rFonts w:eastAsia="Times New Roman" w:cstheme="minorHAnsi"/>
          <w:color w:val="000000"/>
          <w:sz w:val="20"/>
          <w:szCs w:val="20"/>
          <w:lang w:eastAsia="en-GB"/>
        </w:rPr>
        <w:t>199</w:t>
      </w:r>
    </w:p>
    <w:p w:rsidR="00010668" w:rsidRPr="009B3747" w:rsidRDefault="00862852" w:rsidP="007C05E8">
      <w:pPr>
        <w:spacing w:line="240" w:lineRule="auto"/>
        <w:rPr>
          <w:rFonts w:eastAsia="Times New Roman" w:cstheme="minorHAnsi"/>
          <w:sz w:val="20"/>
          <w:szCs w:val="20"/>
          <w:lang w:eastAsia="en-GB"/>
        </w:rPr>
      </w:pPr>
      <w:r w:rsidRPr="009B3747">
        <w:rPr>
          <w:rFonts w:eastAsia="Times New Roman" w:cstheme="minorHAnsi"/>
          <w:color w:val="000000"/>
          <w:sz w:val="20"/>
          <w:szCs w:val="20"/>
          <w:lang w:eastAsia="en-GB"/>
        </w:rPr>
        <w:t>7.4</w:t>
      </w:r>
      <w:r w:rsidR="00010668" w:rsidRPr="009B3747">
        <w:rPr>
          <w:rFonts w:eastAsia="Times New Roman" w:cstheme="minorHAnsi"/>
          <w:color w:val="000000"/>
          <w:sz w:val="20"/>
          <w:szCs w:val="20"/>
          <w:lang w:eastAsia="en-GB"/>
        </w:rPr>
        <w:t xml:space="preserve"> Quality in quantitative research - Validity and reliability </w:t>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5D3459" w:rsidRPr="009B3747">
        <w:rPr>
          <w:rFonts w:eastAsia="Times New Roman" w:cstheme="minorHAnsi"/>
          <w:color w:val="000000"/>
          <w:sz w:val="20"/>
          <w:szCs w:val="20"/>
          <w:lang w:eastAsia="en-GB"/>
        </w:rPr>
        <w:t>201</w:t>
      </w:r>
    </w:p>
    <w:p w:rsidR="00010668" w:rsidRPr="009B3747" w:rsidRDefault="00010668" w:rsidP="007C05E8">
      <w:pPr>
        <w:spacing w:line="240" w:lineRule="auto"/>
        <w:rPr>
          <w:rFonts w:eastAsia="Times New Roman" w:cstheme="minorHAnsi"/>
          <w:iCs/>
          <w:color w:val="000000"/>
          <w:sz w:val="20"/>
          <w:szCs w:val="20"/>
          <w:shd w:val="clear" w:color="auto" w:fill="FFFFFF"/>
          <w:lang w:eastAsia="en-GB"/>
        </w:rPr>
      </w:pPr>
      <w:r w:rsidRPr="009B3747">
        <w:rPr>
          <w:rFonts w:eastAsia="Times New Roman" w:cstheme="minorHAnsi"/>
          <w:sz w:val="20"/>
          <w:szCs w:val="20"/>
          <w:lang w:eastAsia="en-GB"/>
        </w:rPr>
        <w:tab/>
      </w:r>
      <w:r w:rsidR="00862852" w:rsidRPr="009B3747">
        <w:rPr>
          <w:rFonts w:eastAsia="Times New Roman" w:cstheme="minorHAnsi"/>
          <w:iCs/>
          <w:color w:val="000000"/>
          <w:sz w:val="20"/>
          <w:szCs w:val="20"/>
          <w:shd w:val="clear" w:color="auto" w:fill="FFFFFF"/>
          <w:lang w:eastAsia="en-GB"/>
        </w:rPr>
        <w:t>7.4</w:t>
      </w:r>
      <w:r w:rsidRPr="009B3747">
        <w:rPr>
          <w:rFonts w:eastAsia="Times New Roman" w:cstheme="minorHAnsi"/>
          <w:iCs/>
          <w:color w:val="000000"/>
          <w:sz w:val="20"/>
          <w:szCs w:val="20"/>
          <w:shd w:val="clear" w:color="auto" w:fill="FFFFFF"/>
          <w:lang w:eastAsia="en-GB"/>
        </w:rPr>
        <w:t>.1 Validity</w:t>
      </w:r>
      <w:r w:rsidR="001E7173" w:rsidRPr="009B3747">
        <w:rPr>
          <w:rFonts w:eastAsia="Times New Roman" w:cstheme="minorHAnsi"/>
          <w:iCs/>
          <w:color w:val="000000"/>
          <w:sz w:val="20"/>
          <w:szCs w:val="20"/>
          <w:shd w:val="clear" w:color="auto" w:fill="FFFFFF"/>
          <w:lang w:eastAsia="en-GB"/>
        </w:rPr>
        <w:tab/>
      </w:r>
      <w:r w:rsidR="001E7173" w:rsidRPr="009B3747">
        <w:rPr>
          <w:rFonts w:eastAsia="Times New Roman" w:cstheme="minorHAnsi"/>
          <w:iCs/>
          <w:color w:val="000000"/>
          <w:sz w:val="20"/>
          <w:szCs w:val="20"/>
          <w:shd w:val="clear" w:color="auto" w:fill="FFFFFF"/>
          <w:lang w:eastAsia="en-GB"/>
        </w:rPr>
        <w:tab/>
      </w:r>
      <w:r w:rsidR="001E7173" w:rsidRPr="009B3747">
        <w:rPr>
          <w:rFonts w:eastAsia="Times New Roman" w:cstheme="minorHAnsi"/>
          <w:iCs/>
          <w:color w:val="000000"/>
          <w:sz w:val="20"/>
          <w:szCs w:val="20"/>
          <w:shd w:val="clear" w:color="auto" w:fill="FFFFFF"/>
          <w:lang w:eastAsia="en-GB"/>
        </w:rPr>
        <w:tab/>
      </w:r>
      <w:r w:rsidR="001E7173" w:rsidRPr="009B3747">
        <w:rPr>
          <w:rFonts w:eastAsia="Times New Roman" w:cstheme="minorHAnsi"/>
          <w:iCs/>
          <w:color w:val="000000"/>
          <w:sz w:val="20"/>
          <w:szCs w:val="20"/>
          <w:shd w:val="clear" w:color="auto" w:fill="FFFFFF"/>
          <w:lang w:eastAsia="en-GB"/>
        </w:rPr>
        <w:tab/>
      </w:r>
      <w:r w:rsidR="001E7173" w:rsidRPr="009B3747">
        <w:rPr>
          <w:rFonts w:eastAsia="Times New Roman" w:cstheme="minorHAnsi"/>
          <w:iCs/>
          <w:color w:val="000000"/>
          <w:sz w:val="20"/>
          <w:szCs w:val="20"/>
          <w:shd w:val="clear" w:color="auto" w:fill="FFFFFF"/>
          <w:lang w:eastAsia="en-GB"/>
        </w:rPr>
        <w:tab/>
      </w:r>
      <w:r w:rsidR="001E7173" w:rsidRPr="009B3747">
        <w:rPr>
          <w:rFonts w:eastAsia="Times New Roman" w:cstheme="minorHAnsi"/>
          <w:iCs/>
          <w:color w:val="000000"/>
          <w:sz w:val="20"/>
          <w:szCs w:val="20"/>
          <w:shd w:val="clear" w:color="auto" w:fill="FFFFFF"/>
          <w:lang w:eastAsia="en-GB"/>
        </w:rPr>
        <w:tab/>
      </w:r>
      <w:r w:rsidR="001E7173" w:rsidRPr="009B3747">
        <w:rPr>
          <w:rFonts w:eastAsia="Times New Roman" w:cstheme="minorHAnsi"/>
          <w:iCs/>
          <w:color w:val="000000"/>
          <w:sz w:val="20"/>
          <w:szCs w:val="20"/>
          <w:shd w:val="clear" w:color="auto" w:fill="FFFFFF"/>
          <w:lang w:eastAsia="en-GB"/>
        </w:rPr>
        <w:tab/>
      </w:r>
      <w:r w:rsidR="001E7173" w:rsidRPr="009B3747">
        <w:rPr>
          <w:rFonts w:eastAsia="Times New Roman" w:cstheme="minorHAnsi"/>
          <w:iCs/>
          <w:color w:val="000000"/>
          <w:sz w:val="20"/>
          <w:szCs w:val="20"/>
          <w:shd w:val="clear" w:color="auto" w:fill="FFFFFF"/>
          <w:lang w:eastAsia="en-GB"/>
        </w:rPr>
        <w:tab/>
      </w:r>
      <w:r w:rsidR="001E7173" w:rsidRPr="009B3747">
        <w:rPr>
          <w:rFonts w:eastAsia="Times New Roman" w:cstheme="minorHAnsi"/>
          <w:iCs/>
          <w:color w:val="000000"/>
          <w:sz w:val="20"/>
          <w:szCs w:val="20"/>
          <w:shd w:val="clear" w:color="auto" w:fill="FFFFFF"/>
          <w:lang w:eastAsia="en-GB"/>
        </w:rPr>
        <w:tab/>
      </w:r>
      <w:r w:rsidR="001E7173" w:rsidRPr="009B3747">
        <w:rPr>
          <w:rFonts w:eastAsia="Times New Roman" w:cstheme="minorHAnsi"/>
          <w:iCs/>
          <w:color w:val="000000"/>
          <w:sz w:val="20"/>
          <w:szCs w:val="20"/>
          <w:shd w:val="clear" w:color="auto" w:fill="FFFFFF"/>
          <w:lang w:eastAsia="en-GB"/>
        </w:rPr>
        <w:tab/>
      </w:r>
      <w:r w:rsidR="005D3459" w:rsidRPr="009B3747">
        <w:rPr>
          <w:rFonts w:eastAsia="Times New Roman" w:cstheme="minorHAnsi"/>
          <w:iCs/>
          <w:color w:val="000000"/>
          <w:sz w:val="20"/>
          <w:szCs w:val="20"/>
          <w:shd w:val="clear" w:color="auto" w:fill="FFFFFF"/>
          <w:lang w:eastAsia="en-GB"/>
        </w:rPr>
        <w:t>201</w:t>
      </w:r>
    </w:p>
    <w:p w:rsidR="00010668" w:rsidRPr="009B3747" w:rsidRDefault="00862852" w:rsidP="007C05E8">
      <w:pPr>
        <w:spacing w:line="240" w:lineRule="auto"/>
        <w:ind w:firstLine="720"/>
        <w:rPr>
          <w:rFonts w:eastAsia="Times New Roman" w:cstheme="minorHAnsi"/>
          <w:color w:val="000000"/>
          <w:sz w:val="20"/>
          <w:szCs w:val="20"/>
          <w:shd w:val="clear" w:color="auto" w:fill="FFFFFF"/>
          <w:lang w:eastAsia="en-GB"/>
        </w:rPr>
      </w:pPr>
      <w:r w:rsidRPr="009B3747">
        <w:rPr>
          <w:rFonts w:eastAsia="Times New Roman" w:cstheme="minorHAnsi"/>
          <w:color w:val="000000"/>
          <w:sz w:val="20"/>
          <w:szCs w:val="20"/>
          <w:shd w:val="clear" w:color="auto" w:fill="FFFFFF"/>
          <w:lang w:eastAsia="en-GB"/>
        </w:rPr>
        <w:t>7.4</w:t>
      </w:r>
      <w:r w:rsidR="00010668" w:rsidRPr="009B3747">
        <w:rPr>
          <w:rFonts w:eastAsia="Times New Roman" w:cstheme="minorHAnsi"/>
          <w:color w:val="000000"/>
          <w:sz w:val="20"/>
          <w:szCs w:val="20"/>
          <w:shd w:val="clear" w:color="auto" w:fill="FFFFFF"/>
          <w:lang w:eastAsia="en-GB"/>
        </w:rPr>
        <w:t>.2 Reliability</w:t>
      </w:r>
      <w:r w:rsidR="001E7173" w:rsidRPr="009B3747">
        <w:rPr>
          <w:rFonts w:eastAsia="Times New Roman" w:cstheme="minorHAnsi"/>
          <w:color w:val="000000"/>
          <w:sz w:val="20"/>
          <w:szCs w:val="20"/>
          <w:shd w:val="clear" w:color="auto" w:fill="FFFFFF"/>
          <w:lang w:eastAsia="en-GB"/>
        </w:rPr>
        <w:tab/>
      </w:r>
      <w:r w:rsidR="001E7173" w:rsidRPr="009B3747">
        <w:rPr>
          <w:rFonts w:eastAsia="Times New Roman" w:cstheme="minorHAnsi"/>
          <w:color w:val="000000"/>
          <w:sz w:val="20"/>
          <w:szCs w:val="20"/>
          <w:shd w:val="clear" w:color="auto" w:fill="FFFFFF"/>
          <w:lang w:eastAsia="en-GB"/>
        </w:rPr>
        <w:tab/>
      </w:r>
      <w:r w:rsidR="001E7173" w:rsidRPr="009B3747">
        <w:rPr>
          <w:rFonts w:eastAsia="Times New Roman" w:cstheme="minorHAnsi"/>
          <w:color w:val="000000"/>
          <w:sz w:val="20"/>
          <w:szCs w:val="20"/>
          <w:shd w:val="clear" w:color="auto" w:fill="FFFFFF"/>
          <w:lang w:eastAsia="en-GB"/>
        </w:rPr>
        <w:tab/>
      </w:r>
      <w:r w:rsidR="001E7173" w:rsidRPr="009B3747">
        <w:rPr>
          <w:rFonts w:eastAsia="Times New Roman" w:cstheme="minorHAnsi"/>
          <w:color w:val="000000"/>
          <w:sz w:val="20"/>
          <w:szCs w:val="20"/>
          <w:shd w:val="clear" w:color="auto" w:fill="FFFFFF"/>
          <w:lang w:eastAsia="en-GB"/>
        </w:rPr>
        <w:tab/>
      </w:r>
      <w:r w:rsidR="001E7173" w:rsidRPr="009B3747">
        <w:rPr>
          <w:rFonts w:eastAsia="Times New Roman" w:cstheme="minorHAnsi"/>
          <w:color w:val="000000"/>
          <w:sz w:val="20"/>
          <w:szCs w:val="20"/>
          <w:shd w:val="clear" w:color="auto" w:fill="FFFFFF"/>
          <w:lang w:eastAsia="en-GB"/>
        </w:rPr>
        <w:tab/>
      </w:r>
      <w:r w:rsidR="001E7173" w:rsidRPr="009B3747">
        <w:rPr>
          <w:rFonts w:eastAsia="Times New Roman" w:cstheme="minorHAnsi"/>
          <w:color w:val="000000"/>
          <w:sz w:val="20"/>
          <w:szCs w:val="20"/>
          <w:shd w:val="clear" w:color="auto" w:fill="FFFFFF"/>
          <w:lang w:eastAsia="en-GB"/>
        </w:rPr>
        <w:tab/>
      </w:r>
      <w:r w:rsidR="001E7173" w:rsidRPr="009B3747">
        <w:rPr>
          <w:rFonts w:eastAsia="Times New Roman" w:cstheme="minorHAnsi"/>
          <w:color w:val="000000"/>
          <w:sz w:val="20"/>
          <w:szCs w:val="20"/>
          <w:shd w:val="clear" w:color="auto" w:fill="FFFFFF"/>
          <w:lang w:eastAsia="en-GB"/>
        </w:rPr>
        <w:tab/>
      </w:r>
      <w:r w:rsidR="001E7173" w:rsidRPr="009B3747">
        <w:rPr>
          <w:rFonts w:eastAsia="Times New Roman" w:cstheme="minorHAnsi"/>
          <w:color w:val="000000"/>
          <w:sz w:val="20"/>
          <w:szCs w:val="20"/>
          <w:shd w:val="clear" w:color="auto" w:fill="FFFFFF"/>
          <w:lang w:eastAsia="en-GB"/>
        </w:rPr>
        <w:tab/>
      </w:r>
      <w:r w:rsidR="001E7173" w:rsidRPr="009B3747">
        <w:rPr>
          <w:rFonts w:eastAsia="Times New Roman" w:cstheme="minorHAnsi"/>
          <w:color w:val="000000"/>
          <w:sz w:val="20"/>
          <w:szCs w:val="20"/>
          <w:shd w:val="clear" w:color="auto" w:fill="FFFFFF"/>
          <w:lang w:eastAsia="en-GB"/>
        </w:rPr>
        <w:tab/>
      </w:r>
      <w:r w:rsidR="001E7173" w:rsidRPr="009B3747">
        <w:rPr>
          <w:rFonts w:eastAsia="Times New Roman" w:cstheme="minorHAnsi"/>
          <w:color w:val="000000"/>
          <w:sz w:val="20"/>
          <w:szCs w:val="20"/>
          <w:shd w:val="clear" w:color="auto" w:fill="FFFFFF"/>
          <w:lang w:eastAsia="en-GB"/>
        </w:rPr>
        <w:tab/>
      </w:r>
      <w:r w:rsidR="00787223" w:rsidRPr="009B3747">
        <w:rPr>
          <w:rFonts w:eastAsia="Times New Roman" w:cstheme="minorHAnsi"/>
          <w:color w:val="000000"/>
          <w:sz w:val="20"/>
          <w:szCs w:val="20"/>
          <w:shd w:val="clear" w:color="auto" w:fill="FFFFFF"/>
          <w:lang w:eastAsia="en-GB"/>
        </w:rPr>
        <w:t>203</w:t>
      </w:r>
    </w:p>
    <w:p w:rsidR="00010668" w:rsidRPr="009B3747" w:rsidRDefault="00862852" w:rsidP="007C05E8">
      <w:pPr>
        <w:spacing w:line="24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7.5</w:t>
      </w:r>
      <w:r w:rsidR="00010668" w:rsidRPr="009B3747">
        <w:rPr>
          <w:rFonts w:eastAsia="Times New Roman" w:cstheme="minorHAnsi"/>
          <w:color w:val="000000"/>
          <w:sz w:val="20"/>
          <w:szCs w:val="20"/>
          <w:lang w:eastAsia="en-GB"/>
        </w:rPr>
        <w:t xml:space="preserve"> Creating the online questionnaire </w:t>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787223" w:rsidRPr="009B3747">
        <w:rPr>
          <w:rFonts w:eastAsia="Times New Roman" w:cstheme="minorHAnsi"/>
          <w:color w:val="000000"/>
          <w:sz w:val="20"/>
          <w:szCs w:val="20"/>
          <w:lang w:eastAsia="en-GB"/>
        </w:rPr>
        <w:t>204</w:t>
      </w:r>
    </w:p>
    <w:p w:rsidR="00010668" w:rsidRPr="009B3747" w:rsidRDefault="00862852" w:rsidP="007C05E8">
      <w:pPr>
        <w:spacing w:line="240" w:lineRule="auto"/>
        <w:ind w:firstLine="720"/>
        <w:rPr>
          <w:rFonts w:eastAsia="Times New Roman" w:cstheme="minorHAnsi"/>
          <w:color w:val="000000"/>
          <w:sz w:val="20"/>
          <w:szCs w:val="20"/>
          <w:lang w:eastAsia="en-GB"/>
        </w:rPr>
      </w:pPr>
      <w:r w:rsidRPr="009B3747">
        <w:rPr>
          <w:rFonts w:eastAsia="Times New Roman" w:cstheme="minorHAnsi"/>
          <w:color w:val="000000"/>
          <w:sz w:val="20"/>
          <w:szCs w:val="20"/>
          <w:lang w:eastAsia="en-GB"/>
        </w:rPr>
        <w:t>7.5</w:t>
      </w:r>
      <w:r w:rsidR="00010668" w:rsidRPr="009B3747">
        <w:rPr>
          <w:rFonts w:eastAsia="Times New Roman" w:cstheme="minorHAnsi"/>
          <w:color w:val="000000"/>
          <w:sz w:val="20"/>
          <w:szCs w:val="20"/>
          <w:lang w:eastAsia="en-GB"/>
        </w:rPr>
        <w:t>.1 Pilot testing</w:t>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B30E97" w:rsidRPr="009B3747">
        <w:rPr>
          <w:rFonts w:eastAsia="Times New Roman" w:cstheme="minorHAnsi"/>
          <w:color w:val="000000"/>
          <w:sz w:val="20"/>
          <w:szCs w:val="20"/>
          <w:lang w:eastAsia="en-GB"/>
        </w:rPr>
        <w:t>204</w:t>
      </w:r>
    </w:p>
    <w:p w:rsidR="00010668" w:rsidRPr="009B3747" w:rsidRDefault="00862852" w:rsidP="007C05E8">
      <w:pPr>
        <w:spacing w:line="240" w:lineRule="auto"/>
        <w:ind w:firstLine="720"/>
        <w:rPr>
          <w:rFonts w:eastAsia="Times New Roman" w:cstheme="minorHAnsi"/>
          <w:iCs/>
          <w:color w:val="000000"/>
          <w:sz w:val="20"/>
          <w:szCs w:val="20"/>
          <w:lang w:eastAsia="en-GB"/>
        </w:rPr>
      </w:pPr>
      <w:r w:rsidRPr="009B3747">
        <w:rPr>
          <w:rFonts w:eastAsia="Times New Roman" w:cstheme="minorHAnsi"/>
          <w:iCs/>
          <w:color w:val="000000"/>
          <w:sz w:val="20"/>
          <w:szCs w:val="20"/>
          <w:lang w:eastAsia="en-GB"/>
        </w:rPr>
        <w:t>7.5</w:t>
      </w:r>
      <w:r w:rsidR="00010668" w:rsidRPr="009B3747">
        <w:rPr>
          <w:rFonts w:eastAsia="Times New Roman" w:cstheme="minorHAnsi"/>
          <w:iCs/>
          <w:color w:val="000000"/>
          <w:sz w:val="20"/>
          <w:szCs w:val="20"/>
          <w:lang w:eastAsia="en-GB"/>
        </w:rPr>
        <w:t>.2 Pilot test procedures</w:t>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B30E97" w:rsidRPr="009B3747">
        <w:rPr>
          <w:rFonts w:eastAsia="Times New Roman" w:cstheme="minorHAnsi"/>
          <w:iCs/>
          <w:color w:val="000000"/>
          <w:sz w:val="20"/>
          <w:szCs w:val="20"/>
          <w:lang w:eastAsia="en-GB"/>
        </w:rPr>
        <w:t>205</w:t>
      </w:r>
    </w:p>
    <w:p w:rsidR="00010668" w:rsidRPr="009B3747" w:rsidRDefault="00862852" w:rsidP="007C05E8">
      <w:pPr>
        <w:spacing w:line="240" w:lineRule="auto"/>
        <w:rPr>
          <w:rFonts w:eastAsia="Times New Roman" w:cstheme="minorHAnsi"/>
          <w:sz w:val="20"/>
          <w:szCs w:val="20"/>
          <w:lang w:eastAsia="en-GB"/>
        </w:rPr>
      </w:pPr>
      <w:r w:rsidRPr="009B3747">
        <w:rPr>
          <w:rFonts w:eastAsia="Times New Roman" w:cstheme="minorHAnsi"/>
          <w:color w:val="000000"/>
          <w:sz w:val="20"/>
          <w:szCs w:val="20"/>
          <w:lang w:eastAsia="en-GB"/>
        </w:rPr>
        <w:t>7.6</w:t>
      </w:r>
      <w:r w:rsidR="00010668" w:rsidRPr="009B3747">
        <w:rPr>
          <w:rFonts w:eastAsia="Times New Roman" w:cstheme="minorHAnsi"/>
          <w:color w:val="000000"/>
          <w:sz w:val="20"/>
          <w:szCs w:val="20"/>
          <w:lang w:eastAsia="en-GB"/>
        </w:rPr>
        <w:t xml:space="preserve"> Finalised online questionnaire structure and content</w:t>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B30E97" w:rsidRPr="009B3747">
        <w:rPr>
          <w:rFonts w:eastAsia="Times New Roman" w:cstheme="minorHAnsi"/>
          <w:color w:val="000000"/>
          <w:sz w:val="20"/>
          <w:szCs w:val="20"/>
          <w:lang w:eastAsia="en-GB"/>
        </w:rPr>
        <w:t>208</w:t>
      </w:r>
    </w:p>
    <w:p w:rsidR="00010668" w:rsidRPr="009B3747" w:rsidRDefault="00862852" w:rsidP="007C05E8">
      <w:pPr>
        <w:spacing w:line="24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7.7</w:t>
      </w:r>
      <w:r w:rsidR="00010668" w:rsidRPr="009B3747">
        <w:rPr>
          <w:rFonts w:eastAsia="Times New Roman" w:cstheme="minorHAnsi"/>
          <w:color w:val="000000"/>
          <w:sz w:val="20"/>
          <w:szCs w:val="20"/>
          <w:lang w:eastAsia="en-GB"/>
        </w:rPr>
        <w:t xml:space="preserve"> Census survey</w:t>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5D3459" w:rsidRPr="009B3747">
        <w:rPr>
          <w:rFonts w:eastAsia="Times New Roman" w:cstheme="minorHAnsi"/>
          <w:color w:val="000000"/>
          <w:sz w:val="20"/>
          <w:szCs w:val="20"/>
          <w:lang w:eastAsia="en-GB"/>
        </w:rPr>
        <w:t>209</w:t>
      </w:r>
    </w:p>
    <w:p w:rsidR="00010668" w:rsidRPr="009B3747" w:rsidRDefault="00010668" w:rsidP="007C05E8">
      <w:pPr>
        <w:spacing w:line="24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ab/>
      </w:r>
      <w:r w:rsidR="00862852" w:rsidRPr="009B3747">
        <w:rPr>
          <w:rFonts w:eastAsia="Times New Roman" w:cstheme="minorHAnsi"/>
          <w:color w:val="000000"/>
          <w:sz w:val="20"/>
          <w:szCs w:val="20"/>
          <w:lang w:eastAsia="en-GB"/>
        </w:rPr>
        <w:t>7.7</w:t>
      </w:r>
      <w:r w:rsidRPr="009B3747">
        <w:rPr>
          <w:rFonts w:eastAsia="Times New Roman" w:cstheme="minorHAnsi"/>
          <w:color w:val="000000"/>
          <w:sz w:val="20"/>
          <w:szCs w:val="20"/>
          <w:lang w:eastAsia="en-GB"/>
        </w:rPr>
        <w:t xml:space="preserve">.1 Recruitment of potential participants </w:t>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821B2E" w:rsidRPr="009B3747">
        <w:rPr>
          <w:rFonts w:eastAsia="Times New Roman" w:cstheme="minorHAnsi"/>
          <w:color w:val="000000"/>
          <w:sz w:val="20"/>
          <w:szCs w:val="20"/>
          <w:lang w:eastAsia="en-GB"/>
        </w:rPr>
        <w:t>21</w:t>
      </w:r>
      <w:r w:rsidR="00022E3D" w:rsidRPr="009B3747">
        <w:rPr>
          <w:rFonts w:eastAsia="Times New Roman" w:cstheme="minorHAnsi"/>
          <w:color w:val="000000"/>
          <w:sz w:val="20"/>
          <w:szCs w:val="20"/>
          <w:lang w:eastAsia="en-GB"/>
        </w:rPr>
        <w:t>2</w:t>
      </w:r>
    </w:p>
    <w:p w:rsidR="00010668" w:rsidRPr="009B3747" w:rsidRDefault="00862852" w:rsidP="007C05E8">
      <w:pPr>
        <w:spacing w:line="24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ab/>
        <w:t>7.7</w:t>
      </w:r>
      <w:r w:rsidR="00010668" w:rsidRPr="009B3747">
        <w:rPr>
          <w:rFonts w:eastAsia="Times New Roman" w:cstheme="minorHAnsi"/>
          <w:color w:val="000000"/>
          <w:sz w:val="20"/>
          <w:szCs w:val="20"/>
          <w:lang w:eastAsia="en-GB"/>
        </w:rPr>
        <w:t>.2 Techniques to maximise response rate</w:t>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5D3459" w:rsidRPr="009B3747">
        <w:rPr>
          <w:rFonts w:eastAsia="Times New Roman" w:cstheme="minorHAnsi"/>
          <w:color w:val="000000"/>
          <w:sz w:val="20"/>
          <w:szCs w:val="20"/>
          <w:lang w:eastAsia="en-GB"/>
        </w:rPr>
        <w:t>212</w:t>
      </w:r>
    </w:p>
    <w:p w:rsidR="00010668" w:rsidRPr="009B3747" w:rsidRDefault="00862852" w:rsidP="007C05E8">
      <w:pPr>
        <w:spacing w:line="24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7.8</w:t>
      </w:r>
      <w:r w:rsidR="00010668" w:rsidRPr="009B3747">
        <w:rPr>
          <w:rFonts w:eastAsia="Times New Roman" w:cstheme="minorHAnsi"/>
          <w:color w:val="000000"/>
          <w:sz w:val="20"/>
          <w:szCs w:val="20"/>
          <w:lang w:eastAsia="en-GB"/>
        </w:rPr>
        <w:t xml:space="preserve"> Data analysis</w:t>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5D3459" w:rsidRPr="009B3747">
        <w:rPr>
          <w:rFonts w:eastAsia="Times New Roman" w:cstheme="minorHAnsi"/>
          <w:color w:val="000000"/>
          <w:sz w:val="20"/>
          <w:szCs w:val="20"/>
          <w:lang w:eastAsia="en-GB"/>
        </w:rPr>
        <w:t>213</w:t>
      </w:r>
    </w:p>
    <w:p w:rsidR="00010668" w:rsidRPr="009B3747" w:rsidRDefault="00862852" w:rsidP="007C05E8">
      <w:pPr>
        <w:spacing w:line="240" w:lineRule="auto"/>
        <w:ind w:firstLine="720"/>
        <w:rPr>
          <w:rFonts w:eastAsia="Times New Roman" w:cstheme="minorHAnsi"/>
          <w:iCs/>
          <w:color w:val="000000"/>
          <w:sz w:val="20"/>
          <w:szCs w:val="20"/>
          <w:lang w:eastAsia="en-GB"/>
        </w:rPr>
      </w:pPr>
      <w:r w:rsidRPr="009B3747">
        <w:rPr>
          <w:rFonts w:eastAsia="Times New Roman" w:cstheme="minorHAnsi"/>
          <w:iCs/>
          <w:color w:val="000000"/>
          <w:sz w:val="20"/>
          <w:szCs w:val="20"/>
          <w:lang w:eastAsia="en-GB"/>
        </w:rPr>
        <w:t>7.8</w:t>
      </w:r>
      <w:r w:rsidR="00010668" w:rsidRPr="009B3747">
        <w:rPr>
          <w:rFonts w:eastAsia="Times New Roman" w:cstheme="minorHAnsi"/>
          <w:iCs/>
          <w:color w:val="000000"/>
          <w:sz w:val="20"/>
          <w:szCs w:val="20"/>
          <w:lang w:eastAsia="en-GB"/>
        </w:rPr>
        <w:t xml:space="preserve">.1 Descriptive and inferential statistics </w:t>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5D3459" w:rsidRPr="009B3747">
        <w:rPr>
          <w:rFonts w:eastAsia="Times New Roman" w:cstheme="minorHAnsi"/>
          <w:iCs/>
          <w:color w:val="000000"/>
          <w:sz w:val="20"/>
          <w:szCs w:val="20"/>
          <w:lang w:eastAsia="en-GB"/>
        </w:rPr>
        <w:t>214</w:t>
      </w:r>
    </w:p>
    <w:p w:rsidR="00010668" w:rsidRPr="009B3747" w:rsidRDefault="00862852" w:rsidP="007C05E8">
      <w:pPr>
        <w:spacing w:line="240" w:lineRule="auto"/>
        <w:rPr>
          <w:rFonts w:eastAsia="Times New Roman" w:cstheme="minorHAnsi"/>
          <w:iCs/>
          <w:color w:val="000000"/>
          <w:sz w:val="20"/>
          <w:szCs w:val="20"/>
          <w:lang w:eastAsia="en-GB"/>
        </w:rPr>
      </w:pPr>
      <w:r w:rsidRPr="009B3747">
        <w:rPr>
          <w:rFonts w:eastAsia="Times New Roman" w:cstheme="minorHAnsi"/>
          <w:iCs/>
          <w:color w:val="000000"/>
          <w:sz w:val="20"/>
          <w:szCs w:val="20"/>
          <w:lang w:eastAsia="en-GB"/>
        </w:rPr>
        <w:tab/>
        <w:t>7.8</w:t>
      </w:r>
      <w:r w:rsidR="00010668" w:rsidRPr="009B3747">
        <w:rPr>
          <w:rFonts w:eastAsia="Times New Roman" w:cstheme="minorHAnsi"/>
          <w:iCs/>
          <w:color w:val="000000"/>
          <w:sz w:val="20"/>
          <w:szCs w:val="20"/>
          <w:lang w:eastAsia="en-GB"/>
        </w:rPr>
        <w:t xml:space="preserve">.2 Open question analysis </w:t>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5D3459" w:rsidRPr="009B3747">
        <w:rPr>
          <w:rFonts w:eastAsia="Times New Roman" w:cstheme="minorHAnsi"/>
          <w:iCs/>
          <w:color w:val="000000"/>
          <w:sz w:val="20"/>
          <w:szCs w:val="20"/>
          <w:lang w:eastAsia="en-GB"/>
        </w:rPr>
        <w:t>216</w:t>
      </w:r>
    </w:p>
    <w:p w:rsidR="00010668" w:rsidRPr="009B3747" w:rsidRDefault="00862852" w:rsidP="007C05E8">
      <w:pPr>
        <w:spacing w:line="240" w:lineRule="auto"/>
        <w:rPr>
          <w:rFonts w:eastAsia="Times New Roman" w:cstheme="minorHAnsi"/>
          <w:color w:val="000000"/>
          <w:sz w:val="20"/>
          <w:szCs w:val="20"/>
          <w:lang w:eastAsia="en-GB"/>
        </w:rPr>
      </w:pPr>
      <w:r w:rsidRPr="009B3747">
        <w:rPr>
          <w:rFonts w:eastAsia="Times New Roman" w:cstheme="minorHAnsi"/>
          <w:bCs/>
          <w:color w:val="000000"/>
          <w:sz w:val="20"/>
          <w:szCs w:val="20"/>
          <w:lang w:eastAsia="en-GB"/>
        </w:rPr>
        <w:t>7.9</w:t>
      </w:r>
      <w:r w:rsidR="00010668" w:rsidRPr="009B3747">
        <w:rPr>
          <w:rFonts w:eastAsia="Times New Roman" w:cstheme="minorHAnsi"/>
          <w:bCs/>
          <w:color w:val="000000"/>
          <w:sz w:val="20"/>
          <w:szCs w:val="20"/>
          <w:lang w:eastAsia="en-GB"/>
        </w:rPr>
        <w:t xml:space="preserve"> Ethical approach and procedures</w:t>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5D3459" w:rsidRPr="009B3747">
        <w:rPr>
          <w:rFonts w:eastAsia="Times New Roman" w:cstheme="minorHAnsi"/>
          <w:bCs/>
          <w:color w:val="000000"/>
          <w:sz w:val="20"/>
          <w:szCs w:val="20"/>
          <w:lang w:eastAsia="en-GB"/>
        </w:rPr>
        <w:t>217</w:t>
      </w:r>
    </w:p>
    <w:p w:rsidR="00010668" w:rsidRPr="009B3747" w:rsidRDefault="00010668" w:rsidP="007C05E8">
      <w:pPr>
        <w:spacing w:line="240" w:lineRule="auto"/>
        <w:rPr>
          <w:rFonts w:eastAsia="Times New Roman" w:cstheme="minorHAnsi"/>
          <w:sz w:val="20"/>
          <w:szCs w:val="20"/>
          <w:lang w:eastAsia="en-GB"/>
        </w:rPr>
      </w:pPr>
    </w:p>
    <w:p w:rsidR="00B04FA7" w:rsidRPr="009B3747" w:rsidRDefault="00B04FA7" w:rsidP="007C05E8">
      <w:pPr>
        <w:pStyle w:val="NormalWeb"/>
        <w:spacing w:before="0" w:beforeAutospacing="0" w:after="0" w:afterAutospacing="0"/>
        <w:rPr>
          <w:rFonts w:asciiTheme="minorHAnsi" w:hAnsiTheme="minorHAnsi" w:cstheme="minorHAnsi"/>
          <w:color w:val="000000"/>
          <w:sz w:val="22"/>
          <w:szCs w:val="22"/>
        </w:rPr>
      </w:pPr>
      <w:r w:rsidRPr="009B3747">
        <w:rPr>
          <w:rFonts w:asciiTheme="minorHAnsi" w:hAnsiTheme="minorHAnsi" w:cstheme="minorHAnsi"/>
          <w:b/>
          <w:color w:val="000000"/>
          <w:sz w:val="22"/>
          <w:szCs w:val="22"/>
        </w:rPr>
        <w:t>Chapter 8 – Quant</w:t>
      </w:r>
      <w:r w:rsidR="00010668" w:rsidRPr="009B3747">
        <w:rPr>
          <w:rFonts w:asciiTheme="minorHAnsi" w:hAnsiTheme="minorHAnsi" w:cstheme="minorHAnsi"/>
          <w:b/>
          <w:color w:val="000000"/>
          <w:sz w:val="22"/>
          <w:szCs w:val="22"/>
        </w:rPr>
        <w:t>itative results</w:t>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256CB0" w:rsidRPr="009B3747">
        <w:rPr>
          <w:rFonts w:asciiTheme="minorHAnsi" w:hAnsiTheme="minorHAnsi" w:cstheme="minorHAnsi"/>
          <w:b/>
          <w:color w:val="000000"/>
          <w:sz w:val="22"/>
          <w:szCs w:val="22"/>
        </w:rPr>
        <w:t>220</w:t>
      </w:r>
      <w:r w:rsidR="0026185B" w:rsidRPr="009B3747">
        <w:rPr>
          <w:rFonts w:asciiTheme="minorHAnsi" w:hAnsiTheme="minorHAnsi" w:cstheme="minorHAnsi"/>
          <w:color w:val="000000"/>
          <w:sz w:val="22"/>
          <w:szCs w:val="22"/>
        </w:rPr>
        <w:tab/>
      </w:r>
      <w:r w:rsidR="0026185B" w:rsidRPr="009B3747">
        <w:rPr>
          <w:rFonts w:asciiTheme="minorHAnsi" w:hAnsiTheme="minorHAnsi" w:cstheme="minorHAnsi"/>
          <w:color w:val="000000"/>
          <w:sz w:val="22"/>
          <w:szCs w:val="22"/>
        </w:rPr>
        <w:tab/>
      </w:r>
      <w:r w:rsidR="0026185B" w:rsidRPr="009B3747">
        <w:rPr>
          <w:rFonts w:asciiTheme="minorHAnsi" w:hAnsiTheme="minorHAnsi" w:cstheme="minorHAnsi"/>
          <w:color w:val="000000"/>
          <w:sz w:val="22"/>
          <w:szCs w:val="22"/>
        </w:rPr>
        <w:tab/>
      </w:r>
      <w:r w:rsidR="0026185B" w:rsidRPr="009B3747">
        <w:rPr>
          <w:rFonts w:asciiTheme="minorHAnsi" w:hAnsiTheme="minorHAnsi" w:cstheme="minorHAnsi"/>
          <w:color w:val="000000"/>
          <w:sz w:val="22"/>
          <w:szCs w:val="22"/>
        </w:rPr>
        <w:tab/>
      </w:r>
      <w:r w:rsidR="0026185B" w:rsidRPr="009B3747">
        <w:rPr>
          <w:rFonts w:asciiTheme="minorHAnsi" w:hAnsiTheme="minorHAnsi" w:cstheme="minorHAnsi"/>
          <w:color w:val="000000"/>
          <w:sz w:val="22"/>
          <w:szCs w:val="22"/>
        </w:rPr>
        <w:tab/>
      </w:r>
      <w:r w:rsidR="0026185B" w:rsidRPr="009B3747">
        <w:rPr>
          <w:rFonts w:asciiTheme="minorHAnsi" w:hAnsiTheme="minorHAnsi" w:cstheme="minorHAnsi"/>
          <w:color w:val="000000"/>
          <w:sz w:val="22"/>
          <w:szCs w:val="22"/>
        </w:rPr>
        <w:tab/>
      </w:r>
      <w:r w:rsidR="0026185B" w:rsidRPr="009B3747">
        <w:rPr>
          <w:rFonts w:asciiTheme="minorHAnsi" w:hAnsiTheme="minorHAnsi" w:cstheme="minorHAnsi"/>
          <w:color w:val="000000"/>
          <w:sz w:val="22"/>
          <w:szCs w:val="22"/>
        </w:rPr>
        <w:tab/>
      </w:r>
      <w:r w:rsidR="0026185B" w:rsidRPr="009B3747">
        <w:rPr>
          <w:rFonts w:asciiTheme="minorHAnsi" w:hAnsiTheme="minorHAnsi" w:cstheme="minorHAnsi"/>
          <w:color w:val="000000"/>
          <w:sz w:val="22"/>
          <w:szCs w:val="22"/>
        </w:rPr>
        <w:tab/>
      </w:r>
    </w:p>
    <w:p w:rsidR="00084B45" w:rsidRPr="009B3747" w:rsidRDefault="001E7173" w:rsidP="007C05E8">
      <w:pPr>
        <w:spacing w:line="24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8.1 Introduction</w:t>
      </w:r>
      <w:r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r>
      <w:r w:rsidRPr="009B3747">
        <w:rPr>
          <w:rFonts w:eastAsia="Times New Roman" w:cstheme="minorHAnsi"/>
          <w:color w:val="000000"/>
          <w:sz w:val="20"/>
          <w:szCs w:val="20"/>
          <w:lang w:eastAsia="en-GB"/>
        </w:rPr>
        <w:tab/>
      </w:r>
      <w:r w:rsidR="00256CB0" w:rsidRPr="009B3747">
        <w:rPr>
          <w:rFonts w:eastAsia="Times New Roman" w:cstheme="minorHAnsi"/>
          <w:color w:val="000000"/>
          <w:sz w:val="20"/>
          <w:szCs w:val="20"/>
          <w:lang w:eastAsia="en-GB"/>
        </w:rPr>
        <w:t>220</w:t>
      </w:r>
    </w:p>
    <w:p w:rsidR="00010668" w:rsidRPr="009B3747" w:rsidRDefault="00084B45" w:rsidP="007C05E8">
      <w:pPr>
        <w:spacing w:line="24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8.2</w:t>
      </w:r>
      <w:r w:rsidR="0026185B" w:rsidRPr="009B3747">
        <w:rPr>
          <w:rFonts w:eastAsia="Times New Roman" w:cstheme="minorHAnsi"/>
          <w:color w:val="000000"/>
          <w:sz w:val="20"/>
          <w:szCs w:val="20"/>
          <w:lang w:eastAsia="en-GB"/>
        </w:rPr>
        <w:t xml:space="preserve"> </w:t>
      </w:r>
      <w:r w:rsidR="00010668" w:rsidRPr="009B3747">
        <w:rPr>
          <w:rFonts w:eastAsia="Times New Roman" w:cstheme="minorHAnsi"/>
          <w:color w:val="000000"/>
          <w:sz w:val="20"/>
          <w:szCs w:val="20"/>
          <w:lang w:eastAsia="en-GB"/>
        </w:rPr>
        <w:t>Response rate</w:t>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256CB0" w:rsidRPr="009B3747">
        <w:rPr>
          <w:rFonts w:eastAsia="Times New Roman" w:cstheme="minorHAnsi"/>
          <w:color w:val="000000"/>
          <w:sz w:val="20"/>
          <w:szCs w:val="20"/>
          <w:lang w:eastAsia="en-GB"/>
        </w:rPr>
        <w:t>220</w:t>
      </w:r>
    </w:p>
    <w:p w:rsidR="00010668" w:rsidRPr="009B3747" w:rsidRDefault="00084B45" w:rsidP="007C05E8">
      <w:pPr>
        <w:spacing w:line="240" w:lineRule="auto"/>
        <w:rPr>
          <w:rFonts w:eastAsia="Times New Roman" w:cstheme="minorHAnsi"/>
          <w:sz w:val="20"/>
          <w:szCs w:val="20"/>
          <w:lang w:eastAsia="en-GB"/>
        </w:rPr>
      </w:pPr>
      <w:r w:rsidRPr="009B3747">
        <w:rPr>
          <w:rFonts w:eastAsia="Times New Roman" w:cstheme="minorHAnsi"/>
          <w:color w:val="000000"/>
          <w:sz w:val="20"/>
          <w:szCs w:val="20"/>
          <w:lang w:eastAsia="en-GB"/>
        </w:rPr>
        <w:t>8.3</w:t>
      </w:r>
      <w:r w:rsidR="0026185B" w:rsidRPr="009B3747">
        <w:rPr>
          <w:rFonts w:eastAsia="Times New Roman" w:cstheme="minorHAnsi"/>
          <w:color w:val="000000"/>
          <w:sz w:val="20"/>
          <w:szCs w:val="20"/>
          <w:lang w:eastAsia="en-GB"/>
        </w:rPr>
        <w:t xml:space="preserve"> </w:t>
      </w:r>
      <w:r w:rsidR="00010668" w:rsidRPr="009B3747">
        <w:rPr>
          <w:rFonts w:eastAsia="Times New Roman" w:cstheme="minorHAnsi"/>
          <w:color w:val="000000"/>
          <w:sz w:val="20"/>
          <w:szCs w:val="20"/>
          <w:lang w:eastAsia="en-GB"/>
        </w:rPr>
        <w:t>Characteristics of the sample</w:t>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256CB0" w:rsidRPr="009B3747">
        <w:rPr>
          <w:rFonts w:eastAsia="Times New Roman" w:cstheme="minorHAnsi"/>
          <w:color w:val="000000"/>
          <w:sz w:val="20"/>
          <w:szCs w:val="20"/>
          <w:lang w:eastAsia="en-GB"/>
        </w:rPr>
        <w:t>221</w:t>
      </w:r>
    </w:p>
    <w:p w:rsidR="0026185B" w:rsidRPr="009B3747" w:rsidRDefault="00010668" w:rsidP="007C05E8">
      <w:pPr>
        <w:spacing w:line="240" w:lineRule="auto"/>
        <w:rPr>
          <w:rFonts w:eastAsia="Times New Roman" w:cstheme="minorHAnsi"/>
          <w:iCs/>
          <w:color w:val="000000"/>
          <w:sz w:val="20"/>
          <w:szCs w:val="20"/>
          <w:lang w:eastAsia="en-GB"/>
        </w:rPr>
      </w:pPr>
      <w:r w:rsidRPr="009B3747">
        <w:rPr>
          <w:rFonts w:eastAsia="Times New Roman" w:cstheme="minorHAnsi"/>
          <w:sz w:val="20"/>
          <w:szCs w:val="20"/>
          <w:lang w:eastAsia="en-GB"/>
        </w:rPr>
        <w:lastRenderedPageBreak/>
        <w:tab/>
      </w:r>
      <w:r w:rsidR="00084B45" w:rsidRPr="009B3747">
        <w:rPr>
          <w:rFonts w:eastAsia="Times New Roman" w:cstheme="minorHAnsi"/>
          <w:iCs/>
          <w:color w:val="000000"/>
          <w:sz w:val="20"/>
          <w:szCs w:val="20"/>
          <w:lang w:eastAsia="en-GB"/>
        </w:rPr>
        <w:t>8.3</w:t>
      </w:r>
      <w:r w:rsidRPr="009B3747">
        <w:rPr>
          <w:rFonts w:eastAsia="Times New Roman" w:cstheme="minorHAnsi"/>
          <w:iCs/>
          <w:color w:val="000000"/>
          <w:sz w:val="20"/>
          <w:szCs w:val="20"/>
          <w:lang w:eastAsia="en-GB"/>
        </w:rPr>
        <w:t>.1 Participant demographics</w:t>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256CB0" w:rsidRPr="009B3747">
        <w:rPr>
          <w:rFonts w:eastAsia="Times New Roman" w:cstheme="minorHAnsi"/>
          <w:iCs/>
          <w:color w:val="000000"/>
          <w:sz w:val="20"/>
          <w:szCs w:val="20"/>
          <w:lang w:eastAsia="en-GB"/>
        </w:rPr>
        <w:t>221</w:t>
      </w:r>
    </w:p>
    <w:p w:rsidR="00010668" w:rsidRPr="009B3747" w:rsidRDefault="00084B45" w:rsidP="007C05E8">
      <w:pPr>
        <w:spacing w:line="240" w:lineRule="auto"/>
        <w:rPr>
          <w:rFonts w:eastAsia="Times New Roman" w:cstheme="minorHAnsi"/>
          <w:iCs/>
          <w:color w:val="000000"/>
          <w:sz w:val="20"/>
          <w:szCs w:val="20"/>
          <w:lang w:eastAsia="en-GB"/>
        </w:rPr>
      </w:pPr>
      <w:r w:rsidRPr="009B3747">
        <w:rPr>
          <w:rFonts w:eastAsia="Times New Roman" w:cstheme="minorHAnsi"/>
          <w:iCs/>
          <w:color w:val="000000"/>
          <w:sz w:val="20"/>
          <w:szCs w:val="20"/>
          <w:lang w:eastAsia="en-GB"/>
        </w:rPr>
        <w:tab/>
        <w:t>8.3</w:t>
      </w:r>
      <w:r w:rsidR="00010668" w:rsidRPr="009B3747">
        <w:rPr>
          <w:rFonts w:eastAsia="Times New Roman" w:cstheme="minorHAnsi"/>
          <w:iCs/>
          <w:color w:val="000000"/>
          <w:sz w:val="20"/>
          <w:szCs w:val="20"/>
          <w:lang w:eastAsia="en-GB"/>
        </w:rPr>
        <w:t>.2 Demographics of schools represented</w:t>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256CB0" w:rsidRPr="009B3747">
        <w:rPr>
          <w:rFonts w:eastAsia="Times New Roman" w:cstheme="minorHAnsi"/>
          <w:iCs/>
          <w:color w:val="000000"/>
          <w:sz w:val="20"/>
          <w:szCs w:val="20"/>
          <w:lang w:eastAsia="en-GB"/>
        </w:rPr>
        <w:t>223</w:t>
      </w:r>
    </w:p>
    <w:p w:rsidR="00010668" w:rsidRPr="009B3747" w:rsidRDefault="00084B45" w:rsidP="007C05E8">
      <w:pPr>
        <w:spacing w:line="240" w:lineRule="auto"/>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8.4</w:t>
      </w:r>
      <w:r w:rsidR="0026185B" w:rsidRPr="009B3747">
        <w:rPr>
          <w:rFonts w:eastAsia="Times New Roman" w:cstheme="minorHAnsi"/>
          <w:bCs/>
          <w:color w:val="000000"/>
          <w:sz w:val="20"/>
          <w:szCs w:val="20"/>
          <w:lang w:eastAsia="en-GB"/>
        </w:rPr>
        <w:t xml:space="preserve"> </w:t>
      </w:r>
      <w:r w:rsidR="00010668" w:rsidRPr="009B3747">
        <w:rPr>
          <w:rFonts w:eastAsia="Times New Roman" w:cstheme="minorHAnsi"/>
          <w:bCs/>
          <w:color w:val="000000"/>
          <w:sz w:val="20"/>
          <w:szCs w:val="20"/>
          <w:lang w:eastAsia="en-GB"/>
        </w:rPr>
        <w:t>Descriptive and inferential statistics</w:t>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256CB0" w:rsidRPr="009B3747">
        <w:rPr>
          <w:rFonts w:eastAsia="Times New Roman" w:cstheme="minorHAnsi"/>
          <w:bCs/>
          <w:color w:val="000000"/>
          <w:sz w:val="20"/>
          <w:szCs w:val="20"/>
          <w:lang w:eastAsia="en-GB"/>
        </w:rPr>
        <w:t>226</w:t>
      </w:r>
    </w:p>
    <w:p w:rsidR="00010668" w:rsidRPr="009B3747" w:rsidRDefault="00010668" w:rsidP="007C05E8">
      <w:pPr>
        <w:spacing w:line="240" w:lineRule="auto"/>
        <w:rPr>
          <w:rFonts w:eastAsia="Times New Roman" w:cstheme="minorHAnsi"/>
          <w:iCs/>
          <w:color w:val="000000"/>
          <w:sz w:val="20"/>
          <w:szCs w:val="20"/>
          <w:lang w:eastAsia="en-GB"/>
        </w:rPr>
      </w:pPr>
      <w:r w:rsidRPr="009B3747">
        <w:rPr>
          <w:rFonts w:eastAsia="Times New Roman" w:cstheme="minorHAnsi"/>
          <w:bCs/>
          <w:color w:val="000000"/>
          <w:sz w:val="20"/>
          <w:szCs w:val="20"/>
          <w:lang w:eastAsia="en-GB"/>
        </w:rPr>
        <w:tab/>
      </w:r>
      <w:r w:rsidR="00084B45" w:rsidRPr="009B3747">
        <w:rPr>
          <w:rFonts w:eastAsia="Times New Roman" w:cstheme="minorHAnsi"/>
          <w:iCs/>
          <w:color w:val="000000"/>
          <w:sz w:val="20"/>
          <w:szCs w:val="20"/>
          <w:lang w:eastAsia="en-GB"/>
        </w:rPr>
        <w:t>8.4</w:t>
      </w:r>
      <w:r w:rsidRPr="009B3747">
        <w:rPr>
          <w:rFonts w:eastAsia="Times New Roman" w:cstheme="minorHAnsi"/>
          <w:iCs/>
          <w:color w:val="000000"/>
          <w:sz w:val="20"/>
          <w:szCs w:val="20"/>
          <w:lang w:eastAsia="en-GB"/>
        </w:rPr>
        <w:t>.1 Perceptions of adolescent obesity and lifestyle behaviours</w:t>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256CB0" w:rsidRPr="009B3747">
        <w:rPr>
          <w:rFonts w:eastAsia="Times New Roman" w:cstheme="minorHAnsi"/>
          <w:iCs/>
          <w:color w:val="000000"/>
          <w:sz w:val="20"/>
          <w:szCs w:val="20"/>
          <w:lang w:eastAsia="en-GB"/>
        </w:rPr>
        <w:t>227</w:t>
      </w:r>
    </w:p>
    <w:p w:rsidR="00010668" w:rsidRPr="009B3747" w:rsidRDefault="00084B45" w:rsidP="007C05E8">
      <w:pPr>
        <w:spacing w:line="240" w:lineRule="auto"/>
        <w:rPr>
          <w:rFonts w:eastAsia="Times New Roman" w:cstheme="minorHAnsi"/>
          <w:iCs/>
          <w:color w:val="000000"/>
          <w:sz w:val="20"/>
          <w:szCs w:val="20"/>
          <w:lang w:eastAsia="en-GB"/>
        </w:rPr>
      </w:pPr>
      <w:r w:rsidRPr="009B3747">
        <w:rPr>
          <w:rFonts w:eastAsia="Times New Roman" w:cstheme="minorHAnsi"/>
          <w:iCs/>
          <w:color w:val="000000"/>
          <w:sz w:val="20"/>
          <w:szCs w:val="20"/>
          <w:lang w:eastAsia="en-GB"/>
        </w:rPr>
        <w:tab/>
        <w:t>8.4</w:t>
      </w:r>
      <w:r w:rsidR="00010668" w:rsidRPr="009B3747">
        <w:rPr>
          <w:rFonts w:eastAsia="Times New Roman" w:cstheme="minorHAnsi"/>
          <w:iCs/>
          <w:color w:val="000000"/>
          <w:sz w:val="20"/>
          <w:szCs w:val="20"/>
          <w:lang w:eastAsia="en-GB"/>
        </w:rPr>
        <w:t>.2 Influence of place</w:t>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256CB0" w:rsidRPr="009B3747">
        <w:rPr>
          <w:rFonts w:eastAsia="Times New Roman" w:cstheme="minorHAnsi"/>
          <w:iCs/>
          <w:color w:val="000000"/>
          <w:sz w:val="20"/>
          <w:szCs w:val="20"/>
          <w:lang w:eastAsia="en-GB"/>
        </w:rPr>
        <w:t>232</w:t>
      </w:r>
    </w:p>
    <w:p w:rsidR="00010668" w:rsidRPr="009B3747" w:rsidRDefault="00084B45" w:rsidP="007C05E8">
      <w:pPr>
        <w:spacing w:line="240" w:lineRule="auto"/>
        <w:rPr>
          <w:rFonts w:eastAsia="Times New Roman" w:cstheme="minorHAnsi"/>
          <w:iCs/>
          <w:color w:val="000000"/>
          <w:sz w:val="20"/>
          <w:szCs w:val="20"/>
          <w:lang w:eastAsia="en-GB"/>
        </w:rPr>
      </w:pPr>
      <w:r w:rsidRPr="009B3747">
        <w:rPr>
          <w:rFonts w:eastAsia="Times New Roman" w:cstheme="minorHAnsi"/>
          <w:iCs/>
          <w:color w:val="000000"/>
          <w:sz w:val="20"/>
          <w:szCs w:val="20"/>
          <w:lang w:eastAsia="en-GB"/>
        </w:rPr>
        <w:tab/>
        <w:t>8.4</w:t>
      </w:r>
      <w:r w:rsidR="00010668" w:rsidRPr="009B3747">
        <w:rPr>
          <w:rFonts w:eastAsia="Times New Roman" w:cstheme="minorHAnsi"/>
          <w:iCs/>
          <w:color w:val="000000"/>
          <w:sz w:val="20"/>
          <w:szCs w:val="20"/>
          <w:lang w:eastAsia="en-GB"/>
        </w:rPr>
        <w:t>.3 Shared responsibility, collective solutions</w:t>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256CB0" w:rsidRPr="009B3747">
        <w:rPr>
          <w:rFonts w:eastAsia="Times New Roman" w:cstheme="minorHAnsi"/>
          <w:iCs/>
          <w:color w:val="000000"/>
          <w:sz w:val="20"/>
          <w:szCs w:val="20"/>
          <w:lang w:eastAsia="en-GB"/>
        </w:rPr>
        <w:t>235</w:t>
      </w:r>
    </w:p>
    <w:p w:rsidR="00010668" w:rsidRPr="009B3747" w:rsidRDefault="00084B45" w:rsidP="007C05E8">
      <w:pPr>
        <w:spacing w:line="240" w:lineRule="auto"/>
        <w:ind w:firstLine="720"/>
        <w:rPr>
          <w:rFonts w:eastAsia="Times New Roman" w:cstheme="minorHAnsi"/>
          <w:sz w:val="20"/>
          <w:szCs w:val="20"/>
          <w:lang w:eastAsia="en-GB"/>
        </w:rPr>
      </w:pPr>
      <w:r w:rsidRPr="009B3747">
        <w:rPr>
          <w:rFonts w:eastAsia="Times New Roman" w:cstheme="minorHAnsi"/>
          <w:iCs/>
          <w:color w:val="000000"/>
          <w:sz w:val="20"/>
          <w:szCs w:val="20"/>
          <w:lang w:eastAsia="en-GB"/>
        </w:rPr>
        <w:t>8.4</w:t>
      </w:r>
      <w:r w:rsidR="00010668" w:rsidRPr="009B3747">
        <w:rPr>
          <w:rFonts w:eastAsia="Times New Roman" w:cstheme="minorHAnsi"/>
          <w:iCs/>
          <w:color w:val="000000"/>
          <w:sz w:val="20"/>
          <w:szCs w:val="20"/>
          <w:lang w:eastAsia="en-GB"/>
        </w:rPr>
        <w:t xml:space="preserve">.4 Secondary school setting </w:t>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1E7173" w:rsidRPr="009B3747">
        <w:rPr>
          <w:rFonts w:eastAsia="Times New Roman" w:cstheme="minorHAnsi"/>
          <w:iCs/>
          <w:color w:val="000000"/>
          <w:sz w:val="20"/>
          <w:szCs w:val="20"/>
          <w:lang w:eastAsia="en-GB"/>
        </w:rPr>
        <w:tab/>
      </w:r>
      <w:r w:rsidR="00256CB0" w:rsidRPr="009B3747">
        <w:rPr>
          <w:rFonts w:eastAsia="Times New Roman" w:cstheme="minorHAnsi"/>
          <w:iCs/>
          <w:color w:val="000000"/>
          <w:sz w:val="20"/>
          <w:szCs w:val="20"/>
          <w:lang w:eastAsia="en-GB"/>
        </w:rPr>
        <w:t>239</w:t>
      </w:r>
    </w:p>
    <w:p w:rsidR="00010668" w:rsidRPr="009B3747" w:rsidRDefault="00010668" w:rsidP="007C05E8">
      <w:pPr>
        <w:spacing w:line="240" w:lineRule="auto"/>
        <w:rPr>
          <w:rFonts w:eastAsia="Times New Roman" w:cstheme="minorHAnsi"/>
          <w:sz w:val="20"/>
          <w:szCs w:val="20"/>
          <w:lang w:eastAsia="en-GB"/>
        </w:rPr>
      </w:pPr>
    </w:p>
    <w:p w:rsidR="00B04FA7" w:rsidRPr="009B3747" w:rsidRDefault="00B04FA7" w:rsidP="007C05E8">
      <w:pPr>
        <w:pStyle w:val="NormalWeb"/>
        <w:spacing w:before="0" w:beforeAutospacing="0" w:after="0" w:afterAutospacing="0"/>
        <w:rPr>
          <w:rFonts w:asciiTheme="minorHAnsi" w:hAnsiTheme="minorHAnsi" w:cstheme="minorHAnsi"/>
          <w:b/>
          <w:color w:val="000000"/>
          <w:sz w:val="22"/>
          <w:szCs w:val="22"/>
        </w:rPr>
      </w:pPr>
      <w:r w:rsidRPr="009B3747">
        <w:rPr>
          <w:rFonts w:asciiTheme="minorHAnsi" w:hAnsiTheme="minorHAnsi" w:cstheme="minorHAnsi"/>
          <w:b/>
          <w:color w:val="000000"/>
          <w:sz w:val="22"/>
          <w:szCs w:val="22"/>
        </w:rPr>
        <w:t xml:space="preserve">Chapter 9 – </w:t>
      </w:r>
      <w:r w:rsidR="004D2FB9" w:rsidRPr="009B3747">
        <w:rPr>
          <w:rFonts w:asciiTheme="minorHAnsi" w:hAnsiTheme="minorHAnsi" w:cstheme="minorHAnsi"/>
          <w:b/>
          <w:color w:val="000000"/>
          <w:sz w:val="22"/>
          <w:szCs w:val="22"/>
        </w:rPr>
        <w:t>Discussion</w:t>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7E3DE9" w:rsidRPr="009B3747">
        <w:rPr>
          <w:rFonts w:asciiTheme="minorHAnsi" w:hAnsiTheme="minorHAnsi" w:cstheme="minorHAnsi"/>
          <w:b/>
          <w:color w:val="000000"/>
          <w:sz w:val="22"/>
          <w:szCs w:val="22"/>
        </w:rPr>
        <w:t>251</w:t>
      </w:r>
    </w:p>
    <w:p w:rsidR="004D2FB9" w:rsidRPr="009B3747" w:rsidRDefault="004D2FB9" w:rsidP="007C05E8">
      <w:pPr>
        <w:pStyle w:val="NormalWeb"/>
        <w:spacing w:before="0" w:beforeAutospacing="0" w:after="0" w:afterAutospacing="0"/>
        <w:rPr>
          <w:rFonts w:asciiTheme="minorHAnsi" w:hAnsiTheme="minorHAnsi" w:cstheme="minorHAnsi"/>
          <w:color w:val="000000"/>
          <w:sz w:val="20"/>
          <w:szCs w:val="20"/>
        </w:rPr>
      </w:pPr>
      <w:r w:rsidRPr="009B3747">
        <w:rPr>
          <w:rFonts w:asciiTheme="minorHAnsi" w:hAnsiTheme="minorHAnsi" w:cstheme="minorHAnsi"/>
          <w:color w:val="000000"/>
          <w:sz w:val="20"/>
          <w:szCs w:val="20"/>
        </w:rPr>
        <w:tab/>
      </w:r>
    </w:p>
    <w:p w:rsidR="00FA25A3" w:rsidRPr="009B3747" w:rsidRDefault="001E7173" w:rsidP="007C05E8">
      <w:pPr>
        <w:pStyle w:val="NormalWeb"/>
        <w:spacing w:before="0" w:beforeAutospacing="0" w:after="0" w:afterAutospacing="0"/>
        <w:rPr>
          <w:rFonts w:asciiTheme="minorHAnsi" w:hAnsiTheme="minorHAnsi" w:cstheme="minorHAnsi"/>
          <w:color w:val="000000"/>
          <w:sz w:val="20"/>
          <w:szCs w:val="20"/>
        </w:rPr>
      </w:pPr>
      <w:r w:rsidRPr="009B3747">
        <w:rPr>
          <w:rFonts w:asciiTheme="minorHAnsi" w:hAnsiTheme="minorHAnsi" w:cstheme="minorHAnsi"/>
          <w:color w:val="000000"/>
          <w:sz w:val="20"/>
          <w:szCs w:val="20"/>
        </w:rPr>
        <w:t>9.1 Introduction</w:t>
      </w:r>
      <w:r w:rsidRPr="009B3747">
        <w:rPr>
          <w:rFonts w:asciiTheme="minorHAnsi" w:hAnsiTheme="minorHAnsi" w:cstheme="minorHAnsi"/>
          <w:color w:val="000000"/>
          <w:sz w:val="20"/>
          <w:szCs w:val="20"/>
        </w:rPr>
        <w:tab/>
      </w:r>
      <w:r w:rsidRPr="009B3747">
        <w:rPr>
          <w:rFonts w:asciiTheme="minorHAnsi" w:hAnsiTheme="minorHAnsi" w:cstheme="minorHAnsi"/>
          <w:color w:val="000000"/>
          <w:sz w:val="20"/>
          <w:szCs w:val="20"/>
        </w:rPr>
        <w:tab/>
      </w:r>
      <w:r w:rsidRPr="009B3747">
        <w:rPr>
          <w:rFonts w:asciiTheme="minorHAnsi" w:hAnsiTheme="minorHAnsi" w:cstheme="minorHAnsi"/>
          <w:color w:val="000000"/>
          <w:sz w:val="20"/>
          <w:szCs w:val="20"/>
        </w:rPr>
        <w:tab/>
      </w:r>
      <w:r w:rsidRPr="009B3747">
        <w:rPr>
          <w:rFonts w:asciiTheme="minorHAnsi" w:hAnsiTheme="minorHAnsi" w:cstheme="minorHAnsi"/>
          <w:color w:val="000000"/>
          <w:sz w:val="20"/>
          <w:szCs w:val="20"/>
        </w:rPr>
        <w:tab/>
      </w:r>
      <w:r w:rsidRPr="009B3747">
        <w:rPr>
          <w:rFonts w:asciiTheme="minorHAnsi" w:hAnsiTheme="minorHAnsi" w:cstheme="minorHAnsi"/>
          <w:color w:val="000000"/>
          <w:sz w:val="20"/>
          <w:szCs w:val="20"/>
        </w:rPr>
        <w:tab/>
      </w:r>
      <w:r w:rsidRPr="009B3747">
        <w:rPr>
          <w:rFonts w:asciiTheme="minorHAnsi" w:hAnsiTheme="minorHAnsi" w:cstheme="minorHAnsi"/>
          <w:color w:val="000000"/>
          <w:sz w:val="20"/>
          <w:szCs w:val="20"/>
        </w:rPr>
        <w:tab/>
      </w:r>
      <w:r w:rsidRPr="009B3747">
        <w:rPr>
          <w:rFonts w:asciiTheme="minorHAnsi" w:hAnsiTheme="minorHAnsi" w:cstheme="minorHAnsi"/>
          <w:color w:val="000000"/>
          <w:sz w:val="20"/>
          <w:szCs w:val="20"/>
        </w:rPr>
        <w:tab/>
      </w:r>
      <w:r w:rsidRPr="009B3747">
        <w:rPr>
          <w:rFonts w:asciiTheme="minorHAnsi" w:hAnsiTheme="minorHAnsi" w:cstheme="minorHAnsi"/>
          <w:color w:val="000000"/>
          <w:sz w:val="20"/>
          <w:szCs w:val="20"/>
        </w:rPr>
        <w:tab/>
      </w:r>
      <w:r w:rsidRPr="009B3747">
        <w:rPr>
          <w:rFonts w:asciiTheme="minorHAnsi" w:hAnsiTheme="minorHAnsi" w:cstheme="minorHAnsi"/>
          <w:color w:val="000000"/>
          <w:sz w:val="20"/>
          <w:szCs w:val="20"/>
        </w:rPr>
        <w:tab/>
      </w:r>
      <w:r w:rsidRPr="009B3747">
        <w:rPr>
          <w:rFonts w:asciiTheme="minorHAnsi" w:hAnsiTheme="minorHAnsi" w:cstheme="minorHAnsi"/>
          <w:color w:val="000000"/>
          <w:sz w:val="20"/>
          <w:szCs w:val="20"/>
        </w:rPr>
        <w:tab/>
      </w:r>
      <w:r w:rsidRPr="009B3747">
        <w:rPr>
          <w:rFonts w:asciiTheme="minorHAnsi" w:hAnsiTheme="minorHAnsi" w:cstheme="minorHAnsi"/>
          <w:color w:val="000000"/>
          <w:sz w:val="20"/>
          <w:szCs w:val="20"/>
        </w:rPr>
        <w:tab/>
      </w:r>
      <w:r w:rsidR="007E3DE9" w:rsidRPr="009B3747">
        <w:rPr>
          <w:rFonts w:asciiTheme="minorHAnsi" w:hAnsiTheme="minorHAnsi" w:cstheme="minorHAnsi"/>
          <w:color w:val="000000"/>
          <w:sz w:val="20"/>
          <w:szCs w:val="20"/>
        </w:rPr>
        <w:t>251</w:t>
      </w:r>
    </w:p>
    <w:p w:rsidR="004D2FB9" w:rsidRPr="009B3747" w:rsidRDefault="00FA25A3" w:rsidP="007C05E8">
      <w:pPr>
        <w:pStyle w:val="NormalWeb"/>
        <w:spacing w:before="0" w:beforeAutospacing="0" w:after="0" w:afterAutospacing="0"/>
        <w:rPr>
          <w:rFonts w:asciiTheme="minorHAnsi" w:hAnsiTheme="minorHAnsi" w:cstheme="minorHAnsi"/>
          <w:color w:val="000000"/>
          <w:sz w:val="20"/>
          <w:szCs w:val="20"/>
        </w:rPr>
      </w:pPr>
      <w:r w:rsidRPr="009B3747">
        <w:rPr>
          <w:rFonts w:asciiTheme="minorHAnsi" w:hAnsiTheme="minorHAnsi" w:cstheme="minorHAnsi"/>
          <w:color w:val="000000"/>
          <w:sz w:val="20"/>
          <w:szCs w:val="20"/>
        </w:rPr>
        <w:t>9.2</w:t>
      </w:r>
      <w:r w:rsidR="004D2FB9" w:rsidRPr="009B3747">
        <w:rPr>
          <w:rFonts w:asciiTheme="minorHAnsi" w:hAnsiTheme="minorHAnsi" w:cstheme="minorHAnsi"/>
          <w:color w:val="000000"/>
          <w:sz w:val="20"/>
          <w:szCs w:val="20"/>
        </w:rPr>
        <w:t xml:space="preserve"> Su</w:t>
      </w:r>
      <w:r w:rsidR="001E7173" w:rsidRPr="009B3747">
        <w:rPr>
          <w:rFonts w:asciiTheme="minorHAnsi" w:hAnsiTheme="minorHAnsi" w:cstheme="minorHAnsi"/>
          <w:color w:val="000000"/>
          <w:sz w:val="20"/>
          <w:szCs w:val="20"/>
        </w:rPr>
        <w:t>mmary of the study</w:t>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7E3DE9" w:rsidRPr="009B3747">
        <w:rPr>
          <w:rFonts w:asciiTheme="minorHAnsi" w:hAnsiTheme="minorHAnsi" w:cstheme="minorHAnsi"/>
          <w:color w:val="000000"/>
          <w:sz w:val="20"/>
          <w:szCs w:val="20"/>
        </w:rPr>
        <w:t>251</w:t>
      </w:r>
    </w:p>
    <w:p w:rsidR="004D2FB9" w:rsidRPr="009B3747" w:rsidRDefault="00FA25A3" w:rsidP="007C05E8">
      <w:pPr>
        <w:pStyle w:val="NormalWeb"/>
        <w:spacing w:before="0" w:beforeAutospacing="0" w:after="0" w:afterAutospacing="0"/>
        <w:rPr>
          <w:rFonts w:asciiTheme="minorHAnsi" w:hAnsiTheme="minorHAnsi" w:cstheme="minorHAnsi"/>
          <w:color w:val="000000"/>
          <w:sz w:val="20"/>
          <w:szCs w:val="20"/>
        </w:rPr>
      </w:pPr>
      <w:r w:rsidRPr="009B3747">
        <w:rPr>
          <w:rFonts w:asciiTheme="minorHAnsi" w:hAnsiTheme="minorHAnsi" w:cstheme="minorHAnsi"/>
          <w:color w:val="000000"/>
          <w:sz w:val="20"/>
          <w:szCs w:val="20"/>
        </w:rPr>
        <w:t>9.3</w:t>
      </w:r>
      <w:r w:rsidR="004D2FB9" w:rsidRPr="009B3747">
        <w:rPr>
          <w:rFonts w:asciiTheme="minorHAnsi" w:hAnsiTheme="minorHAnsi" w:cstheme="minorHAnsi"/>
          <w:color w:val="000000"/>
          <w:sz w:val="20"/>
          <w:szCs w:val="20"/>
        </w:rPr>
        <w:t xml:space="preserve"> Integrated discussion of study findings</w:t>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D05CC9">
        <w:rPr>
          <w:rFonts w:asciiTheme="minorHAnsi" w:hAnsiTheme="minorHAnsi" w:cstheme="minorHAnsi"/>
          <w:color w:val="000000"/>
          <w:sz w:val="20"/>
          <w:szCs w:val="20"/>
        </w:rPr>
        <w:t>254</w:t>
      </w:r>
    </w:p>
    <w:p w:rsidR="004D2FB9" w:rsidRPr="009B3747" w:rsidRDefault="004D2FB9" w:rsidP="007C05E8">
      <w:pPr>
        <w:pStyle w:val="NormalWeb"/>
        <w:spacing w:before="0" w:beforeAutospacing="0" w:after="0" w:afterAutospacing="0"/>
        <w:rPr>
          <w:rFonts w:asciiTheme="minorHAnsi" w:hAnsiTheme="minorHAnsi" w:cstheme="minorHAnsi"/>
          <w:color w:val="000000"/>
          <w:sz w:val="20"/>
          <w:szCs w:val="20"/>
        </w:rPr>
      </w:pPr>
      <w:r w:rsidRPr="009B3747">
        <w:rPr>
          <w:rFonts w:asciiTheme="minorHAnsi" w:hAnsiTheme="minorHAnsi" w:cstheme="minorHAnsi"/>
          <w:color w:val="000000"/>
          <w:sz w:val="20"/>
          <w:szCs w:val="20"/>
        </w:rPr>
        <w:tab/>
        <w:t>9.</w:t>
      </w:r>
      <w:r w:rsidR="00FA25A3" w:rsidRPr="009B3747">
        <w:rPr>
          <w:rFonts w:asciiTheme="minorHAnsi" w:hAnsiTheme="minorHAnsi" w:cstheme="minorHAnsi"/>
          <w:color w:val="000000"/>
          <w:sz w:val="20"/>
          <w:szCs w:val="20"/>
        </w:rPr>
        <w:t>3</w:t>
      </w:r>
      <w:r w:rsidRPr="009B3747">
        <w:rPr>
          <w:rFonts w:asciiTheme="minorHAnsi" w:hAnsiTheme="minorHAnsi" w:cstheme="minorHAnsi"/>
          <w:color w:val="000000"/>
          <w:sz w:val="20"/>
          <w:szCs w:val="20"/>
        </w:rPr>
        <w:t>.1 Main f</w:t>
      </w:r>
      <w:r w:rsidR="00FA25A3" w:rsidRPr="009B3747">
        <w:rPr>
          <w:rFonts w:asciiTheme="minorHAnsi" w:hAnsiTheme="minorHAnsi" w:cstheme="minorHAnsi"/>
          <w:color w:val="000000"/>
          <w:sz w:val="20"/>
          <w:szCs w:val="20"/>
        </w:rPr>
        <w:t>indings of the</w:t>
      </w:r>
      <w:r w:rsidR="001E7173" w:rsidRPr="009B3747">
        <w:rPr>
          <w:rFonts w:asciiTheme="minorHAnsi" w:hAnsiTheme="minorHAnsi" w:cstheme="minorHAnsi"/>
          <w:color w:val="000000"/>
          <w:sz w:val="20"/>
          <w:szCs w:val="20"/>
        </w:rPr>
        <w:t xml:space="preserve"> study</w:t>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7E3DE9" w:rsidRPr="009B3747">
        <w:rPr>
          <w:rFonts w:asciiTheme="minorHAnsi" w:hAnsiTheme="minorHAnsi" w:cstheme="minorHAnsi"/>
          <w:color w:val="000000"/>
          <w:sz w:val="20"/>
          <w:szCs w:val="20"/>
        </w:rPr>
        <w:t>255</w:t>
      </w:r>
    </w:p>
    <w:p w:rsidR="00FA25A3" w:rsidRPr="009B3747" w:rsidRDefault="00FA25A3" w:rsidP="007C05E8">
      <w:pPr>
        <w:pStyle w:val="NormalWeb"/>
        <w:spacing w:before="0" w:beforeAutospacing="0" w:after="0" w:afterAutospacing="0"/>
        <w:rPr>
          <w:rFonts w:asciiTheme="minorHAnsi" w:hAnsiTheme="minorHAnsi" w:cstheme="minorHAnsi"/>
          <w:color w:val="000000"/>
          <w:sz w:val="20"/>
          <w:szCs w:val="20"/>
        </w:rPr>
      </w:pPr>
      <w:r w:rsidRPr="009B3747">
        <w:rPr>
          <w:rFonts w:asciiTheme="minorHAnsi" w:hAnsiTheme="minorHAnsi" w:cstheme="minorHAnsi"/>
          <w:color w:val="000000"/>
          <w:sz w:val="20"/>
          <w:szCs w:val="20"/>
        </w:rPr>
        <w:tab/>
      </w:r>
      <w:r w:rsidRPr="009B3747">
        <w:rPr>
          <w:rFonts w:asciiTheme="minorHAnsi" w:hAnsiTheme="minorHAnsi" w:cstheme="minorHAnsi"/>
          <w:color w:val="000000"/>
          <w:sz w:val="20"/>
          <w:szCs w:val="20"/>
        </w:rPr>
        <w:tab/>
        <w:t>9.3.1.1 T</w:t>
      </w:r>
      <w:r w:rsidR="001E7173" w:rsidRPr="009B3747">
        <w:rPr>
          <w:rFonts w:asciiTheme="minorHAnsi" w:hAnsiTheme="minorHAnsi" w:cstheme="minorHAnsi"/>
          <w:color w:val="000000"/>
          <w:sz w:val="20"/>
          <w:szCs w:val="20"/>
        </w:rPr>
        <w:t>he scale of the problem</w:t>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7E3DE9" w:rsidRPr="009B3747">
        <w:rPr>
          <w:rFonts w:asciiTheme="minorHAnsi" w:hAnsiTheme="minorHAnsi" w:cstheme="minorHAnsi"/>
          <w:color w:val="000000"/>
          <w:sz w:val="20"/>
          <w:szCs w:val="20"/>
        </w:rPr>
        <w:t>255</w:t>
      </w:r>
    </w:p>
    <w:p w:rsidR="00FA25A3" w:rsidRPr="009B3747" w:rsidRDefault="00FA25A3" w:rsidP="007C05E8">
      <w:pPr>
        <w:pStyle w:val="NormalWeb"/>
        <w:spacing w:before="0" w:beforeAutospacing="0" w:after="0" w:afterAutospacing="0"/>
        <w:rPr>
          <w:rFonts w:asciiTheme="minorHAnsi" w:hAnsiTheme="minorHAnsi" w:cstheme="minorHAnsi"/>
          <w:color w:val="000000"/>
          <w:sz w:val="20"/>
          <w:szCs w:val="20"/>
        </w:rPr>
      </w:pPr>
      <w:r w:rsidRPr="009B3747">
        <w:rPr>
          <w:rFonts w:asciiTheme="minorHAnsi" w:hAnsiTheme="minorHAnsi" w:cstheme="minorHAnsi"/>
          <w:color w:val="000000"/>
          <w:sz w:val="20"/>
          <w:szCs w:val="20"/>
        </w:rPr>
        <w:tab/>
      </w:r>
      <w:r w:rsidRPr="009B3747">
        <w:rPr>
          <w:rFonts w:asciiTheme="minorHAnsi" w:hAnsiTheme="minorHAnsi" w:cstheme="minorHAnsi"/>
          <w:color w:val="000000"/>
          <w:sz w:val="20"/>
          <w:szCs w:val="20"/>
        </w:rPr>
        <w:tab/>
        <w:t>9.3.1.2 The multi</w:t>
      </w:r>
      <w:r w:rsidR="001E7173" w:rsidRPr="009B3747">
        <w:rPr>
          <w:rFonts w:asciiTheme="minorHAnsi" w:hAnsiTheme="minorHAnsi" w:cstheme="minorHAnsi"/>
          <w:color w:val="000000"/>
          <w:sz w:val="20"/>
          <w:szCs w:val="20"/>
        </w:rPr>
        <w:t>ple spheres of influence</w:t>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Pr="009B3747">
        <w:rPr>
          <w:rFonts w:asciiTheme="minorHAnsi" w:hAnsiTheme="minorHAnsi" w:cstheme="minorHAnsi"/>
          <w:color w:val="000000"/>
          <w:sz w:val="20"/>
          <w:szCs w:val="20"/>
        </w:rPr>
        <w:t>25</w:t>
      </w:r>
      <w:r w:rsidR="007E3DE9" w:rsidRPr="009B3747">
        <w:rPr>
          <w:rFonts w:asciiTheme="minorHAnsi" w:hAnsiTheme="minorHAnsi" w:cstheme="minorHAnsi"/>
          <w:color w:val="000000"/>
          <w:sz w:val="20"/>
          <w:szCs w:val="20"/>
        </w:rPr>
        <w:t>9</w:t>
      </w:r>
    </w:p>
    <w:p w:rsidR="00FA25A3" w:rsidRPr="009B3747" w:rsidRDefault="00FA25A3" w:rsidP="007C05E8">
      <w:pPr>
        <w:pStyle w:val="NormalWeb"/>
        <w:spacing w:before="0" w:beforeAutospacing="0" w:after="0" w:afterAutospacing="0"/>
        <w:rPr>
          <w:rFonts w:asciiTheme="minorHAnsi" w:hAnsiTheme="minorHAnsi" w:cstheme="minorHAnsi"/>
          <w:color w:val="000000"/>
          <w:sz w:val="20"/>
          <w:szCs w:val="20"/>
        </w:rPr>
      </w:pPr>
      <w:r w:rsidRPr="009B3747">
        <w:rPr>
          <w:rFonts w:asciiTheme="minorHAnsi" w:hAnsiTheme="minorHAnsi" w:cstheme="minorHAnsi"/>
          <w:color w:val="000000"/>
          <w:sz w:val="20"/>
          <w:szCs w:val="20"/>
        </w:rPr>
        <w:tab/>
      </w:r>
      <w:r w:rsidRPr="009B3747">
        <w:rPr>
          <w:rFonts w:asciiTheme="minorHAnsi" w:hAnsiTheme="minorHAnsi" w:cstheme="minorHAnsi"/>
          <w:color w:val="000000"/>
          <w:sz w:val="20"/>
          <w:szCs w:val="20"/>
        </w:rPr>
        <w:tab/>
        <w:t>9.3.1.3 The d</w:t>
      </w:r>
      <w:r w:rsidR="001E7173" w:rsidRPr="009B3747">
        <w:rPr>
          <w:rFonts w:asciiTheme="minorHAnsi" w:hAnsiTheme="minorHAnsi" w:cstheme="minorHAnsi"/>
          <w:color w:val="000000"/>
          <w:sz w:val="20"/>
          <w:szCs w:val="20"/>
        </w:rPr>
        <w:t>egrees of responsibility</w:t>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7E3DE9" w:rsidRPr="009B3747">
        <w:rPr>
          <w:rFonts w:asciiTheme="minorHAnsi" w:hAnsiTheme="minorHAnsi" w:cstheme="minorHAnsi"/>
          <w:color w:val="000000"/>
          <w:sz w:val="20"/>
          <w:szCs w:val="20"/>
        </w:rPr>
        <w:t>264</w:t>
      </w:r>
    </w:p>
    <w:p w:rsidR="00FA25A3" w:rsidRPr="009B3747" w:rsidRDefault="00FA25A3" w:rsidP="007C05E8">
      <w:pPr>
        <w:pStyle w:val="NormalWeb"/>
        <w:spacing w:before="0" w:beforeAutospacing="0" w:after="0" w:afterAutospacing="0"/>
        <w:rPr>
          <w:rFonts w:asciiTheme="minorHAnsi" w:hAnsiTheme="minorHAnsi" w:cstheme="minorHAnsi"/>
          <w:color w:val="000000"/>
          <w:sz w:val="20"/>
          <w:szCs w:val="20"/>
        </w:rPr>
      </w:pPr>
      <w:r w:rsidRPr="009B3747">
        <w:rPr>
          <w:rFonts w:asciiTheme="minorHAnsi" w:hAnsiTheme="minorHAnsi" w:cstheme="minorHAnsi"/>
          <w:color w:val="000000"/>
          <w:sz w:val="20"/>
          <w:szCs w:val="20"/>
        </w:rPr>
        <w:tab/>
      </w:r>
      <w:r w:rsidRPr="009B3747">
        <w:rPr>
          <w:rFonts w:asciiTheme="minorHAnsi" w:hAnsiTheme="minorHAnsi" w:cstheme="minorHAnsi"/>
          <w:color w:val="000000"/>
          <w:sz w:val="20"/>
          <w:szCs w:val="20"/>
        </w:rPr>
        <w:tab/>
        <w:t xml:space="preserve">9.3.1.4 The </w:t>
      </w:r>
      <w:r w:rsidR="001E7173" w:rsidRPr="009B3747">
        <w:rPr>
          <w:rFonts w:asciiTheme="minorHAnsi" w:hAnsiTheme="minorHAnsi" w:cstheme="minorHAnsi"/>
          <w:color w:val="000000"/>
          <w:sz w:val="20"/>
          <w:szCs w:val="20"/>
        </w:rPr>
        <w:t>ladder of interventions</w:t>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7E3DE9" w:rsidRPr="009B3747">
        <w:rPr>
          <w:rFonts w:asciiTheme="minorHAnsi" w:hAnsiTheme="minorHAnsi" w:cstheme="minorHAnsi"/>
          <w:color w:val="000000"/>
          <w:sz w:val="20"/>
          <w:szCs w:val="20"/>
        </w:rPr>
        <w:t>267</w:t>
      </w:r>
    </w:p>
    <w:p w:rsidR="004D2FB9" w:rsidRPr="009B3747" w:rsidRDefault="00FA25A3" w:rsidP="007C05E8">
      <w:pPr>
        <w:pStyle w:val="NormalWeb"/>
        <w:spacing w:before="0" w:beforeAutospacing="0" w:after="0" w:afterAutospacing="0"/>
        <w:rPr>
          <w:rFonts w:asciiTheme="minorHAnsi" w:hAnsiTheme="minorHAnsi" w:cstheme="minorHAnsi"/>
          <w:color w:val="000000"/>
          <w:sz w:val="20"/>
          <w:szCs w:val="20"/>
        </w:rPr>
      </w:pPr>
      <w:r w:rsidRPr="009B3747">
        <w:rPr>
          <w:rFonts w:asciiTheme="minorHAnsi" w:hAnsiTheme="minorHAnsi" w:cstheme="minorHAnsi"/>
          <w:color w:val="000000"/>
          <w:sz w:val="20"/>
          <w:szCs w:val="20"/>
        </w:rPr>
        <w:tab/>
      </w:r>
      <w:r w:rsidRPr="009B3747">
        <w:rPr>
          <w:rFonts w:asciiTheme="minorHAnsi" w:hAnsiTheme="minorHAnsi" w:cstheme="minorHAnsi"/>
          <w:color w:val="000000"/>
          <w:sz w:val="20"/>
          <w:szCs w:val="20"/>
        </w:rPr>
        <w:tab/>
        <w:t xml:space="preserve">9.3.1.5 The secondary school’s </w:t>
      </w:r>
      <w:r w:rsidR="001E7173" w:rsidRPr="009B3747">
        <w:rPr>
          <w:rFonts w:asciiTheme="minorHAnsi" w:hAnsiTheme="minorHAnsi" w:cstheme="minorHAnsi"/>
          <w:color w:val="000000"/>
          <w:sz w:val="20"/>
          <w:szCs w:val="20"/>
        </w:rPr>
        <w:t>role</w:t>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7E3DE9" w:rsidRPr="009B3747">
        <w:rPr>
          <w:rFonts w:asciiTheme="minorHAnsi" w:hAnsiTheme="minorHAnsi" w:cstheme="minorHAnsi"/>
          <w:color w:val="000000"/>
          <w:sz w:val="20"/>
          <w:szCs w:val="20"/>
        </w:rPr>
        <w:t>269</w:t>
      </w:r>
      <w:r w:rsidRPr="009B3747">
        <w:rPr>
          <w:rFonts w:asciiTheme="minorHAnsi" w:hAnsiTheme="minorHAnsi" w:cstheme="minorHAnsi"/>
          <w:color w:val="000000"/>
          <w:sz w:val="20"/>
          <w:szCs w:val="20"/>
        </w:rPr>
        <w:tab/>
        <w:t>9.4</w:t>
      </w:r>
      <w:r w:rsidR="004D2FB9" w:rsidRPr="009B3747">
        <w:rPr>
          <w:rFonts w:asciiTheme="minorHAnsi" w:hAnsiTheme="minorHAnsi" w:cstheme="minorHAnsi"/>
          <w:color w:val="000000"/>
          <w:sz w:val="20"/>
          <w:szCs w:val="20"/>
        </w:rPr>
        <w:t xml:space="preserve"> Strengths and limi</w:t>
      </w:r>
      <w:r w:rsidR="001E7173" w:rsidRPr="009B3747">
        <w:rPr>
          <w:rFonts w:asciiTheme="minorHAnsi" w:hAnsiTheme="minorHAnsi" w:cstheme="minorHAnsi"/>
          <w:color w:val="000000"/>
          <w:sz w:val="20"/>
          <w:szCs w:val="20"/>
        </w:rPr>
        <w:t>tations of the study</w:t>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7E3DE9" w:rsidRPr="009B3747">
        <w:rPr>
          <w:rFonts w:asciiTheme="minorHAnsi" w:hAnsiTheme="minorHAnsi" w:cstheme="minorHAnsi"/>
          <w:color w:val="000000"/>
          <w:sz w:val="20"/>
          <w:szCs w:val="20"/>
        </w:rPr>
        <w:t>273</w:t>
      </w:r>
    </w:p>
    <w:p w:rsidR="004D2FB9" w:rsidRPr="009B3747" w:rsidRDefault="004D2FB9" w:rsidP="007C05E8">
      <w:pPr>
        <w:pStyle w:val="NormalWeb"/>
        <w:spacing w:before="0" w:beforeAutospacing="0" w:after="0" w:afterAutospacing="0"/>
        <w:rPr>
          <w:rFonts w:asciiTheme="minorHAnsi" w:hAnsiTheme="minorHAnsi" w:cstheme="minorHAnsi"/>
          <w:color w:val="000000"/>
          <w:sz w:val="20"/>
          <w:szCs w:val="20"/>
        </w:rPr>
      </w:pPr>
      <w:r w:rsidRPr="009B3747">
        <w:rPr>
          <w:rFonts w:asciiTheme="minorHAnsi" w:hAnsiTheme="minorHAnsi" w:cstheme="minorHAnsi"/>
          <w:color w:val="000000"/>
          <w:sz w:val="20"/>
          <w:szCs w:val="20"/>
        </w:rPr>
        <w:tab/>
        <w:t>9</w:t>
      </w:r>
      <w:r w:rsidR="001E7173" w:rsidRPr="009B3747">
        <w:rPr>
          <w:rFonts w:asciiTheme="minorHAnsi" w:hAnsiTheme="minorHAnsi" w:cstheme="minorHAnsi"/>
          <w:color w:val="000000"/>
          <w:sz w:val="20"/>
          <w:szCs w:val="20"/>
        </w:rPr>
        <w:t>.4.1 Strengths</w:t>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7E3DE9" w:rsidRPr="009B3747">
        <w:rPr>
          <w:rFonts w:asciiTheme="minorHAnsi" w:hAnsiTheme="minorHAnsi" w:cstheme="minorHAnsi"/>
          <w:color w:val="000000"/>
          <w:sz w:val="20"/>
          <w:szCs w:val="20"/>
        </w:rPr>
        <w:t>273</w:t>
      </w:r>
    </w:p>
    <w:p w:rsidR="004D2FB9" w:rsidRPr="009B3747" w:rsidRDefault="001E7173" w:rsidP="007C05E8">
      <w:pPr>
        <w:pStyle w:val="NormalWeb"/>
        <w:spacing w:before="0" w:beforeAutospacing="0" w:after="0" w:afterAutospacing="0"/>
        <w:rPr>
          <w:rFonts w:asciiTheme="minorHAnsi" w:hAnsiTheme="minorHAnsi" w:cstheme="minorHAnsi"/>
          <w:color w:val="000000"/>
          <w:sz w:val="20"/>
          <w:szCs w:val="20"/>
        </w:rPr>
      </w:pPr>
      <w:r w:rsidRPr="009B3747">
        <w:rPr>
          <w:rFonts w:asciiTheme="minorHAnsi" w:hAnsiTheme="minorHAnsi" w:cstheme="minorHAnsi"/>
          <w:color w:val="000000"/>
          <w:sz w:val="20"/>
          <w:szCs w:val="20"/>
        </w:rPr>
        <w:tab/>
        <w:t>9.4.2 Limitations</w:t>
      </w:r>
      <w:r w:rsidRPr="009B3747">
        <w:rPr>
          <w:rFonts w:asciiTheme="minorHAnsi" w:hAnsiTheme="minorHAnsi" w:cstheme="minorHAnsi"/>
          <w:color w:val="000000"/>
          <w:sz w:val="20"/>
          <w:szCs w:val="20"/>
        </w:rPr>
        <w:tab/>
      </w:r>
      <w:r w:rsidRPr="009B3747">
        <w:rPr>
          <w:rFonts w:asciiTheme="minorHAnsi" w:hAnsiTheme="minorHAnsi" w:cstheme="minorHAnsi"/>
          <w:color w:val="000000"/>
          <w:sz w:val="20"/>
          <w:szCs w:val="20"/>
        </w:rPr>
        <w:tab/>
      </w:r>
      <w:r w:rsidRPr="009B3747">
        <w:rPr>
          <w:rFonts w:asciiTheme="minorHAnsi" w:hAnsiTheme="minorHAnsi" w:cstheme="minorHAnsi"/>
          <w:color w:val="000000"/>
          <w:sz w:val="20"/>
          <w:szCs w:val="20"/>
        </w:rPr>
        <w:tab/>
      </w:r>
      <w:r w:rsidRPr="009B3747">
        <w:rPr>
          <w:rFonts w:asciiTheme="minorHAnsi" w:hAnsiTheme="minorHAnsi" w:cstheme="minorHAnsi"/>
          <w:color w:val="000000"/>
          <w:sz w:val="20"/>
          <w:szCs w:val="20"/>
        </w:rPr>
        <w:tab/>
      </w:r>
      <w:r w:rsidRPr="009B3747">
        <w:rPr>
          <w:rFonts w:asciiTheme="minorHAnsi" w:hAnsiTheme="minorHAnsi" w:cstheme="minorHAnsi"/>
          <w:color w:val="000000"/>
          <w:sz w:val="20"/>
          <w:szCs w:val="20"/>
        </w:rPr>
        <w:tab/>
      </w:r>
      <w:r w:rsidRPr="009B3747">
        <w:rPr>
          <w:rFonts w:asciiTheme="minorHAnsi" w:hAnsiTheme="minorHAnsi" w:cstheme="minorHAnsi"/>
          <w:color w:val="000000"/>
          <w:sz w:val="20"/>
          <w:szCs w:val="20"/>
        </w:rPr>
        <w:tab/>
      </w:r>
      <w:r w:rsidRPr="009B3747">
        <w:rPr>
          <w:rFonts w:asciiTheme="minorHAnsi" w:hAnsiTheme="minorHAnsi" w:cstheme="minorHAnsi"/>
          <w:color w:val="000000"/>
          <w:sz w:val="20"/>
          <w:szCs w:val="20"/>
        </w:rPr>
        <w:tab/>
      </w:r>
      <w:r w:rsidRPr="009B3747">
        <w:rPr>
          <w:rFonts w:asciiTheme="minorHAnsi" w:hAnsiTheme="minorHAnsi" w:cstheme="minorHAnsi"/>
          <w:color w:val="000000"/>
          <w:sz w:val="20"/>
          <w:szCs w:val="20"/>
        </w:rPr>
        <w:tab/>
      </w:r>
      <w:r w:rsidRPr="009B3747">
        <w:rPr>
          <w:rFonts w:asciiTheme="minorHAnsi" w:hAnsiTheme="minorHAnsi" w:cstheme="minorHAnsi"/>
          <w:color w:val="000000"/>
          <w:sz w:val="20"/>
          <w:szCs w:val="20"/>
        </w:rPr>
        <w:tab/>
      </w:r>
      <w:r w:rsidRPr="009B3747">
        <w:rPr>
          <w:rFonts w:asciiTheme="minorHAnsi" w:hAnsiTheme="minorHAnsi" w:cstheme="minorHAnsi"/>
          <w:color w:val="000000"/>
          <w:sz w:val="20"/>
          <w:szCs w:val="20"/>
        </w:rPr>
        <w:tab/>
      </w:r>
      <w:r w:rsidR="007E3DE9" w:rsidRPr="009B3747">
        <w:rPr>
          <w:rFonts w:asciiTheme="minorHAnsi" w:hAnsiTheme="minorHAnsi" w:cstheme="minorHAnsi"/>
          <w:color w:val="000000"/>
          <w:sz w:val="20"/>
          <w:szCs w:val="20"/>
        </w:rPr>
        <w:t>274</w:t>
      </w:r>
    </w:p>
    <w:p w:rsidR="004D2FB9" w:rsidRPr="009B3747" w:rsidRDefault="004D2FB9" w:rsidP="007C05E8">
      <w:pPr>
        <w:pStyle w:val="NormalWeb"/>
        <w:spacing w:before="0" w:beforeAutospacing="0" w:after="0" w:afterAutospacing="0"/>
        <w:rPr>
          <w:rFonts w:asciiTheme="minorHAnsi" w:hAnsiTheme="minorHAnsi" w:cstheme="minorHAnsi"/>
          <w:color w:val="000000"/>
          <w:sz w:val="20"/>
          <w:szCs w:val="20"/>
        </w:rPr>
      </w:pPr>
    </w:p>
    <w:p w:rsidR="00B04FA7" w:rsidRPr="009B3747" w:rsidRDefault="004D2FB9" w:rsidP="007C05E8">
      <w:pPr>
        <w:pStyle w:val="NormalWeb"/>
        <w:spacing w:before="0" w:beforeAutospacing="0" w:after="0" w:afterAutospacing="0"/>
        <w:rPr>
          <w:rFonts w:asciiTheme="minorHAnsi" w:hAnsiTheme="minorHAnsi" w:cstheme="minorHAnsi"/>
          <w:b/>
          <w:color w:val="000000"/>
          <w:sz w:val="22"/>
          <w:szCs w:val="22"/>
        </w:rPr>
      </w:pPr>
      <w:r w:rsidRPr="009B3747">
        <w:rPr>
          <w:rFonts w:asciiTheme="minorHAnsi" w:hAnsiTheme="minorHAnsi" w:cstheme="minorHAnsi"/>
          <w:b/>
          <w:color w:val="000000"/>
          <w:sz w:val="22"/>
          <w:szCs w:val="22"/>
        </w:rPr>
        <w:t>Chapter 1</w:t>
      </w:r>
      <w:r w:rsidR="00B748C8" w:rsidRPr="009B3747">
        <w:rPr>
          <w:rFonts w:asciiTheme="minorHAnsi" w:hAnsiTheme="minorHAnsi" w:cstheme="minorHAnsi"/>
          <w:b/>
          <w:color w:val="000000"/>
          <w:sz w:val="22"/>
          <w:szCs w:val="22"/>
        </w:rPr>
        <w:t>0 – Conclusions, recommendations and dissemination</w:t>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DA156A" w:rsidRPr="009B3747">
        <w:rPr>
          <w:rFonts w:asciiTheme="minorHAnsi" w:hAnsiTheme="minorHAnsi" w:cstheme="minorHAnsi"/>
          <w:b/>
          <w:color w:val="000000"/>
          <w:sz w:val="22"/>
          <w:szCs w:val="22"/>
        </w:rPr>
        <w:t>280</w:t>
      </w:r>
    </w:p>
    <w:p w:rsidR="00B04FA7" w:rsidRPr="009B3747" w:rsidRDefault="00B04FA7" w:rsidP="007C05E8">
      <w:pPr>
        <w:pStyle w:val="NormalWeb"/>
        <w:spacing w:before="0" w:beforeAutospacing="0" w:after="0" w:afterAutospacing="0"/>
        <w:rPr>
          <w:rFonts w:asciiTheme="minorHAnsi" w:hAnsiTheme="minorHAnsi" w:cstheme="minorHAnsi"/>
          <w:color w:val="000000"/>
          <w:sz w:val="20"/>
          <w:szCs w:val="20"/>
        </w:rPr>
      </w:pPr>
    </w:p>
    <w:p w:rsidR="00991ADC" w:rsidRPr="009B3747" w:rsidRDefault="00B748C8" w:rsidP="007C05E8">
      <w:pPr>
        <w:pStyle w:val="NormalWeb"/>
        <w:spacing w:before="0" w:beforeAutospacing="0" w:after="0" w:afterAutospacing="0"/>
        <w:rPr>
          <w:rFonts w:asciiTheme="minorHAnsi" w:hAnsiTheme="minorHAnsi" w:cstheme="minorHAnsi"/>
          <w:color w:val="000000"/>
          <w:sz w:val="20"/>
          <w:szCs w:val="20"/>
        </w:rPr>
      </w:pPr>
      <w:r w:rsidRPr="009B3747">
        <w:rPr>
          <w:rFonts w:asciiTheme="minorHAnsi" w:hAnsiTheme="minorHAnsi" w:cstheme="minorHAnsi"/>
          <w:color w:val="000000"/>
          <w:sz w:val="20"/>
          <w:szCs w:val="20"/>
        </w:rPr>
        <w:t>10.1 C</w:t>
      </w:r>
      <w:r w:rsidR="00991ADC" w:rsidRPr="009B3747">
        <w:rPr>
          <w:rFonts w:asciiTheme="minorHAnsi" w:hAnsiTheme="minorHAnsi" w:cstheme="minorHAnsi"/>
          <w:color w:val="000000"/>
          <w:sz w:val="20"/>
          <w:szCs w:val="20"/>
        </w:rPr>
        <w:t>onclusion</w:t>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DA156A" w:rsidRPr="009B3747">
        <w:rPr>
          <w:rFonts w:asciiTheme="minorHAnsi" w:hAnsiTheme="minorHAnsi" w:cstheme="minorHAnsi"/>
          <w:color w:val="000000"/>
          <w:sz w:val="20"/>
          <w:szCs w:val="20"/>
        </w:rPr>
        <w:t>280</w:t>
      </w:r>
    </w:p>
    <w:p w:rsidR="00991ADC" w:rsidRPr="009B3747" w:rsidRDefault="00991ADC" w:rsidP="007C05E8">
      <w:pPr>
        <w:pStyle w:val="NormalWeb"/>
        <w:spacing w:before="0" w:beforeAutospacing="0" w:after="0" w:afterAutospacing="0"/>
        <w:rPr>
          <w:rFonts w:asciiTheme="minorHAnsi" w:hAnsiTheme="minorHAnsi" w:cstheme="minorHAnsi"/>
          <w:color w:val="000000"/>
          <w:sz w:val="20"/>
          <w:szCs w:val="20"/>
        </w:rPr>
      </w:pPr>
      <w:r w:rsidRPr="009B3747">
        <w:rPr>
          <w:rFonts w:asciiTheme="minorHAnsi" w:hAnsiTheme="minorHAnsi" w:cstheme="minorHAnsi"/>
          <w:color w:val="000000"/>
          <w:sz w:val="20"/>
          <w:szCs w:val="20"/>
        </w:rPr>
        <w:t>10.2 Contribution of the study</w:t>
      </w:r>
      <w:r w:rsidR="0070479F" w:rsidRPr="009B3747">
        <w:rPr>
          <w:rFonts w:asciiTheme="minorHAnsi" w:hAnsiTheme="minorHAnsi" w:cstheme="minorHAnsi"/>
          <w:color w:val="000000"/>
          <w:sz w:val="20"/>
          <w:szCs w:val="20"/>
        </w:rPr>
        <w:tab/>
      </w:r>
      <w:r w:rsidR="0070479F" w:rsidRPr="009B3747">
        <w:rPr>
          <w:rFonts w:asciiTheme="minorHAnsi" w:hAnsiTheme="minorHAnsi" w:cstheme="minorHAnsi"/>
          <w:color w:val="000000"/>
          <w:sz w:val="20"/>
          <w:szCs w:val="20"/>
        </w:rPr>
        <w:tab/>
      </w:r>
      <w:r w:rsidR="0070479F" w:rsidRPr="009B3747">
        <w:rPr>
          <w:rFonts w:asciiTheme="minorHAnsi" w:hAnsiTheme="minorHAnsi" w:cstheme="minorHAnsi"/>
          <w:color w:val="000000"/>
          <w:sz w:val="20"/>
          <w:szCs w:val="20"/>
        </w:rPr>
        <w:tab/>
      </w:r>
      <w:r w:rsidR="0070479F" w:rsidRPr="009B3747">
        <w:rPr>
          <w:rFonts w:asciiTheme="minorHAnsi" w:hAnsiTheme="minorHAnsi" w:cstheme="minorHAnsi"/>
          <w:color w:val="000000"/>
          <w:sz w:val="20"/>
          <w:szCs w:val="20"/>
        </w:rPr>
        <w:tab/>
      </w:r>
      <w:r w:rsidR="0070479F" w:rsidRPr="009B3747">
        <w:rPr>
          <w:rFonts w:asciiTheme="minorHAnsi" w:hAnsiTheme="minorHAnsi" w:cstheme="minorHAnsi"/>
          <w:color w:val="000000"/>
          <w:sz w:val="20"/>
          <w:szCs w:val="20"/>
        </w:rPr>
        <w:tab/>
      </w:r>
      <w:r w:rsidR="0070479F" w:rsidRPr="009B3747">
        <w:rPr>
          <w:rFonts w:asciiTheme="minorHAnsi" w:hAnsiTheme="minorHAnsi" w:cstheme="minorHAnsi"/>
          <w:color w:val="000000"/>
          <w:sz w:val="20"/>
          <w:szCs w:val="20"/>
        </w:rPr>
        <w:tab/>
      </w:r>
      <w:r w:rsidR="0070479F" w:rsidRPr="009B3747">
        <w:rPr>
          <w:rFonts w:asciiTheme="minorHAnsi" w:hAnsiTheme="minorHAnsi" w:cstheme="minorHAnsi"/>
          <w:color w:val="000000"/>
          <w:sz w:val="20"/>
          <w:szCs w:val="20"/>
        </w:rPr>
        <w:tab/>
      </w:r>
      <w:r w:rsidR="0070479F"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DA156A" w:rsidRPr="009B3747">
        <w:rPr>
          <w:rFonts w:asciiTheme="minorHAnsi" w:hAnsiTheme="minorHAnsi" w:cstheme="minorHAnsi"/>
          <w:color w:val="000000"/>
          <w:sz w:val="20"/>
          <w:szCs w:val="20"/>
        </w:rPr>
        <w:t>282</w:t>
      </w:r>
    </w:p>
    <w:p w:rsidR="00991ADC" w:rsidRPr="009B3747" w:rsidRDefault="00387C87" w:rsidP="007C05E8">
      <w:pPr>
        <w:pStyle w:val="NormalWeb"/>
        <w:spacing w:before="0" w:beforeAutospacing="0" w:after="0" w:afterAutospacing="0"/>
        <w:rPr>
          <w:rFonts w:asciiTheme="minorHAnsi" w:hAnsiTheme="minorHAnsi" w:cstheme="minorHAnsi"/>
          <w:color w:val="000000"/>
          <w:sz w:val="20"/>
          <w:szCs w:val="20"/>
        </w:rPr>
      </w:pPr>
      <w:r w:rsidRPr="009B3747">
        <w:rPr>
          <w:rFonts w:asciiTheme="minorHAnsi" w:hAnsiTheme="minorHAnsi" w:cstheme="minorHAnsi"/>
          <w:color w:val="000000"/>
          <w:sz w:val="20"/>
          <w:szCs w:val="20"/>
        </w:rPr>
        <w:t>10.3 Recommendations for</w:t>
      </w:r>
      <w:r w:rsidR="00991ADC" w:rsidRPr="009B3747">
        <w:rPr>
          <w:rFonts w:asciiTheme="minorHAnsi" w:hAnsiTheme="minorHAnsi" w:cstheme="minorHAnsi"/>
          <w:color w:val="000000"/>
          <w:sz w:val="20"/>
          <w:szCs w:val="20"/>
        </w:rPr>
        <w:t xml:space="preserve"> </w:t>
      </w:r>
      <w:r w:rsidRPr="009B3747">
        <w:rPr>
          <w:rFonts w:asciiTheme="minorHAnsi" w:hAnsiTheme="minorHAnsi" w:cstheme="minorHAnsi"/>
          <w:color w:val="000000"/>
          <w:sz w:val="20"/>
          <w:szCs w:val="20"/>
        </w:rPr>
        <w:t xml:space="preserve">public health </w:t>
      </w:r>
      <w:r w:rsidR="00991ADC" w:rsidRPr="009B3747">
        <w:rPr>
          <w:rFonts w:asciiTheme="minorHAnsi" w:hAnsiTheme="minorHAnsi" w:cstheme="minorHAnsi"/>
          <w:color w:val="000000"/>
          <w:sz w:val="20"/>
          <w:szCs w:val="20"/>
        </w:rPr>
        <w:t>policy and practice</w:t>
      </w:r>
      <w:r w:rsidR="00FC0582" w:rsidRPr="009B3747">
        <w:rPr>
          <w:rFonts w:asciiTheme="minorHAnsi" w:hAnsiTheme="minorHAnsi" w:cstheme="minorHAnsi"/>
          <w:color w:val="000000"/>
          <w:sz w:val="20"/>
          <w:szCs w:val="20"/>
        </w:rPr>
        <w:tab/>
      </w:r>
      <w:r w:rsidR="00FC0582" w:rsidRPr="009B3747">
        <w:rPr>
          <w:rFonts w:asciiTheme="minorHAnsi" w:hAnsiTheme="minorHAnsi" w:cstheme="minorHAnsi"/>
          <w:color w:val="000000"/>
          <w:sz w:val="20"/>
          <w:szCs w:val="20"/>
        </w:rPr>
        <w:tab/>
      </w:r>
      <w:r w:rsidRPr="009B3747">
        <w:rPr>
          <w:rFonts w:asciiTheme="minorHAnsi" w:hAnsiTheme="minorHAnsi" w:cstheme="minorHAnsi"/>
          <w:color w:val="000000"/>
          <w:sz w:val="20"/>
          <w:szCs w:val="20"/>
        </w:rPr>
        <w:tab/>
      </w:r>
      <w:r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DA156A" w:rsidRPr="009B3747">
        <w:rPr>
          <w:rFonts w:asciiTheme="minorHAnsi" w:hAnsiTheme="minorHAnsi" w:cstheme="minorHAnsi"/>
          <w:color w:val="000000"/>
          <w:sz w:val="20"/>
          <w:szCs w:val="20"/>
        </w:rPr>
        <w:t>282</w:t>
      </w:r>
    </w:p>
    <w:p w:rsidR="00991ADC" w:rsidRPr="009B3747" w:rsidRDefault="00991ADC" w:rsidP="007C05E8">
      <w:pPr>
        <w:pStyle w:val="NormalWeb"/>
        <w:spacing w:before="0" w:beforeAutospacing="0" w:after="0" w:afterAutospacing="0"/>
        <w:rPr>
          <w:rFonts w:asciiTheme="minorHAnsi" w:hAnsiTheme="minorHAnsi" w:cstheme="minorHAnsi"/>
          <w:color w:val="000000"/>
          <w:sz w:val="20"/>
          <w:szCs w:val="20"/>
        </w:rPr>
      </w:pPr>
      <w:r w:rsidRPr="009B3747">
        <w:rPr>
          <w:rFonts w:asciiTheme="minorHAnsi" w:hAnsiTheme="minorHAnsi" w:cstheme="minorHAnsi"/>
          <w:color w:val="000000"/>
          <w:sz w:val="20"/>
          <w:szCs w:val="20"/>
        </w:rPr>
        <w:t xml:space="preserve">10.4 </w:t>
      </w:r>
      <w:r w:rsidR="00387C87" w:rsidRPr="009B3747">
        <w:rPr>
          <w:rFonts w:asciiTheme="minorHAnsi" w:hAnsiTheme="minorHAnsi" w:cstheme="minorHAnsi"/>
          <w:color w:val="000000"/>
          <w:sz w:val="20"/>
          <w:szCs w:val="20"/>
        </w:rPr>
        <w:t>Recommendations for</w:t>
      </w:r>
      <w:r w:rsidRPr="009B3747">
        <w:rPr>
          <w:rFonts w:asciiTheme="minorHAnsi" w:hAnsiTheme="minorHAnsi" w:cstheme="minorHAnsi"/>
          <w:color w:val="000000"/>
          <w:sz w:val="20"/>
          <w:szCs w:val="20"/>
        </w:rPr>
        <w:t xml:space="preserve"> research</w:t>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70479F" w:rsidRPr="009B3747">
        <w:rPr>
          <w:rFonts w:asciiTheme="minorHAnsi" w:hAnsiTheme="minorHAnsi" w:cstheme="minorHAnsi"/>
          <w:color w:val="000000"/>
          <w:sz w:val="20"/>
          <w:szCs w:val="20"/>
        </w:rPr>
        <w:t>28</w:t>
      </w:r>
      <w:r w:rsidR="00DA156A" w:rsidRPr="009B3747">
        <w:rPr>
          <w:rFonts w:asciiTheme="minorHAnsi" w:hAnsiTheme="minorHAnsi" w:cstheme="minorHAnsi"/>
          <w:color w:val="000000"/>
          <w:sz w:val="20"/>
          <w:szCs w:val="20"/>
        </w:rPr>
        <w:t>5</w:t>
      </w:r>
    </w:p>
    <w:p w:rsidR="00991ADC" w:rsidRPr="009B3747" w:rsidRDefault="00991ADC" w:rsidP="007C05E8">
      <w:pPr>
        <w:pStyle w:val="NormalWeb"/>
        <w:spacing w:before="0" w:beforeAutospacing="0" w:after="0" w:afterAutospacing="0"/>
        <w:rPr>
          <w:rFonts w:asciiTheme="minorHAnsi" w:hAnsiTheme="minorHAnsi" w:cstheme="minorHAnsi"/>
          <w:color w:val="000000"/>
          <w:sz w:val="20"/>
          <w:szCs w:val="20"/>
        </w:rPr>
      </w:pPr>
      <w:r w:rsidRPr="009B3747">
        <w:rPr>
          <w:rFonts w:asciiTheme="minorHAnsi" w:hAnsiTheme="minorHAnsi" w:cstheme="minorHAnsi"/>
          <w:color w:val="000000"/>
          <w:sz w:val="20"/>
          <w:szCs w:val="20"/>
        </w:rPr>
        <w:t>10.5 Dissemination</w:t>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DA156A" w:rsidRPr="009B3747">
        <w:rPr>
          <w:rFonts w:asciiTheme="minorHAnsi" w:hAnsiTheme="minorHAnsi" w:cstheme="minorHAnsi"/>
          <w:color w:val="000000"/>
          <w:sz w:val="20"/>
          <w:szCs w:val="20"/>
        </w:rPr>
        <w:t>286</w:t>
      </w:r>
    </w:p>
    <w:p w:rsidR="00703AD7" w:rsidRPr="009B3747" w:rsidRDefault="00B27D4B" w:rsidP="007C05E8">
      <w:pPr>
        <w:pStyle w:val="NormalWeb"/>
        <w:spacing w:before="0" w:beforeAutospacing="0" w:after="0" w:afterAutospacing="0"/>
        <w:rPr>
          <w:rFonts w:asciiTheme="minorHAnsi" w:hAnsiTheme="minorHAnsi" w:cstheme="minorHAnsi"/>
          <w:color w:val="000000"/>
          <w:sz w:val="20"/>
          <w:szCs w:val="20"/>
        </w:rPr>
      </w:pPr>
      <w:r w:rsidRPr="009B3747">
        <w:rPr>
          <w:rFonts w:asciiTheme="minorHAnsi" w:hAnsiTheme="minorHAnsi" w:cstheme="minorHAnsi"/>
          <w:color w:val="000000"/>
          <w:sz w:val="20"/>
          <w:szCs w:val="20"/>
        </w:rPr>
        <w:t xml:space="preserve">10.6 The </w:t>
      </w:r>
      <w:r w:rsidR="001E7173" w:rsidRPr="009B3747">
        <w:rPr>
          <w:rFonts w:asciiTheme="minorHAnsi" w:hAnsiTheme="minorHAnsi" w:cstheme="minorHAnsi"/>
          <w:color w:val="000000"/>
          <w:sz w:val="20"/>
          <w:szCs w:val="20"/>
        </w:rPr>
        <w:t>final word</w:t>
      </w:r>
      <w:r w:rsidRPr="009B3747">
        <w:rPr>
          <w:rFonts w:asciiTheme="minorHAnsi" w:hAnsiTheme="minorHAnsi" w:cstheme="minorHAnsi"/>
          <w:color w:val="000000"/>
          <w:sz w:val="20"/>
          <w:szCs w:val="20"/>
        </w:rPr>
        <w:t>?</w:t>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DA156A" w:rsidRPr="009B3747">
        <w:rPr>
          <w:rFonts w:asciiTheme="minorHAnsi" w:hAnsiTheme="minorHAnsi" w:cstheme="minorHAnsi"/>
          <w:color w:val="000000"/>
          <w:sz w:val="20"/>
          <w:szCs w:val="20"/>
        </w:rPr>
        <w:t>288</w:t>
      </w:r>
    </w:p>
    <w:p w:rsidR="00703AD7" w:rsidRPr="009B3747" w:rsidRDefault="00703AD7" w:rsidP="007C05E8">
      <w:pPr>
        <w:pStyle w:val="NormalWeb"/>
        <w:spacing w:before="0" w:beforeAutospacing="0" w:after="0" w:afterAutospacing="0"/>
        <w:rPr>
          <w:rFonts w:asciiTheme="minorHAnsi" w:hAnsiTheme="minorHAnsi" w:cstheme="minorHAnsi"/>
          <w:color w:val="000000"/>
          <w:sz w:val="20"/>
          <w:szCs w:val="20"/>
        </w:rPr>
      </w:pPr>
    </w:p>
    <w:p w:rsidR="00B04FA7" w:rsidRPr="009B3747" w:rsidRDefault="00B04FA7" w:rsidP="007C05E8">
      <w:pPr>
        <w:pStyle w:val="NormalWeb"/>
        <w:spacing w:before="0" w:beforeAutospacing="0" w:after="0" w:afterAutospacing="0"/>
        <w:rPr>
          <w:rFonts w:asciiTheme="minorHAnsi" w:hAnsiTheme="minorHAnsi" w:cstheme="minorHAnsi"/>
          <w:b/>
          <w:sz w:val="22"/>
          <w:szCs w:val="22"/>
        </w:rPr>
      </w:pPr>
      <w:r w:rsidRPr="009B3747">
        <w:rPr>
          <w:rFonts w:asciiTheme="minorHAnsi" w:hAnsiTheme="minorHAnsi" w:cstheme="minorHAnsi"/>
          <w:b/>
          <w:color w:val="000000"/>
          <w:sz w:val="22"/>
          <w:szCs w:val="22"/>
        </w:rPr>
        <w:t>References</w:t>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DA156A" w:rsidRPr="009B3747">
        <w:rPr>
          <w:rFonts w:asciiTheme="minorHAnsi" w:hAnsiTheme="minorHAnsi" w:cstheme="minorHAnsi"/>
          <w:b/>
          <w:color w:val="000000"/>
          <w:sz w:val="22"/>
          <w:szCs w:val="22"/>
        </w:rPr>
        <w:t>289</w:t>
      </w:r>
    </w:p>
    <w:p w:rsidR="00FC0582" w:rsidRPr="009B3747" w:rsidRDefault="00FC0582" w:rsidP="007C05E8">
      <w:pPr>
        <w:pStyle w:val="NormalWeb"/>
        <w:spacing w:before="0" w:beforeAutospacing="0" w:after="0" w:afterAutospacing="0"/>
        <w:rPr>
          <w:rFonts w:asciiTheme="minorHAnsi" w:hAnsiTheme="minorHAnsi" w:cstheme="minorHAnsi"/>
          <w:color w:val="000000"/>
          <w:sz w:val="22"/>
          <w:szCs w:val="22"/>
        </w:rPr>
      </w:pPr>
    </w:p>
    <w:p w:rsidR="00B04FA7" w:rsidRPr="009B3747" w:rsidRDefault="00B04FA7" w:rsidP="007C05E8">
      <w:pPr>
        <w:pStyle w:val="NormalWeb"/>
        <w:spacing w:before="0" w:beforeAutospacing="0" w:after="0" w:afterAutospacing="0"/>
        <w:rPr>
          <w:rFonts w:asciiTheme="minorHAnsi" w:hAnsiTheme="minorHAnsi" w:cstheme="minorHAnsi"/>
          <w:b/>
          <w:sz w:val="22"/>
          <w:szCs w:val="22"/>
        </w:rPr>
      </w:pPr>
      <w:r w:rsidRPr="009B3747">
        <w:rPr>
          <w:rFonts w:asciiTheme="minorHAnsi" w:hAnsiTheme="minorHAnsi" w:cstheme="minorHAnsi"/>
          <w:b/>
          <w:color w:val="000000"/>
          <w:sz w:val="22"/>
          <w:szCs w:val="22"/>
        </w:rPr>
        <w:t>Appendices</w:t>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1E7173" w:rsidRPr="009B3747">
        <w:rPr>
          <w:rFonts w:asciiTheme="minorHAnsi" w:hAnsiTheme="minorHAnsi" w:cstheme="minorHAnsi"/>
          <w:b/>
          <w:color w:val="000000"/>
          <w:sz w:val="22"/>
          <w:szCs w:val="22"/>
        </w:rPr>
        <w:tab/>
      </w:r>
      <w:r w:rsidR="0082594B" w:rsidRPr="009B3747">
        <w:rPr>
          <w:rFonts w:asciiTheme="minorHAnsi" w:hAnsiTheme="minorHAnsi" w:cstheme="minorHAnsi"/>
          <w:b/>
          <w:color w:val="000000"/>
          <w:sz w:val="22"/>
          <w:szCs w:val="22"/>
        </w:rPr>
        <w:t>318</w:t>
      </w:r>
    </w:p>
    <w:p w:rsidR="00991ADC" w:rsidRPr="009B3747" w:rsidRDefault="00991ADC" w:rsidP="007C05E8">
      <w:pPr>
        <w:pStyle w:val="NormalWeb"/>
        <w:spacing w:before="0" w:beforeAutospacing="0" w:after="0" w:afterAutospacing="0"/>
        <w:rPr>
          <w:rFonts w:asciiTheme="minorHAnsi" w:hAnsiTheme="minorHAnsi" w:cstheme="minorHAnsi"/>
          <w:sz w:val="20"/>
          <w:szCs w:val="20"/>
        </w:rPr>
      </w:pPr>
    </w:p>
    <w:p w:rsidR="00FC0582" w:rsidRPr="009B3747" w:rsidRDefault="00991ADC" w:rsidP="007C05E8">
      <w:pPr>
        <w:spacing w:line="240" w:lineRule="auto"/>
        <w:rPr>
          <w:rFonts w:eastAsia="Times New Roman" w:cstheme="minorHAnsi"/>
          <w:bCs/>
          <w:color w:val="000000"/>
          <w:sz w:val="20"/>
          <w:szCs w:val="20"/>
          <w:lang w:eastAsia="en-GB"/>
        </w:rPr>
      </w:pPr>
      <w:r w:rsidRPr="009B3747">
        <w:rPr>
          <w:rFonts w:cstheme="minorHAnsi"/>
          <w:sz w:val="20"/>
          <w:szCs w:val="20"/>
        </w:rPr>
        <w:t>Appendix A</w:t>
      </w:r>
      <w:r w:rsidR="00FC0582" w:rsidRPr="009B3747">
        <w:rPr>
          <w:rFonts w:cstheme="minorHAnsi"/>
          <w:sz w:val="20"/>
          <w:szCs w:val="20"/>
        </w:rPr>
        <w:t xml:space="preserve"> - </w:t>
      </w:r>
      <w:r w:rsidR="00FC0582" w:rsidRPr="009B3747">
        <w:rPr>
          <w:rFonts w:eastAsia="Times New Roman" w:cstheme="minorHAnsi"/>
          <w:bCs/>
          <w:color w:val="000000"/>
          <w:sz w:val="20"/>
          <w:szCs w:val="20"/>
          <w:lang w:eastAsia="en-GB"/>
        </w:rPr>
        <w:t>Review protocol (Systematic review and qualitative synthesis)</w:t>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82594B" w:rsidRPr="009B3747">
        <w:rPr>
          <w:rFonts w:eastAsia="Times New Roman" w:cstheme="minorHAnsi"/>
          <w:bCs/>
          <w:color w:val="000000"/>
          <w:sz w:val="20"/>
          <w:szCs w:val="20"/>
          <w:lang w:eastAsia="en-GB"/>
        </w:rPr>
        <w:t>318</w:t>
      </w:r>
    </w:p>
    <w:p w:rsidR="00991ADC" w:rsidRPr="009B3747" w:rsidRDefault="00991ADC" w:rsidP="007C05E8">
      <w:pPr>
        <w:spacing w:line="240" w:lineRule="auto"/>
        <w:rPr>
          <w:rFonts w:cstheme="minorHAnsi"/>
          <w:sz w:val="20"/>
          <w:szCs w:val="20"/>
        </w:rPr>
      </w:pPr>
      <w:r w:rsidRPr="009B3747">
        <w:rPr>
          <w:rFonts w:cstheme="minorHAnsi"/>
          <w:sz w:val="20"/>
          <w:szCs w:val="20"/>
        </w:rPr>
        <w:t>Appendix B</w:t>
      </w:r>
      <w:r w:rsidR="003B1826" w:rsidRPr="009B3747">
        <w:rPr>
          <w:rFonts w:cstheme="minorHAnsi"/>
          <w:sz w:val="20"/>
          <w:szCs w:val="20"/>
        </w:rPr>
        <w:t xml:space="preserve"> </w:t>
      </w:r>
      <w:r w:rsidR="00FC0582" w:rsidRPr="009B3747">
        <w:rPr>
          <w:rFonts w:cstheme="minorHAnsi"/>
          <w:sz w:val="20"/>
          <w:szCs w:val="20"/>
        </w:rPr>
        <w:t xml:space="preserve">- </w:t>
      </w:r>
      <w:r w:rsidR="00FC0582" w:rsidRPr="009B3747">
        <w:rPr>
          <w:rFonts w:eastAsia="Times New Roman" w:cstheme="minorHAnsi"/>
          <w:bCs/>
          <w:color w:val="000000"/>
          <w:sz w:val="20"/>
          <w:szCs w:val="20"/>
          <w:lang w:eastAsia="en-GB"/>
        </w:rPr>
        <w:t>Search terms derived from the developed SPICE framework (Booth, 2004)</w:t>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82594B" w:rsidRPr="009B3747">
        <w:rPr>
          <w:rFonts w:eastAsia="Times New Roman" w:cstheme="minorHAnsi"/>
          <w:bCs/>
          <w:color w:val="000000"/>
          <w:sz w:val="20"/>
          <w:szCs w:val="20"/>
          <w:lang w:eastAsia="en-GB"/>
        </w:rPr>
        <w:t>321</w:t>
      </w:r>
    </w:p>
    <w:p w:rsidR="00FC0582" w:rsidRPr="009B3747" w:rsidRDefault="00991ADC" w:rsidP="007C05E8">
      <w:pPr>
        <w:spacing w:line="240" w:lineRule="auto"/>
        <w:rPr>
          <w:rFonts w:cstheme="minorHAnsi"/>
          <w:sz w:val="20"/>
          <w:szCs w:val="20"/>
        </w:rPr>
      </w:pPr>
      <w:r w:rsidRPr="009B3747">
        <w:rPr>
          <w:rFonts w:cstheme="minorHAnsi"/>
          <w:sz w:val="20"/>
          <w:szCs w:val="20"/>
        </w:rPr>
        <w:t>Appendix C</w:t>
      </w:r>
      <w:r w:rsidR="00FC0582" w:rsidRPr="009B3747">
        <w:rPr>
          <w:rFonts w:cstheme="minorHAnsi"/>
          <w:sz w:val="20"/>
          <w:szCs w:val="20"/>
        </w:rPr>
        <w:t xml:space="preserve"> - Example of search strategy</w:t>
      </w:r>
      <w:r w:rsidR="0082594B" w:rsidRPr="009B3747">
        <w:rPr>
          <w:rFonts w:cstheme="minorHAnsi"/>
          <w:sz w:val="20"/>
          <w:szCs w:val="20"/>
        </w:rPr>
        <w:tab/>
      </w:r>
      <w:r w:rsidR="0082594B" w:rsidRPr="009B3747">
        <w:rPr>
          <w:rFonts w:cstheme="minorHAnsi"/>
          <w:sz w:val="20"/>
          <w:szCs w:val="20"/>
        </w:rPr>
        <w:tab/>
      </w:r>
      <w:r w:rsidR="0082594B" w:rsidRPr="009B3747">
        <w:rPr>
          <w:rFonts w:cstheme="minorHAnsi"/>
          <w:sz w:val="20"/>
          <w:szCs w:val="20"/>
        </w:rPr>
        <w:tab/>
      </w:r>
      <w:r w:rsidR="0082594B" w:rsidRPr="009B3747">
        <w:rPr>
          <w:rFonts w:cstheme="minorHAnsi"/>
          <w:sz w:val="20"/>
          <w:szCs w:val="20"/>
        </w:rPr>
        <w:tab/>
      </w:r>
      <w:r w:rsidR="0082594B" w:rsidRPr="009B3747">
        <w:rPr>
          <w:rFonts w:cstheme="minorHAnsi"/>
          <w:sz w:val="20"/>
          <w:szCs w:val="20"/>
        </w:rPr>
        <w:tab/>
      </w:r>
      <w:r w:rsidR="0082594B" w:rsidRPr="009B3747">
        <w:rPr>
          <w:rFonts w:cstheme="minorHAnsi"/>
          <w:sz w:val="20"/>
          <w:szCs w:val="20"/>
        </w:rPr>
        <w:tab/>
      </w:r>
      <w:r w:rsidR="0082594B" w:rsidRPr="009B3747">
        <w:rPr>
          <w:rFonts w:cstheme="minorHAnsi"/>
          <w:sz w:val="20"/>
          <w:szCs w:val="20"/>
        </w:rPr>
        <w:tab/>
      </w:r>
      <w:r w:rsidR="0082594B" w:rsidRPr="009B3747">
        <w:rPr>
          <w:rFonts w:cstheme="minorHAnsi"/>
          <w:sz w:val="20"/>
          <w:szCs w:val="20"/>
        </w:rPr>
        <w:tab/>
        <w:t>322</w:t>
      </w:r>
      <w:r w:rsidR="00FC0582" w:rsidRPr="009B3747">
        <w:rPr>
          <w:rFonts w:cstheme="minorHAnsi"/>
          <w:sz w:val="20"/>
          <w:szCs w:val="20"/>
        </w:rPr>
        <w:t xml:space="preserve"> </w:t>
      </w:r>
    </w:p>
    <w:p w:rsidR="001E7173" w:rsidRPr="009B3747" w:rsidRDefault="00991ADC" w:rsidP="007C05E8">
      <w:pPr>
        <w:spacing w:line="240" w:lineRule="auto"/>
        <w:rPr>
          <w:rFonts w:cstheme="minorHAnsi"/>
          <w:sz w:val="20"/>
          <w:szCs w:val="20"/>
        </w:rPr>
      </w:pPr>
      <w:r w:rsidRPr="009B3747">
        <w:rPr>
          <w:rFonts w:cstheme="minorHAnsi"/>
          <w:sz w:val="20"/>
          <w:szCs w:val="20"/>
        </w:rPr>
        <w:t>Appendix D</w:t>
      </w:r>
      <w:r w:rsidR="00FC0582" w:rsidRPr="009B3747">
        <w:rPr>
          <w:rFonts w:cstheme="minorHAnsi"/>
          <w:sz w:val="20"/>
          <w:szCs w:val="20"/>
        </w:rPr>
        <w:t xml:space="preserve"> - Quality assessment form (based on CASP, 2014)</w:t>
      </w:r>
      <w:r w:rsidR="0082594B" w:rsidRPr="009B3747">
        <w:rPr>
          <w:rFonts w:cstheme="minorHAnsi"/>
          <w:sz w:val="20"/>
          <w:szCs w:val="20"/>
        </w:rPr>
        <w:tab/>
      </w:r>
      <w:r w:rsidR="0082594B" w:rsidRPr="009B3747">
        <w:rPr>
          <w:rFonts w:cstheme="minorHAnsi"/>
          <w:sz w:val="20"/>
          <w:szCs w:val="20"/>
        </w:rPr>
        <w:tab/>
      </w:r>
      <w:r w:rsidR="0082594B" w:rsidRPr="009B3747">
        <w:rPr>
          <w:rFonts w:cstheme="minorHAnsi"/>
          <w:sz w:val="20"/>
          <w:szCs w:val="20"/>
        </w:rPr>
        <w:tab/>
      </w:r>
      <w:r w:rsidR="0082594B" w:rsidRPr="009B3747">
        <w:rPr>
          <w:rFonts w:cstheme="minorHAnsi"/>
          <w:sz w:val="20"/>
          <w:szCs w:val="20"/>
        </w:rPr>
        <w:tab/>
      </w:r>
      <w:r w:rsidR="0082594B" w:rsidRPr="009B3747">
        <w:rPr>
          <w:rFonts w:cstheme="minorHAnsi"/>
          <w:sz w:val="20"/>
          <w:szCs w:val="20"/>
        </w:rPr>
        <w:tab/>
      </w:r>
      <w:r w:rsidR="0082594B" w:rsidRPr="009B3747">
        <w:rPr>
          <w:rFonts w:cstheme="minorHAnsi"/>
          <w:sz w:val="20"/>
          <w:szCs w:val="20"/>
        </w:rPr>
        <w:tab/>
        <w:t>324</w:t>
      </w:r>
    </w:p>
    <w:p w:rsidR="00FC0582" w:rsidRPr="009B3747" w:rsidRDefault="00991ADC" w:rsidP="007C05E8">
      <w:pPr>
        <w:spacing w:line="240" w:lineRule="auto"/>
        <w:rPr>
          <w:rFonts w:cstheme="minorHAnsi"/>
          <w:sz w:val="20"/>
          <w:szCs w:val="20"/>
        </w:rPr>
      </w:pPr>
      <w:r w:rsidRPr="009B3747">
        <w:rPr>
          <w:rFonts w:cstheme="minorHAnsi"/>
          <w:sz w:val="20"/>
          <w:szCs w:val="20"/>
        </w:rPr>
        <w:t>Appendix E</w:t>
      </w:r>
      <w:r w:rsidR="00FC0582" w:rsidRPr="009B3747">
        <w:rPr>
          <w:rFonts w:cstheme="minorHAnsi"/>
          <w:sz w:val="20"/>
          <w:szCs w:val="20"/>
        </w:rPr>
        <w:t xml:space="preserve"> - </w:t>
      </w:r>
      <w:r w:rsidR="00FC0582" w:rsidRPr="009B3747">
        <w:rPr>
          <w:rFonts w:eastAsia="Times New Roman" w:cstheme="minorHAnsi"/>
          <w:bCs/>
          <w:color w:val="000000"/>
          <w:sz w:val="20"/>
          <w:szCs w:val="20"/>
          <w:lang w:eastAsia="en-GB"/>
        </w:rPr>
        <w:t xml:space="preserve">Data extraction form </w:t>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82594B" w:rsidRPr="009B3747">
        <w:rPr>
          <w:rFonts w:eastAsia="Times New Roman" w:cstheme="minorHAnsi"/>
          <w:bCs/>
          <w:color w:val="000000"/>
          <w:sz w:val="20"/>
          <w:szCs w:val="20"/>
          <w:lang w:eastAsia="en-GB"/>
        </w:rPr>
        <w:t>325</w:t>
      </w:r>
    </w:p>
    <w:p w:rsidR="00FC0582" w:rsidRPr="009B3747" w:rsidRDefault="00991ADC" w:rsidP="007C05E8">
      <w:pPr>
        <w:pStyle w:val="Heading7"/>
        <w:keepNext w:val="0"/>
        <w:keepLines w:val="0"/>
        <w:widowControl w:val="0"/>
        <w:spacing w:before="0" w:line="240" w:lineRule="auto"/>
        <w:rPr>
          <w:rFonts w:asciiTheme="minorHAnsi" w:hAnsiTheme="minorHAnsi" w:cstheme="minorHAnsi"/>
          <w:i w:val="0"/>
          <w:color w:val="auto"/>
          <w:sz w:val="20"/>
          <w:szCs w:val="20"/>
        </w:rPr>
      </w:pPr>
      <w:r w:rsidRPr="009B3747">
        <w:rPr>
          <w:rFonts w:asciiTheme="minorHAnsi" w:hAnsiTheme="minorHAnsi" w:cstheme="minorHAnsi"/>
          <w:i w:val="0"/>
          <w:sz w:val="20"/>
          <w:szCs w:val="20"/>
        </w:rPr>
        <w:t>Appendix F</w:t>
      </w:r>
      <w:r w:rsidR="00FC0582" w:rsidRPr="009B3747">
        <w:rPr>
          <w:rFonts w:asciiTheme="minorHAnsi" w:hAnsiTheme="minorHAnsi" w:cstheme="minorHAnsi"/>
          <w:i w:val="0"/>
          <w:sz w:val="20"/>
          <w:szCs w:val="20"/>
        </w:rPr>
        <w:t xml:space="preserve"> - </w:t>
      </w:r>
      <w:r w:rsidR="00FC0582" w:rsidRPr="009B3747">
        <w:rPr>
          <w:rFonts w:asciiTheme="minorHAnsi" w:hAnsiTheme="minorHAnsi" w:cstheme="minorHAnsi"/>
          <w:i w:val="0"/>
          <w:color w:val="auto"/>
          <w:sz w:val="20"/>
          <w:szCs w:val="20"/>
        </w:rPr>
        <w:t xml:space="preserve">Interview Schedule </w:t>
      </w:r>
      <w:r w:rsidR="001E7173" w:rsidRPr="009B3747">
        <w:rPr>
          <w:rFonts w:asciiTheme="minorHAnsi" w:hAnsiTheme="minorHAnsi" w:cstheme="minorHAnsi"/>
          <w:i w:val="0"/>
          <w:color w:val="auto"/>
          <w:sz w:val="20"/>
          <w:szCs w:val="20"/>
        </w:rPr>
        <w:tab/>
      </w:r>
      <w:r w:rsidR="001E7173" w:rsidRPr="009B3747">
        <w:rPr>
          <w:rFonts w:asciiTheme="minorHAnsi" w:hAnsiTheme="minorHAnsi" w:cstheme="minorHAnsi"/>
          <w:i w:val="0"/>
          <w:color w:val="auto"/>
          <w:sz w:val="20"/>
          <w:szCs w:val="20"/>
        </w:rPr>
        <w:tab/>
      </w:r>
      <w:r w:rsidR="001E7173" w:rsidRPr="009B3747">
        <w:rPr>
          <w:rFonts w:asciiTheme="minorHAnsi" w:hAnsiTheme="minorHAnsi" w:cstheme="minorHAnsi"/>
          <w:i w:val="0"/>
          <w:color w:val="auto"/>
          <w:sz w:val="20"/>
          <w:szCs w:val="20"/>
        </w:rPr>
        <w:tab/>
      </w:r>
      <w:r w:rsidR="001E7173" w:rsidRPr="009B3747">
        <w:rPr>
          <w:rFonts w:asciiTheme="minorHAnsi" w:hAnsiTheme="minorHAnsi" w:cstheme="minorHAnsi"/>
          <w:i w:val="0"/>
          <w:color w:val="auto"/>
          <w:sz w:val="20"/>
          <w:szCs w:val="20"/>
        </w:rPr>
        <w:tab/>
      </w:r>
      <w:r w:rsidR="001E7173" w:rsidRPr="009B3747">
        <w:rPr>
          <w:rFonts w:asciiTheme="minorHAnsi" w:hAnsiTheme="minorHAnsi" w:cstheme="minorHAnsi"/>
          <w:i w:val="0"/>
          <w:color w:val="auto"/>
          <w:sz w:val="20"/>
          <w:szCs w:val="20"/>
        </w:rPr>
        <w:tab/>
      </w:r>
      <w:r w:rsidR="001E7173" w:rsidRPr="009B3747">
        <w:rPr>
          <w:rFonts w:asciiTheme="minorHAnsi" w:hAnsiTheme="minorHAnsi" w:cstheme="minorHAnsi"/>
          <w:i w:val="0"/>
          <w:color w:val="auto"/>
          <w:sz w:val="20"/>
          <w:szCs w:val="20"/>
        </w:rPr>
        <w:tab/>
      </w:r>
      <w:r w:rsidR="001E7173" w:rsidRPr="009B3747">
        <w:rPr>
          <w:rFonts w:asciiTheme="minorHAnsi" w:hAnsiTheme="minorHAnsi" w:cstheme="minorHAnsi"/>
          <w:i w:val="0"/>
          <w:color w:val="auto"/>
          <w:sz w:val="20"/>
          <w:szCs w:val="20"/>
        </w:rPr>
        <w:tab/>
      </w:r>
      <w:r w:rsidR="001E7173" w:rsidRPr="009B3747">
        <w:rPr>
          <w:rFonts w:asciiTheme="minorHAnsi" w:hAnsiTheme="minorHAnsi" w:cstheme="minorHAnsi"/>
          <w:i w:val="0"/>
          <w:color w:val="auto"/>
          <w:sz w:val="20"/>
          <w:szCs w:val="20"/>
        </w:rPr>
        <w:tab/>
      </w:r>
      <w:r w:rsidR="001E7173" w:rsidRPr="009B3747">
        <w:rPr>
          <w:rFonts w:asciiTheme="minorHAnsi" w:hAnsiTheme="minorHAnsi" w:cstheme="minorHAnsi"/>
          <w:i w:val="0"/>
          <w:color w:val="auto"/>
          <w:sz w:val="20"/>
          <w:szCs w:val="20"/>
        </w:rPr>
        <w:tab/>
      </w:r>
      <w:r w:rsidR="0082594B" w:rsidRPr="009B3747">
        <w:rPr>
          <w:rFonts w:asciiTheme="minorHAnsi" w:hAnsiTheme="minorHAnsi" w:cstheme="minorHAnsi"/>
          <w:i w:val="0"/>
          <w:color w:val="auto"/>
          <w:sz w:val="20"/>
          <w:szCs w:val="20"/>
        </w:rPr>
        <w:t>326</w:t>
      </w:r>
    </w:p>
    <w:p w:rsidR="00FC0582" w:rsidRPr="009B3747" w:rsidRDefault="00991ADC" w:rsidP="007C05E8">
      <w:pPr>
        <w:spacing w:line="240" w:lineRule="auto"/>
        <w:rPr>
          <w:rFonts w:eastAsia="Times New Roman" w:cstheme="minorHAnsi"/>
          <w:color w:val="000000" w:themeColor="text1"/>
          <w:sz w:val="20"/>
          <w:szCs w:val="20"/>
          <w:lang w:eastAsia="en-GB"/>
        </w:rPr>
      </w:pPr>
      <w:r w:rsidRPr="009B3747">
        <w:rPr>
          <w:rFonts w:cstheme="minorHAnsi"/>
          <w:sz w:val="20"/>
          <w:szCs w:val="20"/>
        </w:rPr>
        <w:t>Appendix G</w:t>
      </w:r>
      <w:r w:rsidR="00FC0582" w:rsidRPr="009B3747">
        <w:rPr>
          <w:rFonts w:cstheme="minorHAnsi"/>
          <w:sz w:val="20"/>
          <w:szCs w:val="20"/>
        </w:rPr>
        <w:t xml:space="preserve"> - </w:t>
      </w:r>
      <w:r w:rsidR="00FC0582" w:rsidRPr="009B3747">
        <w:rPr>
          <w:rFonts w:eastAsia="Times New Roman" w:cstheme="minorHAnsi"/>
          <w:color w:val="000000" w:themeColor="text1"/>
          <w:sz w:val="20"/>
          <w:szCs w:val="20"/>
          <w:lang w:eastAsia="en-GB"/>
        </w:rPr>
        <w:t>Process of hand coding</w:t>
      </w:r>
      <w:r w:rsidR="001E7173" w:rsidRPr="009B3747">
        <w:rPr>
          <w:rFonts w:eastAsia="Times New Roman" w:cstheme="minorHAnsi"/>
          <w:color w:val="000000" w:themeColor="text1"/>
          <w:sz w:val="20"/>
          <w:szCs w:val="20"/>
          <w:lang w:eastAsia="en-GB"/>
        </w:rPr>
        <w:tab/>
      </w:r>
      <w:r w:rsidR="001E7173" w:rsidRPr="009B3747">
        <w:rPr>
          <w:rFonts w:eastAsia="Times New Roman" w:cstheme="minorHAnsi"/>
          <w:color w:val="000000" w:themeColor="text1"/>
          <w:sz w:val="20"/>
          <w:szCs w:val="20"/>
          <w:lang w:eastAsia="en-GB"/>
        </w:rPr>
        <w:tab/>
      </w:r>
      <w:r w:rsidR="001E7173" w:rsidRPr="009B3747">
        <w:rPr>
          <w:rFonts w:eastAsia="Times New Roman" w:cstheme="minorHAnsi"/>
          <w:color w:val="000000" w:themeColor="text1"/>
          <w:sz w:val="20"/>
          <w:szCs w:val="20"/>
          <w:lang w:eastAsia="en-GB"/>
        </w:rPr>
        <w:tab/>
      </w:r>
      <w:r w:rsidR="001E7173" w:rsidRPr="009B3747">
        <w:rPr>
          <w:rFonts w:eastAsia="Times New Roman" w:cstheme="minorHAnsi"/>
          <w:color w:val="000000" w:themeColor="text1"/>
          <w:sz w:val="20"/>
          <w:szCs w:val="20"/>
          <w:lang w:eastAsia="en-GB"/>
        </w:rPr>
        <w:tab/>
      </w:r>
      <w:r w:rsidR="001E7173" w:rsidRPr="009B3747">
        <w:rPr>
          <w:rFonts w:eastAsia="Times New Roman" w:cstheme="minorHAnsi"/>
          <w:color w:val="000000" w:themeColor="text1"/>
          <w:sz w:val="20"/>
          <w:szCs w:val="20"/>
          <w:lang w:eastAsia="en-GB"/>
        </w:rPr>
        <w:tab/>
      </w:r>
      <w:r w:rsidR="001E7173" w:rsidRPr="009B3747">
        <w:rPr>
          <w:rFonts w:eastAsia="Times New Roman" w:cstheme="minorHAnsi"/>
          <w:color w:val="000000" w:themeColor="text1"/>
          <w:sz w:val="20"/>
          <w:szCs w:val="20"/>
          <w:lang w:eastAsia="en-GB"/>
        </w:rPr>
        <w:tab/>
      </w:r>
      <w:r w:rsidR="001E7173" w:rsidRPr="009B3747">
        <w:rPr>
          <w:rFonts w:eastAsia="Times New Roman" w:cstheme="minorHAnsi"/>
          <w:color w:val="000000" w:themeColor="text1"/>
          <w:sz w:val="20"/>
          <w:szCs w:val="20"/>
          <w:lang w:eastAsia="en-GB"/>
        </w:rPr>
        <w:tab/>
      </w:r>
      <w:r w:rsidR="001E7173" w:rsidRPr="009B3747">
        <w:rPr>
          <w:rFonts w:eastAsia="Times New Roman" w:cstheme="minorHAnsi"/>
          <w:color w:val="000000" w:themeColor="text1"/>
          <w:sz w:val="20"/>
          <w:szCs w:val="20"/>
          <w:lang w:eastAsia="en-GB"/>
        </w:rPr>
        <w:tab/>
      </w:r>
      <w:r w:rsidR="0082594B" w:rsidRPr="009B3747">
        <w:rPr>
          <w:rFonts w:eastAsia="Times New Roman" w:cstheme="minorHAnsi"/>
          <w:color w:val="000000" w:themeColor="text1"/>
          <w:sz w:val="20"/>
          <w:szCs w:val="20"/>
          <w:lang w:eastAsia="en-GB"/>
        </w:rPr>
        <w:t>328</w:t>
      </w:r>
    </w:p>
    <w:p w:rsidR="00FC0582" w:rsidRPr="009B3747" w:rsidRDefault="003F4A2E" w:rsidP="007C05E8">
      <w:pPr>
        <w:spacing w:line="240" w:lineRule="auto"/>
        <w:rPr>
          <w:rFonts w:cstheme="minorHAnsi"/>
          <w:sz w:val="20"/>
          <w:szCs w:val="20"/>
        </w:rPr>
      </w:pPr>
      <w:r w:rsidRPr="009B3747">
        <w:rPr>
          <w:rFonts w:cstheme="minorHAnsi"/>
          <w:sz w:val="20"/>
          <w:szCs w:val="20"/>
        </w:rPr>
        <w:t>Appendix H</w:t>
      </w:r>
      <w:r w:rsidR="00FC0582" w:rsidRPr="009B3747">
        <w:rPr>
          <w:rFonts w:cstheme="minorHAnsi"/>
          <w:sz w:val="20"/>
          <w:szCs w:val="20"/>
        </w:rPr>
        <w:t xml:space="preserve"> - C</w:t>
      </w:r>
      <w:r w:rsidR="00FC0582" w:rsidRPr="009B3747">
        <w:rPr>
          <w:rFonts w:eastAsia="Times New Roman" w:cstheme="minorHAnsi"/>
          <w:color w:val="000000"/>
          <w:sz w:val="20"/>
          <w:szCs w:val="20"/>
          <w:lang w:eastAsia="en-GB"/>
        </w:rPr>
        <w:t>onfirmation of ethical approval from the ScHARR R</w:t>
      </w:r>
      <w:r w:rsidR="003B1826" w:rsidRPr="009B3747">
        <w:rPr>
          <w:rFonts w:eastAsia="Times New Roman" w:cstheme="minorHAnsi"/>
          <w:color w:val="000000"/>
          <w:sz w:val="20"/>
          <w:szCs w:val="20"/>
          <w:lang w:eastAsia="en-GB"/>
        </w:rPr>
        <w:t>esearch Ethics Comm</w:t>
      </w:r>
      <w:r w:rsidR="001E7173" w:rsidRPr="009B3747">
        <w:rPr>
          <w:rFonts w:eastAsia="Times New Roman" w:cstheme="minorHAnsi"/>
          <w:color w:val="000000"/>
          <w:sz w:val="20"/>
          <w:szCs w:val="20"/>
          <w:lang w:eastAsia="en-GB"/>
        </w:rPr>
        <w:t xml:space="preserve">ittee </w:t>
      </w:r>
      <w:r w:rsidR="001E7173" w:rsidRPr="009B3747">
        <w:rPr>
          <w:rFonts w:eastAsia="Times New Roman" w:cstheme="minorHAnsi"/>
          <w:color w:val="000000"/>
          <w:sz w:val="20"/>
          <w:szCs w:val="20"/>
          <w:lang w:eastAsia="en-GB"/>
        </w:rPr>
        <w:tab/>
      </w:r>
      <w:r w:rsidR="001E7173" w:rsidRPr="009B3747">
        <w:rPr>
          <w:rFonts w:eastAsia="Times New Roman" w:cstheme="minorHAnsi"/>
          <w:color w:val="000000"/>
          <w:sz w:val="20"/>
          <w:szCs w:val="20"/>
          <w:lang w:eastAsia="en-GB"/>
        </w:rPr>
        <w:tab/>
      </w:r>
      <w:r w:rsidR="0082594B" w:rsidRPr="009B3747">
        <w:rPr>
          <w:rFonts w:eastAsia="Times New Roman" w:cstheme="minorHAnsi"/>
          <w:color w:val="000000"/>
          <w:sz w:val="20"/>
          <w:szCs w:val="20"/>
          <w:lang w:eastAsia="en-GB"/>
        </w:rPr>
        <w:t>329</w:t>
      </w:r>
    </w:p>
    <w:p w:rsidR="00991ADC" w:rsidRPr="009B3747" w:rsidRDefault="003F4A2E" w:rsidP="007C05E8">
      <w:pPr>
        <w:pStyle w:val="NormalWeb"/>
        <w:spacing w:before="0" w:beforeAutospacing="0" w:after="0" w:afterAutospacing="0"/>
        <w:rPr>
          <w:rFonts w:asciiTheme="minorHAnsi" w:hAnsiTheme="minorHAnsi" w:cstheme="minorHAnsi"/>
          <w:sz w:val="20"/>
          <w:szCs w:val="20"/>
        </w:rPr>
      </w:pPr>
      <w:r w:rsidRPr="009B3747">
        <w:rPr>
          <w:rFonts w:asciiTheme="minorHAnsi" w:hAnsiTheme="minorHAnsi" w:cstheme="minorHAnsi"/>
          <w:sz w:val="20"/>
          <w:szCs w:val="20"/>
        </w:rPr>
        <w:t>Appendix I</w:t>
      </w:r>
      <w:r w:rsidR="00FC0582" w:rsidRPr="009B3747">
        <w:rPr>
          <w:rFonts w:asciiTheme="minorHAnsi" w:hAnsiTheme="minorHAnsi" w:cstheme="minorHAnsi"/>
          <w:sz w:val="20"/>
          <w:szCs w:val="20"/>
        </w:rPr>
        <w:t xml:space="preserve"> - </w:t>
      </w:r>
      <w:r w:rsidR="00FC0582" w:rsidRPr="009B3747">
        <w:rPr>
          <w:rFonts w:asciiTheme="minorHAnsi" w:hAnsiTheme="minorHAnsi" w:cstheme="minorHAnsi"/>
          <w:color w:val="000000" w:themeColor="text1"/>
          <w:sz w:val="20"/>
          <w:szCs w:val="20"/>
        </w:rPr>
        <w:t>Participant Information Sheet</w:t>
      </w:r>
      <w:r w:rsidR="001E7173" w:rsidRPr="009B3747">
        <w:rPr>
          <w:rFonts w:asciiTheme="minorHAnsi" w:hAnsiTheme="minorHAnsi" w:cstheme="minorHAnsi"/>
          <w:color w:val="000000" w:themeColor="text1"/>
          <w:sz w:val="20"/>
          <w:szCs w:val="20"/>
        </w:rPr>
        <w:tab/>
      </w:r>
      <w:r w:rsidR="001E7173" w:rsidRPr="009B3747">
        <w:rPr>
          <w:rFonts w:asciiTheme="minorHAnsi" w:hAnsiTheme="minorHAnsi" w:cstheme="minorHAnsi"/>
          <w:color w:val="000000" w:themeColor="text1"/>
          <w:sz w:val="20"/>
          <w:szCs w:val="20"/>
        </w:rPr>
        <w:tab/>
      </w:r>
      <w:r w:rsidR="001E7173" w:rsidRPr="009B3747">
        <w:rPr>
          <w:rFonts w:asciiTheme="minorHAnsi" w:hAnsiTheme="minorHAnsi" w:cstheme="minorHAnsi"/>
          <w:color w:val="000000" w:themeColor="text1"/>
          <w:sz w:val="20"/>
          <w:szCs w:val="20"/>
        </w:rPr>
        <w:tab/>
      </w:r>
      <w:r w:rsidR="001E7173" w:rsidRPr="009B3747">
        <w:rPr>
          <w:rFonts w:asciiTheme="minorHAnsi" w:hAnsiTheme="minorHAnsi" w:cstheme="minorHAnsi"/>
          <w:color w:val="000000" w:themeColor="text1"/>
          <w:sz w:val="20"/>
          <w:szCs w:val="20"/>
        </w:rPr>
        <w:tab/>
      </w:r>
      <w:r w:rsidR="001E7173" w:rsidRPr="009B3747">
        <w:rPr>
          <w:rFonts w:asciiTheme="minorHAnsi" w:hAnsiTheme="minorHAnsi" w:cstheme="minorHAnsi"/>
          <w:color w:val="000000" w:themeColor="text1"/>
          <w:sz w:val="20"/>
          <w:szCs w:val="20"/>
        </w:rPr>
        <w:tab/>
      </w:r>
      <w:r w:rsidR="001E7173" w:rsidRPr="009B3747">
        <w:rPr>
          <w:rFonts w:asciiTheme="minorHAnsi" w:hAnsiTheme="minorHAnsi" w:cstheme="minorHAnsi"/>
          <w:color w:val="000000" w:themeColor="text1"/>
          <w:sz w:val="20"/>
          <w:szCs w:val="20"/>
        </w:rPr>
        <w:tab/>
      </w:r>
      <w:r w:rsidR="001E7173" w:rsidRPr="009B3747">
        <w:rPr>
          <w:rFonts w:asciiTheme="minorHAnsi" w:hAnsiTheme="minorHAnsi" w:cstheme="minorHAnsi"/>
          <w:color w:val="000000" w:themeColor="text1"/>
          <w:sz w:val="20"/>
          <w:szCs w:val="20"/>
        </w:rPr>
        <w:tab/>
      </w:r>
      <w:r w:rsidR="001E7173" w:rsidRPr="009B3747">
        <w:rPr>
          <w:rFonts w:asciiTheme="minorHAnsi" w:hAnsiTheme="minorHAnsi" w:cstheme="minorHAnsi"/>
          <w:color w:val="000000" w:themeColor="text1"/>
          <w:sz w:val="20"/>
          <w:szCs w:val="20"/>
        </w:rPr>
        <w:tab/>
      </w:r>
      <w:r w:rsidR="0082594B" w:rsidRPr="009B3747">
        <w:rPr>
          <w:rFonts w:asciiTheme="minorHAnsi" w:hAnsiTheme="minorHAnsi" w:cstheme="minorHAnsi"/>
          <w:color w:val="000000" w:themeColor="text1"/>
          <w:sz w:val="20"/>
          <w:szCs w:val="20"/>
        </w:rPr>
        <w:t>330</w:t>
      </w:r>
    </w:p>
    <w:p w:rsidR="00991ADC" w:rsidRPr="009B3747" w:rsidRDefault="003F4A2E" w:rsidP="007C05E8">
      <w:pPr>
        <w:pStyle w:val="NormalWeb"/>
        <w:spacing w:before="0" w:beforeAutospacing="0" w:after="0" w:afterAutospacing="0"/>
        <w:rPr>
          <w:rFonts w:asciiTheme="minorHAnsi" w:hAnsiTheme="minorHAnsi" w:cstheme="minorHAnsi"/>
          <w:sz w:val="20"/>
          <w:szCs w:val="20"/>
        </w:rPr>
      </w:pPr>
      <w:r w:rsidRPr="009B3747">
        <w:rPr>
          <w:rFonts w:asciiTheme="minorHAnsi" w:hAnsiTheme="minorHAnsi" w:cstheme="minorHAnsi"/>
          <w:sz w:val="20"/>
          <w:szCs w:val="20"/>
        </w:rPr>
        <w:t>Appendix J</w:t>
      </w:r>
      <w:r w:rsidR="00FC0582" w:rsidRPr="009B3747">
        <w:rPr>
          <w:rFonts w:asciiTheme="minorHAnsi" w:hAnsiTheme="minorHAnsi" w:cstheme="minorHAnsi"/>
          <w:sz w:val="20"/>
          <w:szCs w:val="20"/>
        </w:rPr>
        <w:t xml:space="preserve"> - Participant Consent Form</w:t>
      </w:r>
      <w:r w:rsidR="001E7173" w:rsidRPr="009B3747">
        <w:rPr>
          <w:rFonts w:asciiTheme="minorHAnsi" w:hAnsiTheme="minorHAnsi" w:cstheme="minorHAnsi"/>
          <w:sz w:val="20"/>
          <w:szCs w:val="20"/>
        </w:rPr>
        <w:tab/>
      </w:r>
      <w:r w:rsidR="001E7173" w:rsidRPr="009B3747">
        <w:rPr>
          <w:rFonts w:asciiTheme="minorHAnsi" w:hAnsiTheme="minorHAnsi" w:cstheme="minorHAnsi"/>
          <w:sz w:val="20"/>
          <w:szCs w:val="20"/>
        </w:rPr>
        <w:tab/>
      </w:r>
      <w:r w:rsidR="001E7173" w:rsidRPr="009B3747">
        <w:rPr>
          <w:rFonts w:asciiTheme="minorHAnsi" w:hAnsiTheme="minorHAnsi" w:cstheme="minorHAnsi"/>
          <w:sz w:val="20"/>
          <w:szCs w:val="20"/>
        </w:rPr>
        <w:tab/>
      </w:r>
      <w:r w:rsidR="001E7173" w:rsidRPr="009B3747">
        <w:rPr>
          <w:rFonts w:asciiTheme="minorHAnsi" w:hAnsiTheme="minorHAnsi" w:cstheme="minorHAnsi"/>
          <w:sz w:val="20"/>
          <w:szCs w:val="20"/>
        </w:rPr>
        <w:tab/>
      </w:r>
      <w:r w:rsidR="001E7173" w:rsidRPr="009B3747">
        <w:rPr>
          <w:rFonts w:asciiTheme="minorHAnsi" w:hAnsiTheme="minorHAnsi" w:cstheme="minorHAnsi"/>
          <w:sz w:val="20"/>
          <w:szCs w:val="20"/>
        </w:rPr>
        <w:tab/>
      </w:r>
      <w:r w:rsidR="001E7173" w:rsidRPr="009B3747">
        <w:rPr>
          <w:rFonts w:asciiTheme="minorHAnsi" w:hAnsiTheme="minorHAnsi" w:cstheme="minorHAnsi"/>
          <w:sz w:val="20"/>
          <w:szCs w:val="20"/>
        </w:rPr>
        <w:tab/>
      </w:r>
      <w:r w:rsidR="001E7173" w:rsidRPr="009B3747">
        <w:rPr>
          <w:rFonts w:asciiTheme="minorHAnsi" w:hAnsiTheme="minorHAnsi" w:cstheme="minorHAnsi"/>
          <w:sz w:val="20"/>
          <w:szCs w:val="20"/>
        </w:rPr>
        <w:tab/>
      </w:r>
      <w:r w:rsidR="001E7173" w:rsidRPr="009B3747">
        <w:rPr>
          <w:rFonts w:asciiTheme="minorHAnsi" w:hAnsiTheme="minorHAnsi" w:cstheme="minorHAnsi"/>
          <w:sz w:val="20"/>
          <w:szCs w:val="20"/>
        </w:rPr>
        <w:tab/>
      </w:r>
      <w:r w:rsidR="0082594B" w:rsidRPr="009B3747">
        <w:rPr>
          <w:rFonts w:asciiTheme="minorHAnsi" w:hAnsiTheme="minorHAnsi" w:cstheme="minorHAnsi"/>
          <w:sz w:val="20"/>
          <w:szCs w:val="20"/>
        </w:rPr>
        <w:t>335</w:t>
      </w:r>
    </w:p>
    <w:p w:rsidR="00FC0582" w:rsidRPr="009B3747" w:rsidRDefault="003F4A2E" w:rsidP="007C05E8">
      <w:pPr>
        <w:spacing w:line="240" w:lineRule="auto"/>
        <w:rPr>
          <w:rFonts w:cstheme="minorHAnsi"/>
          <w:sz w:val="20"/>
          <w:szCs w:val="20"/>
        </w:rPr>
      </w:pPr>
      <w:r w:rsidRPr="009B3747">
        <w:rPr>
          <w:rFonts w:cstheme="minorHAnsi"/>
          <w:sz w:val="20"/>
          <w:szCs w:val="20"/>
        </w:rPr>
        <w:t>Appendix K</w:t>
      </w:r>
      <w:r w:rsidR="00FC0582" w:rsidRPr="009B3747">
        <w:rPr>
          <w:rFonts w:cstheme="minorHAnsi"/>
          <w:sz w:val="20"/>
          <w:szCs w:val="20"/>
        </w:rPr>
        <w:t xml:space="preserve"> - Finalised questionnaire for use in quantitative phase</w:t>
      </w:r>
      <w:r w:rsidR="001E7173" w:rsidRPr="009B3747">
        <w:rPr>
          <w:rFonts w:cstheme="minorHAnsi"/>
          <w:sz w:val="20"/>
          <w:szCs w:val="20"/>
        </w:rPr>
        <w:tab/>
      </w:r>
      <w:r w:rsidR="001E7173" w:rsidRPr="009B3747">
        <w:rPr>
          <w:rFonts w:cstheme="minorHAnsi"/>
          <w:sz w:val="20"/>
          <w:szCs w:val="20"/>
        </w:rPr>
        <w:tab/>
      </w:r>
      <w:r w:rsidR="001E7173" w:rsidRPr="009B3747">
        <w:rPr>
          <w:rFonts w:cstheme="minorHAnsi"/>
          <w:sz w:val="20"/>
          <w:szCs w:val="20"/>
        </w:rPr>
        <w:tab/>
      </w:r>
      <w:r w:rsidR="001E7173" w:rsidRPr="009B3747">
        <w:rPr>
          <w:rFonts w:cstheme="minorHAnsi"/>
          <w:sz w:val="20"/>
          <w:szCs w:val="20"/>
        </w:rPr>
        <w:tab/>
      </w:r>
      <w:r w:rsidR="001E7173" w:rsidRPr="009B3747">
        <w:rPr>
          <w:rFonts w:cstheme="minorHAnsi"/>
          <w:sz w:val="20"/>
          <w:szCs w:val="20"/>
        </w:rPr>
        <w:tab/>
      </w:r>
      <w:r w:rsidR="0082594B" w:rsidRPr="009B3747">
        <w:rPr>
          <w:rFonts w:cstheme="minorHAnsi"/>
          <w:sz w:val="20"/>
          <w:szCs w:val="20"/>
        </w:rPr>
        <w:t>337</w:t>
      </w:r>
    </w:p>
    <w:p w:rsidR="00FC0582" w:rsidRPr="009B3747" w:rsidRDefault="003F4A2E" w:rsidP="007C05E8">
      <w:pPr>
        <w:spacing w:line="240" w:lineRule="auto"/>
        <w:rPr>
          <w:rFonts w:eastAsia="Times New Roman" w:cstheme="minorHAnsi"/>
          <w:sz w:val="20"/>
          <w:szCs w:val="20"/>
          <w:lang w:eastAsia="en-GB"/>
        </w:rPr>
      </w:pPr>
      <w:r w:rsidRPr="009B3747">
        <w:rPr>
          <w:rFonts w:cstheme="minorHAnsi"/>
          <w:sz w:val="20"/>
          <w:szCs w:val="20"/>
        </w:rPr>
        <w:t>Appendix L</w:t>
      </w:r>
      <w:r w:rsidR="00FC0582" w:rsidRPr="009B3747">
        <w:rPr>
          <w:rFonts w:cstheme="minorHAnsi"/>
          <w:sz w:val="20"/>
          <w:szCs w:val="20"/>
        </w:rPr>
        <w:t xml:space="preserve"> - </w:t>
      </w:r>
      <w:r w:rsidR="00FC0582" w:rsidRPr="009B3747">
        <w:rPr>
          <w:rFonts w:eastAsia="Times New Roman" w:cstheme="minorHAnsi"/>
          <w:bCs/>
          <w:color w:val="000000"/>
          <w:sz w:val="20"/>
          <w:szCs w:val="20"/>
          <w:lang w:eastAsia="en-GB"/>
        </w:rPr>
        <w:t xml:space="preserve">Statistical test results </w:t>
      </w:r>
      <w:r w:rsidR="003B1826" w:rsidRPr="009B3747">
        <w:rPr>
          <w:rFonts w:eastAsia="Times New Roman" w:cstheme="minorHAnsi"/>
          <w:bCs/>
          <w:color w:val="000000"/>
          <w:sz w:val="20"/>
          <w:szCs w:val="20"/>
          <w:lang w:eastAsia="en-GB"/>
        </w:rPr>
        <w:tab/>
      </w:r>
      <w:r w:rsidR="003B1826" w:rsidRPr="009B3747">
        <w:rPr>
          <w:rFonts w:eastAsia="Times New Roman" w:cstheme="minorHAnsi"/>
          <w:bCs/>
          <w:color w:val="000000"/>
          <w:sz w:val="20"/>
          <w:szCs w:val="20"/>
          <w:lang w:eastAsia="en-GB"/>
        </w:rPr>
        <w:tab/>
      </w:r>
      <w:r w:rsidR="003B1826" w:rsidRPr="009B3747">
        <w:rPr>
          <w:rFonts w:eastAsia="Times New Roman" w:cstheme="minorHAnsi"/>
          <w:bCs/>
          <w:color w:val="000000"/>
          <w:sz w:val="20"/>
          <w:szCs w:val="20"/>
          <w:lang w:eastAsia="en-GB"/>
        </w:rPr>
        <w:tab/>
      </w:r>
      <w:r w:rsidR="003B1826" w:rsidRPr="009B3747">
        <w:rPr>
          <w:rFonts w:eastAsia="Times New Roman" w:cstheme="minorHAnsi"/>
          <w:bCs/>
          <w:color w:val="000000"/>
          <w:sz w:val="20"/>
          <w:szCs w:val="20"/>
          <w:lang w:eastAsia="en-GB"/>
        </w:rPr>
        <w:tab/>
      </w:r>
      <w:r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1E7173" w:rsidRPr="009B3747">
        <w:rPr>
          <w:rFonts w:eastAsia="Times New Roman" w:cstheme="minorHAnsi"/>
          <w:bCs/>
          <w:color w:val="000000"/>
          <w:sz w:val="20"/>
          <w:szCs w:val="20"/>
          <w:lang w:eastAsia="en-GB"/>
        </w:rPr>
        <w:tab/>
      </w:r>
      <w:r w:rsidR="0082594B" w:rsidRPr="009B3747">
        <w:rPr>
          <w:rFonts w:eastAsia="Times New Roman" w:cstheme="minorHAnsi"/>
          <w:bCs/>
          <w:color w:val="000000"/>
          <w:sz w:val="20"/>
          <w:szCs w:val="20"/>
          <w:lang w:eastAsia="en-GB"/>
        </w:rPr>
        <w:t>349</w:t>
      </w:r>
    </w:p>
    <w:p w:rsidR="006243F2" w:rsidRPr="009B3747" w:rsidRDefault="006243F2" w:rsidP="007C05E8">
      <w:pPr>
        <w:pStyle w:val="NormalWeb"/>
        <w:spacing w:before="0" w:beforeAutospacing="0" w:after="0" w:afterAutospacing="0"/>
        <w:rPr>
          <w:rFonts w:asciiTheme="minorHAnsi" w:hAnsiTheme="minorHAnsi" w:cstheme="minorHAnsi"/>
          <w:color w:val="000000"/>
          <w:sz w:val="20"/>
          <w:szCs w:val="20"/>
        </w:rPr>
      </w:pPr>
      <w:r w:rsidRPr="009B3747">
        <w:rPr>
          <w:rFonts w:asciiTheme="minorHAnsi" w:hAnsiTheme="minorHAnsi" w:cstheme="minorHAnsi"/>
          <w:color w:val="000000"/>
          <w:sz w:val="20"/>
          <w:szCs w:val="20"/>
        </w:rPr>
        <w:t>Appendix M - Personal reflect</w:t>
      </w:r>
      <w:r w:rsidR="001E7173" w:rsidRPr="009B3747">
        <w:rPr>
          <w:rFonts w:asciiTheme="minorHAnsi" w:hAnsiTheme="minorHAnsi" w:cstheme="minorHAnsi"/>
          <w:color w:val="000000"/>
          <w:sz w:val="20"/>
          <w:szCs w:val="20"/>
        </w:rPr>
        <w:t>ion of the study process</w:t>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1E7173" w:rsidRPr="009B3747">
        <w:rPr>
          <w:rFonts w:asciiTheme="minorHAnsi" w:hAnsiTheme="minorHAnsi" w:cstheme="minorHAnsi"/>
          <w:color w:val="000000"/>
          <w:sz w:val="20"/>
          <w:szCs w:val="20"/>
        </w:rPr>
        <w:tab/>
      </w:r>
      <w:r w:rsidR="0082594B" w:rsidRPr="009B3747">
        <w:rPr>
          <w:rFonts w:asciiTheme="minorHAnsi" w:hAnsiTheme="minorHAnsi" w:cstheme="minorHAnsi"/>
          <w:color w:val="000000"/>
          <w:sz w:val="20"/>
          <w:szCs w:val="20"/>
        </w:rPr>
        <w:t>365</w:t>
      </w:r>
    </w:p>
    <w:p w:rsidR="001E7173" w:rsidRPr="009B3747" w:rsidRDefault="001E7173" w:rsidP="007C05E8">
      <w:pPr>
        <w:pStyle w:val="NormalWeb"/>
        <w:spacing w:before="0" w:beforeAutospacing="0" w:after="0" w:afterAutospacing="0"/>
        <w:rPr>
          <w:rFonts w:asciiTheme="minorHAnsi" w:hAnsiTheme="minorHAnsi" w:cstheme="minorHAnsi"/>
          <w:sz w:val="20"/>
          <w:szCs w:val="20"/>
        </w:rPr>
      </w:pPr>
    </w:p>
    <w:p w:rsidR="00A42BA8" w:rsidRDefault="00A42BA8" w:rsidP="007C05E8">
      <w:pPr>
        <w:pStyle w:val="NormalWeb"/>
        <w:spacing w:before="0" w:beforeAutospacing="0" w:after="0" w:afterAutospacing="0"/>
        <w:rPr>
          <w:rFonts w:asciiTheme="minorHAnsi" w:hAnsiTheme="minorHAnsi" w:cstheme="minorHAnsi"/>
          <w:sz w:val="20"/>
          <w:szCs w:val="20"/>
        </w:rPr>
      </w:pPr>
    </w:p>
    <w:p w:rsidR="00515C73" w:rsidRDefault="00515C73" w:rsidP="007C05E8">
      <w:pPr>
        <w:pStyle w:val="NormalWeb"/>
        <w:spacing w:before="0" w:beforeAutospacing="0" w:after="0" w:afterAutospacing="0"/>
        <w:rPr>
          <w:rFonts w:asciiTheme="minorHAnsi" w:hAnsiTheme="minorHAnsi" w:cstheme="minorHAnsi"/>
          <w:sz w:val="20"/>
          <w:szCs w:val="20"/>
        </w:rPr>
      </w:pPr>
    </w:p>
    <w:p w:rsidR="00515C73" w:rsidRPr="009B3747" w:rsidRDefault="00515C73" w:rsidP="007C05E8">
      <w:pPr>
        <w:pStyle w:val="NormalWeb"/>
        <w:spacing w:before="0" w:beforeAutospacing="0" w:after="0" w:afterAutospacing="0"/>
        <w:rPr>
          <w:rFonts w:asciiTheme="minorHAnsi" w:hAnsiTheme="minorHAnsi" w:cstheme="minorHAnsi"/>
          <w:sz w:val="20"/>
          <w:szCs w:val="20"/>
        </w:rPr>
      </w:pPr>
    </w:p>
    <w:p w:rsidR="00A42BA8" w:rsidRPr="009B3747" w:rsidRDefault="00A42BA8" w:rsidP="007C05E8">
      <w:pPr>
        <w:pStyle w:val="NormalWeb"/>
        <w:spacing w:before="0" w:beforeAutospacing="0" w:after="0" w:afterAutospacing="0"/>
        <w:rPr>
          <w:rFonts w:asciiTheme="minorHAnsi" w:hAnsiTheme="minorHAnsi" w:cstheme="minorHAnsi"/>
          <w:sz w:val="20"/>
          <w:szCs w:val="20"/>
        </w:rPr>
      </w:pPr>
    </w:p>
    <w:p w:rsidR="004237EA" w:rsidRPr="009B3747" w:rsidRDefault="004237EA" w:rsidP="00FC0582">
      <w:pPr>
        <w:pStyle w:val="NormalWeb"/>
        <w:spacing w:before="0" w:beforeAutospacing="0" w:after="0" w:afterAutospacing="0"/>
        <w:rPr>
          <w:rFonts w:asciiTheme="minorHAnsi" w:hAnsiTheme="minorHAnsi" w:cstheme="minorHAnsi"/>
          <w:b/>
          <w:color w:val="000000"/>
          <w:sz w:val="28"/>
          <w:szCs w:val="28"/>
          <w:u w:val="single"/>
        </w:rPr>
      </w:pPr>
    </w:p>
    <w:p w:rsidR="00BA5286" w:rsidRPr="009B3747" w:rsidRDefault="00CB18A0" w:rsidP="00FC0582">
      <w:pPr>
        <w:pStyle w:val="NormalWeb"/>
        <w:spacing w:before="0" w:beforeAutospacing="0" w:after="0" w:afterAutospacing="0"/>
        <w:rPr>
          <w:rFonts w:asciiTheme="minorHAnsi" w:hAnsiTheme="minorHAnsi" w:cstheme="minorHAnsi"/>
          <w:b/>
          <w:color w:val="000000"/>
          <w:sz w:val="28"/>
          <w:szCs w:val="28"/>
          <w:u w:val="single"/>
        </w:rPr>
      </w:pPr>
      <w:r w:rsidRPr="009B3747">
        <w:rPr>
          <w:rFonts w:asciiTheme="minorHAnsi" w:hAnsiTheme="minorHAnsi" w:cstheme="minorHAnsi"/>
          <w:b/>
          <w:color w:val="000000"/>
          <w:sz w:val="28"/>
          <w:szCs w:val="28"/>
          <w:u w:val="single"/>
        </w:rPr>
        <w:lastRenderedPageBreak/>
        <w:t>Li</w:t>
      </w:r>
      <w:r w:rsidR="00BA5286" w:rsidRPr="009B3747">
        <w:rPr>
          <w:rFonts w:asciiTheme="minorHAnsi" w:hAnsiTheme="minorHAnsi" w:cstheme="minorHAnsi"/>
          <w:b/>
          <w:color w:val="000000"/>
          <w:sz w:val="28"/>
          <w:szCs w:val="28"/>
          <w:u w:val="single"/>
        </w:rPr>
        <w:t xml:space="preserve">st of tables </w:t>
      </w:r>
      <w:r w:rsidR="00B7271A" w:rsidRPr="009B3747">
        <w:rPr>
          <w:rFonts w:asciiTheme="minorHAnsi" w:hAnsiTheme="minorHAnsi" w:cstheme="minorHAnsi"/>
          <w:b/>
          <w:color w:val="000000"/>
          <w:sz w:val="28"/>
          <w:szCs w:val="28"/>
          <w:u w:val="single"/>
        </w:rPr>
        <w:t xml:space="preserve">and </w:t>
      </w:r>
      <w:r w:rsidR="00BA5286" w:rsidRPr="009B3747">
        <w:rPr>
          <w:rFonts w:asciiTheme="minorHAnsi" w:hAnsiTheme="minorHAnsi" w:cstheme="minorHAnsi"/>
          <w:b/>
          <w:color w:val="000000"/>
          <w:sz w:val="28"/>
          <w:szCs w:val="28"/>
          <w:u w:val="single"/>
        </w:rPr>
        <w:t>figures</w:t>
      </w:r>
    </w:p>
    <w:p w:rsidR="00B04FA7" w:rsidRPr="009B3747" w:rsidRDefault="00B04FA7" w:rsidP="00577A7B">
      <w:pPr>
        <w:spacing w:line="276" w:lineRule="auto"/>
        <w:rPr>
          <w:rFonts w:eastAsia="Times New Roman" w:cstheme="minorHAnsi"/>
          <w:bCs/>
          <w:iCs/>
          <w:color w:val="000000"/>
          <w:sz w:val="21"/>
          <w:szCs w:val="21"/>
          <w:u w:val="single"/>
          <w:lang w:eastAsia="en-GB"/>
        </w:rPr>
      </w:pPr>
    </w:p>
    <w:p w:rsidR="000F73E5" w:rsidRPr="009B3747" w:rsidRDefault="000F73E5" w:rsidP="00577A7B">
      <w:pPr>
        <w:spacing w:line="300" w:lineRule="auto"/>
        <w:rPr>
          <w:rFonts w:eastAsia="Times New Roman" w:cstheme="minorHAnsi"/>
          <w:b/>
          <w:bCs/>
          <w:iCs/>
          <w:color w:val="000000"/>
          <w:u w:val="single"/>
          <w:lang w:eastAsia="en-GB"/>
        </w:rPr>
      </w:pPr>
      <w:r w:rsidRPr="009B3747">
        <w:rPr>
          <w:rFonts w:eastAsia="Times New Roman" w:cstheme="minorHAnsi"/>
          <w:b/>
          <w:bCs/>
          <w:iCs/>
          <w:color w:val="000000"/>
          <w:u w:val="single"/>
          <w:lang w:eastAsia="en-GB"/>
        </w:rPr>
        <w:t>Tables</w:t>
      </w:r>
    </w:p>
    <w:p w:rsidR="00B04FA7" w:rsidRPr="009B3747" w:rsidRDefault="00B04FA7" w:rsidP="00577A7B">
      <w:pPr>
        <w:spacing w:line="300" w:lineRule="auto"/>
        <w:rPr>
          <w:rFonts w:eastAsia="Times New Roman" w:cstheme="minorHAnsi"/>
          <w:bCs/>
          <w:iCs/>
          <w:color w:val="000000"/>
          <w:sz w:val="20"/>
          <w:szCs w:val="20"/>
          <w:lang w:eastAsia="en-GB"/>
        </w:rPr>
      </w:pPr>
    </w:p>
    <w:p w:rsidR="002224C3" w:rsidRPr="009B3747" w:rsidRDefault="00846B21" w:rsidP="00577A7B">
      <w:pPr>
        <w:spacing w:line="300" w:lineRule="auto"/>
        <w:rPr>
          <w:rFonts w:eastAsia="Times New Roman" w:cstheme="minorHAnsi"/>
          <w:iCs/>
          <w:color w:val="000000"/>
          <w:sz w:val="20"/>
          <w:szCs w:val="20"/>
          <w:lang w:eastAsia="en-GB"/>
        </w:rPr>
      </w:pPr>
      <w:r w:rsidRPr="009B3747">
        <w:rPr>
          <w:rFonts w:eastAsia="Times New Roman" w:cstheme="minorHAnsi"/>
          <w:bCs/>
          <w:iCs/>
          <w:color w:val="000000"/>
          <w:sz w:val="20"/>
          <w:szCs w:val="20"/>
          <w:lang w:eastAsia="en-GB"/>
        </w:rPr>
        <w:t xml:space="preserve">Table 2.1 </w:t>
      </w:r>
      <w:r w:rsidR="005B1C28" w:rsidRPr="009B3747">
        <w:rPr>
          <w:rFonts w:eastAsia="Times New Roman" w:cstheme="minorHAnsi"/>
          <w:iCs/>
          <w:color w:val="000000"/>
          <w:sz w:val="20"/>
          <w:szCs w:val="20"/>
          <w:lang w:eastAsia="en-GB"/>
        </w:rPr>
        <w:t>–</w:t>
      </w:r>
      <w:r w:rsidR="002224C3" w:rsidRPr="009B3747">
        <w:rPr>
          <w:rFonts w:eastAsia="Times New Roman" w:cstheme="minorHAnsi"/>
          <w:iCs/>
          <w:color w:val="000000"/>
          <w:sz w:val="20"/>
          <w:szCs w:val="20"/>
          <w:lang w:eastAsia="en-GB"/>
        </w:rPr>
        <w:t xml:space="preserve"> Childhood and adolescent overweight and obesity prevalence for England in 2015/2016</w:t>
      </w:r>
    </w:p>
    <w:p w:rsidR="000F73E5" w:rsidRPr="009B3747" w:rsidRDefault="000F73E5" w:rsidP="00577A7B">
      <w:pPr>
        <w:spacing w:line="30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Table 2</w:t>
      </w:r>
      <w:r w:rsidR="005B1C28" w:rsidRPr="009B3747">
        <w:rPr>
          <w:rFonts w:eastAsia="Times New Roman" w:cstheme="minorHAnsi"/>
          <w:color w:val="000000"/>
          <w:sz w:val="20"/>
          <w:szCs w:val="20"/>
          <w:lang w:eastAsia="en-GB"/>
        </w:rPr>
        <w:t>.2 –</w:t>
      </w:r>
      <w:r w:rsidRPr="009B3747">
        <w:rPr>
          <w:rFonts w:eastAsia="Times New Roman" w:cstheme="minorHAnsi"/>
          <w:color w:val="000000"/>
          <w:sz w:val="20"/>
          <w:szCs w:val="20"/>
          <w:lang w:eastAsia="en-GB"/>
        </w:rPr>
        <w:t xml:space="preserve"> Critical opportunities in the life course to influence behaviour</w:t>
      </w:r>
    </w:p>
    <w:p w:rsidR="000F73E5" w:rsidRPr="009B3747" w:rsidRDefault="00846B21" w:rsidP="00577A7B">
      <w:pPr>
        <w:spacing w:line="300" w:lineRule="auto"/>
        <w:rPr>
          <w:rFonts w:eastAsia="Times New Roman" w:cstheme="minorHAnsi"/>
          <w:color w:val="000000"/>
          <w:sz w:val="20"/>
          <w:szCs w:val="20"/>
          <w:lang w:eastAsia="en-GB"/>
        </w:rPr>
      </w:pPr>
      <w:r w:rsidRPr="009B3747">
        <w:rPr>
          <w:rFonts w:eastAsia="Times New Roman" w:cstheme="minorHAnsi"/>
          <w:bCs/>
          <w:color w:val="000000"/>
          <w:sz w:val="20"/>
          <w:szCs w:val="20"/>
          <w:lang w:eastAsia="en-GB"/>
        </w:rPr>
        <w:t>Table 2.3</w:t>
      </w:r>
      <w:r w:rsidRPr="009B3747">
        <w:rPr>
          <w:rFonts w:eastAsia="Times New Roman" w:cstheme="minorHAnsi"/>
          <w:color w:val="000000"/>
          <w:sz w:val="20"/>
          <w:szCs w:val="20"/>
          <w:lang w:eastAsia="en-GB"/>
        </w:rPr>
        <w:t xml:space="preserve"> </w:t>
      </w:r>
      <w:r w:rsidR="005B1C28" w:rsidRPr="009B3747">
        <w:rPr>
          <w:rFonts w:eastAsia="Times New Roman" w:cstheme="minorHAnsi"/>
          <w:color w:val="000000"/>
          <w:sz w:val="20"/>
          <w:szCs w:val="20"/>
          <w:lang w:eastAsia="en-GB"/>
        </w:rPr>
        <w:t>–</w:t>
      </w:r>
      <w:r w:rsidR="000F73E5" w:rsidRPr="009B3747">
        <w:rPr>
          <w:rFonts w:eastAsia="Times New Roman" w:cstheme="minorHAnsi"/>
          <w:iCs/>
          <w:color w:val="000000"/>
          <w:sz w:val="20"/>
          <w:szCs w:val="20"/>
          <w:lang w:eastAsia="en-GB"/>
        </w:rPr>
        <w:t>Key characteristics of state funded school groups in England</w:t>
      </w:r>
    </w:p>
    <w:p w:rsidR="000F73E5" w:rsidRPr="009B3747" w:rsidRDefault="00846B21" w:rsidP="00577A7B">
      <w:pPr>
        <w:spacing w:line="30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Table 3.1</w:t>
      </w:r>
      <w:r w:rsidR="000F73E5" w:rsidRPr="009B3747">
        <w:rPr>
          <w:rFonts w:eastAsia="Times New Roman" w:cstheme="minorHAnsi"/>
          <w:color w:val="000000"/>
          <w:sz w:val="20"/>
          <w:szCs w:val="20"/>
          <w:lang w:eastAsia="en-GB"/>
        </w:rPr>
        <w:t xml:space="preserve"> </w:t>
      </w:r>
      <w:r w:rsidR="005B1C28" w:rsidRPr="009B3747">
        <w:rPr>
          <w:rFonts w:eastAsia="Times New Roman" w:cstheme="minorHAnsi"/>
          <w:color w:val="000000"/>
          <w:sz w:val="20"/>
          <w:szCs w:val="20"/>
          <w:lang w:eastAsia="en-GB"/>
        </w:rPr>
        <w:t>–</w:t>
      </w:r>
      <w:r w:rsidR="000F73E5" w:rsidRPr="009B3747">
        <w:rPr>
          <w:rFonts w:eastAsia="Times New Roman" w:cstheme="minorHAnsi"/>
          <w:color w:val="000000"/>
          <w:sz w:val="20"/>
          <w:szCs w:val="20"/>
          <w:lang w:eastAsia="en-GB"/>
        </w:rPr>
        <w:t xml:space="preserve"> SPICE framework used to define the review scope and study selection</w:t>
      </w:r>
    </w:p>
    <w:p w:rsidR="000F73E5" w:rsidRPr="009B3747" w:rsidRDefault="00846B21" w:rsidP="00577A7B">
      <w:pPr>
        <w:spacing w:line="30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Table 3.2</w:t>
      </w:r>
      <w:r w:rsidR="000F73E5" w:rsidRPr="009B3747">
        <w:rPr>
          <w:rFonts w:eastAsia="Times New Roman" w:cstheme="minorHAnsi"/>
          <w:color w:val="000000"/>
          <w:sz w:val="20"/>
          <w:szCs w:val="20"/>
          <w:lang w:eastAsia="en-GB"/>
        </w:rPr>
        <w:t xml:space="preserve"> </w:t>
      </w:r>
      <w:r w:rsidR="005B1C28" w:rsidRPr="009B3747">
        <w:rPr>
          <w:rFonts w:eastAsia="Times New Roman" w:cstheme="minorHAnsi"/>
          <w:color w:val="000000"/>
          <w:sz w:val="20"/>
          <w:szCs w:val="20"/>
          <w:lang w:eastAsia="en-GB"/>
        </w:rPr>
        <w:t>–</w:t>
      </w:r>
      <w:r w:rsidR="000F73E5" w:rsidRPr="009B3747">
        <w:rPr>
          <w:rFonts w:eastAsia="Times New Roman" w:cstheme="minorHAnsi"/>
          <w:color w:val="000000"/>
          <w:sz w:val="20"/>
          <w:szCs w:val="20"/>
          <w:lang w:eastAsia="en-GB"/>
        </w:rPr>
        <w:t xml:space="preserve"> Revised SPICE framework used to define the review scope</w:t>
      </w:r>
    </w:p>
    <w:p w:rsidR="000F73E5" w:rsidRPr="009B3747" w:rsidRDefault="00846B21" w:rsidP="00577A7B">
      <w:pPr>
        <w:spacing w:line="30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Table 3.3</w:t>
      </w:r>
      <w:r w:rsidR="000F73E5" w:rsidRPr="009B3747">
        <w:rPr>
          <w:rFonts w:eastAsia="Times New Roman" w:cstheme="minorHAnsi"/>
          <w:color w:val="000000"/>
          <w:sz w:val="20"/>
          <w:szCs w:val="20"/>
          <w:lang w:eastAsia="en-GB"/>
        </w:rPr>
        <w:t xml:space="preserve"> </w:t>
      </w:r>
      <w:r w:rsidR="005B1C28" w:rsidRPr="009B3747">
        <w:rPr>
          <w:rFonts w:eastAsia="Times New Roman" w:cstheme="minorHAnsi"/>
          <w:color w:val="000000"/>
          <w:sz w:val="20"/>
          <w:szCs w:val="20"/>
          <w:lang w:eastAsia="en-GB"/>
        </w:rPr>
        <w:t>–</w:t>
      </w:r>
      <w:r w:rsidR="000F73E5" w:rsidRPr="009B3747">
        <w:rPr>
          <w:rFonts w:eastAsia="Times New Roman" w:cstheme="minorHAnsi"/>
          <w:color w:val="000000"/>
          <w:sz w:val="20"/>
          <w:szCs w:val="20"/>
          <w:lang w:eastAsia="en-GB"/>
        </w:rPr>
        <w:t xml:space="preserve"> Inclusion and exclusion criteria for selecting studies</w:t>
      </w:r>
    </w:p>
    <w:p w:rsidR="00AD72F8" w:rsidRPr="009B3747" w:rsidRDefault="00846B21" w:rsidP="00577A7B">
      <w:pPr>
        <w:spacing w:line="30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Table 3.4</w:t>
      </w:r>
      <w:r w:rsidR="00AD72F8" w:rsidRPr="009B3747">
        <w:rPr>
          <w:rFonts w:eastAsia="Times New Roman" w:cstheme="minorHAnsi"/>
          <w:color w:val="000000"/>
          <w:sz w:val="20"/>
          <w:szCs w:val="20"/>
          <w:lang w:eastAsia="en-GB"/>
        </w:rPr>
        <w:t xml:space="preserve"> </w:t>
      </w:r>
      <w:r w:rsidR="005B1C28" w:rsidRPr="009B3747">
        <w:rPr>
          <w:rFonts w:eastAsia="Times New Roman" w:cstheme="minorHAnsi"/>
          <w:color w:val="000000"/>
          <w:sz w:val="20"/>
          <w:szCs w:val="20"/>
          <w:lang w:eastAsia="en-GB"/>
        </w:rPr>
        <w:t>–</w:t>
      </w:r>
      <w:r w:rsidR="00AD72F8" w:rsidRPr="009B3747">
        <w:rPr>
          <w:rFonts w:eastAsia="Times New Roman" w:cstheme="minorHAnsi"/>
          <w:color w:val="000000"/>
          <w:sz w:val="20"/>
          <w:szCs w:val="20"/>
          <w:lang w:eastAsia="en-GB"/>
        </w:rPr>
        <w:t xml:space="preserve"> </w:t>
      </w:r>
      <w:r w:rsidR="00FA418E" w:rsidRPr="009B3747">
        <w:rPr>
          <w:rFonts w:eastAsia="Times New Roman" w:cstheme="minorHAnsi"/>
          <w:color w:val="000000"/>
          <w:sz w:val="20"/>
          <w:szCs w:val="20"/>
          <w:lang w:eastAsia="en-GB"/>
        </w:rPr>
        <w:t>A summary of the characteristics of the six empirical peer-reviewed studies</w:t>
      </w:r>
    </w:p>
    <w:p w:rsidR="006B3384" w:rsidRPr="009B3747" w:rsidRDefault="00846B21" w:rsidP="00577A7B">
      <w:pPr>
        <w:spacing w:line="30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 xml:space="preserve">Table 3.5 </w:t>
      </w:r>
      <w:r w:rsidR="005B1C28" w:rsidRPr="009B3747">
        <w:rPr>
          <w:rFonts w:eastAsia="Times New Roman" w:cstheme="minorHAnsi"/>
          <w:color w:val="000000"/>
          <w:sz w:val="20"/>
          <w:szCs w:val="20"/>
          <w:lang w:eastAsia="en-GB"/>
        </w:rPr>
        <w:t>–</w:t>
      </w:r>
      <w:r w:rsidRPr="009B3747">
        <w:rPr>
          <w:rFonts w:eastAsia="Times New Roman" w:cstheme="minorHAnsi"/>
          <w:color w:val="000000"/>
          <w:sz w:val="20"/>
          <w:szCs w:val="20"/>
          <w:lang w:eastAsia="en-GB"/>
        </w:rPr>
        <w:t xml:space="preserve"> </w:t>
      </w:r>
      <w:r w:rsidR="006B3384" w:rsidRPr="009B3747">
        <w:rPr>
          <w:rFonts w:eastAsia="Times New Roman" w:cstheme="minorHAnsi"/>
          <w:color w:val="000000"/>
          <w:sz w:val="20"/>
          <w:szCs w:val="20"/>
          <w:lang w:eastAsia="en-GB"/>
        </w:rPr>
        <w:t>Summary of completed quality assessments on included studies</w:t>
      </w:r>
    </w:p>
    <w:p w:rsidR="00577A7B" w:rsidRPr="009B3747" w:rsidRDefault="00846B21" w:rsidP="005B1C28">
      <w:pPr>
        <w:spacing w:line="300" w:lineRule="auto"/>
        <w:ind w:left="720" w:hanging="720"/>
        <w:rPr>
          <w:rFonts w:eastAsia="Times New Roman" w:cstheme="minorHAnsi"/>
          <w:color w:val="000000"/>
          <w:sz w:val="20"/>
          <w:szCs w:val="20"/>
          <w:lang w:eastAsia="en-GB"/>
        </w:rPr>
      </w:pPr>
      <w:r w:rsidRPr="009B3747">
        <w:rPr>
          <w:rFonts w:eastAsia="Times New Roman" w:cstheme="minorHAnsi"/>
          <w:color w:val="000000"/>
          <w:sz w:val="20"/>
          <w:szCs w:val="20"/>
          <w:lang w:eastAsia="en-GB"/>
        </w:rPr>
        <w:t xml:space="preserve">Table 3.6 </w:t>
      </w:r>
      <w:r w:rsidR="005B1C28" w:rsidRPr="009B3747">
        <w:rPr>
          <w:rFonts w:eastAsia="Times New Roman" w:cstheme="minorHAnsi"/>
          <w:color w:val="000000"/>
          <w:sz w:val="20"/>
          <w:szCs w:val="20"/>
          <w:lang w:eastAsia="en-GB"/>
        </w:rPr>
        <w:t>–</w:t>
      </w:r>
      <w:r w:rsidRPr="009B3747">
        <w:rPr>
          <w:rFonts w:eastAsia="Times New Roman" w:cstheme="minorHAnsi"/>
          <w:color w:val="000000"/>
          <w:sz w:val="20"/>
          <w:szCs w:val="20"/>
          <w:lang w:eastAsia="en-GB"/>
        </w:rPr>
        <w:t xml:space="preserve"> </w:t>
      </w:r>
      <w:r w:rsidR="00577A7B" w:rsidRPr="009B3747">
        <w:rPr>
          <w:rFonts w:eastAsia="Times New Roman" w:cstheme="minorHAnsi"/>
          <w:color w:val="000000"/>
          <w:sz w:val="20"/>
          <w:szCs w:val="20"/>
          <w:lang w:eastAsia="en-GB"/>
        </w:rPr>
        <w:t>Illustrative findings related to each theme and subtheme</w:t>
      </w:r>
    </w:p>
    <w:p w:rsidR="000F73E5" w:rsidRPr="009B3747" w:rsidRDefault="00206BAB" w:rsidP="00577A7B">
      <w:pPr>
        <w:spacing w:line="30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Table 4.1</w:t>
      </w:r>
      <w:r w:rsidR="000F73E5" w:rsidRPr="009B3747">
        <w:rPr>
          <w:rFonts w:eastAsia="Times New Roman" w:cstheme="minorHAnsi"/>
          <w:color w:val="000000"/>
          <w:sz w:val="20"/>
          <w:szCs w:val="20"/>
          <w:lang w:eastAsia="en-GB"/>
        </w:rPr>
        <w:t xml:space="preserve"> </w:t>
      </w:r>
      <w:r w:rsidR="005B1C28" w:rsidRPr="009B3747">
        <w:rPr>
          <w:rFonts w:eastAsia="Times New Roman" w:cstheme="minorHAnsi"/>
          <w:color w:val="000000"/>
          <w:sz w:val="20"/>
          <w:szCs w:val="20"/>
          <w:lang w:eastAsia="en-GB"/>
        </w:rPr>
        <w:t>–</w:t>
      </w:r>
      <w:r w:rsidR="000F73E5" w:rsidRPr="009B3747">
        <w:rPr>
          <w:rFonts w:eastAsia="Times New Roman" w:cstheme="minorHAnsi"/>
          <w:color w:val="000000"/>
          <w:sz w:val="20"/>
          <w:szCs w:val="20"/>
          <w:lang w:eastAsia="en-GB"/>
        </w:rPr>
        <w:t xml:space="preserve"> </w:t>
      </w:r>
      <w:r w:rsidR="000F73E5" w:rsidRPr="009B3747">
        <w:rPr>
          <w:rFonts w:eastAsia="Times New Roman" w:cstheme="minorHAnsi"/>
          <w:sz w:val="20"/>
          <w:szCs w:val="20"/>
          <w:lang w:eastAsia="en-GB"/>
        </w:rPr>
        <w:t>Key features of qualitative and quantitative research approaches</w:t>
      </w:r>
    </w:p>
    <w:p w:rsidR="001E407C" w:rsidRPr="009B3747" w:rsidRDefault="00206BAB" w:rsidP="00577A7B">
      <w:pPr>
        <w:spacing w:line="30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Table 4.2</w:t>
      </w:r>
      <w:r w:rsidR="00846B21" w:rsidRPr="009B3747">
        <w:rPr>
          <w:rFonts w:eastAsia="Times New Roman" w:cstheme="minorHAnsi"/>
          <w:color w:val="000000"/>
          <w:sz w:val="20"/>
          <w:szCs w:val="20"/>
          <w:lang w:eastAsia="en-GB"/>
        </w:rPr>
        <w:t xml:space="preserve"> </w:t>
      </w:r>
      <w:r w:rsidR="005B1C28" w:rsidRPr="009B3747">
        <w:rPr>
          <w:rFonts w:eastAsia="Times New Roman" w:cstheme="minorHAnsi"/>
          <w:color w:val="000000"/>
          <w:sz w:val="20"/>
          <w:szCs w:val="20"/>
          <w:lang w:eastAsia="en-GB"/>
        </w:rPr>
        <w:t>–</w:t>
      </w:r>
      <w:r w:rsidR="001E407C" w:rsidRPr="009B3747">
        <w:rPr>
          <w:rFonts w:eastAsia="Times New Roman" w:cstheme="minorHAnsi"/>
          <w:color w:val="000000"/>
          <w:sz w:val="20"/>
          <w:szCs w:val="20"/>
          <w:lang w:eastAsia="en-GB"/>
        </w:rPr>
        <w:t xml:space="preserve"> Integrating the study’s qualitative and quantitative strands</w:t>
      </w:r>
    </w:p>
    <w:p w:rsidR="006F36A0" w:rsidRPr="009B3747" w:rsidRDefault="006F36A0" w:rsidP="00577A7B">
      <w:pPr>
        <w:spacing w:line="300" w:lineRule="auto"/>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 xml:space="preserve">Table </w:t>
      </w:r>
      <w:r w:rsidR="005C0E7B" w:rsidRPr="009B3747">
        <w:rPr>
          <w:rFonts w:eastAsia="Times New Roman" w:cstheme="minorHAnsi"/>
          <w:bCs/>
          <w:color w:val="000000"/>
          <w:sz w:val="20"/>
          <w:szCs w:val="20"/>
          <w:lang w:eastAsia="en-GB"/>
        </w:rPr>
        <w:t>5.1</w:t>
      </w:r>
      <w:r w:rsidRPr="009B3747">
        <w:rPr>
          <w:rFonts w:eastAsia="Times New Roman" w:cstheme="minorHAnsi"/>
          <w:bCs/>
          <w:color w:val="000000"/>
          <w:sz w:val="20"/>
          <w:szCs w:val="20"/>
          <w:lang w:eastAsia="en-GB"/>
        </w:rPr>
        <w:t xml:space="preserve"> </w:t>
      </w:r>
      <w:r w:rsidR="005B1C28" w:rsidRPr="009B3747">
        <w:rPr>
          <w:rFonts w:eastAsia="Times New Roman" w:cstheme="minorHAnsi"/>
          <w:bCs/>
          <w:color w:val="000000"/>
          <w:sz w:val="20"/>
          <w:szCs w:val="20"/>
          <w:lang w:eastAsia="en-GB"/>
        </w:rPr>
        <w:t>–</w:t>
      </w:r>
      <w:r w:rsidRPr="009B3747">
        <w:rPr>
          <w:rFonts w:eastAsia="Times New Roman" w:cstheme="minorHAnsi"/>
          <w:bCs/>
          <w:color w:val="000000"/>
          <w:sz w:val="20"/>
          <w:szCs w:val="20"/>
          <w:lang w:eastAsia="en-GB"/>
        </w:rPr>
        <w:t xml:space="preserve"> Ethical Principles and how these were addressed in qualitative phase of study</w:t>
      </w:r>
    </w:p>
    <w:p w:rsidR="006F36A0" w:rsidRPr="009B3747" w:rsidRDefault="005C0E7B" w:rsidP="00577A7B">
      <w:pPr>
        <w:spacing w:line="300" w:lineRule="auto"/>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 xml:space="preserve">Table 6.1 </w:t>
      </w:r>
      <w:r w:rsidR="005B1C28" w:rsidRPr="009B3747">
        <w:rPr>
          <w:rFonts w:eastAsia="Times New Roman" w:cstheme="minorHAnsi"/>
          <w:bCs/>
          <w:color w:val="000000"/>
          <w:sz w:val="20"/>
          <w:szCs w:val="20"/>
          <w:lang w:eastAsia="en-GB"/>
        </w:rPr>
        <w:t>–</w:t>
      </w:r>
      <w:r w:rsidR="006F36A0" w:rsidRPr="009B3747">
        <w:rPr>
          <w:rFonts w:eastAsia="Times New Roman" w:cstheme="minorHAnsi"/>
          <w:bCs/>
          <w:color w:val="000000"/>
          <w:sz w:val="20"/>
          <w:szCs w:val="20"/>
          <w:lang w:eastAsia="en-GB"/>
        </w:rPr>
        <w:t xml:space="preserve"> Overview of participants</w:t>
      </w:r>
      <w:r w:rsidR="00991D2F" w:rsidRPr="009B3747">
        <w:rPr>
          <w:rFonts w:eastAsia="Times New Roman" w:cstheme="minorHAnsi"/>
          <w:bCs/>
          <w:color w:val="000000"/>
          <w:sz w:val="20"/>
          <w:szCs w:val="20"/>
          <w:lang w:eastAsia="en-GB"/>
        </w:rPr>
        <w:t xml:space="preserve"> (qualitative phase)</w:t>
      </w:r>
    </w:p>
    <w:p w:rsidR="00991D2F" w:rsidRPr="009B3747" w:rsidRDefault="005C0E7B" w:rsidP="00577A7B">
      <w:pPr>
        <w:spacing w:line="300" w:lineRule="auto"/>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Table 6.2</w:t>
      </w:r>
      <w:r w:rsidR="00991D2F" w:rsidRPr="009B3747">
        <w:rPr>
          <w:rFonts w:eastAsia="Times New Roman" w:cstheme="minorHAnsi"/>
          <w:bCs/>
          <w:color w:val="000000"/>
          <w:sz w:val="20"/>
          <w:szCs w:val="20"/>
          <w:lang w:eastAsia="en-GB"/>
        </w:rPr>
        <w:t xml:space="preserve"> </w:t>
      </w:r>
      <w:r w:rsidR="005B1C28" w:rsidRPr="009B3747">
        <w:rPr>
          <w:rFonts w:eastAsia="Times New Roman" w:cstheme="minorHAnsi"/>
          <w:bCs/>
          <w:color w:val="000000"/>
          <w:sz w:val="20"/>
          <w:szCs w:val="20"/>
          <w:lang w:eastAsia="en-GB"/>
        </w:rPr>
        <w:t>–</w:t>
      </w:r>
      <w:r w:rsidR="00991D2F" w:rsidRPr="009B3747">
        <w:rPr>
          <w:rFonts w:eastAsia="Times New Roman" w:cstheme="minorHAnsi"/>
          <w:bCs/>
          <w:color w:val="000000"/>
          <w:sz w:val="20"/>
          <w:szCs w:val="20"/>
          <w:lang w:eastAsia="en-GB"/>
        </w:rPr>
        <w:t xml:space="preserve"> Individual participant characteristics (qualitative phase)</w:t>
      </w:r>
    </w:p>
    <w:p w:rsidR="00827CCD" w:rsidRPr="009B3747" w:rsidRDefault="005C0E7B" w:rsidP="00577A7B">
      <w:pPr>
        <w:spacing w:line="30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Table 7.1</w:t>
      </w:r>
      <w:r w:rsidR="00827CCD" w:rsidRPr="009B3747">
        <w:rPr>
          <w:rFonts w:eastAsia="Times New Roman" w:cstheme="minorHAnsi"/>
          <w:color w:val="000000"/>
          <w:sz w:val="20"/>
          <w:szCs w:val="20"/>
          <w:lang w:eastAsia="en-GB"/>
        </w:rPr>
        <w:t xml:space="preserve"> </w:t>
      </w:r>
      <w:r w:rsidR="005B1C28" w:rsidRPr="009B3747">
        <w:rPr>
          <w:rFonts w:eastAsia="Times New Roman" w:cstheme="minorHAnsi"/>
          <w:color w:val="000000"/>
          <w:sz w:val="20"/>
          <w:szCs w:val="20"/>
          <w:lang w:eastAsia="en-GB"/>
        </w:rPr>
        <w:t>–</w:t>
      </w:r>
      <w:r w:rsidR="00827CCD" w:rsidRPr="009B3747">
        <w:rPr>
          <w:rFonts w:eastAsia="Times New Roman" w:cstheme="minorHAnsi"/>
          <w:color w:val="000000"/>
          <w:sz w:val="20"/>
          <w:szCs w:val="20"/>
          <w:lang w:eastAsia="en-GB"/>
        </w:rPr>
        <w:t xml:space="preserve"> Transforming themes and sub-themes to opinion statements</w:t>
      </w:r>
    </w:p>
    <w:p w:rsidR="00827CCD" w:rsidRPr="009B3747" w:rsidRDefault="005C0E7B" w:rsidP="00577A7B">
      <w:pPr>
        <w:spacing w:line="300" w:lineRule="auto"/>
        <w:rPr>
          <w:rFonts w:eastAsia="Times New Roman" w:cstheme="minorHAnsi"/>
          <w:bCs/>
          <w:color w:val="000000"/>
          <w:sz w:val="20"/>
          <w:szCs w:val="20"/>
          <w:lang w:eastAsia="en-GB"/>
        </w:rPr>
      </w:pPr>
      <w:r w:rsidRPr="009B3747">
        <w:rPr>
          <w:rFonts w:eastAsia="Times New Roman" w:cstheme="minorHAnsi"/>
          <w:bCs/>
          <w:color w:val="000000"/>
          <w:sz w:val="20"/>
          <w:szCs w:val="20"/>
          <w:lang w:eastAsia="en-GB"/>
        </w:rPr>
        <w:t>Table 7.2</w:t>
      </w:r>
      <w:r w:rsidR="00827CCD" w:rsidRPr="009B3747">
        <w:rPr>
          <w:rFonts w:eastAsia="Times New Roman" w:cstheme="minorHAnsi"/>
          <w:bCs/>
          <w:color w:val="000000"/>
          <w:sz w:val="20"/>
          <w:szCs w:val="20"/>
          <w:lang w:eastAsia="en-GB"/>
        </w:rPr>
        <w:t xml:space="preserve"> </w:t>
      </w:r>
      <w:r w:rsidR="005B1C28" w:rsidRPr="009B3747">
        <w:rPr>
          <w:rFonts w:eastAsia="Times New Roman" w:cstheme="minorHAnsi"/>
          <w:bCs/>
          <w:color w:val="000000"/>
          <w:sz w:val="20"/>
          <w:szCs w:val="20"/>
          <w:lang w:eastAsia="en-GB"/>
        </w:rPr>
        <w:t>–</w:t>
      </w:r>
      <w:r w:rsidR="00827CCD" w:rsidRPr="009B3747">
        <w:rPr>
          <w:rFonts w:eastAsia="Times New Roman" w:cstheme="minorHAnsi"/>
          <w:bCs/>
          <w:color w:val="000000"/>
          <w:sz w:val="20"/>
          <w:szCs w:val="20"/>
          <w:lang w:eastAsia="en-GB"/>
        </w:rPr>
        <w:t xml:space="preserve"> Ethical Principles and how these were addressed in quantitative phase of the study</w:t>
      </w:r>
    </w:p>
    <w:p w:rsidR="00ED1954" w:rsidRPr="009B3747" w:rsidRDefault="005C0E7B" w:rsidP="00577A7B">
      <w:pPr>
        <w:spacing w:line="300" w:lineRule="auto"/>
        <w:rPr>
          <w:rFonts w:eastAsia="Times New Roman" w:cstheme="minorHAnsi"/>
          <w:iCs/>
          <w:color w:val="000000"/>
          <w:sz w:val="20"/>
          <w:szCs w:val="20"/>
          <w:lang w:eastAsia="en-GB"/>
        </w:rPr>
      </w:pPr>
      <w:r w:rsidRPr="009B3747">
        <w:rPr>
          <w:rFonts w:eastAsia="Times New Roman" w:cstheme="minorHAnsi"/>
          <w:iCs/>
          <w:color w:val="000000"/>
          <w:sz w:val="20"/>
          <w:szCs w:val="20"/>
          <w:lang w:eastAsia="en-GB"/>
        </w:rPr>
        <w:t>Table 8.1</w:t>
      </w:r>
      <w:r w:rsidR="00ED1954" w:rsidRPr="009B3747">
        <w:rPr>
          <w:rFonts w:eastAsia="Times New Roman" w:cstheme="minorHAnsi"/>
          <w:iCs/>
          <w:color w:val="000000"/>
          <w:sz w:val="20"/>
          <w:szCs w:val="20"/>
          <w:lang w:eastAsia="en-GB"/>
        </w:rPr>
        <w:t xml:space="preserve"> </w:t>
      </w:r>
      <w:r w:rsidR="005B1C28" w:rsidRPr="009B3747">
        <w:rPr>
          <w:rFonts w:eastAsia="Times New Roman" w:cstheme="minorHAnsi"/>
          <w:iCs/>
          <w:color w:val="000000"/>
          <w:sz w:val="20"/>
          <w:szCs w:val="20"/>
          <w:lang w:eastAsia="en-GB"/>
        </w:rPr>
        <w:t>–</w:t>
      </w:r>
      <w:r w:rsidR="00ED1954" w:rsidRPr="009B3747">
        <w:rPr>
          <w:rFonts w:eastAsia="Times New Roman" w:cstheme="minorHAnsi"/>
          <w:iCs/>
          <w:color w:val="000000"/>
          <w:sz w:val="20"/>
          <w:szCs w:val="20"/>
          <w:lang w:eastAsia="en-GB"/>
        </w:rPr>
        <w:t xml:space="preserve"> Participants demographics of final sample </w:t>
      </w:r>
    </w:p>
    <w:p w:rsidR="006B3384" w:rsidRPr="009B3747" w:rsidRDefault="005C0E7B" w:rsidP="00577A7B">
      <w:pPr>
        <w:spacing w:line="30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Table 8.2</w:t>
      </w:r>
      <w:r w:rsidR="006B3384" w:rsidRPr="009B3747">
        <w:rPr>
          <w:rFonts w:eastAsia="Times New Roman" w:cstheme="minorHAnsi"/>
          <w:color w:val="000000"/>
          <w:sz w:val="20"/>
          <w:szCs w:val="20"/>
          <w:lang w:eastAsia="en-GB"/>
        </w:rPr>
        <w:t xml:space="preserve"> </w:t>
      </w:r>
      <w:r w:rsidR="005B1C28" w:rsidRPr="009B3747">
        <w:rPr>
          <w:rFonts w:eastAsia="Times New Roman" w:cstheme="minorHAnsi"/>
          <w:color w:val="000000"/>
          <w:sz w:val="20"/>
          <w:szCs w:val="20"/>
          <w:lang w:eastAsia="en-GB"/>
        </w:rPr>
        <w:t>–</w:t>
      </w:r>
      <w:r w:rsidR="006B3384" w:rsidRPr="009B3747">
        <w:rPr>
          <w:rFonts w:eastAsia="Times New Roman" w:cstheme="minorHAnsi"/>
          <w:color w:val="000000"/>
          <w:sz w:val="20"/>
          <w:szCs w:val="20"/>
          <w:lang w:eastAsia="en-GB"/>
        </w:rPr>
        <w:t xml:space="preserve"> School demographics represented by participants </w:t>
      </w:r>
    </w:p>
    <w:p w:rsidR="009228D2" w:rsidRPr="009B3747" w:rsidRDefault="005C0E7B" w:rsidP="00577A7B">
      <w:pPr>
        <w:spacing w:line="300" w:lineRule="auto"/>
        <w:rPr>
          <w:rFonts w:eastAsia="Times New Roman" w:cstheme="minorHAnsi"/>
          <w:sz w:val="20"/>
          <w:szCs w:val="20"/>
          <w:lang w:eastAsia="en-GB"/>
        </w:rPr>
      </w:pPr>
      <w:r w:rsidRPr="009B3747">
        <w:rPr>
          <w:rFonts w:eastAsia="Times New Roman" w:cstheme="minorHAnsi"/>
          <w:sz w:val="20"/>
          <w:szCs w:val="20"/>
          <w:lang w:eastAsia="en-GB"/>
        </w:rPr>
        <w:t>Table 8.3</w:t>
      </w:r>
      <w:r w:rsidR="00846B21" w:rsidRPr="009B3747">
        <w:rPr>
          <w:rFonts w:eastAsia="Times New Roman" w:cstheme="minorHAnsi"/>
          <w:sz w:val="20"/>
          <w:szCs w:val="20"/>
          <w:lang w:eastAsia="en-GB"/>
        </w:rPr>
        <w:t> </w:t>
      </w:r>
      <w:r w:rsidR="005B1C28" w:rsidRPr="009B3747">
        <w:rPr>
          <w:rFonts w:eastAsia="Times New Roman" w:cstheme="minorHAnsi"/>
          <w:sz w:val="20"/>
          <w:szCs w:val="20"/>
          <w:lang w:eastAsia="en-GB"/>
        </w:rPr>
        <w:t>–</w:t>
      </w:r>
      <w:r w:rsidR="009228D2" w:rsidRPr="009B3747">
        <w:rPr>
          <w:rFonts w:eastAsia="Times New Roman" w:cstheme="minorHAnsi"/>
          <w:sz w:val="20"/>
          <w:szCs w:val="20"/>
          <w:lang w:eastAsia="en-GB"/>
        </w:rPr>
        <w:t xml:space="preserve"> Responses to open question regarding ‘other approaches’</w:t>
      </w:r>
    </w:p>
    <w:p w:rsidR="00BB6E36" w:rsidRPr="009B3747" w:rsidRDefault="005C0E7B" w:rsidP="00577A7B">
      <w:pPr>
        <w:spacing w:line="300" w:lineRule="auto"/>
        <w:rPr>
          <w:rFonts w:eastAsia="Times New Roman" w:cstheme="minorHAnsi"/>
          <w:sz w:val="20"/>
          <w:szCs w:val="20"/>
          <w:lang w:eastAsia="en-GB"/>
        </w:rPr>
      </w:pPr>
      <w:r w:rsidRPr="009B3747">
        <w:rPr>
          <w:rFonts w:eastAsia="Times New Roman" w:cstheme="minorHAnsi"/>
          <w:sz w:val="20"/>
          <w:szCs w:val="20"/>
          <w:lang w:eastAsia="en-GB"/>
        </w:rPr>
        <w:t>Table 8.4</w:t>
      </w:r>
      <w:r w:rsidR="00846B21" w:rsidRPr="009B3747">
        <w:rPr>
          <w:rFonts w:eastAsia="Times New Roman" w:cstheme="minorHAnsi"/>
          <w:sz w:val="20"/>
          <w:szCs w:val="20"/>
          <w:lang w:eastAsia="en-GB"/>
        </w:rPr>
        <w:t> </w:t>
      </w:r>
      <w:r w:rsidR="005B1C28" w:rsidRPr="009B3747">
        <w:rPr>
          <w:rFonts w:eastAsia="Times New Roman" w:cstheme="minorHAnsi"/>
          <w:sz w:val="20"/>
          <w:szCs w:val="20"/>
          <w:lang w:eastAsia="en-GB"/>
        </w:rPr>
        <w:t>–</w:t>
      </w:r>
      <w:r w:rsidR="00BB6E36" w:rsidRPr="009B3747">
        <w:rPr>
          <w:rFonts w:eastAsia="Times New Roman" w:cstheme="minorHAnsi"/>
          <w:sz w:val="20"/>
          <w:szCs w:val="20"/>
          <w:lang w:eastAsia="en-GB"/>
        </w:rPr>
        <w:t xml:space="preserve"> Results of Spearman’s correlation coefficient tests regarding ‘barriers’</w:t>
      </w:r>
    </w:p>
    <w:p w:rsidR="00BB6E36" w:rsidRPr="009B3747" w:rsidRDefault="006B3384" w:rsidP="00577A7B">
      <w:pPr>
        <w:spacing w:line="300" w:lineRule="auto"/>
        <w:rPr>
          <w:rFonts w:eastAsia="Times New Roman" w:cstheme="minorHAnsi"/>
          <w:sz w:val="20"/>
          <w:szCs w:val="20"/>
          <w:lang w:eastAsia="en-GB"/>
        </w:rPr>
      </w:pPr>
      <w:r w:rsidRPr="009B3747">
        <w:rPr>
          <w:rFonts w:eastAsia="Times New Roman" w:cstheme="minorHAnsi"/>
          <w:sz w:val="20"/>
          <w:szCs w:val="20"/>
          <w:lang w:eastAsia="en-GB"/>
        </w:rPr>
        <w:t>Table</w:t>
      </w:r>
      <w:r w:rsidR="005C0E7B" w:rsidRPr="009B3747">
        <w:rPr>
          <w:rFonts w:eastAsia="Times New Roman" w:cstheme="minorHAnsi"/>
          <w:sz w:val="20"/>
          <w:szCs w:val="20"/>
          <w:lang w:eastAsia="en-GB"/>
        </w:rPr>
        <w:t xml:space="preserve"> 8.5</w:t>
      </w:r>
      <w:r w:rsidR="00846B21" w:rsidRPr="009B3747">
        <w:rPr>
          <w:rFonts w:eastAsia="Times New Roman" w:cstheme="minorHAnsi"/>
          <w:sz w:val="20"/>
          <w:szCs w:val="20"/>
          <w:lang w:eastAsia="en-GB"/>
        </w:rPr>
        <w:t> </w:t>
      </w:r>
      <w:r w:rsidR="005B1C28" w:rsidRPr="009B3747">
        <w:rPr>
          <w:rFonts w:eastAsia="Times New Roman" w:cstheme="minorHAnsi"/>
          <w:sz w:val="20"/>
          <w:szCs w:val="20"/>
          <w:lang w:eastAsia="en-GB"/>
        </w:rPr>
        <w:t>–</w:t>
      </w:r>
      <w:r w:rsidR="00BB6E36" w:rsidRPr="009B3747">
        <w:rPr>
          <w:rFonts w:eastAsia="Times New Roman" w:cstheme="minorHAnsi"/>
          <w:sz w:val="20"/>
          <w:szCs w:val="20"/>
          <w:lang w:eastAsia="en-GB"/>
        </w:rPr>
        <w:t xml:space="preserve"> Responses to open question regarding ‘other barriers’</w:t>
      </w:r>
    </w:p>
    <w:p w:rsidR="00BB6E36" w:rsidRPr="009B3747" w:rsidRDefault="005C0E7B" w:rsidP="00577A7B">
      <w:pPr>
        <w:spacing w:line="300" w:lineRule="auto"/>
        <w:rPr>
          <w:rFonts w:eastAsia="Times New Roman" w:cstheme="minorHAnsi"/>
          <w:sz w:val="20"/>
          <w:szCs w:val="20"/>
          <w:lang w:eastAsia="en-GB"/>
        </w:rPr>
      </w:pPr>
      <w:r w:rsidRPr="009B3747">
        <w:rPr>
          <w:rFonts w:eastAsia="Times New Roman" w:cstheme="minorHAnsi"/>
          <w:sz w:val="20"/>
          <w:szCs w:val="20"/>
          <w:lang w:eastAsia="en-GB"/>
        </w:rPr>
        <w:t>Table 8.6</w:t>
      </w:r>
      <w:r w:rsidR="00846B21" w:rsidRPr="009B3747">
        <w:rPr>
          <w:rFonts w:eastAsia="Times New Roman" w:cstheme="minorHAnsi"/>
          <w:sz w:val="20"/>
          <w:szCs w:val="20"/>
          <w:lang w:eastAsia="en-GB"/>
        </w:rPr>
        <w:t> </w:t>
      </w:r>
      <w:r w:rsidR="005B1C28" w:rsidRPr="009B3747">
        <w:rPr>
          <w:rFonts w:eastAsia="Times New Roman" w:cstheme="minorHAnsi"/>
          <w:sz w:val="20"/>
          <w:szCs w:val="20"/>
          <w:lang w:eastAsia="en-GB"/>
        </w:rPr>
        <w:t>–</w:t>
      </w:r>
      <w:r w:rsidR="00BB6E36" w:rsidRPr="009B3747">
        <w:rPr>
          <w:rFonts w:eastAsia="Times New Roman" w:cstheme="minorHAnsi"/>
          <w:sz w:val="20"/>
          <w:szCs w:val="20"/>
          <w:lang w:eastAsia="en-GB"/>
        </w:rPr>
        <w:t xml:space="preserve"> Summary of responses (percentages) regarding facilitators </w:t>
      </w:r>
    </w:p>
    <w:p w:rsidR="00735FBA" w:rsidRPr="009B3747" w:rsidRDefault="005C0E7B" w:rsidP="00577A7B">
      <w:pPr>
        <w:spacing w:line="300" w:lineRule="auto"/>
        <w:rPr>
          <w:rFonts w:eastAsia="Times New Roman" w:cstheme="minorHAnsi"/>
          <w:sz w:val="20"/>
          <w:szCs w:val="20"/>
          <w:lang w:eastAsia="en-GB"/>
        </w:rPr>
      </w:pPr>
      <w:r w:rsidRPr="009B3747">
        <w:rPr>
          <w:rFonts w:eastAsia="Times New Roman" w:cstheme="minorHAnsi"/>
          <w:sz w:val="20"/>
          <w:szCs w:val="20"/>
          <w:lang w:eastAsia="en-GB"/>
        </w:rPr>
        <w:t>Table 8.7</w:t>
      </w:r>
      <w:r w:rsidR="00BB6E36" w:rsidRPr="009B3747">
        <w:rPr>
          <w:rFonts w:eastAsia="Times New Roman" w:cstheme="minorHAnsi"/>
          <w:sz w:val="20"/>
          <w:szCs w:val="20"/>
          <w:lang w:eastAsia="en-GB"/>
        </w:rPr>
        <w:t xml:space="preserve"> </w:t>
      </w:r>
      <w:r w:rsidR="005B1C28" w:rsidRPr="009B3747">
        <w:rPr>
          <w:rFonts w:eastAsia="Times New Roman" w:cstheme="minorHAnsi"/>
          <w:sz w:val="20"/>
          <w:szCs w:val="20"/>
          <w:lang w:eastAsia="en-GB"/>
        </w:rPr>
        <w:t>–</w:t>
      </w:r>
      <w:r w:rsidR="00BB6E36" w:rsidRPr="009B3747">
        <w:rPr>
          <w:rFonts w:eastAsia="Times New Roman" w:cstheme="minorHAnsi"/>
          <w:sz w:val="20"/>
          <w:szCs w:val="20"/>
          <w:lang w:eastAsia="en-GB"/>
        </w:rPr>
        <w:t xml:space="preserve"> Responses to open question regarding ‘other facilitators’</w:t>
      </w:r>
    </w:p>
    <w:p w:rsidR="00BB6E36" w:rsidRPr="009B3747" w:rsidRDefault="00BB6E36" w:rsidP="00577A7B">
      <w:pPr>
        <w:spacing w:line="300" w:lineRule="auto"/>
        <w:rPr>
          <w:rFonts w:eastAsia="Times New Roman" w:cstheme="minorHAnsi"/>
          <w:sz w:val="20"/>
          <w:szCs w:val="20"/>
          <w:lang w:eastAsia="en-GB"/>
        </w:rPr>
      </w:pPr>
    </w:p>
    <w:p w:rsidR="000F73E5" w:rsidRPr="009B3747" w:rsidRDefault="00B04FA7" w:rsidP="00577A7B">
      <w:pPr>
        <w:pStyle w:val="NormalWeb"/>
        <w:spacing w:before="0" w:beforeAutospacing="0" w:after="0" w:afterAutospacing="0" w:line="300" w:lineRule="auto"/>
        <w:rPr>
          <w:rFonts w:asciiTheme="minorHAnsi" w:hAnsiTheme="minorHAnsi" w:cstheme="minorHAnsi"/>
          <w:b/>
          <w:sz w:val="22"/>
          <w:szCs w:val="22"/>
          <w:u w:val="single"/>
        </w:rPr>
      </w:pPr>
      <w:r w:rsidRPr="009B3747">
        <w:rPr>
          <w:rFonts w:asciiTheme="minorHAnsi" w:hAnsiTheme="minorHAnsi" w:cstheme="minorHAnsi"/>
          <w:b/>
          <w:sz w:val="22"/>
          <w:szCs w:val="22"/>
          <w:u w:val="single"/>
        </w:rPr>
        <w:t>F</w:t>
      </w:r>
      <w:r w:rsidR="000F73E5" w:rsidRPr="009B3747">
        <w:rPr>
          <w:rFonts w:asciiTheme="minorHAnsi" w:hAnsiTheme="minorHAnsi" w:cstheme="minorHAnsi"/>
          <w:b/>
          <w:sz w:val="22"/>
          <w:szCs w:val="22"/>
          <w:u w:val="single"/>
        </w:rPr>
        <w:t>igures</w:t>
      </w:r>
    </w:p>
    <w:p w:rsidR="00B707EF" w:rsidRPr="009B3747" w:rsidRDefault="00B707EF" w:rsidP="00577A7B">
      <w:pPr>
        <w:pStyle w:val="NormalWeb"/>
        <w:spacing w:before="0" w:beforeAutospacing="0" w:after="0" w:afterAutospacing="0" w:line="300" w:lineRule="auto"/>
        <w:rPr>
          <w:rFonts w:asciiTheme="minorHAnsi" w:hAnsiTheme="minorHAnsi" w:cstheme="minorHAnsi"/>
          <w:b/>
          <w:sz w:val="20"/>
          <w:szCs w:val="20"/>
          <w:u w:val="single"/>
        </w:rPr>
      </w:pPr>
    </w:p>
    <w:p w:rsidR="000F73E5" w:rsidRPr="009B3747" w:rsidRDefault="0060708E" w:rsidP="00577A7B">
      <w:pPr>
        <w:spacing w:line="300" w:lineRule="auto"/>
        <w:rPr>
          <w:rFonts w:eastAsia="Times New Roman" w:cstheme="minorHAnsi"/>
          <w:bCs/>
          <w:iCs/>
          <w:color w:val="000000"/>
          <w:sz w:val="20"/>
          <w:szCs w:val="20"/>
          <w:lang w:eastAsia="en-GB"/>
        </w:rPr>
      </w:pPr>
      <w:r w:rsidRPr="009B3747">
        <w:rPr>
          <w:rFonts w:eastAsia="Times New Roman" w:cstheme="minorHAnsi"/>
          <w:bCs/>
          <w:iCs/>
          <w:color w:val="000000"/>
          <w:sz w:val="20"/>
          <w:szCs w:val="20"/>
          <w:lang w:eastAsia="en-GB"/>
        </w:rPr>
        <w:t>Figure 2.1</w:t>
      </w:r>
      <w:r w:rsidR="000F73E5" w:rsidRPr="009B3747">
        <w:rPr>
          <w:rFonts w:eastAsia="Times New Roman" w:cstheme="minorHAnsi"/>
          <w:bCs/>
          <w:iCs/>
          <w:color w:val="000000"/>
          <w:sz w:val="20"/>
          <w:szCs w:val="20"/>
          <w:lang w:eastAsia="en-GB"/>
        </w:rPr>
        <w:t xml:space="preserve"> – Obesity Systems Map – adapted from the Foresight report (</w:t>
      </w:r>
      <w:r w:rsidR="00CB18A0" w:rsidRPr="009B3747">
        <w:rPr>
          <w:rFonts w:eastAsia="Times New Roman" w:cstheme="minorHAnsi"/>
          <w:bCs/>
          <w:iCs/>
          <w:color w:val="000000"/>
          <w:sz w:val="20"/>
          <w:szCs w:val="20"/>
          <w:lang w:eastAsia="en-GB"/>
        </w:rPr>
        <w:t xml:space="preserve">Butland and Jebb, </w:t>
      </w:r>
      <w:r w:rsidR="000F73E5" w:rsidRPr="009B3747">
        <w:rPr>
          <w:rFonts w:eastAsia="Times New Roman" w:cstheme="minorHAnsi"/>
          <w:bCs/>
          <w:iCs/>
          <w:color w:val="000000"/>
          <w:sz w:val="20"/>
          <w:szCs w:val="20"/>
          <w:lang w:eastAsia="en-GB"/>
        </w:rPr>
        <w:t>2007)</w:t>
      </w:r>
    </w:p>
    <w:p w:rsidR="005B1C28" w:rsidRPr="009B3747" w:rsidRDefault="0060708E" w:rsidP="00577A7B">
      <w:pPr>
        <w:spacing w:line="30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Figure 3.1</w:t>
      </w:r>
      <w:r w:rsidR="005B1C28" w:rsidRPr="009B3747">
        <w:rPr>
          <w:rFonts w:eastAsia="Times New Roman" w:cstheme="minorHAnsi"/>
          <w:color w:val="000000"/>
          <w:sz w:val="20"/>
          <w:szCs w:val="20"/>
          <w:lang w:eastAsia="en-GB"/>
        </w:rPr>
        <w:t xml:space="preserve"> – </w:t>
      </w:r>
      <w:r w:rsidR="000F73E5" w:rsidRPr="009B3747">
        <w:rPr>
          <w:rFonts w:eastAsia="Times New Roman" w:cstheme="minorHAnsi"/>
          <w:color w:val="000000"/>
          <w:sz w:val="20"/>
          <w:szCs w:val="20"/>
          <w:lang w:eastAsia="en-GB"/>
        </w:rPr>
        <w:t>PRISMA diagram (Moher et al</w:t>
      </w:r>
      <w:r w:rsidR="00CB18A0" w:rsidRPr="009B3747">
        <w:rPr>
          <w:rFonts w:eastAsia="Times New Roman" w:cstheme="minorHAnsi"/>
          <w:color w:val="000000"/>
          <w:sz w:val="20"/>
          <w:szCs w:val="20"/>
          <w:lang w:eastAsia="en-GB"/>
        </w:rPr>
        <w:t>.</w:t>
      </w:r>
      <w:r w:rsidR="000F73E5" w:rsidRPr="009B3747">
        <w:rPr>
          <w:rFonts w:eastAsia="Times New Roman" w:cstheme="minorHAnsi"/>
          <w:color w:val="000000"/>
          <w:sz w:val="20"/>
          <w:szCs w:val="20"/>
          <w:lang w:eastAsia="en-GB"/>
        </w:rPr>
        <w:t>, 2009) of sea</w:t>
      </w:r>
      <w:r w:rsidR="005B1C28" w:rsidRPr="009B3747">
        <w:rPr>
          <w:rFonts w:eastAsia="Times New Roman" w:cstheme="minorHAnsi"/>
          <w:color w:val="000000"/>
          <w:sz w:val="20"/>
          <w:szCs w:val="20"/>
          <w:lang w:eastAsia="en-GB"/>
        </w:rPr>
        <w:t>rching for and selecting studies</w:t>
      </w:r>
    </w:p>
    <w:p w:rsidR="003856F8" w:rsidRPr="009B3747" w:rsidRDefault="0060708E" w:rsidP="00577A7B">
      <w:pPr>
        <w:spacing w:line="300" w:lineRule="auto"/>
        <w:rPr>
          <w:rFonts w:cstheme="minorHAnsi"/>
          <w:sz w:val="20"/>
          <w:szCs w:val="20"/>
        </w:rPr>
      </w:pPr>
      <w:r w:rsidRPr="009B3747">
        <w:rPr>
          <w:rFonts w:cstheme="minorHAnsi"/>
          <w:sz w:val="20"/>
          <w:szCs w:val="20"/>
        </w:rPr>
        <w:t>Figure 4.1</w:t>
      </w:r>
      <w:r w:rsidR="001E407C" w:rsidRPr="009B3747">
        <w:rPr>
          <w:rFonts w:cstheme="minorHAnsi"/>
          <w:sz w:val="20"/>
          <w:szCs w:val="20"/>
        </w:rPr>
        <w:t xml:space="preserve"> </w:t>
      </w:r>
      <w:r w:rsidR="005B1C28" w:rsidRPr="009B3747">
        <w:rPr>
          <w:rFonts w:cstheme="minorHAnsi"/>
          <w:sz w:val="20"/>
          <w:szCs w:val="20"/>
        </w:rPr>
        <w:t>–</w:t>
      </w:r>
      <w:r w:rsidR="001E407C" w:rsidRPr="009B3747">
        <w:rPr>
          <w:rFonts w:cstheme="minorHAnsi"/>
          <w:sz w:val="20"/>
          <w:szCs w:val="20"/>
        </w:rPr>
        <w:t xml:space="preserve"> Framework for research – the interconnection of worldviews, design and research methods</w:t>
      </w:r>
    </w:p>
    <w:p w:rsidR="00ED37FD" w:rsidRPr="009B3747" w:rsidRDefault="0060708E" w:rsidP="00577A7B">
      <w:pPr>
        <w:spacing w:line="300" w:lineRule="auto"/>
        <w:rPr>
          <w:rFonts w:eastAsia="Times New Roman" w:cstheme="minorHAnsi"/>
          <w:sz w:val="20"/>
          <w:szCs w:val="20"/>
          <w:lang w:eastAsia="en-GB"/>
        </w:rPr>
      </w:pPr>
      <w:r w:rsidRPr="009B3747">
        <w:rPr>
          <w:rFonts w:eastAsia="Times New Roman" w:cstheme="minorHAnsi"/>
          <w:sz w:val="20"/>
          <w:szCs w:val="20"/>
          <w:lang w:eastAsia="en-GB"/>
        </w:rPr>
        <w:t>Figure 4.2</w:t>
      </w:r>
      <w:r w:rsidR="00ED37FD" w:rsidRPr="009B3747">
        <w:rPr>
          <w:rFonts w:eastAsia="Times New Roman" w:cstheme="minorHAnsi"/>
          <w:sz w:val="20"/>
          <w:szCs w:val="20"/>
          <w:lang w:eastAsia="en-GB"/>
        </w:rPr>
        <w:t xml:space="preserve"> – Interaction, priority, timing and mixing of the study phases</w:t>
      </w:r>
    </w:p>
    <w:p w:rsidR="003856F8" w:rsidRPr="009B3747" w:rsidRDefault="0060708E" w:rsidP="00577A7B">
      <w:pPr>
        <w:spacing w:line="30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Figure 5.1</w:t>
      </w:r>
      <w:r w:rsidR="00A07544" w:rsidRPr="009B3747">
        <w:rPr>
          <w:rFonts w:eastAsia="Times New Roman" w:cstheme="minorHAnsi"/>
          <w:color w:val="000000"/>
          <w:sz w:val="20"/>
          <w:szCs w:val="20"/>
          <w:lang w:eastAsia="en-GB"/>
        </w:rPr>
        <w:t xml:space="preserve"> </w:t>
      </w:r>
      <w:r w:rsidR="005B1C28" w:rsidRPr="009B3747">
        <w:rPr>
          <w:rFonts w:eastAsia="Times New Roman" w:cstheme="minorHAnsi"/>
          <w:color w:val="000000"/>
          <w:sz w:val="20"/>
          <w:szCs w:val="20"/>
          <w:lang w:eastAsia="en-GB"/>
        </w:rPr>
        <w:t>–</w:t>
      </w:r>
      <w:r w:rsidR="00A07544" w:rsidRPr="009B3747">
        <w:rPr>
          <w:rFonts w:eastAsia="Times New Roman" w:cstheme="minorHAnsi"/>
          <w:color w:val="000000"/>
          <w:sz w:val="20"/>
          <w:szCs w:val="20"/>
          <w:lang w:eastAsia="en-GB"/>
        </w:rPr>
        <w:t xml:space="preserve"> Six phase process to thematic ana</w:t>
      </w:r>
      <w:r w:rsidR="003856F8" w:rsidRPr="009B3747">
        <w:rPr>
          <w:rFonts w:eastAsia="Times New Roman" w:cstheme="minorHAnsi"/>
          <w:color w:val="000000"/>
          <w:sz w:val="20"/>
          <w:szCs w:val="20"/>
          <w:lang w:eastAsia="en-GB"/>
        </w:rPr>
        <w:t>lysis (Braun and Clarke, 2006)</w:t>
      </w:r>
    </w:p>
    <w:p w:rsidR="003856F8" w:rsidRPr="009B3747" w:rsidRDefault="0060708E" w:rsidP="00577A7B">
      <w:pPr>
        <w:spacing w:line="30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Figure 7.1</w:t>
      </w:r>
      <w:r w:rsidR="00827CCD" w:rsidRPr="009B3747">
        <w:rPr>
          <w:rFonts w:eastAsia="Times New Roman" w:cstheme="minorHAnsi"/>
          <w:color w:val="000000"/>
          <w:sz w:val="20"/>
          <w:szCs w:val="20"/>
          <w:lang w:eastAsia="en-GB"/>
        </w:rPr>
        <w:t xml:space="preserve"> </w:t>
      </w:r>
      <w:r w:rsidR="005B1C28" w:rsidRPr="009B3747">
        <w:rPr>
          <w:rFonts w:eastAsia="Times New Roman" w:cstheme="minorHAnsi"/>
          <w:color w:val="000000"/>
          <w:sz w:val="20"/>
          <w:szCs w:val="20"/>
          <w:lang w:eastAsia="en-GB"/>
        </w:rPr>
        <w:t>–</w:t>
      </w:r>
      <w:r w:rsidR="00827CCD" w:rsidRPr="009B3747">
        <w:rPr>
          <w:rFonts w:eastAsia="Times New Roman" w:cstheme="minorHAnsi"/>
          <w:color w:val="000000"/>
          <w:sz w:val="20"/>
          <w:szCs w:val="20"/>
          <w:lang w:eastAsia="en-GB"/>
        </w:rPr>
        <w:t xml:space="preserve"> Eight steps performed to generate, pilot test and finalise the item pool from qualitative findings </w:t>
      </w:r>
    </w:p>
    <w:p w:rsidR="00BB6E36" w:rsidRPr="009B3747" w:rsidRDefault="0060708E" w:rsidP="00577A7B">
      <w:pPr>
        <w:spacing w:line="30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Figure 8.1</w:t>
      </w:r>
      <w:r w:rsidR="00BB6E36" w:rsidRPr="009B3747">
        <w:rPr>
          <w:rFonts w:eastAsia="Times New Roman" w:cstheme="minorHAnsi"/>
          <w:color w:val="000000"/>
          <w:sz w:val="20"/>
          <w:szCs w:val="20"/>
          <w:lang w:eastAsia="en-GB"/>
        </w:rPr>
        <w:t xml:space="preserve"> – Responses to questions presented in section three of the questionnaire (Q1)</w:t>
      </w:r>
    </w:p>
    <w:p w:rsidR="00BB6E36" w:rsidRPr="009B3747" w:rsidRDefault="00BB6E36" w:rsidP="00577A7B">
      <w:pPr>
        <w:spacing w:line="30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Figure 8</w:t>
      </w:r>
      <w:r w:rsidR="0060708E" w:rsidRPr="009B3747">
        <w:rPr>
          <w:rFonts w:eastAsia="Times New Roman" w:cstheme="minorHAnsi"/>
          <w:color w:val="000000"/>
          <w:sz w:val="20"/>
          <w:szCs w:val="20"/>
          <w:lang w:eastAsia="en-GB"/>
        </w:rPr>
        <w:t>.2</w:t>
      </w:r>
      <w:r w:rsidRPr="009B3747">
        <w:rPr>
          <w:rFonts w:eastAsia="Times New Roman" w:cstheme="minorHAnsi"/>
          <w:color w:val="000000"/>
          <w:sz w:val="20"/>
          <w:szCs w:val="20"/>
          <w:lang w:eastAsia="en-GB"/>
        </w:rPr>
        <w:t xml:space="preserve"> – Responses to questions presented in section three of the questionnaire (Q2)</w:t>
      </w:r>
    </w:p>
    <w:p w:rsidR="00BB6E36" w:rsidRPr="009B3747" w:rsidRDefault="0060708E" w:rsidP="00577A7B">
      <w:pPr>
        <w:spacing w:line="30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Figure 8.3</w:t>
      </w:r>
      <w:r w:rsidR="00BB6E36" w:rsidRPr="009B3747">
        <w:rPr>
          <w:rFonts w:eastAsia="Times New Roman" w:cstheme="minorHAnsi"/>
          <w:color w:val="000000"/>
          <w:sz w:val="20"/>
          <w:szCs w:val="20"/>
          <w:lang w:eastAsia="en-GB"/>
        </w:rPr>
        <w:t xml:space="preserve"> – Responses to questions presented in section three of the questionnaire (Q3)</w:t>
      </w:r>
    </w:p>
    <w:p w:rsidR="00735FBA" w:rsidRPr="009B3747" w:rsidRDefault="0060708E" w:rsidP="00577A7B">
      <w:pPr>
        <w:spacing w:line="30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Figure 8.4</w:t>
      </w:r>
      <w:r w:rsidR="00735FBA" w:rsidRPr="009B3747">
        <w:rPr>
          <w:rFonts w:eastAsia="Times New Roman" w:cstheme="minorHAnsi"/>
          <w:color w:val="000000"/>
          <w:sz w:val="20"/>
          <w:szCs w:val="20"/>
          <w:lang w:eastAsia="en-GB"/>
        </w:rPr>
        <w:t xml:space="preserve"> – Responses to questions presented in section three of the questionnaire (Q4)</w:t>
      </w:r>
    </w:p>
    <w:p w:rsidR="00735FBA" w:rsidRPr="009B3747" w:rsidRDefault="0060708E" w:rsidP="00577A7B">
      <w:pPr>
        <w:spacing w:line="30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Figure 8.5</w:t>
      </w:r>
      <w:r w:rsidR="00735FBA" w:rsidRPr="009B3747">
        <w:rPr>
          <w:rFonts w:eastAsia="Times New Roman" w:cstheme="minorHAnsi"/>
          <w:color w:val="000000"/>
          <w:sz w:val="20"/>
          <w:szCs w:val="20"/>
          <w:lang w:eastAsia="en-GB"/>
        </w:rPr>
        <w:t xml:space="preserve"> – Responses to questions presented in section three of the questionnaire (Q5)</w:t>
      </w:r>
    </w:p>
    <w:p w:rsidR="00735FBA" w:rsidRPr="009B3747" w:rsidRDefault="0060708E" w:rsidP="00577A7B">
      <w:pPr>
        <w:spacing w:line="30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Figure 8.6</w:t>
      </w:r>
      <w:r w:rsidR="00735FBA" w:rsidRPr="009B3747">
        <w:rPr>
          <w:rFonts w:eastAsia="Times New Roman" w:cstheme="minorHAnsi"/>
          <w:color w:val="000000"/>
          <w:sz w:val="20"/>
          <w:szCs w:val="20"/>
          <w:lang w:eastAsia="en-GB"/>
        </w:rPr>
        <w:t xml:space="preserve"> – Responses to questions presented in section five of the questionnaire (Q1)</w:t>
      </w:r>
    </w:p>
    <w:p w:rsidR="00735FBA" w:rsidRPr="009B3747" w:rsidRDefault="0060708E" w:rsidP="00577A7B">
      <w:pPr>
        <w:spacing w:line="30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 xml:space="preserve">Figure 8.7 </w:t>
      </w:r>
      <w:r w:rsidR="00735FBA" w:rsidRPr="009B3747">
        <w:rPr>
          <w:rFonts w:eastAsia="Times New Roman" w:cstheme="minorHAnsi"/>
          <w:color w:val="000000"/>
          <w:sz w:val="20"/>
          <w:szCs w:val="20"/>
          <w:lang w:eastAsia="en-GB"/>
        </w:rPr>
        <w:t>– Responses to questions presented in section five of the questionnaire (Q2)</w:t>
      </w:r>
    </w:p>
    <w:p w:rsidR="00735FBA" w:rsidRPr="009B3747" w:rsidRDefault="0060708E" w:rsidP="00577A7B">
      <w:pPr>
        <w:spacing w:line="30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Figure 8.8</w:t>
      </w:r>
      <w:r w:rsidR="00735FBA" w:rsidRPr="009B3747">
        <w:rPr>
          <w:rFonts w:eastAsia="Times New Roman" w:cstheme="minorHAnsi"/>
          <w:color w:val="000000"/>
          <w:sz w:val="20"/>
          <w:szCs w:val="20"/>
          <w:lang w:eastAsia="en-GB"/>
        </w:rPr>
        <w:t xml:space="preserve"> – Responses to questions presented in section five of the questionnaire (Q3)</w:t>
      </w:r>
    </w:p>
    <w:p w:rsidR="00735FBA" w:rsidRPr="009B3747" w:rsidRDefault="0060708E" w:rsidP="00577A7B">
      <w:pPr>
        <w:spacing w:line="30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Figure 8.9</w:t>
      </w:r>
      <w:r w:rsidR="00735FBA" w:rsidRPr="009B3747">
        <w:rPr>
          <w:rFonts w:eastAsia="Times New Roman" w:cstheme="minorHAnsi"/>
          <w:color w:val="000000"/>
          <w:sz w:val="20"/>
          <w:szCs w:val="20"/>
          <w:lang w:eastAsia="en-GB"/>
        </w:rPr>
        <w:t xml:space="preserve"> – Responses to questions presented in section five of the questionnaire (Q4)</w:t>
      </w:r>
    </w:p>
    <w:p w:rsidR="00735FBA" w:rsidRPr="009B3747" w:rsidRDefault="0060708E" w:rsidP="00577A7B">
      <w:pPr>
        <w:spacing w:line="30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lastRenderedPageBreak/>
        <w:t xml:space="preserve">Figure 8.10 </w:t>
      </w:r>
      <w:r w:rsidR="005B1C28" w:rsidRPr="009B3747">
        <w:rPr>
          <w:rFonts w:eastAsia="Times New Roman" w:cstheme="minorHAnsi"/>
          <w:color w:val="000000"/>
          <w:sz w:val="20"/>
          <w:szCs w:val="20"/>
          <w:lang w:eastAsia="en-GB"/>
        </w:rPr>
        <w:t>–</w:t>
      </w:r>
      <w:r w:rsidR="00735FBA" w:rsidRPr="009B3747">
        <w:rPr>
          <w:rFonts w:eastAsia="Times New Roman" w:cstheme="minorHAnsi"/>
          <w:color w:val="000000"/>
          <w:sz w:val="20"/>
          <w:szCs w:val="20"/>
          <w:lang w:eastAsia="en-GB"/>
        </w:rPr>
        <w:t xml:space="preserve"> Responses to questions presented in section five of the questionnaire (Q6)</w:t>
      </w:r>
    </w:p>
    <w:p w:rsidR="00735FBA" w:rsidRPr="009B3747" w:rsidRDefault="0060708E" w:rsidP="00577A7B">
      <w:pPr>
        <w:spacing w:line="300" w:lineRule="auto"/>
        <w:rPr>
          <w:rFonts w:eastAsia="Times New Roman" w:cstheme="minorHAnsi"/>
          <w:iCs/>
          <w:color w:val="000000"/>
          <w:sz w:val="20"/>
          <w:szCs w:val="20"/>
          <w:lang w:eastAsia="en-GB"/>
        </w:rPr>
      </w:pPr>
      <w:r w:rsidRPr="009B3747">
        <w:rPr>
          <w:rFonts w:eastAsia="Times New Roman" w:cstheme="minorHAnsi"/>
          <w:iCs/>
          <w:color w:val="000000"/>
          <w:sz w:val="20"/>
          <w:szCs w:val="20"/>
          <w:lang w:eastAsia="en-GB"/>
        </w:rPr>
        <w:t>Figure 8.11</w:t>
      </w:r>
      <w:r w:rsidR="00735FBA" w:rsidRPr="009B3747">
        <w:rPr>
          <w:rFonts w:eastAsia="Times New Roman" w:cstheme="minorHAnsi"/>
          <w:iCs/>
          <w:color w:val="000000"/>
          <w:sz w:val="20"/>
          <w:szCs w:val="20"/>
          <w:lang w:eastAsia="en-GB"/>
        </w:rPr>
        <w:t xml:space="preserve"> </w:t>
      </w:r>
      <w:r w:rsidR="005B1C28" w:rsidRPr="009B3747">
        <w:rPr>
          <w:rFonts w:eastAsia="Times New Roman" w:cstheme="minorHAnsi"/>
          <w:iCs/>
          <w:color w:val="000000"/>
          <w:sz w:val="20"/>
          <w:szCs w:val="20"/>
          <w:lang w:eastAsia="en-GB"/>
        </w:rPr>
        <w:t>–</w:t>
      </w:r>
      <w:r w:rsidR="00735FBA" w:rsidRPr="009B3747">
        <w:rPr>
          <w:rFonts w:eastAsia="Times New Roman" w:cstheme="minorHAnsi"/>
          <w:iCs/>
          <w:color w:val="000000"/>
          <w:sz w:val="20"/>
          <w:szCs w:val="20"/>
          <w:lang w:eastAsia="en-GB"/>
        </w:rPr>
        <w:t xml:space="preserve"> </w:t>
      </w:r>
      <w:r w:rsidR="00735FBA" w:rsidRPr="009B3747">
        <w:rPr>
          <w:rFonts w:eastAsia="Times New Roman" w:cstheme="minorHAnsi"/>
          <w:color w:val="000000"/>
          <w:sz w:val="20"/>
          <w:szCs w:val="20"/>
          <w:lang w:eastAsia="en-GB"/>
        </w:rPr>
        <w:t>Responses to questions presented in section four of the questionnaire (Q1)</w:t>
      </w:r>
    </w:p>
    <w:p w:rsidR="00735FBA" w:rsidRPr="009B3747" w:rsidRDefault="0060708E" w:rsidP="00577A7B">
      <w:pPr>
        <w:spacing w:line="30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Figure 8.12</w:t>
      </w:r>
      <w:r w:rsidR="00735FBA" w:rsidRPr="009B3747">
        <w:rPr>
          <w:rFonts w:eastAsia="Times New Roman" w:cstheme="minorHAnsi"/>
          <w:color w:val="000000"/>
          <w:sz w:val="20"/>
          <w:szCs w:val="20"/>
          <w:lang w:eastAsia="en-GB"/>
        </w:rPr>
        <w:t xml:space="preserve"> – Responses to questions presented in section four of the questionnaire (Q2)</w:t>
      </w:r>
    </w:p>
    <w:p w:rsidR="00735FBA" w:rsidRPr="009B3747" w:rsidRDefault="0060708E" w:rsidP="00577A7B">
      <w:pPr>
        <w:spacing w:line="30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Figure 8.13</w:t>
      </w:r>
      <w:r w:rsidR="00735FBA" w:rsidRPr="009B3747">
        <w:rPr>
          <w:rFonts w:eastAsia="Times New Roman" w:cstheme="minorHAnsi"/>
          <w:color w:val="000000"/>
          <w:sz w:val="20"/>
          <w:szCs w:val="20"/>
          <w:lang w:eastAsia="en-GB"/>
        </w:rPr>
        <w:t xml:space="preserve"> – Responses to questions presented in section four of the questionnaire (Q3)</w:t>
      </w:r>
    </w:p>
    <w:p w:rsidR="00735FBA" w:rsidRPr="009B3747" w:rsidRDefault="0060708E" w:rsidP="00577A7B">
      <w:pPr>
        <w:spacing w:line="30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Figure 8.14</w:t>
      </w:r>
      <w:r w:rsidR="00735FBA" w:rsidRPr="009B3747">
        <w:rPr>
          <w:rFonts w:eastAsia="Times New Roman" w:cstheme="minorHAnsi"/>
          <w:color w:val="000000"/>
          <w:sz w:val="20"/>
          <w:szCs w:val="20"/>
          <w:lang w:eastAsia="en-GB"/>
        </w:rPr>
        <w:t xml:space="preserve"> – Responses to questions presented in section four of the questionnaire (Q4)</w:t>
      </w:r>
    </w:p>
    <w:p w:rsidR="004D2FB9" w:rsidRPr="009B3747" w:rsidRDefault="0060708E" w:rsidP="00577A7B">
      <w:pPr>
        <w:spacing w:line="30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Figure 9.1</w:t>
      </w:r>
      <w:r w:rsidR="004D2FB9" w:rsidRPr="009B3747">
        <w:rPr>
          <w:rFonts w:eastAsia="Times New Roman" w:cstheme="minorHAnsi"/>
          <w:color w:val="000000"/>
          <w:sz w:val="20"/>
          <w:szCs w:val="20"/>
          <w:lang w:eastAsia="en-GB"/>
        </w:rPr>
        <w:t xml:space="preserve"> – </w:t>
      </w:r>
      <w:r w:rsidR="00991ADC" w:rsidRPr="009B3747">
        <w:rPr>
          <w:rFonts w:eastAsia="Times New Roman" w:cstheme="minorHAnsi"/>
          <w:color w:val="000000"/>
          <w:sz w:val="20"/>
          <w:szCs w:val="20"/>
          <w:lang w:eastAsia="en-GB"/>
        </w:rPr>
        <w:t>SEM model (McLeroy</w:t>
      </w:r>
      <w:r w:rsidR="00CB18A0" w:rsidRPr="009B3747">
        <w:rPr>
          <w:rFonts w:eastAsia="Times New Roman" w:cstheme="minorHAnsi"/>
          <w:color w:val="000000"/>
          <w:sz w:val="20"/>
          <w:szCs w:val="20"/>
          <w:lang w:eastAsia="en-GB"/>
        </w:rPr>
        <w:t xml:space="preserve"> et al.</w:t>
      </w:r>
      <w:r w:rsidR="00991ADC" w:rsidRPr="009B3747">
        <w:rPr>
          <w:rFonts w:eastAsia="Times New Roman" w:cstheme="minorHAnsi"/>
          <w:color w:val="000000"/>
          <w:sz w:val="20"/>
          <w:szCs w:val="20"/>
          <w:lang w:eastAsia="en-GB"/>
        </w:rPr>
        <w:t>, 1988)</w:t>
      </w:r>
    </w:p>
    <w:p w:rsidR="00991ADC" w:rsidRPr="009B3747" w:rsidRDefault="0060708E" w:rsidP="00577A7B">
      <w:pPr>
        <w:spacing w:line="30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Figure 9.2</w:t>
      </w:r>
      <w:r w:rsidR="00991ADC" w:rsidRPr="009B3747">
        <w:rPr>
          <w:rFonts w:eastAsia="Times New Roman" w:cstheme="minorHAnsi"/>
          <w:color w:val="000000"/>
          <w:sz w:val="20"/>
          <w:szCs w:val="20"/>
          <w:lang w:eastAsia="en-GB"/>
        </w:rPr>
        <w:t xml:space="preserve"> – Nuffield La</w:t>
      </w:r>
      <w:r w:rsidR="00CB18A0" w:rsidRPr="009B3747">
        <w:rPr>
          <w:rFonts w:eastAsia="Times New Roman" w:cstheme="minorHAnsi"/>
          <w:color w:val="000000"/>
          <w:sz w:val="20"/>
          <w:szCs w:val="20"/>
          <w:lang w:eastAsia="en-GB"/>
        </w:rPr>
        <w:t>dder of Interventions (Nuffield Council on Bioethics,</w:t>
      </w:r>
      <w:r w:rsidR="00991ADC" w:rsidRPr="009B3747">
        <w:rPr>
          <w:rFonts w:eastAsia="Times New Roman" w:cstheme="minorHAnsi"/>
          <w:color w:val="000000"/>
          <w:sz w:val="20"/>
          <w:szCs w:val="20"/>
          <w:lang w:eastAsia="en-GB"/>
        </w:rPr>
        <w:t xml:space="preserve"> 2007)</w:t>
      </w:r>
    </w:p>
    <w:p w:rsidR="00735FBA" w:rsidRPr="009B3747" w:rsidRDefault="00735FBA" w:rsidP="00577A7B">
      <w:pPr>
        <w:spacing w:line="300" w:lineRule="auto"/>
        <w:rPr>
          <w:rFonts w:eastAsia="Times New Roman" w:cstheme="minorHAnsi"/>
          <w:color w:val="000000"/>
          <w:lang w:eastAsia="en-GB"/>
        </w:rPr>
      </w:pPr>
    </w:p>
    <w:p w:rsidR="00846B21" w:rsidRPr="009B3747" w:rsidRDefault="00846B21" w:rsidP="00577A7B">
      <w:pPr>
        <w:pStyle w:val="NormalWeb"/>
        <w:spacing w:before="0" w:beforeAutospacing="0" w:after="0" w:afterAutospacing="0" w:line="300" w:lineRule="auto"/>
        <w:rPr>
          <w:rFonts w:asciiTheme="minorHAnsi" w:hAnsiTheme="minorHAnsi" w:cstheme="minorHAnsi"/>
          <w:b/>
          <w:color w:val="000000"/>
          <w:sz w:val="22"/>
          <w:szCs w:val="22"/>
          <w:u w:val="single"/>
        </w:rPr>
      </w:pPr>
    </w:p>
    <w:p w:rsidR="00BA5286" w:rsidRPr="009B3747" w:rsidRDefault="00BA5286" w:rsidP="00577A7B">
      <w:pPr>
        <w:pStyle w:val="NormalWeb"/>
        <w:spacing w:before="0" w:beforeAutospacing="0" w:after="0" w:afterAutospacing="0" w:line="300" w:lineRule="auto"/>
        <w:rPr>
          <w:rFonts w:asciiTheme="minorHAnsi" w:hAnsiTheme="minorHAnsi" w:cstheme="minorHAnsi"/>
          <w:b/>
          <w:color w:val="000000"/>
          <w:sz w:val="22"/>
          <w:szCs w:val="22"/>
          <w:u w:val="single"/>
        </w:rPr>
      </w:pPr>
      <w:r w:rsidRPr="009B3747">
        <w:rPr>
          <w:rFonts w:asciiTheme="minorHAnsi" w:hAnsiTheme="minorHAnsi" w:cstheme="minorHAnsi"/>
          <w:b/>
          <w:color w:val="000000"/>
          <w:sz w:val="22"/>
          <w:szCs w:val="22"/>
          <w:u w:val="single"/>
        </w:rPr>
        <w:t>Abbreviations</w:t>
      </w:r>
    </w:p>
    <w:p w:rsidR="004D2FB9" w:rsidRPr="009B3747" w:rsidRDefault="004D2FB9" w:rsidP="00A16FA3">
      <w:pPr>
        <w:pStyle w:val="NormalWeb"/>
        <w:spacing w:before="0" w:beforeAutospacing="0" w:after="0" w:afterAutospacing="0" w:line="360" w:lineRule="auto"/>
        <w:rPr>
          <w:rFonts w:asciiTheme="minorHAnsi" w:hAnsiTheme="minorHAnsi" w:cstheme="minorHAnsi"/>
          <w:b/>
          <w:color w:val="000000"/>
          <w:sz w:val="22"/>
          <w:szCs w:val="22"/>
          <w:u w:val="single"/>
        </w:rPr>
      </w:pPr>
    </w:p>
    <w:p w:rsidR="00846B21" w:rsidRPr="009B3747" w:rsidRDefault="00846B21" w:rsidP="00047325">
      <w:pPr>
        <w:pStyle w:val="NormalWeb"/>
        <w:spacing w:before="0" w:beforeAutospacing="0" w:after="0" w:afterAutospacing="0" w:line="360" w:lineRule="auto"/>
        <w:rPr>
          <w:rFonts w:asciiTheme="minorHAnsi" w:hAnsiTheme="minorHAnsi" w:cstheme="minorHAnsi"/>
          <w:color w:val="000000" w:themeColor="text1"/>
          <w:sz w:val="20"/>
          <w:szCs w:val="20"/>
        </w:rPr>
      </w:pPr>
      <w:r w:rsidRPr="009B3747">
        <w:rPr>
          <w:rFonts w:asciiTheme="minorHAnsi" w:hAnsiTheme="minorHAnsi" w:cstheme="minorHAnsi"/>
          <w:color w:val="000000" w:themeColor="text1"/>
          <w:sz w:val="20"/>
          <w:szCs w:val="20"/>
        </w:rPr>
        <w:t>BMI – Body Mass Index</w:t>
      </w:r>
    </w:p>
    <w:p w:rsidR="00047325" w:rsidRPr="009B3747" w:rsidRDefault="00047325" w:rsidP="00047325">
      <w:pPr>
        <w:pStyle w:val="NormalWeb"/>
        <w:spacing w:before="0" w:beforeAutospacing="0" w:after="0" w:afterAutospacing="0" w:line="360" w:lineRule="auto"/>
        <w:rPr>
          <w:rFonts w:asciiTheme="minorHAnsi" w:hAnsiTheme="minorHAnsi" w:cstheme="minorHAnsi"/>
          <w:color w:val="000000" w:themeColor="text1"/>
          <w:sz w:val="20"/>
          <w:szCs w:val="20"/>
        </w:rPr>
      </w:pPr>
      <w:r w:rsidRPr="009B3747">
        <w:rPr>
          <w:rFonts w:asciiTheme="minorHAnsi" w:hAnsiTheme="minorHAnsi" w:cstheme="minorHAnsi"/>
          <w:color w:val="000000" w:themeColor="text1"/>
          <w:sz w:val="20"/>
          <w:szCs w:val="20"/>
        </w:rPr>
        <w:t>CASP – Critical Appraisal Skills Programme</w:t>
      </w:r>
    </w:p>
    <w:p w:rsidR="00BB1429" w:rsidRPr="009B3747" w:rsidRDefault="00BB1429" w:rsidP="00047325">
      <w:pPr>
        <w:pStyle w:val="NormalWeb"/>
        <w:spacing w:before="0" w:beforeAutospacing="0" w:after="0" w:afterAutospacing="0" w:line="360" w:lineRule="auto"/>
        <w:rPr>
          <w:rFonts w:asciiTheme="minorHAnsi" w:hAnsiTheme="minorHAnsi" w:cstheme="minorHAnsi"/>
          <w:color w:val="000000" w:themeColor="text1"/>
          <w:sz w:val="20"/>
          <w:szCs w:val="20"/>
        </w:rPr>
      </w:pPr>
      <w:r w:rsidRPr="009B3747">
        <w:rPr>
          <w:rFonts w:asciiTheme="minorHAnsi" w:hAnsiTheme="minorHAnsi" w:cstheme="minorHAnsi"/>
          <w:color w:val="000000" w:themeColor="text1"/>
          <w:sz w:val="20"/>
          <w:szCs w:val="20"/>
        </w:rPr>
        <w:t>CG – Chair of governors</w:t>
      </w:r>
    </w:p>
    <w:p w:rsidR="00B707EF" w:rsidRPr="009B3747" w:rsidRDefault="00B707EF" w:rsidP="00047325">
      <w:pPr>
        <w:pStyle w:val="NormalWeb"/>
        <w:spacing w:before="0" w:beforeAutospacing="0" w:after="0" w:afterAutospacing="0" w:line="360" w:lineRule="auto"/>
        <w:rPr>
          <w:rFonts w:asciiTheme="minorHAnsi" w:hAnsiTheme="minorHAnsi" w:cstheme="minorHAnsi"/>
          <w:color w:val="000000" w:themeColor="text1"/>
          <w:sz w:val="20"/>
          <w:szCs w:val="20"/>
        </w:rPr>
      </w:pPr>
      <w:r w:rsidRPr="009B3747">
        <w:rPr>
          <w:rFonts w:asciiTheme="minorHAnsi" w:hAnsiTheme="minorHAnsi" w:cstheme="minorHAnsi"/>
          <w:color w:val="000000" w:themeColor="text1"/>
          <w:sz w:val="20"/>
          <w:szCs w:val="20"/>
        </w:rPr>
        <w:t>DfE – Department for Education</w:t>
      </w:r>
    </w:p>
    <w:p w:rsidR="00B707EF" w:rsidRPr="009B3747" w:rsidRDefault="00B707EF" w:rsidP="00047325">
      <w:pPr>
        <w:pStyle w:val="NormalWeb"/>
        <w:spacing w:before="0" w:beforeAutospacing="0" w:after="0" w:afterAutospacing="0" w:line="360" w:lineRule="auto"/>
        <w:rPr>
          <w:rFonts w:asciiTheme="minorHAnsi" w:hAnsiTheme="minorHAnsi" w:cstheme="minorHAnsi"/>
          <w:color w:val="000000" w:themeColor="text1"/>
          <w:sz w:val="20"/>
          <w:szCs w:val="20"/>
        </w:rPr>
      </w:pPr>
      <w:r w:rsidRPr="009B3747">
        <w:rPr>
          <w:rFonts w:asciiTheme="minorHAnsi" w:hAnsiTheme="minorHAnsi" w:cstheme="minorHAnsi"/>
          <w:color w:val="000000" w:themeColor="text1"/>
          <w:sz w:val="20"/>
          <w:szCs w:val="20"/>
        </w:rPr>
        <w:t>DoH – Department of Health</w:t>
      </w:r>
    </w:p>
    <w:p w:rsidR="00CD3F14" w:rsidRPr="009B3747" w:rsidRDefault="00CD3F14" w:rsidP="00047325">
      <w:pPr>
        <w:pStyle w:val="NormalWeb"/>
        <w:spacing w:before="0" w:beforeAutospacing="0" w:after="0" w:afterAutospacing="0" w:line="360" w:lineRule="auto"/>
        <w:rPr>
          <w:rFonts w:asciiTheme="minorHAnsi" w:hAnsiTheme="minorHAnsi" w:cstheme="minorHAnsi"/>
          <w:color w:val="000000" w:themeColor="text1"/>
          <w:sz w:val="20"/>
          <w:szCs w:val="20"/>
        </w:rPr>
      </w:pPr>
      <w:r w:rsidRPr="009B3747">
        <w:rPr>
          <w:rFonts w:asciiTheme="minorHAnsi" w:hAnsiTheme="minorHAnsi" w:cstheme="minorHAnsi"/>
          <w:color w:val="000000" w:themeColor="text1"/>
          <w:sz w:val="20"/>
          <w:szCs w:val="20"/>
        </w:rPr>
        <w:t>GCSE – General Certificate of Secondary Education</w:t>
      </w:r>
    </w:p>
    <w:p w:rsidR="00B707EF" w:rsidRPr="009B3747" w:rsidRDefault="00B707EF" w:rsidP="00047325">
      <w:pPr>
        <w:pStyle w:val="NormalWeb"/>
        <w:spacing w:before="0" w:beforeAutospacing="0" w:after="0" w:afterAutospacing="0" w:line="360" w:lineRule="auto"/>
        <w:rPr>
          <w:rFonts w:asciiTheme="minorHAnsi" w:hAnsiTheme="minorHAnsi" w:cstheme="minorHAnsi"/>
          <w:color w:val="000000" w:themeColor="text1"/>
          <w:sz w:val="20"/>
          <w:szCs w:val="20"/>
        </w:rPr>
      </w:pPr>
      <w:r w:rsidRPr="009B3747">
        <w:rPr>
          <w:rFonts w:asciiTheme="minorHAnsi" w:hAnsiTheme="minorHAnsi" w:cstheme="minorHAnsi"/>
          <w:color w:val="000000" w:themeColor="text1"/>
          <w:sz w:val="20"/>
          <w:szCs w:val="20"/>
        </w:rPr>
        <w:t>HPS – Health Promoting Schools</w:t>
      </w:r>
    </w:p>
    <w:p w:rsidR="006E1936" w:rsidRPr="009B3747" w:rsidRDefault="006E1936" w:rsidP="00047325">
      <w:pPr>
        <w:pStyle w:val="NormalWeb"/>
        <w:spacing w:before="0" w:beforeAutospacing="0" w:after="0" w:afterAutospacing="0" w:line="360" w:lineRule="auto"/>
        <w:rPr>
          <w:rFonts w:asciiTheme="minorHAnsi" w:hAnsiTheme="minorHAnsi" w:cstheme="minorHAnsi"/>
          <w:color w:val="000000" w:themeColor="text1"/>
          <w:sz w:val="20"/>
          <w:szCs w:val="20"/>
        </w:rPr>
      </w:pPr>
      <w:r w:rsidRPr="009B3747">
        <w:rPr>
          <w:rFonts w:asciiTheme="minorHAnsi" w:hAnsiTheme="minorHAnsi" w:cstheme="minorHAnsi"/>
          <w:color w:val="000000" w:themeColor="text1"/>
          <w:sz w:val="20"/>
          <w:szCs w:val="20"/>
        </w:rPr>
        <w:t>HSE – Health Survey for England</w:t>
      </w:r>
    </w:p>
    <w:p w:rsidR="00BB1429" w:rsidRPr="009B3747" w:rsidRDefault="00BB1429" w:rsidP="00047325">
      <w:pPr>
        <w:pStyle w:val="NormalWeb"/>
        <w:spacing w:before="0" w:beforeAutospacing="0" w:after="0" w:afterAutospacing="0" w:line="360" w:lineRule="auto"/>
        <w:rPr>
          <w:rFonts w:asciiTheme="minorHAnsi" w:hAnsiTheme="minorHAnsi" w:cstheme="minorHAnsi"/>
          <w:color w:val="000000" w:themeColor="text1"/>
          <w:sz w:val="20"/>
          <w:szCs w:val="20"/>
        </w:rPr>
      </w:pPr>
      <w:r w:rsidRPr="009B3747">
        <w:rPr>
          <w:rFonts w:asciiTheme="minorHAnsi" w:hAnsiTheme="minorHAnsi" w:cstheme="minorHAnsi"/>
          <w:color w:val="000000" w:themeColor="text1"/>
          <w:sz w:val="20"/>
          <w:szCs w:val="20"/>
        </w:rPr>
        <w:t>HT – Headteacher</w:t>
      </w:r>
    </w:p>
    <w:p w:rsidR="00B707EF" w:rsidRPr="009B3747" w:rsidRDefault="00B707EF" w:rsidP="00047325">
      <w:pPr>
        <w:pStyle w:val="NormalWeb"/>
        <w:spacing w:before="0" w:beforeAutospacing="0" w:after="0" w:afterAutospacing="0" w:line="360" w:lineRule="auto"/>
        <w:rPr>
          <w:rFonts w:asciiTheme="minorHAnsi" w:hAnsiTheme="minorHAnsi" w:cstheme="minorHAnsi"/>
          <w:color w:val="000000" w:themeColor="text1"/>
          <w:sz w:val="20"/>
          <w:szCs w:val="20"/>
        </w:rPr>
      </w:pPr>
      <w:r w:rsidRPr="009B3747">
        <w:rPr>
          <w:rFonts w:asciiTheme="minorHAnsi" w:hAnsiTheme="minorHAnsi" w:cstheme="minorHAnsi"/>
          <w:color w:val="000000" w:themeColor="text1"/>
          <w:sz w:val="20"/>
          <w:szCs w:val="20"/>
        </w:rPr>
        <w:t>MPH – Master of Public Health</w:t>
      </w:r>
    </w:p>
    <w:p w:rsidR="00B707EF" w:rsidRPr="009B3747" w:rsidRDefault="00B707EF" w:rsidP="00047325">
      <w:pPr>
        <w:pStyle w:val="NormalWeb"/>
        <w:spacing w:before="0" w:beforeAutospacing="0" w:after="0" w:afterAutospacing="0" w:line="360" w:lineRule="auto"/>
        <w:rPr>
          <w:rFonts w:asciiTheme="minorHAnsi" w:hAnsiTheme="minorHAnsi" w:cstheme="minorHAnsi"/>
          <w:color w:val="000000" w:themeColor="text1"/>
          <w:sz w:val="20"/>
          <w:szCs w:val="20"/>
        </w:rPr>
      </w:pPr>
      <w:r w:rsidRPr="009B3747">
        <w:rPr>
          <w:rFonts w:asciiTheme="minorHAnsi" w:hAnsiTheme="minorHAnsi" w:cstheme="minorHAnsi"/>
          <w:color w:val="000000" w:themeColor="text1"/>
          <w:sz w:val="20"/>
          <w:szCs w:val="20"/>
        </w:rPr>
        <w:t>NCMP – National Child Measurement Programme</w:t>
      </w:r>
    </w:p>
    <w:p w:rsidR="00B707EF" w:rsidRPr="009B3747" w:rsidRDefault="00B707EF" w:rsidP="00047325">
      <w:pPr>
        <w:pStyle w:val="NormalWeb"/>
        <w:spacing w:before="0" w:beforeAutospacing="0" w:after="0" w:afterAutospacing="0" w:line="360" w:lineRule="auto"/>
        <w:rPr>
          <w:rFonts w:asciiTheme="minorHAnsi" w:hAnsiTheme="minorHAnsi" w:cstheme="minorHAnsi"/>
          <w:color w:val="000000" w:themeColor="text1"/>
          <w:sz w:val="20"/>
          <w:szCs w:val="20"/>
        </w:rPr>
      </w:pPr>
      <w:r w:rsidRPr="009B3747">
        <w:rPr>
          <w:rFonts w:asciiTheme="minorHAnsi" w:hAnsiTheme="minorHAnsi" w:cstheme="minorHAnsi"/>
          <w:color w:val="000000" w:themeColor="text1"/>
          <w:sz w:val="20"/>
          <w:szCs w:val="20"/>
        </w:rPr>
        <w:t>NHS – National Health Service</w:t>
      </w:r>
    </w:p>
    <w:p w:rsidR="00B707EF" w:rsidRPr="009B3747" w:rsidRDefault="00B707EF" w:rsidP="00047325">
      <w:pPr>
        <w:pStyle w:val="NormalWeb"/>
        <w:spacing w:before="0" w:beforeAutospacing="0" w:after="0" w:afterAutospacing="0" w:line="360" w:lineRule="auto"/>
        <w:rPr>
          <w:rFonts w:asciiTheme="minorHAnsi" w:hAnsiTheme="minorHAnsi" w:cstheme="minorHAnsi"/>
          <w:color w:val="000000" w:themeColor="text1"/>
          <w:sz w:val="20"/>
          <w:szCs w:val="20"/>
        </w:rPr>
      </w:pPr>
      <w:r w:rsidRPr="009B3747">
        <w:rPr>
          <w:rFonts w:asciiTheme="minorHAnsi" w:hAnsiTheme="minorHAnsi" w:cstheme="minorHAnsi"/>
          <w:color w:val="000000" w:themeColor="text1"/>
          <w:sz w:val="20"/>
          <w:szCs w:val="20"/>
        </w:rPr>
        <w:t>NICE – National Institute of Health and Care Excellence</w:t>
      </w:r>
    </w:p>
    <w:p w:rsidR="00047325" w:rsidRPr="009B3747" w:rsidRDefault="00047325" w:rsidP="00047325">
      <w:pPr>
        <w:pStyle w:val="NormalWeb"/>
        <w:spacing w:before="0" w:beforeAutospacing="0" w:after="0" w:afterAutospacing="0" w:line="360" w:lineRule="auto"/>
        <w:rPr>
          <w:rFonts w:asciiTheme="minorHAnsi" w:hAnsiTheme="minorHAnsi" w:cstheme="minorHAnsi"/>
          <w:color w:val="000000" w:themeColor="text1"/>
          <w:sz w:val="20"/>
          <w:szCs w:val="20"/>
        </w:rPr>
      </w:pPr>
      <w:r w:rsidRPr="009B3747">
        <w:rPr>
          <w:rFonts w:asciiTheme="minorHAnsi" w:hAnsiTheme="minorHAnsi" w:cstheme="minorHAnsi"/>
          <w:bCs/>
          <w:color w:val="000000" w:themeColor="text1"/>
          <w:sz w:val="20"/>
          <w:szCs w:val="20"/>
        </w:rPr>
        <w:t xml:space="preserve">OFSTED </w:t>
      </w:r>
      <w:r w:rsidRPr="009B3747">
        <w:rPr>
          <w:rFonts w:asciiTheme="minorHAnsi" w:hAnsiTheme="minorHAnsi" w:cstheme="minorHAnsi"/>
          <w:color w:val="000000" w:themeColor="text1"/>
          <w:sz w:val="20"/>
          <w:szCs w:val="20"/>
        </w:rPr>
        <w:t>Office for Standards in Education</w:t>
      </w:r>
    </w:p>
    <w:p w:rsidR="00047325" w:rsidRPr="009B3747" w:rsidRDefault="00047325" w:rsidP="00047325">
      <w:pPr>
        <w:pStyle w:val="NormalWeb"/>
        <w:spacing w:before="0" w:beforeAutospacing="0" w:after="0" w:afterAutospacing="0" w:line="360" w:lineRule="auto"/>
        <w:rPr>
          <w:rFonts w:asciiTheme="minorHAnsi" w:hAnsiTheme="minorHAnsi" w:cstheme="minorHAnsi"/>
          <w:color w:val="000000" w:themeColor="text1"/>
          <w:sz w:val="20"/>
          <w:szCs w:val="20"/>
        </w:rPr>
      </w:pPr>
      <w:r w:rsidRPr="009B3747">
        <w:rPr>
          <w:rFonts w:asciiTheme="minorHAnsi" w:hAnsiTheme="minorHAnsi" w:cstheme="minorHAnsi"/>
          <w:color w:val="000000" w:themeColor="text1"/>
          <w:sz w:val="20"/>
          <w:szCs w:val="20"/>
        </w:rPr>
        <w:t>PhD – Doctor of Philosphy</w:t>
      </w:r>
    </w:p>
    <w:p w:rsidR="00B707EF" w:rsidRPr="009B3747" w:rsidRDefault="00B707EF" w:rsidP="00047325">
      <w:pPr>
        <w:pStyle w:val="NormalWeb"/>
        <w:spacing w:before="0" w:beforeAutospacing="0" w:after="0" w:afterAutospacing="0" w:line="360" w:lineRule="auto"/>
        <w:rPr>
          <w:rFonts w:asciiTheme="minorHAnsi" w:hAnsiTheme="minorHAnsi" w:cstheme="minorHAnsi"/>
          <w:color w:val="000000" w:themeColor="text1"/>
          <w:sz w:val="20"/>
          <w:szCs w:val="20"/>
        </w:rPr>
      </w:pPr>
      <w:r w:rsidRPr="009B3747">
        <w:rPr>
          <w:rFonts w:asciiTheme="minorHAnsi" w:hAnsiTheme="minorHAnsi" w:cstheme="minorHAnsi"/>
          <w:color w:val="000000" w:themeColor="text1"/>
          <w:sz w:val="20"/>
          <w:szCs w:val="20"/>
        </w:rPr>
        <w:t>PHE – Public Health England</w:t>
      </w:r>
    </w:p>
    <w:p w:rsidR="0026414C" w:rsidRPr="009B3747" w:rsidRDefault="0026414C" w:rsidP="00047325">
      <w:pPr>
        <w:pStyle w:val="NormalWeb"/>
        <w:spacing w:before="0" w:beforeAutospacing="0" w:after="0" w:afterAutospacing="0" w:line="360" w:lineRule="auto"/>
        <w:rPr>
          <w:rFonts w:asciiTheme="minorHAnsi" w:hAnsiTheme="minorHAnsi" w:cstheme="minorHAnsi"/>
          <w:color w:val="000000" w:themeColor="text1"/>
          <w:sz w:val="20"/>
          <w:szCs w:val="20"/>
        </w:rPr>
      </w:pPr>
      <w:r w:rsidRPr="009B3747">
        <w:rPr>
          <w:rFonts w:asciiTheme="minorHAnsi" w:hAnsiTheme="minorHAnsi" w:cstheme="minorHAnsi"/>
          <w:color w:val="000000" w:themeColor="text1"/>
          <w:sz w:val="20"/>
          <w:szCs w:val="20"/>
        </w:rPr>
        <w:t>PSHE – Personal, Social, Health and Economic education</w:t>
      </w:r>
    </w:p>
    <w:p w:rsidR="00B707EF" w:rsidRPr="009B3747" w:rsidRDefault="00B707EF" w:rsidP="00047325">
      <w:pPr>
        <w:pStyle w:val="NormalWeb"/>
        <w:spacing w:before="0" w:beforeAutospacing="0" w:after="0" w:afterAutospacing="0" w:line="360" w:lineRule="auto"/>
        <w:rPr>
          <w:rFonts w:asciiTheme="minorHAnsi" w:hAnsiTheme="minorHAnsi" w:cstheme="minorHAnsi"/>
          <w:color w:val="000000" w:themeColor="text1"/>
          <w:sz w:val="20"/>
          <w:szCs w:val="20"/>
        </w:rPr>
      </w:pPr>
      <w:r w:rsidRPr="009B3747">
        <w:rPr>
          <w:rFonts w:asciiTheme="minorHAnsi" w:hAnsiTheme="minorHAnsi" w:cstheme="minorHAnsi"/>
          <w:color w:val="000000" w:themeColor="text1"/>
          <w:sz w:val="20"/>
          <w:szCs w:val="20"/>
        </w:rPr>
        <w:t>SEM – Socio-ecological model</w:t>
      </w:r>
    </w:p>
    <w:p w:rsidR="00047325" w:rsidRPr="009B3747" w:rsidRDefault="00047325" w:rsidP="00047325">
      <w:pPr>
        <w:pStyle w:val="NormalWeb"/>
        <w:spacing w:before="0" w:beforeAutospacing="0" w:after="0" w:afterAutospacing="0" w:line="360" w:lineRule="auto"/>
        <w:rPr>
          <w:rFonts w:asciiTheme="minorHAnsi" w:hAnsiTheme="minorHAnsi" w:cstheme="minorHAnsi"/>
          <w:color w:val="000000" w:themeColor="text1"/>
          <w:sz w:val="20"/>
          <w:szCs w:val="20"/>
        </w:rPr>
      </w:pPr>
      <w:r w:rsidRPr="009B3747">
        <w:rPr>
          <w:rFonts w:asciiTheme="minorHAnsi" w:hAnsiTheme="minorHAnsi" w:cstheme="minorHAnsi"/>
          <w:color w:val="000000" w:themeColor="text1"/>
          <w:sz w:val="20"/>
          <w:szCs w:val="20"/>
        </w:rPr>
        <w:t>SPSS – Statistical Package for Social Sciences</w:t>
      </w:r>
    </w:p>
    <w:p w:rsidR="00047325" w:rsidRPr="009B3747" w:rsidRDefault="00047325" w:rsidP="00047325">
      <w:pPr>
        <w:pStyle w:val="NormalWeb"/>
        <w:spacing w:before="0" w:beforeAutospacing="0" w:after="0" w:afterAutospacing="0" w:line="360" w:lineRule="auto"/>
        <w:rPr>
          <w:rFonts w:asciiTheme="minorHAnsi" w:hAnsiTheme="minorHAnsi" w:cstheme="minorHAnsi"/>
          <w:color w:val="000000" w:themeColor="text1"/>
          <w:sz w:val="20"/>
          <w:szCs w:val="20"/>
        </w:rPr>
      </w:pPr>
      <w:r w:rsidRPr="009B3747">
        <w:rPr>
          <w:rFonts w:asciiTheme="minorHAnsi" w:hAnsiTheme="minorHAnsi" w:cstheme="minorHAnsi"/>
          <w:color w:val="000000" w:themeColor="text1"/>
          <w:sz w:val="20"/>
          <w:szCs w:val="20"/>
        </w:rPr>
        <w:t>UK – United Kingdom</w:t>
      </w:r>
    </w:p>
    <w:p w:rsidR="00047325" w:rsidRPr="009B3747" w:rsidRDefault="00047325" w:rsidP="00047325">
      <w:pPr>
        <w:pStyle w:val="NormalWeb"/>
        <w:spacing w:before="0" w:beforeAutospacing="0" w:after="0" w:afterAutospacing="0" w:line="360" w:lineRule="auto"/>
        <w:rPr>
          <w:rFonts w:asciiTheme="minorHAnsi" w:hAnsiTheme="minorHAnsi" w:cstheme="minorHAnsi"/>
          <w:color w:val="000000" w:themeColor="text1"/>
          <w:sz w:val="20"/>
          <w:szCs w:val="20"/>
        </w:rPr>
      </w:pPr>
      <w:r w:rsidRPr="009B3747">
        <w:rPr>
          <w:rFonts w:asciiTheme="minorHAnsi" w:hAnsiTheme="minorHAnsi" w:cstheme="minorHAnsi"/>
          <w:color w:val="000000" w:themeColor="text1"/>
          <w:sz w:val="20"/>
          <w:szCs w:val="20"/>
        </w:rPr>
        <w:t>USA – United States of America</w:t>
      </w:r>
    </w:p>
    <w:p w:rsidR="00B707EF" w:rsidRPr="009B3747" w:rsidRDefault="00B707EF" w:rsidP="00047325">
      <w:pPr>
        <w:pStyle w:val="NormalWeb"/>
        <w:spacing w:before="0" w:beforeAutospacing="0" w:after="0" w:afterAutospacing="0" w:line="360" w:lineRule="auto"/>
        <w:rPr>
          <w:rFonts w:asciiTheme="minorHAnsi" w:hAnsiTheme="minorHAnsi" w:cstheme="minorHAnsi"/>
          <w:color w:val="000000" w:themeColor="text1"/>
          <w:sz w:val="20"/>
          <w:szCs w:val="20"/>
        </w:rPr>
      </w:pPr>
      <w:r w:rsidRPr="009B3747">
        <w:rPr>
          <w:rFonts w:asciiTheme="minorHAnsi" w:hAnsiTheme="minorHAnsi" w:cstheme="minorHAnsi"/>
          <w:color w:val="000000" w:themeColor="text1"/>
          <w:sz w:val="20"/>
          <w:szCs w:val="20"/>
        </w:rPr>
        <w:t xml:space="preserve">WHO – World Health Organization </w:t>
      </w:r>
    </w:p>
    <w:p w:rsidR="00846B21" w:rsidRDefault="00846B21" w:rsidP="00047325">
      <w:pPr>
        <w:pStyle w:val="NormalWeb"/>
        <w:spacing w:before="0" w:beforeAutospacing="0" w:after="0" w:afterAutospacing="0" w:line="360" w:lineRule="auto"/>
        <w:rPr>
          <w:rFonts w:asciiTheme="minorHAnsi" w:hAnsiTheme="minorHAnsi" w:cstheme="minorHAnsi"/>
          <w:color w:val="000000" w:themeColor="text1"/>
          <w:sz w:val="20"/>
          <w:szCs w:val="20"/>
        </w:rPr>
      </w:pPr>
      <w:r w:rsidRPr="009B3747">
        <w:rPr>
          <w:rFonts w:asciiTheme="minorHAnsi" w:hAnsiTheme="minorHAnsi" w:cstheme="minorHAnsi"/>
          <w:color w:val="000000" w:themeColor="text1"/>
          <w:sz w:val="20"/>
          <w:szCs w:val="20"/>
        </w:rPr>
        <w:t>WOF – World Obesity Federation</w:t>
      </w:r>
    </w:p>
    <w:p w:rsidR="007E6B3F" w:rsidRDefault="007E6B3F" w:rsidP="00047325">
      <w:pPr>
        <w:pStyle w:val="NormalWeb"/>
        <w:spacing w:before="0" w:beforeAutospacing="0" w:after="0" w:afterAutospacing="0" w:line="360" w:lineRule="auto"/>
        <w:rPr>
          <w:rFonts w:asciiTheme="minorHAnsi" w:hAnsiTheme="minorHAnsi" w:cstheme="minorHAnsi"/>
          <w:color w:val="000000" w:themeColor="text1"/>
          <w:sz w:val="20"/>
          <w:szCs w:val="20"/>
        </w:rPr>
      </w:pPr>
    </w:p>
    <w:p w:rsidR="007E6B3F" w:rsidRDefault="007E6B3F" w:rsidP="00047325">
      <w:pPr>
        <w:pStyle w:val="NormalWeb"/>
        <w:spacing w:before="0" w:beforeAutospacing="0" w:after="0" w:afterAutospacing="0" w:line="360" w:lineRule="auto"/>
        <w:rPr>
          <w:rFonts w:asciiTheme="minorHAnsi" w:hAnsiTheme="minorHAnsi" w:cstheme="minorHAnsi"/>
          <w:color w:val="000000" w:themeColor="text1"/>
          <w:sz w:val="20"/>
          <w:szCs w:val="20"/>
        </w:rPr>
      </w:pPr>
    </w:p>
    <w:p w:rsidR="007E6B3F" w:rsidRDefault="007E6B3F" w:rsidP="00047325">
      <w:pPr>
        <w:pStyle w:val="NormalWeb"/>
        <w:spacing w:before="0" w:beforeAutospacing="0" w:after="0" w:afterAutospacing="0" w:line="360" w:lineRule="auto"/>
        <w:rPr>
          <w:rFonts w:asciiTheme="minorHAnsi" w:hAnsiTheme="minorHAnsi" w:cstheme="minorHAnsi"/>
          <w:color w:val="000000" w:themeColor="text1"/>
          <w:sz w:val="20"/>
          <w:szCs w:val="20"/>
        </w:rPr>
      </w:pPr>
    </w:p>
    <w:p w:rsidR="007E6B3F" w:rsidRDefault="007E6B3F" w:rsidP="00047325">
      <w:pPr>
        <w:pStyle w:val="NormalWeb"/>
        <w:spacing w:before="0" w:beforeAutospacing="0" w:after="0" w:afterAutospacing="0" w:line="360" w:lineRule="auto"/>
        <w:rPr>
          <w:rFonts w:asciiTheme="minorHAnsi" w:hAnsiTheme="minorHAnsi" w:cstheme="minorHAnsi"/>
          <w:color w:val="000000" w:themeColor="text1"/>
          <w:sz w:val="20"/>
          <w:szCs w:val="20"/>
        </w:rPr>
      </w:pPr>
    </w:p>
    <w:p w:rsidR="007E6B3F" w:rsidRPr="009B3747" w:rsidRDefault="007E6B3F" w:rsidP="00047325">
      <w:pPr>
        <w:pStyle w:val="NormalWeb"/>
        <w:spacing w:before="0" w:beforeAutospacing="0" w:after="0" w:afterAutospacing="0" w:line="360" w:lineRule="auto"/>
        <w:rPr>
          <w:rFonts w:asciiTheme="minorHAnsi" w:hAnsiTheme="minorHAnsi" w:cstheme="minorHAnsi"/>
          <w:sz w:val="20"/>
          <w:szCs w:val="20"/>
        </w:rPr>
      </w:pPr>
    </w:p>
    <w:p w:rsidR="007E6B3F" w:rsidRDefault="00BA5286" w:rsidP="007E6B3F">
      <w:pPr>
        <w:spacing w:line="276" w:lineRule="auto"/>
        <w:rPr>
          <w:b/>
          <w:sz w:val="32"/>
          <w:szCs w:val="32"/>
          <w:u w:val="single"/>
        </w:rPr>
      </w:pPr>
      <w:r w:rsidRPr="009B3747">
        <w:rPr>
          <w:rFonts w:cstheme="minorHAnsi"/>
          <w:sz w:val="20"/>
          <w:szCs w:val="20"/>
        </w:rPr>
        <w:lastRenderedPageBreak/>
        <w:t> </w:t>
      </w:r>
      <w:r w:rsidR="007E6B3F">
        <w:rPr>
          <w:b/>
          <w:sz w:val="32"/>
          <w:szCs w:val="32"/>
          <w:u w:val="single"/>
        </w:rPr>
        <w:t>Framework of the PhD</w:t>
      </w:r>
    </w:p>
    <w:p w:rsidR="007E6B3F" w:rsidRDefault="007E6B3F" w:rsidP="007E6B3F">
      <w:pPr>
        <w:spacing w:line="276" w:lineRule="auto"/>
        <w:rPr>
          <w:b/>
          <w:sz w:val="32"/>
          <w:szCs w:val="32"/>
          <w:u w:val="single"/>
        </w:rPr>
      </w:pPr>
    </w:p>
    <w:p w:rsidR="007E6B3F" w:rsidRDefault="007E6B3F" w:rsidP="007E6B3F">
      <w:r>
        <w:t xml:space="preserve">An overarching research question guided the entire PhD and three distinct research aims were established to all address the question posed.  The first two aims reflected the necessity to undertake empirical research, both qualitative and quantitative, in a sequential and integrated manner.  The third aim relates to the requirement for a systematic review and qualitative synthesis to be conducted, in order to inform the research design, data collection methods and the resulting discussion chapter within the thesis.    </w:t>
      </w:r>
    </w:p>
    <w:p w:rsidR="007E6B3F" w:rsidRDefault="007E6B3F" w:rsidP="007E6B3F">
      <w:pPr>
        <w:spacing w:line="276" w:lineRule="auto"/>
      </w:pPr>
    </w:p>
    <w:p w:rsidR="007E6B3F" w:rsidRDefault="00515C73" w:rsidP="007E6B3F">
      <w:pPr>
        <w:tabs>
          <w:tab w:val="left" w:pos="5653"/>
        </w:tabs>
        <w:spacing w:line="276" w:lineRule="auto"/>
      </w:pPr>
      <w:r>
        <w:rPr>
          <w:noProof/>
          <w:lang w:eastAsia="en-GB"/>
        </w:rPr>
        <mc:AlternateContent>
          <mc:Choice Requires="wps">
            <w:drawing>
              <wp:anchor distT="0" distB="0" distL="114300" distR="114300" simplePos="0" relativeHeight="251692032" behindDoc="1" locked="0" layoutInCell="1" allowOverlap="1" wp14:anchorId="6A8B329A" wp14:editId="79211E60">
                <wp:simplePos x="0" y="0"/>
                <wp:positionH relativeFrom="column">
                  <wp:posOffset>256540</wp:posOffset>
                </wp:positionH>
                <wp:positionV relativeFrom="paragraph">
                  <wp:posOffset>171450</wp:posOffset>
                </wp:positionV>
                <wp:extent cx="5133975" cy="8001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5133975" cy="800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1EBF" w:rsidRPr="00A76290" w:rsidRDefault="00071EBF" w:rsidP="007E6B3F">
                            <w:pPr>
                              <w:jc w:val="center"/>
                              <w:rPr>
                                <w:rFonts w:eastAsia="Times New Roman" w:cstheme="minorHAnsi"/>
                                <w:b/>
                                <w:color w:val="000000" w:themeColor="text1"/>
                                <w:u w:val="single"/>
                                <w:lang w:eastAsia="en-GB"/>
                                <w14:textOutline w14:w="0" w14:cap="flat" w14:cmpd="sng" w14:algn="ctr">
                                  <w14:noFill/>
                                  <w14:prstDash w14:val="solid"/>
                                  <w14:round/>
                                </w14:textOutline>
                              </w:rPr>
                            </w:pPr>
                            <w:r w:rsidRPr="00A76290">
                              <w:rPr>
                                <w:rFonts w:eastAsia="Times New Roman" w:cstheme="minorHAnsi"/>
                                <w:b/>
                                <w:color w:val="000000" w:themeColor="text1"/>
                                <w:u w:val="single"/>
                                <w:lang w:eastAsia="en-GB"/>
                                <w14:textOutline w14:w="0" w14:cap="flat" w14:cmpd="sng" w14:algn="ctr">
                                  <w14:noFill/>
                                  <w14:prstDash w14:val="solid"/>
                                  <w14:round/>
                                </w14:textOutline>
                              </w:rPr>
                              <w:t xml:space="preserve">Overarching research question </w:t>
                            </w:r>
                          </w:p>
                          <w:p w:rsidR="00071EBF" w:rsidRPr="00A76290" w:rsidRDefault="00071EBF" w:rsidP="007E6B3F">
                            <w:pPr>
                              <w:jc w:val="center"/>
                              <w:rPr>
                                <w:rFonts w:eastAsia="Times New Roman" w:cstheme="minorHAnsi"/>
                                <w:color w:val="000000" w:themeColor="text1"/>
                                <w:lang w:eastAsia="en-GB"/>
                                <w14:textOutline w14:w="0" w14:cap="flat" w14:cmpd="sng" w14:algn="ctr">
                                  <w14:noFill/>
                                  <w14:prstDash w14:val="solid"/>
                                  <w14:round/>
                                </w14:textOutline>
                              </w:rPr>
                            </w:pPr>
                            <w:r w:rsidRPr="00A76290">
                              <w:rPr>
                                <w:rFonts w:eastAsia="Times New Roman" w:cstheme="minorHAnsi"/>
                                <w:color w:val="000000" w:themeColor="text1"/>
                                <w:lang w:eastAsia="en-GB"/>
                                <w14:textOutline w14:w="0" w14:cap="flat" w14:cmpd="sng" w14:algn="ctr">
                                  <w14:noFill/>
                                  <w14:prstDash w14:val="solid"/>
                                  <w14:round/>
                                </w14:textOutline>
                              </w:rPr>
                              <w:t>What are headteachers’ and chairs of governors’ perspectives on adolescent obesity and its prevention in English secondary school settings?</w:t>
                            </w:r>
                          </w:p>
                          <w:p w:rsidR="00071EBF" w:rsidRPr="00333EAD" w:rsidRDefault="00071EBF" w:rsidP="007E6B3F">
                            <w:pPr>
                              <w:jc w:val="center"/>
                              <w:rPr>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B329A" id="Rectangle 7" o:spid="_x0000_s1026" style="position:absolute;margin-left:20.2pt;margin-top:13.5pt;width:404.25pt;height:6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" filled="f" strokecolor="black [3213]" strokeweight="1pt">
                <v:textbox>
                  <w:txbxContent>
                    <w:p w:rsidR="00071EBF" w:rsidRPr="00A76290" w:rsidRDefault="00071EBF" w:rsidP="007E6B3F">
                      <w:pPr>
                        <w:jc w:val="center"/>
                        <w:rPr>
                          <w:rFonts w:eastAsia="Times New Roman" w:cstheme="minorHAnsi"/>
                          <w:b/>
                          <w:color w:val="000000" w:themeColor="text1"/>
                          <w:u w:val="single"/>
                          <w:lang w:eastAsia="en-GB"/>
                          <w14:textOutline w14:w="0" w14:cap="flat" w14:cmpd="sng" w14:algn="ctr">
                            <w14:noFill/>
                            <w14:prstDash w14:val="solid"/>
                            <w14:round/>
                          </w14:textOutline>
                        </w:rPr>
                      </w:pPr>
                      <w:r w:rsidRPr="00A76290">
                        <w:rPr>
                          <w:rFonts w:eastAsia="Times New Roman" w:cstheme="minorHAnsi"/>
                          <w:b/>
                          <w:color w:val="000000" w:themeColor="text1"/>
                          <w:u w:val="single"/>
                          <w:lang w:eastAsia="en-GB"/>
                          <w14:textOutline w14:w="0" w14:cap="flat" w14:cmpd="sng" w14:algn="ctr">
                            <w14:noFill/>
                            <w14:prstDash w14:val="solid"/>
                            <w14:round/>
                          </w14:textOutline>
                        </w:rPr>
                        <w:t xml:space="preserve">Overarching research question </w:t>
                      </w:r>
                    </w:p>
                    <w:p w:rsidR="00071EBF" w:rsidRPr="00A76290" w:rsidRDefault="00071EBF" w:rsidP="007E6B3F">
                      <w:pPr>
                        <w:jc w:val="center"/>
                        <w:rPr>
                          <w:rFonts w:eastAsia="Times New Roman" w:cstheme="minorHAnsi"/>
                          <w:color w:val="000000" w:themeColor="text1"/>
                          <w:lang w:eastAsia="en-GB"/>
                          <w14:textOutline w14:w="0" w14:cap="flat" w14:cmpd="sng" w14:algn="ctr">
                            <w14:noFill/>
                            <w14:prstDash w14:val="solid"/>
                            <w14:round/>
                          </w14:textOutline>
                        </w:rPr>
                      </w:pPr>
                      <w:r w:rsidRPr="00A76290">
                        <w:rPr>
                          <w:rFonts w:eastAsia="Times New Roman" w:cstheme="minorHAnsi"/>
                          <w:color w:val="000000" w:themeColor="text1"/>
                          <w:lang w:eastAsia="en-GB"/>
                          <w14:textOutline w14:w="0" w14:cap="flat" w14:cmpd="sng" w14:algn="ctr">
                            <w14:noFill/>
                            <w14:prstDash w14:val="solid"/>
                            <w14:round/>
                          </w14:textOutline>
                        </w:rPr>
                        <w:t>What are headteachers’ and chairs of governors’ perspectives on adolescent obesity and its prevention in English secondary school settings?</w:t>
                      </w:r>
                    </w:p>
                    <w:p w:rsidR="00071EBF" w:rsidRPr="00333EAD" w:rsidRDefault="00071EBF" w:rsidP="007E6B3F">
                      <w:pPr>
                        <w:jc w:val="center"/>
                        <w:rPr>
                          <w14:textOutline w14:w="9525" w14:cap="rnd" w14:cmpd="sng" w14:algn="ctr">
                            <w14:solidFill>
                              <w14:srgbClr w14:val="000000"/>
                            </w14:solidFill>
                            <w14:prstDash w14:val="solid"/>
                            <w14:bevel/>
                          </w14:textOutline>
                        </w:rPr>
                      </w:pPr>
                    </w:p>
                  </w:txbxContent>
                </v:textbox>
              </v:rect>
            </w:pict>
          </mc:Fallback>
        </mc:AlternateContent>
      </w:r>
      <w:r w:rsidR="007E6B3F">
        <w:tab/>
      </w:r>
    </w:p>
    <w:p w:rsidR="007E6B3F" w:rsidRDefault="007E6B3F" w:rsidP="007E6B3F">
      <w:pPr>
        <w:spacing w:line="276" w:lineRule="auto"/>
      </w:pPr>
    </w:p>
    <w:p w:rsidR="007E6B3F" w:rsidRDefault="007E6B3F" w:rsidP="007E6B3F">
      <w:pPr>
        <w:spacing w:line="276" w:lineRule="auto"/>
      </w:pPr>
    </w:p>
    <w:p w:rsidR="007E6B3F" w:rsidRPr="00290251" w:rsidRDefault="007E6B3F" w:rsidP="007E6B3F"/>
    <w:p w:rsidR="007E6B3F" w:rsidRDefault="007E6B3F" w:rsidP="007E6B3F">
      <w:pPr>
        <w:spacing w:line="276" w:lineRule="auto"/>
      </w:pPr>
    </w:p>
    <w:p w:rsidR="007E6B3F" w:rsidRDefault="007E6B3F" w:rsidP="007E6B3F">
      <w:pPr>
        <w:spacing w:line="276" w:lineRule="auto"/>
      </w:pPr>
    </w:p>
    <w:p w:rsidR="007E6B3F" w:rsidRPr="00073321" w:rsidRDefault="00515C73" w:rsidP="007E6B3F">
      <w:pPr>
        <w:spacing w:line="276" w:lineRule="auto"/>
        <w:rPr>
          <w:rFonts w:eastAsia="Times New Roman" w:cstheme="minorHAnsi"/>
          <w:lang w:eastAsia="en-GB"/>
        </w:rPr>
      </w:pPr>
      <w:r>
        <w:rPr>
          <w:noProof/>
          <w:lang w:eastAsia="en-GB"/>
        </w:rPr>
        <mc:AlternateContent>
          <mc:Choice Requires="wps">
            <w:drawing>
              <wp:anchor distT="0" distB="0" distL="114300" distR="114300" simplePos="0" relativeHeight="251693056" behindDoc="0" locked="0" layoutInCell="1" allowOverlap="1" wp14:anchorId="06974051" wp14:editId="738B0537">
                <wp:simplePos x="0" y="0"/>
                <wp:positionH relativeFrom="column">
                  <wp:posOffset>-344805</wp:posOffset>
                </wp:positionH>
                <wp:positionV relativeFrom="paragraph">
                  <wp:posOffset>172085</wp:posOffset>
                </wp:positionV>
                <wp:extent cx="3179445" cy="1433830"/>
                <wp:effectExtent l="0" t="0" r="20955" b="13970"/>
                <wp:wrapNone/>
                <wp:docPr id="9" name="Rectangle 9"/>
                <wp:cNvGraphicFramePr/>
                <a:graphic xmlns:a="http://schemas.openxmlformats.org/drawingml/2006/main">
                  <a:graphicData uri="http://schemas.microsoft.com/office/word/2010/wordprocessingShape">
                    <wps:wsp>
                      <wps:cNvSpPr/>
                      <wps:spPr>
                        <a:xfrm>
                          <a:off x="0" y="0"/>
                          <a:ext cx="3179445" cy="14338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1EBF" w:rsidRPr="00A76290" w:rsidRDefault="00071EBF" w:rsidP="007E6B3F">
                            <w:pPr>
                              <w:spacing w:line="240" w:lineRule="auto"/>
                              <w:jc w:val="center"/>
                              <w:rPr>
                                <w:rFonts w:eastAsia="Times New Roman" w:cstheme="minorHAnsi"/>
                                <w:b/>
                                <w:color w:val="000000" w:themeColor="text1"/>
                                <w:u w:val="single"/>
                                <w:lang w:eastAsia="en-GB"/>
                                <w14:textOutline w14:w="0" w14:cap="flat" w14:cmpd="sng" w14:algn="ctr">
                                  <w14:noFill/>
                                  <w14:prstDash w14:val="solid"/>
                                  <w14:round/>
                                </w14:textOutline>
                              </w:rPr>
                            </w:pPr>
                            <w:r>
                              <w:rPr>
                                <w:rFonts w:eastAsia="Times New Roman" w:cstheme="minorHAnsi"/>
                                <w:b/>
                                <w:color w:val="000000" w:themeColor="text1"/>
                                <w:u w:val="single"/>
                                <w:lang w:eastAsia="en-GB"/>
                                <w14:textOutline w14:w="0" w14:cap="flat" w14:cmpd="sng" w14:algn="ctr">
                                  <w14:noFill/>
                                  <w14:prstDash w14:val="solid"/>
                                  <w14:round/>
                                </w14:textOutline>
                              </w:rPr>
                              <w:t>Research a</w:t>
                            </w:r>
                            <w:r w:rsidRPr="00A76290">
                              <w:rPr>
                                <w:rFonts w:eastAsia="Times New Roman" w:cstheme="minorHAnsi"/>
                                <w:b/>
                                <w:color w:val="000000" w:themeColor="text1"/>
                                <w:u w:val="single"/>
                                <w:lang w:eastAsia="en-GB"/>
                                <w14:textOutline w14:w="0" w14:cap="flat" w14:cmpd="sng" w14:algn="ctr">
                                  <w14:noFill/>
                                  <w14:prstDash w14:val="solid"/>
                                  <w14:round/>
                                </w14:textOutline>
                              </w:rPr>
                              <w:t>im 1</w:t>
                            </w:r>
                          </w:p>
                          <w:p w:rsidR="00071EBF" w:rsidRDefault="00071EBF" w:rsidP="007E6B3F">
                            <w:pPr>
                              <w:spacing w:line="240" w:lineRule="auto"/>
                              <w:jc w:val="center"/>
                              <w:rPr>
                                <w:rFonts w:eastAsia="Times New Roman" w:cstheme="minorHAnsi"/>
                                <w:color w:val="000000" w:themeColor="text1"/>
                                <w:sz w:val="20"/>
                                <w:szCs w:val="20"/>
                                <w:lang w:eastAsia="en-GB"/>
                                <w14:textOutline w14:w="0" w14:cap="flat" w14:cmpd="sng" w14:algn="ctr">
                                  <w14:noFill/>
                                  <w14:prstDash w14:val="solid"/>
                                  <w14:round/>
                                </w14:textOutline>
                              </w:rPr>
                            </w:pPr>
                            <w:r>
                              <w:rPr>
                                <w:rFonts w:eastAsia="Times New Roman" w:cstheme="minorHAnsi"/>
                                <w:color w:val="000000" w:themeColor="text1"/>
                                <w:sz w:val="20"/>
                                <w:szCs w:val="20"/>
                                <w:lang w:eastAsia="en-GB"/>
                                <w14:textOutline w14:w="0" w14:cap="flat" w14:cmpd="sng" w14:algn="ctr">
                                  <w14:noFill/>
                                  <w14:prstDash w14:val="solid"/>
                                  <w14:round/>
                                </w14:textOutline>
                              </w:rPr>
                              <w:t>E</w:t>
                            </w:r>
                            <w:r w:rsidRPr="00333EAD">
                              <w:rPr>
                                <w:rFonts w:eastAsia="Times New Roman" w:cstheme="minorHAnsi"/>
                                <w:color w:val="000000" w:themeColor="text1"/>
                                <w:sz w:val="20"/>
                                <w:szCs w:val="20"/>
                                <w:lang w:eastAsia="en-GB"/>
                                <w14:textOutline w14:w="0" w14:cap="flat" w14:cmpd="sng" w14:algn="ctr">
                                  <w14:noFill/>
                                  <w14:prstDash w14:val="solid"/>
                                  <w14:round/>
                                </w14:textOutline>
                              </w:rPr>
                              <w:t>xplore and understand in-depth headteachers’ and chairs of governors’ views and experiences of adolescent obesity and its prevention in English secondary school setting</w:t>
                            </w:r>
                            <w:r>
                              <w:rPr>
                                <w:rFonts w:eastAsia="Times New Roman" w:cstheme="minorHAnsi"/>
                                <w:color w:val="000000" w:themeColor="text1"/>
                                <w:sz w:val="20"/>
                                <w:szCs w:val="20"/>
                                <w:lang w:eastAsia="en-GB"/>
                                <w14:textOutline w14:w="0" w14:cap="flat" w14:cmpd="sng" w14:algn="ctr">
                                  <w14:noFill/>
                                  <w14:prstDash w14:val="solid"/>
                                  <w14:round/>
                                </w14:textOutline>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74051" id="Rectangle 9" o:spid="_x0000_s1027" style="position:absolute;margin-left:-27.15pt;margin-top:13.55pt;width:250.35pt;height:112.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" filled="f" strokecolor="black [3213]" strokeweight="1pt">
                <v:textbox>
                  <w:txbxContent>
                    <w:p w:rsidR="00071EBF" w:rsidRPr="00A76290" w:rsidRDefault="00071EBF" w:rsidP="007E6B3F">
                      <w:pPr>
                        <w:spacing w:line="240" w:lineRule="auto"/>
                        <w:jc w:val="center"/>
                        <w:rPr>
                          <w:rFonts w:eastAsia="Times New Roman" w:cstheme="minorHAnsi"/>
                          <w:b/>
                          <w:color w:val="000000" w:themeColor="text1"/>
                          <w:u w:val="single"/>
                          <w:lang w:eastAsia="en-GB"/>
                          <w14:textOutline w14:w="0" w14:cap="flat" w14:cmpd="sng" w14:algn="ctr">
                            <w14:noFill/>
                            <w14:prstDash w14:val="solid"/>
                            <w14:round/>
                          </w14:textOutline>
                        </w:rPr>
                      </w:pPr>
                      <w:r>
                        <w:rPr>
                          <w:rFonts w:eastAsia="Times New Roman" w:cstheme="minorHAnsi"/>
                          <w:b/>
                          <w:color w:val="000000" w:themeColor="text1"/>
                          <w:u w:val="single"/>
                          <w:lang w:eastAsia="en-GB"/>
                          <w14:textOutline w14:w="0" w14:cap="flat" w14:cmpd="sng" w14:algn="ctr">
                            <w14:noFill/>
                            <w14:prstDash w14:val="solid"/>
                            <w14:round/>
                          </w14:textOutline>
                        </w:rPr>
                        <w:t>Research a</w:t>
                      </w:r>
                      <w:r w:rsidRPr="00A76290">
                        <w:rPr>
                          <w:rFonts w:eastAsia="Times New Roman" w:cstheme="minorHAnsi"/>
                          <w:b/>
                          <w:color w:val="000000" w:themeColor="text1"/>
                          <w:u w:val="single"/>
                          <w:lang w:eastAsia="en-GB"/>
                          <w14:textOutline w14:w="0" w14:cap="flat" w14:cmpd="sng" w14:algn="ctr">
                            <w14:noFill/>
                            <w14:prstDash w14:val="solid"/>
                            <w14:round/>
                          </w14:textOutline>
                        </w:rPr>
                        <w:t>im 1</w:t>
                      </w:r>
                    </w:p>
                    <w:p w:rsidR="00071EBF" w:rsidRDefault="00071EBF" w:rsidP="007E6B3F">
                      <w:pPr>
                        <w:spacing w:line="240" w:lineRule="auto"/>
                        <w:jc w:val="center"/>
                        <w:rPr>
                          <w:rFonts w:eastAsia="Times New Roman" w:cstheme="minorHAnsi"/>
                          <w:color w:val="000000" w:themeColor="text1"/>
                          <w:sz w:val="20"/>
                          <w:szCs w:val="20"/>
                          <w:lang w:eastAsia="en-GB"/>
                          <w14:textOutline w14:w="0" w14:cap="flat" w14:cmpd="sng" w14:algn="ctr">
                            <w14:noFill/>
                            <w14:prstDash w14:val="solid"/>
                            <w14:round/>
                          </w14:textOutline>
                        </w:rPr>
                      </w:pPr>
                      <w:r>
                        <w:rPr>
                          <w:rFonts w:eastAsia="Times New Roman" w:cstheme="minorHAnsi"/>
                          <w:color w:val="000000" w:themeColor="text1"/>
                          <w:sz w:val="20"/>
                          <w:szCs w:val="20"/>
                          <w:lang w:eastAsia="en-GB"/>
                          <w14:textOutline w14:w="0" w14:cap="flat" w14:cmpd="sng" w14:algn="ctr">
                            <w14:noFill/>
                            <w14:prstDash w14:val="solid"/>
                            <w14:round/>
                          </w14:textOutline>
                        </w:rPr>
                        <w:t>E</w:t>
                      </w:r>
                      <w:r w:rsidRPr="00333EAD">
                        <w:rPr>
                          <w:rFonts w:eastAsia="Times New Roman" w:cstheme="minorHAnsi"/>
                          <w:color w:val="000000" w:themeColor="text1"/>
                          <w:sz w:val="20"/>
                          <w:szCs w:val="20"/>
                          <w:lang w:eastAsia="en-GB"/>
                          <w14:textOutline w14:w="0" w14:cap="flat" w14:cmpd="sng" w14:algn="ctr">
                            <w14:noFill/>
                            <w14:prstDash w14:val="solid"/>
                            <w14:round/>
                          </w14:textOutline>
                        </w:rPr>
                        <w:t>xplore and understand in-depth headteachers’ and chairs of governors’ views and experiences of adolescent obesity and its prevention in English secondary school setting</w:t>
                      </w:r>
                      <w:r>
                        <w:rPr>
                          <w:rFonts w:eastAsia="Times New Roman" w:cstheme="minorHAnsi"/>
                          <w:color w:val="000000" w:themeColor="text1"/>
                          <w:sz w:val="20"/>
                          <w:szCs w:val="20"/>
                          <w:lang w:eastAsia="en-GB"/>
                          <w14:textOutline w14:w="0" w14:cap="flat" w14:cmpd="sng" w14:algn="ctr">
                            <w14:noFill/>
                            <w14:prstDash w14:val="solid"/>
                            <w14:round/>
                          </w14:textOutline>
                        </w:rPr>
                        <w:t>s</w:t>
                      </w:r>
                    </w:p>
                  </w:txbxContent>
                </v:textbox>
              </v:rect>
            </w:pict>
          </mc:Fallback>
        </mc:AlternateContent>
      </w:r>
    </w:p>
    <w:p w:rsidR="007E6B3F" w:rsidRPr="00073321" w:rsidRDefault="007E6B3F" w:rsidP="007E6B3F">
      <w:pPr>
        <w:spacing w:line="276" w:lineRule="auto"/>
        <w:rPr>
          <w:rFonts w:eastAsia="Times New Roman" w:cstheme="minorHAnsi"/>
          <w:lang w:eastAsia="en-GB"/>
        </w:rPr>
      </w:pPr>
    </w:p>
    <w:p w:rsidR="007E6B3F" w:rsidRDefault="00515C73" w:rsidP="007E6B3F">
      <w:pPr>
        <w:spacing w:line="276" w:lineRule="auto"/>
        <w:rPr>
          <w:rFonts w:eastAsia="Times New Roman" w:cstheme="minorHAnsi"/>
          <w:lang w:eastAsia="en-GB"/>
        </w:rPr>
      </w:pPr>
      <w:r>
        <w:rPr>
          <w:noProof/>
          <w:lang w:eastAsia="en-GB"/>
        </w:rPr>
        <mc:AlternateContent>
          <mc:Choice Requires="wps">
            <w:drawing>
              <wp:anchor distT="0" distB="0" distL="114300" distR="114300" simplePos="0" relativeHeight="251696128" behindDoc="0" locked="0" layoutInCell="1" allowOverlap="1" wp14:anchorId="37540C1D" wp14:editId="2E617533">
                <wp:simplePos x="0" y="0"/>
                <wp:positionH relativeFrom="column">
                  <wp:posOffset>3933825</wp:posOffset>
                </wp:positionH>
                <wp:positionV relativeFrom="paragraph">
                  <wp:posOffset>41275</wp:posOffset>
                </wp:positionV>
                <wp:extent cx="2251710" cy="847725"/>
                <wp:effectExtent l="0" t="0" r="15240" b="28575"/>
                <wp:wrapNone/>
                <wp:docPr id="12" name="Rectangle 12"/>
                <wp:cNvGraphicFramePr/>
                <a:graphic xmlns:a="http://schemas.openxmlformats.org/drawingml/2006/main">
                  <a:graphicData uri="http://schemas.microsoft.com/office/word/2010/wordprocessingShape">
                    <wps:wsp>
                      <wps:cNvSpPr/>
                      <wps:spPr>
                        <a:xfrm>
                          <a:off x="0" y="0"/>
                          <a:ext cx="2251710" cy="8477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1EBF" w:rsidRPr="00A76290" w:rsidRDefault="00071EBF" w:rsidP="007E6B3F">
                            <w:pPr>
                              <w:spacing w:line="240" w:lineRule="auto"/>
                              <w:jc w:val="center"/>
                              <w:rPr>
                                <w:rFonts w:eastAsia="Times New Roman" w:cstheme="minorHAnsi"/>
                                <w:b/>
                                <w:color w:val="000000" w:themeColor="text1"/>
                                <w:u w:val="single"/>
                                <w:lang w:eastAsia="en-GB"/>
                                <w14:textOutline w14:w="0" w14:cap="flat" w14:cmpd="sng" w14:algn="ctr">
                                  <w14:noFill/>
                                  <w14:prstDash w14:val="solid"/>
                                  <w14:round/>
                                </w14:textOutline>
                              </w:rPr>
                            </w:pPr>
                            <w:r>
                              <w:rPr>
                                <w:rFonts w:eastAsia="Times New Roman" w:cstheme="minorHAnsi"/>
                                <w:b/>
                                <w:color w:val="000000" w:themeColor="text1"/>
                                <w:u w:val="single"/>
                                <w:lang w:eastAsia="en-GB"/>
                                <w14:textOutline w14:w="0" w14:cap="flat" w14:cmpd="sng" w14:algn="ctr">
                                  <w14:noFill/>
                                  <w14:prstDash w14:val="solid"/>
                                  <w14:round/>
                                </w14:textOutline>
                              </w:rPr>
                              <w:t>Core qualitative phase</w:t>
                            </w:r>
                          </w:p>
                          <w:p w:rsidR="00071EBF" w:rsidRDefault="00071EBF" w:rsidP="007E6B3F">
                            <w:pPr>
                              <w:spacing w:line="240" w:lineRule="auto"/>
                              <w:jc w:val="center"/>
                              <w:rPr>
                                <w:rFonts w:eastAsia="Times New Roman" w:cstheme="minorHAnsi"/>
                                <w:color w:val="000000" w:themeColor="text1"/>
                                <w:sz w:val="20"/>
                                <w:szCs w:val="20"/>
                                <w:lang w:eastAsia="en-GB"/>
                                <w14:textOutline w14:w="0" w14:cap="flat" w14:cmpd="sng" w14:algn="ctr">
                                  <w14:noFill/>
                                  <w14:prstDash w14:val="solid"/>
                                  <w14:round/>
                                </w14:textOutline>
                              </w:rPr>
                            </w:pPr>
                            <w:r>
                              <w:rPr>
                                <w:rFonts w:eastAsia="Times New Roman" w:cstheme="minorHAnsi"/>
                                <w:color w:val="000000" w:themeColor="text1"/>
                                <w:sz w:val="20"/>
                                <w:szCs w:val="20"/>
                                <w:lang w:eastAsia="en-GB"/>
                                <w14:textOutline w14:w="0" w14:cap="flat" w14:cmpd="sng" w14:algn="ctr">
                                  <w14:noFill/>
                                  <w14:prstDash w14:val="solid"/>
                                  <w14:round/>
                                </w14:textOutline>
                              </w:rPr>
                              <w:t>Semi-structured interviews</w:t>
                            </w:r>
                          </w:p>
                          <w:p w:rsidR="00071EBF" w:rsidRPr="00333EAD" w:rsidRDefault="00071EBF" w:rsidP="007E6B3F">
                            <w:pPr>
                              <w:spacing w:line="240" w:lineRule="auto"/>
                              <w:jc w:val="center"/>
                              <w:rPr>
                                <w:rFonts w:eastAsia="Times New Roman" w:cstheme="minorHAnsi"/>
                                <w:color w:val="000000" w:themeColor="text1"/>
                                <w:sz w:val="20"/>
                                <w:szCs w:val="20"/>
                                <w:lang w:eastAsia="en-GB"/>
                                <w14:textOutline w14:w="0" w14:cap="flat" w14:cmpd="sng" w14:algn="ctr">
                                  <w14:noFill/>
                                  <w14:prstDash w14:val="solid"/>
                                  <w14:round/>
                                </w14:textOutline>
                              </w:rPr>
                            </w:pPr>
                            <w:r>
                              <w:rPr>
                                <w:rFonts w:eastAsia="Times New Roman" w:cstheme="minorHAnsi"/>
                                <w:color w:val="000000" w:themeColor="text1"/>
                                <w:sz w:val="20"/>
                                <w:szCs w:val="20"/>
                                <w:lang w:eastAsia="en-GB"/>
                                <w14:textOutline w14:w="0" w14:cap="flat" w14:cmpd="sng" w14:algn="ctr">
                                  <w14:noFill/>
                                  <w14:prstDash w14:val="solid"/>
                                  <w14:round/>
                                </w14:textOutline>
                              </w:rPr>
                              <w:t xml:space="preserve">Analysed using thematic analysis </w:t>
                            </w:r>
                          </w:p>
                          <w:p w:rsidR="00071EBF" w:rsidRPr="00B7182D" w:rsidRDefault="00071EBF" w:rsidP="007E6B3F">
                            <w:pPr>
                              <w:spacing w:line="240" w:lineRule="auto"/>
                              <w:jc w:val="center"/>
                              <w:rPr>
                                <w:rFonts w:eastAsia="Times New Roman" w:cstheme="minorHAnsi"/>
                                <w:color w:val="000000" w:themeColor="text1"/>
                                <w:sz w:val="20"/>
                                <w:szCs w:val="20"/>
                                <w:lang w:eastAsia="en-GB"/>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40C1D" id="Rectangle 12" o:spid="_x0000_s1028" style="position:absolute;margin-left:309.75pt;margin-top:3.25pt;width:177.3pt;height:6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" filled="f" strokecolor="black [3213]" strokeweight="1pt">
                <v:textbox>
                  <w:txbxContent>
                    <w:p w:rsidR="00071EBF" w:rsidRPr="00A76290" w:rsidRDefault="00071EBF" w:rsidP="007E6B3F">
                      <w:pPr>
                        <w:spacing w:line="240" w:lineRule="auto"/>
                        <w:jc w:val="center"/>
                        <w:rPr>
                          <w:rFonts w:eastAsia="Times New Roman" w:cstheme="minorHAnsi"/>
                          <w:b/>
                          <w:color w:val="000000" w:themeColor="text1"/>
                          <w:u w:val="single"/>
                          <w:lang w:eastAsia="en-GB"/>
                          <w14:textOutline w14:w="0" w14:cap="flat" w14:cmpd="sng" w14:algn="ctr">
                            <w14:noFill/>
                            <w14:prstDash w14:val="solid"/>
                            <w14:round/>
                          </w14:textOutline>
                        </w:rPr>
                      </w:pPr>
                      <w:r>
                        <w:rPr>
                          <w:rFonts w:eastAsia="Times New Roman" w:cstheme="minorHAnsi"/>
                          <w:b/>
                          <w:color w:val="000000" w:themeColor="text1"/>
                          <w:u w:val="single"/>
                          <w:lang w:eastAsia="en-GB"/>
                          <w14:textOutline w14:w="0" w14:cap="flat" w14:cmpd="sng" w14:algn="ctr">
                            <w14:noFill/>
                            <w14:prstDash w14:val="solid"/>
                            <w14:round/>
                          </w14:textOutline>
                        </w:rPr>
                        <w:t>Core qualitative phase</w:t>
                      </w:r>
                    </w:p>
                    <w:p w:rsidR="00071EBF" w:rsidRDefault="00071EBF" w:rsidP="007E6B3F">
                      <w:pPr>
                        <w:spacing w:line="240" w:lineRule="auto"/>
                        <w:jc w:val="center"/>
                        <w:rPr>
                          <w:rFonts w:eastAsia="Times New Roman" w:cstheme="minorHAnsi"/>
                          <w:color w:val="000000" w:themeColor="text1"/>
                          <w:sz w:val="20"/>
                          <w:szCs w:val="20"/>
                          <w:lang w:eastAsia="en-GB"/>
                          <w14:textOutline w14:w="0" w14:cap="flat" w14:cmpd="sng" w14:algn="ctr">
                            <w14:noFill/>
                            <w14:prstDash w14:val="solid"/>
                            <w14:round/>
                          </w14:textOutline>
                        </w:rPr>
                      </w:pPr>
                      <w:r>
                        <w:rPr>
                          <w:rFonts w:eastAsia="Times New Roman" w:cstheme="minorHAnsi"/>
                          <w:color w:val="000000" w:themeColor="text1"/>
                          <w:sz w:val="20"/>
                          <w:szCs w:val="20"/>
                          <w:lang w:eastAsia="en-GB"/>
                          <w14:textOutline w14:w="0" w14:cap="flat" w14:cmpd="sng" w14:algn="ctr">
                            <w14:noFill/>
                            <w14:prstDash w14:val="solid"/>
                            <w14:round/>
                          </w14:textOutline>
                        </w:rPr>
                        <w:t>Semi-structured interviews</w:t>
                      </w:r>
                    </w:p>
                    <w:p w:rsidR="00071EBF" w:rsidRPr="00333EAD" w:rsidRDefault="00071EBF" w:rsidP="007E6B3F">
                      <w:pPr>
                        <w:spacing w:line="240" w:lineRule="auto"/>
                        <w:jc w:val="center"/>
                        <w:rPr>
                          <w:rFonts w:eastAsia="Times New Roman" w:cstheme="minorHAnsi"/>
                          <w:color w:val="000000" w:themeColor="text1"/>
                          <w:sz w:val="20"/>
                          <w:szCs w:val="20"/>
                          <w:lang w:eastAsia="en-GB"/>
                          <w14:textOutline w14:w="0" w14:cap="flat" w14:cmpd="sng" w14:algn="ctr">
                            <w14:noFill/>
                            <w14:prstDash w14:val="solid"/>
                            <w14:round/>
                          </w14:textOutline>
                        </w:rPr>
                      </w:pPr>
                      <w:r>
                        <w:rPr>
                          <w:rFonts w:eastAsia="Times New Roman" w:cstheme="minorHAnsi"/>
                          <w:color w:val="000000" w:themeColor="text1"/>
                          <w:sz w:val="20"/>
                          <w:szCs w:val="20"/>
                          <w:lang w:eastAsia="en-GB"/>
                          <w14:textOutline w14:w="0" w14:cap="flat" w14:cmpd="sng" w14:algn="ctr">
                            <w14:noFill/>
                            <w14:prstDash w14:val="solid"/>
                            <w14:round/>
                          </w14:textOutline>
                        </w:rPr>
                        <w:t xml:space="preserve">Analysed using thematic analysis </w:t>
                      </w:r>
                    </w:p>
                    <w:p w:rsidR="00071EBF" w:rsidRPr="00B7182D" w:rsidRDefault="00071EBF" w:rsidP="007E6B3F">
                      <w:pPr>
                        <w:spacing w:line="240" w:lineRule="auto"/>
                        <w:jc w:val="center"/>
                        <w:rPr>
                          <w:rFonts w:eastAsia="Times New Roman" w:cstheme="minorHAnsi"/>
                          <w:color w:val="000000" w:themeColor="text1"/>
                          <w:sz w:val="20"/>
                          <w:szCs w:val="20"/>
                          <w:lang w:eastAsia="en-GB"/>
                          <w14:textOutline w14:w="0" w14:cap="flat" w14:cmpd="sng" w14:algn="ctr">
                            <w14:noFill/>
                            <w14:prstDash w14:val="solid"/>
                            <w14:round/>
                          </w14:textOutline>
                        </w:rPr>
                      </w:pPr>
                    </w:p>
                  </w:txbxContent>
                </v:textbox>
              </v:rect>
            </w:pict>
          </mc:Fallback>
        </mc:AlternateContent>
      </w:r>
    </w:p>
    <w:p w:rsidR="007E6B3F" w:rsidRDefault="007E6B3F" w:rsidP="007E6B3F">
      <w:pPr>
        <w:spacing w:line="276" w:lineRule="auto"/>
      </w:pPr>
    </w:p>
    <w:p w:rsidR="00BA5286" w:rsidRPr="009B3747" w:rsidRDefault="00515C73" w:rsidP="00A16FA3">
      <w:pPr>
        <w:pStyle w:val="NormalWeb"/>
        <w:spacing w:before="0" w:beforeAutospacing="0" w:after="0" w:afterAutospacing="0" w:line="360" w:lineRule="auto"/>
        <w:rPr>
          <w:rFonts w:asciiTheme="minorHAnsi" w:hAnsiTheme="minorHAnsi" w:cstheme="minorHAnsi"/>
          <w:sz w:val="20"/>
          <w:szCs w:val="20"/>
        </w:rPr>
      </w:pPr>
      <w:r>
        <w:rPr>
          <w:noProof/>
        </w:rPr>
        <mc:AlternateContent>
          <mc:Choice Requires="wps">
            <w:drawing>
              <wp:anchor distT="0" distB="0" distL="114300" distR="114300" simplePos="0" relativeHeight="251699200" behindDoc="0" locked="0" layoutInCell="1" allowOverlap="1" wp14:anchorId="59CF6128" wp14:editId="03CF3392">
                <wp:simplePos x="0" y="0"/>
                <wp:positionH relativeFrom="column">
                  <wp:posOffset>2924175</wp:posOffset>
                </wp:positionH>
                <wp:positionV relativeFrom="paragraph">
                  <wp:posOffset>114300</wp:posOffset>
                </wp:positionV>
                <wp:extent cx="876300" cy="0"/>
                <wp:effectExtent l="0" t="95250" r="0" b="95250"/>
                <wp:wrapNone/>
                <wp:docPr id="22" name="Straight Arrow Connector 22"/>
                <wp:cNvGraphicFramePr/>
                <a:graphic xmlns:a="http://schemas.openxmlformats.org/drawingml/2006/main">
                  <a:graphicData uri="http://schemas.microsoft.com/office/word/2010/wordprocessingShape">
                    <wps:wsp>
                      <wps:cNvCnPr/>
                      <wps:spPr>
                        <a:xfrm>
                          <a:off x="0" y="0"/>
                          <a:ext cx="8763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82CA5AC" id="_x0000_t32" coordsize="21600,21600" o:spt="32" o:oned="t" path="m,l21600,21600e" filled="f">
                <v:path arrowok="t" fillok="f" o:connecttype="none"/>
                <o:lock v:ext="edit" shapetype="t"/>
              </v:shapetype>
              <v:shape id="Straight Arrow Connector 22" o:spid="_x0000_s1026" type="#_x0000_t32" style="position:absolute;margin-left:230.25pt;margin-top:9pt;width:69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" strokecolor="black [3213]" strokeweight="3pt">
                <v:stroke endarrow="block" joinstyle="miter"/>
              </v:shape>
            </w:pict>
          </mc:Fallback>
        </mc:AlternateContent>
      </w:r>
    </w:p>
    <w:p w:rsidR="00BA5286" w:rsidRPr="009B3747" w:rsidRDefault="00BA5286" w:rsidP="00A16FA3">
      <w:pPr>
        <w:pStyle w:val="NormalWeb"/>
        <w:spacing w:before="0" w:beforeAutospacing="0" w:after="0" w:afterAutospacing="0" w:line="360" w:lineRule="auto"/>
        <w:rPr>
          <w:rFonts w:asciiTheme="minorHAnsi" w:hAnsiTheme="minorHAnsi" w:cstheme="minorHAnsi"/>
          <w:b/>
          <w:bCs/>
          <w:color w:val="000000"/>
          <w:sz w:val="22"/>
          <w:szCs w:val="22"/>
        </w:rPr>
      </w:pPr>
    </w:p>
    <w:p w:rsidR="00BA5286" w:rsidRPr="009B3747" w:rsidRDefault="00BA5286" w:rsidP="00A16FA3">
      <w:pPr>
        <w:pStyle w:val="NormalWeb"/>
        <w:spacing w:before="0" w:beforeAutospacing="0" w:after="0" w:afterAutospacing="0" w:line="360" w:lineRule="auto"/>
        <w:rPr>
          <w:rFonts w:asciiTheme="minorHAnsi" w:hAnsiTheme="minorHAnsi" w:cstheme="minorHAnsi"/>
          <w:sz w:val="22"/>
          <w:szCs w:val="22"/>
        </w:rPr>
      </w:pPr>
    </w:p>
    <w:p w:rsidR="00E004C1" w:rsidRDefault="00E004C1" w:rsidP="00BA5176">
      <w:pPr>
        <w:rPr>
          <w:rFonts w:eastAsia="Times New Roman" w:cstheme="minorHAnsi"/>
          <w:b/>
          <w:bCs/>
          <w:color w:val="000000"/>
          <w:sz w:val="32"/>
          <w:szCs w:val="32"/>
          <w:u w:val="single"/>
          <w:lang w:eastAsia="en-GB"/>
        </w:rPr>
      </w:pPr>
    </w:p>
    <w:p w:rsidR="007E6B3F" w:rsidRDefault="00515C73" w:rsidP="00BA5176">
      <w:pPr>
        <w:rPr>
          <w:rFonts w:eastAsia="Times New Roman" w:cstheme="minorHAnsi"/>
          <w:b/>
          <w:bCs/>
          <w:color w:val="000000"/>
          <w:sz w:val="32"/>
          <w:szCs w:val="32"/>
          <w:u w:val="single"/>
          <w:lang w:eastAsia="en-GB"/>
        </w:rPr>
      </w:pPr>
      <w:r>
        <w:rPr>
          <w:noProof/>
          <w:lang w:eastAsia="en-GB"/>
        </w:rPr>
        <mc:AlternateContent>
          <mc:Choice Requires="wps">
            <w:drawing>
              <wp:anchor distT="0" distB="0" distL="114300" distR="114300" simplePos="0" relativeHeight="251697152" behindDoc="0" locked="0" layoutInCell="1" allowOverlap="1" wp14:anchorId="4D8F0DC0" wp14:editId="040F4B7B">
                <wp:simplePos x="0" y="0"/>
                <wp:positionH relativeFrom="column">
                  <wp:posOffset>4010025</wp:posOffset>
                </wp:positionH>
                <wp:positionV relativeFrom="paragraph">
                  <wp:posOffset>353060</wp:posOffset>
                </wp:positionV>
                <wp:extent cx="2251710" cy="876300"/>
                <wp:effectExtent l="0" t="0" r="15240" b="19050"/>
                <wp:wrapNone/>
                <wp:docPr id="21" name="Rectangle 21"/>
                <wp:cNvGraphicFramePr/>
                <a:graphic xmlns:a="http://schemas.openxmlformats.org/drawingml/2006/main">
                  <a:graphicData uri="http://schemas.microsoft.com/office/word/2010/wordprocessingShape">
                    <wps:wsp>
                      <wps:cNvSpPr/>
                      <wps:spPr>
                        <a:xfrm>
                          <a:off x="0" y="0"/>
                          <a:ext cx="2251710" cy="876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1EBF" w:rsidRPr="00A76290" w:rsidRDefault="00071EBF" w:rsidP="007E6B3F">
                            <w:pPr>
                              <w:spacing w:line="240" w:lineRule="auto"/>
                              <w:jc w:val="center"/>
                              <w:rPr>
                                <w:rFonts w:eastAsia="Times New Roman" w:cstheme="minorHAnsi"/>
                                <w:b/>
                                <w:color w:val="000000" w:themeColor="text1"/>
                                <w:u w:val="single"/>
                                <w:lang w:eastAsia="en-GB"/>
                                <w14:textOutline w14:w="0" w14:cap="flat" w14:cmpd="sng" w14:algn="ctr">
                                  <w14:noFill/>
                                  <w14:prstDash w14:val="solid"/>
                                  <w14:round/>
                                </w14:textOutline>
                              </w:rPr>
                            </w:pPr>
                            <w:r>
                              <w:rPr>
                                <w:rFonts w:eastAsia="Times New Roman" w:cstheme="minorHAnsi"/>
                                <w:b/>
                                <w:color w:val="000000" w:themeColor="text1"/>
                                <w:u w:val="single"/>
                                <w:lang w:eastAsia="en-GB"/>
                                <w14:textOutline w14:w="0" w14:cap="flat" w14:cmpd="sng" w14:algn="ctr">
                                  <w14:noFill/>
                                  <w14:prstDash w14:val="solid"/>
                                  <w14:round/>
                                </w14:textOutline>
                              </w:rPr>
                              <w:t>Supplementary quantitative phase</w:t>
                            </w:r>
                          </w:p>
                          <w:p w:rsidR="00071EBF" w:rsidRPr="00B7182D" w:rsidRDefault="00071EBF" w:rsidP="007E6B3F">
                            <w:pPr>
                              <w:spacing w:line="240" w:lineRule="auto"/>
                              <w:jc w:val="center"/>
                              <w:rPr>
                                <w:rFonts w:eastAsiaTheme="minorHAnsi"/>
                              </w:rPr>
                            </w:pPr>
                            <w:r>
                              <w:rPr>
                                <w:rFonts w:eastAsia="Times New Roman" w:cstheme="minorHAnsi"/>
                                <w:color w:val="000000" w:themeColor="text1"/>
                                <w:sz w:val="20"/>
                                <w:szCs w:val="20"/>
                                <w:lang w:eastAsia="en-GB"/>
                                <w14:textOutline w14:w="0" w14:cap="flat" w14:cmpd="sng" w14:algn="ctr">
                                  <w14:noFill/>
                                  <w14:prstDash w14:val="solid"/>
                                  <w14:round/>
                                </w14:textOutline>
                              </w:rPr>
                              <w:t>Descriptive cross-sectional survey developed from qualitative findings</w:t>
                            </w:r>
                          </w:p>
                          <w:p w:rsidR="00071EBF" w:rsidRPr="00333EAD" w:rsidRDefault="00071EBF" w:rsidP="007E6B3F">
                            <w:pPr>
                              <w:spacing w:line="240" w:lineRule="auto"/>
                              <w:jc w:val="center"/>
                              <w:rPr>
                                <w:rFonts w:eastAsia="Times New Roman" w:cstheme="minorHAnsi"/>
                                <w:color w:val="000000" w:themeColor="text1"/>
                                <w:sz w:val="20"/>
                                <w:szCs w:val="20"/>
                                <w:lang w:eastAsia="en-GB"/>
                                <w14:textOutline w14:w="0" w14:cap="flat" w14:cmpd="sng" w14:algn="ctr">
                                  <w14:noFill/>
                                  <w14:prstDash w14:val="solid"/>
                                  <w14:round/>
                                </w14:textOutline>
                              </w:rPr>
                            </w:pPr>
                            <w:r>
                              <w:rPr>
                                <w:rFonts w:eastAsia="Times New Roman" w:cstheme="minorHAnsi"/>
                                <w:color w:val="000000" w:themeColor="text1"/>
                                <w:sz w:val="20"/>
                                <w:szCs w:val="20"/>
                                <w:lang w:eastAsia="en-GB"/>
                                <w14:textOutline w14:w="0" w14:cap="flat" w14:cmpd="sng" w14:algn="ctr">
                                  <w14:noFill/>
                                  <w14:prstDash w14:val="solid"/>
                                  <w14:round/>
                                </w14:textOutline>
                              </w:rPr>
                              <w:t xml:space="preserve">Analysed using descriptive and inferential statistics </w:t>
                            </w:r>
                          </w:p>
                          <w:p w:rsidR="00071EBF" w:rsidRPr="00B7182D" w:rsidRDefault="00071EBF" w:rsidP="007E6B3F">
                            <w:pPr>
                              <w:spacing w:line="240" w:lineRule="auto"/>
                              <w:jc w:val="center"/>
                              <w:rPr>
                                <w:rFonts w:eastAsia="Times New Roman" w:cstheme="minorHAnsi"/>
                                <w:color w:val="000000" w:themeColor="text1"/>
                                <w:sz w:val="20"/>
                                <w:szCs w:val="20"/>
                                <w:lang w:eastAsia="en-GB"/>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F0DC0" id="Rectangle 21" o:spid="_x0000_s1029" style="position:absolute;margin-left:315.75pt;margin-top:27.8pt;width:177.3pt;height:6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" filled="f" strokecolor="black [3213]" strokeweight="1pt">
                <v:textbox>
                  <w:txbxContent>
                    <w:p w:rsidR="00071EBF" w:rsidRPr="00A76290" w:rsidRDefault="00071EBF" w:rsidP="007E6B3F">
                      <w:pPr>
                        <w:spacing w:line="240" w:lineRule="auto"/>
                        <w:jc w:val="center"/>
                        <w:rPr>
                          <w:rFonts w:eastAsia="Times New Roman" w:cstheme="minorHAnsi"/>
                          <w:b/>
                          <w:color w:val="000000" w:themeColor="text1"/>
                          <w:u w:val="single"/>
                          <w:lang w:eastAsia="en-GB"/>
                          <w14:textOutline w14:w="0" w14:cap="flat" w14:cmpd="sng" w14:algn="ctr">
                            <w14:noFill/>
                            <w14:prstDash w14:val="solid"/>
                            <w14:round/>
                          </w14:textOutline>
                        </w:rPr>
                      </w:pPr>
                      <w:r>
                        <w:rPr>
                          <w:rFonts w:eastAsia="Times New Roman" w:cstheme="minorHAnsi"/>
                          <w:b/>
                          <w:color w:val="000000" w:themeColor="text1"/>
                          <w:u w:val="single"/>
                          <w:lang w:eastAsia="en-GB"/>
                          <w14:textOutline w14:w="0" w14:cap="flat" w14:cmpd="sng" w14:algn="ctr">
                            <w14:noFill/>
                            <w14:prstDash w14:val="solid"/>
                            <w14:round/>
                          </w14:textOutline>
                        </w:rPr>
                        <w:t>Supplementary quantitative phase</w:t>
                      </w:r>
                    </w:p>
                    <w:p w:rsidR="00071EBF" w:rsidRPr="00B7182D" w:rsidRDefault="00071EBF" w:rsidP="007E6B3F">
                      <w:pPr>
                        <w:spacing w:line="240" w:lineRule="auto"/>
                        <w:jc w:val="center"/>
                        <w:rPr>
                          <w:rFonts w:eastAsiaTheme="minorHAnsi"/>
                        </w:rPr>
                      </w:pPr>
                      <w:r>
                        <w:rPr>
                          <w:rFonts w:eastAsia="Times New Roman" w:cstheme="minorHAnsi"/>
                          <w:color w:val="000000" w:themeColor="text1"/>
                          <w:sz w:val="20"/>
                          <w:szCs w:val="20"/>
                          <w:lang w:eastAsia="en-GB"/>
                          <w14:textOutline w14:w="0" w14:cap="flat" w14:cmpd="sng" w14:algn="ctr">
                            <w14:noFill/>
                            <w14:prstDash w14:val="solid"/>
                            <w14:round/>
                          </w14:textOutline>
                        </w:rPr>
                        <w:t>Descriptive cross-sectional survey developed from qualitative findings</w:t>
                      </w:r>
                    </w:p>
                    <w:p w:rsidR="00071EBF" w:rsidRPr="00333EAD" w:rsidRDefault="00071EBF" w:rsidP="007E6B3F">
                      <w:pPr>
                        <w:spacing w:line="240" w:lineRule="auto"/>
                        <w:jc w:val="center"/>
                        <w:rPr>
                          <w:rFonts w:eastAsia="Times New Roman" w:cstheme="minorHAnsi"/>
                          <w:color w:val="000000" w:themeColor="text1"/>
                          <w:sz w:val="20"/>
                          <w:szCs w:val="20"/>
                          <w:lang w:eastAsia="en-GB"/>
                          <w14:textOutline w14:w="0" w14:cap="flat" w14:cmpd="sng" w14:algn="ctr">
                            <w14:noFill/>
                            <w14:prstDash w14:val="solid"/>
                            <w14:round/>
                          </w14:textOutline>
                        </w:rPr>
                      </w:pPr>
                      <w:r>
                        <w:rPr>
                          <w:rFonts w:eastAsia="Times New Roman" w:cstheme="minorHAnsi"/>
                          <w:color w:val="000000" w:themeColor="text1"/>
                          <w:sz w:val="20"/>
                          <w:szCs w:val="20"/>
                          <w:lang w:eastAsia="en-GB"/>
                          <w14:textOutline w14:w="0" w14:cap="flat" w14:cmpd="sng" w14:algn="ctr">
                            <w14:noFill/>
                            <w14:prstDash w14:val="solid"/>
                            <w14:round/>
                          </w14:textOutline>
                        </w:rPr>
                        <w:t xml:space="preserve">Analysed using descriptive and inferential statistics </w:t>
                      </w:r>
                    </w:p>
                    <w:p w:rsidR="00071EBF" w:rsidRPr="00B7182D" w:rsidRDefault="00071EBF" w:rsidP="007E6B3F">
                      <w:pPr>
                        <w:spacing w:line="240" w:lineRule="auto"/>
                        <w:jc w:val="center"/>
                        <w:rPr>
                          <w:rFonts w:eastAsia="Times New Roman" w:cstheme="minorHAnsi"/>
                          <w:color w:val="000000" w:themeColor="text1"/>
                          <w:sz w:val="20"/>
                          <w:szCs w:val="20"/>
                          <w:lang w:eastAsia="en-GB"/>
                          <w14:textOutline w14:w="0" w14:cap="flat" w14:cmpd="sng" w14:algn="ctr">
                            <w14:noFill/>
                            <w14:prstDash w14:val="solid"/>
                            <w14:round/>
                          </w14:textOutline>
                        </w:rPr>
                      </w:pPr>
                    </w:p>
                  </w:txbxContent>
                </v:textbox>
              </v:rect>
            </w:pict>
          </mc:Fallback>
        </mc:AlternateContent>
      </w:r>
      <w:r>
        <w:rPr>
          <w:noProof/>
          <w:lang w:eastAsia="en-GB"/>
        </w:rPr>
        <mc:AlternateContent>
          <mc:Choice Requires="wps">
            <w:drawing>
              <wp:anchor distT="0" distB="0" distL="114300" distR="114300" simplePos="0" relativeHeight="251694080" behindDoc="0" locked="0" layoutInCell="1" allowOverlap="1" wp14:anchorId="54EE5CA3" wp14:editId="5764B560">
                <wp:simplePos x="0" y="0"/>
                <wp:positionH relativeFrom="column">
                  <wp:posOffset>-354330</wp:posOffset>
                </wp:positionH>
                <wp:positionV relativeFrom="paragraph">
                  <wp:posOffset>153035</wp:posOffset>
                </wp:positionV>
                <wp:extent cx="3179445" cy="1433830"/>
                <wp:effectExtent l="0" t="0" r="20955" b="13970"/>
                <wp:wrapNone/>
                <wp:docPr id="16" name="Rectangle 16"/>
                <wp:cNvGraphicFramePr/>
                <a:graphic xmlns:a="http://schemas.openxmlformats.org/drawingml/2006/main">
                  <a:graphicData uri="http://schemas.microsoft.com/office/word/2010/wordprocessingShape">
                    <wps:wsp>
                      <wps:cNvSpPr/>
                      <wps:spPr>
                        <a:xfrm>
                          <a:off x="0" y="0"/>
                          <a:ext cx="3179445" cy="14338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1EBF" w:rsidRPr="00A76290" w:rsidRDefault="00071EBF" w:rsidP="007E6B3F">
                            <w:pPr>
                              <w:spacing w:line="240" w:lineRule="auto"/>
                              <w:jc w:val="center"/>
                              <w:rPr>
                                <w:rFonts w:eastAsia="Times New Roman" w:cstheme="minorHAnsi"/>
                                <w:b/>
                                <w:color w:val="000000" w:themeColor="text1"/>
                                <w:u w:val="single"/>
                                <w:lang w:eastAsia="en-GB"/>
                                <w14:textOutline w14:w="0" w14:cap="flat" w14:cmpd="sng" w14:algn="ctr">
                                  <w14:noFill/>
                                  <w14:prstDash w14:val="solid"/>
                                  <w14:round/>
                                </w14:textOutline>
                              </w:rPr>
                            </w:pPr>
                            <w:r>
                              <w:rPr>
                                <w:rFonts w:eastAsia="Times New Roman" w:cstheme="minorHAnsi"/>
                                <w:b/>
                                <w:color w:val="000000" w:themeColor="text1"/>
                                <w:u w:val="single"/>
                                <w:lang w:eastAsia="en-GB"/>
                                <w14:textOutline w14:w="0" w14:cap="flat" w14:cmpd="sng" w14:algn="ctr">
                                  <w14:noFill/>
                                  <w14:prstDash w14:val="solid"/>
                                  <w14:round/>
                                </w14:textOutline>
                              </w:rPr>
                              <w:t>Research a</w:t>
                            </w:r>
                            <w:r w:rsidRPr="00A76290">
                              <w:rPr>
                                <w:rFonts w:eastAsia="Times New Roman" w:cstheme="minorHAnsi"/>
                                <w:b/>
                                <w:color w:val="000000" w:themeColor="text1"/>
                                <w:u w:val="single"/>
                                <w:lang w:eastAsia="en-GB"/>
                                <w14:textOutline w14:w="0" w14:cap="flat" w14:cmpd="sng" w14:algn="ctr">
                                  <w14:noFill/>
                                  <w14:prstDash w14:val="solid"/>
                                  <w14:round/>
                                </w14:textOutline>
                              </w:rPr>
                              <w:t>im 2</w:t>
                            </w:r>
                          </w:p>
                          <w:p w:rsidR="00071EBF" w:rsidRPr="00333EAD" w:rsidRDefault="00071EBF" w:rsidP="007E6B3F">
                            <w:pPr>
                              <w:spacing w:line="240" w:lineRule="auto"/>
                              <w:jc w:val="center"/>
                              <w:rPr>
                                <w:rFonts w:eastAsia="Times New Roman" w:cstheme="minorHAnsi"/>
                                <w:color w:val="000000" w:themeColor="text1"/>
                                <w:sz w:val="20"/>
                                <w:szCs w:val="20"/>
                                <w:lang w:eastAsia="en-GB"/>
                                <w14:textOutline w14:w="0" w14:cap="flat" w14:cmpd="sng" w14:algn="ctr">
                                  <w14:noFill/>
                                  <w14:prstDash w14:val="solid"/>
                                  <w14:round/>
                                </w14:textOutline>
                              </w:rPr>
                            </w:pPr>
                            <w:r>
                              <w:rPr>
                                <w:rFonts w:eastAsia="Times New Roman" w:cstheme="minorHAnsi"/>
                                <w:color w:val="000000" w:themeColor="text1"/>
                                <w:sz w:val="20"/>
                                <w:szCs w:val="20"/>
                                <w:lang w:eastAsia="en-GB"/>
                                <w14:textOutline w14:w="0" w14:cap="flat" w14:cmpd="sng" w14:algn="ctr">
                                  <w14:noFill/>
                                  <w14:prstDash w14:val="solid"/>
                                  <w14:round/>
                                </w14:textOutline>
                              </w:rPr>
                              <w:t>C</w:t>
                            </w:r>
                            <w:r w:rsidRPr="00333EAD">
                              <w:rPr>
                                <w:rFonts w:eastAsia="Times New Roman" w:cstheme="minorHAnsi"/>
                                <w:color w:val="000000" w:themeColor="text1"/>
                                <w:sz w:val="20"/>
                                <w:szCs w:val="20"/>
                                <w:lang w:eastAsia="en-GB"/>
                                <w14:textOutline w14:w="0" w14:cap="flat" w14:cmpd="sng" w14:algn="ctr">
                                  <w14:noFill/>
                                  <w14:prstDash w14:val="solid"/>
                                  <w14:round/>
                                </w14:textOutline>
                              </w:rPr>
                              <w:t>onduct a des</w:t>
                            </w:r>
                            <w:r>
                              <w:rPr>
                                <w:rFonts w:eastAsia="Times New Roman" w:cstheme="minorHAnsi"/>
                                <w:color w:val="000000" w:themeColor="text1"/>
                                <w:sz w:val="20"/>
                                <w:szCs w:val="20"/>
                                <w:lang w:eastAsia="en-GB"/>
                                <w14:textOutline w14:w="0" w14:cap="flat" w14:cmpd="sng" w14:algn="ctr">
                                  <w14:noFill/>
                                  <w14:prstDash w14:val="solid"/>
                                  <w14:round/>
                                </w14:textOutline>
                              </w:rPr>
                              <w:t xml:space="preserve">criptive cross-sectional survey, </w:t>
                            </w:r>
                            <w:r w:rsidRPr="00333EAD">
                              <w:rPr>
                                <w:rFonts w:eastAsia="Times New Roman" w:cstheme="minorHAnsi"/>
                                <w:color w:val="000000" w:themeColor="text1"/>
                                <w:sz w:val="20"/>
                                <w:szCs w:val="20"/>
                                <w:lang w:eastAsia="en-GB"/>
                                <w14:textOutline w14:w="0" w14:cap="flat" w14:cmpd="sng" w14:algn="ctr">
                                  <w14:noFill/>
                                  <w14:prstDash w14:val="solid"/>
                                  <w14:round/>
                                </w14:textOutline>
                              </w:rPr>
                              <w:t>which identifies headteachers’ and chairs of governors’ opinions and attitudes towards adolescent obesity and its prevention in English secondary school settings.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E5CA3" id="Rectangle 16" o:spid="_x0000_s1030" style="position:absolute;margin-left:-27.9pt;margin-top:12.05pt;width:250.35pt;height:112.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" filled="f" strokecolor="black [3213]" strokeweight="1pt">
                <v:textbox>
                  <w:txbxContent>
                    <w:p w:rsidR="00071EBF" w:rsidRPr="00A76290" w:rsidRDefault="00071EBF" w:rsidP="007E6B3F">
                      <w:pPr>
                        <w:spacing w:line="240" w:lineRule="auto"/>
                        <w:jc w:val="center"/>
                        <w:rPr>
                          <w:rFonts w:eastAsia="Times New Roman" w:cstheme="minorHAnsi"/>
                          <w:b/>
                          <w:color w:val="000000" w:themeColor="text1"/>
                          <w:u w:val="single"/>
                          <w:lang w:eastAsia="en-GB"/>
                          <w14:textOutline w14:w="0" w14:cap="flat" w14:cmpd="sng" w14:algn="ctr">
                            <w14:noFill/>
                            <w14:prstDash w14:val="solid"/>
                            <w14:round/>
                          </w14:textOutline>
                        </w:rPr>
                      </w:pPr>
                      <w:r>
                        <w:rPr>
                          <w:rFonts w:eastAsia="Times New Roman" w:cstheme="minorHAnsi"/>
                          <w:b/>
                          <w:color w:val="000000" w:themeColor="text1"/>
                          <w:u w:val="single"/>
                          <w:lang w:eastAsia="en-GB"/>
                          <w14:textOutline w14:w="0" w14:cap="flat" w14:cmpd="sng" w14:algn="ctr">
                            <w14:noFill/>
                            <w14:prstDash w14:val="solid"/>
                            <w14:round/>
                          </w14:textOutline>
                        </w:rPr>
                        <w:t>Research a</w:t>
                      </w:r>
                      <w:r w:rsidRPr="00A76290">
                        <w:rPr>
                          <w:rFonts w:eastAsia="Times New Roman" w:cstheme="minorHAnsi"/>
                          <w:b/>
                          <w:color w:val="000000" w:themeColor="text1"/>
                          <w:u w:val="single"/>
                          <w:lang w:eastAsia="en-GB"/>
                          <w14:textOutline w14:w="0" w14:cap="flat" w14:cmpd="sng" w14:algn="ctr">
                            <w14:noFill/>
                            <w14:prstDash w14:val="solid"/>
                            <w14:round/>
                          </w14:textOutline>
                        </w:rPr>
                        <w:t>im 2</w:t>
                      </w:r>
                    </w:p>
                    <w:p w:rsidR="00071EBF" w:rsidRPr="00333EAD" w:rsidRDefault="00071EBF" w:rsidP="007E6B3F">
                      <w:pPr>
                        <w:spacing w:line="240" w:lineRule="auto"/>
                        <w:jc w:val="center"/>
                        <w:rPr>
                          <w:rFonts w:eastAsia="Times New Roman" w:cstheme="minorHAnsi"/>
                          <w:color w:val="000000" w:themeColor="text1"/>
                          <w:sz w:val="20"/>
                          <w:szCs w:val="20"/>
                          <w:lang w:eastAsia="en-GB"/>
                          <w14:textOutline w14:w="0" w14:cap="flat" w14:cmpd="sng" w14:algn="ctr">
                            <w14:noFill/>
                            <w14:prstDash w14:val="solid"/>
                            <w14:round/>
                          </w14:textOutline>
                        </w:rPr>
                      </w:pPr>
                      <w:r>
                        <w:rPr>
                          <w:rFonts w:eastAsia="Times New Roman" w:cstheme="minorHAnsi"/>
                          <w:color w:val="000000" w:themeColor="text1"/>
                          <w:sz w:val="20"/>
                          <w:szCs w:val="20"/>
                          <w:lang w:eastAsia="en-GB"/>
                          <w14:textOutline w14:w="0" w14:cap="flat" w14:cmpd="sng" w14:algn="ctr">
                            <w14:noFill/>
                            <w14:prstDash w14:val="solid"/>
                            <w14:round/>
                          </w14:textOutline>
                        </w:rPr>
                        <w:t>C</w:t>
                      </w:r>
                      <w:r w:rsidRPr="00333EAD">
                        <w:rPr>
                          <w:rFonts w:eastAsia="Times New Roman" w:cstheme="minorHAnsi"/>
                          <w:color w:val="000000" w:themeColor="text1"/>
                          <w:sz w:val="20"/>
                          <w:szCs w:val="20"/>
                          <w:lang w:eastAsia="en-GB"/>
                          <w14:textOutline w14:w="0" w14:cap="flat" w14:cmpd="sng" w14:algn="ctr">
                            <w14:noFill/>
                            <w14:prstDash w14:val="solid"/>
                            <w14:round/>
                          </w14:textOutline>
                        </w:rPr>
                        <w:t>onduct a des</w:t>
                      </w:r>
                      <w:r>
                        <w:rPr>
                          <w:rFonts w:eastAsia="Times New Roman" w:cstheme="minorHAnsi"/>
                          <w:color w:val="000000" w:themeColor="text1"/>
                          <w:sz w:val="20"/>
                          <w:szCs w:val="20"/>
                          <w:lang w:eastAsia="en-GB"/>
                          <w14:textOutline w14:w="0" w14:cap="flat" w14:cmpd="sng" w14:algn="ctr">
                            <w14:noFill/>
                            <w14:prstDash w14:val="solid"/>
                            <w14:round/>
                          </w14:textOutline>
                        </w:rPr>
                        <w:t xml:space="preserve">criptive cross-sectional survey, </w:t>
                      </w:r>
                      <w:r w:rsidRPr="00333EAD">
                        <w:rPr>
                          <w:rFonts w:eastAsia="Times New Roman" w:cstheme="minorHAnsi"/>
                          <w:color w:val="000000" w:themeColor="text1"/>
                          <w:sz w:val="20"/>
                          <w:szCs w:val="20"/>
                          <w:lang w:eastAsia="en-GB"/>
                          <w14:textOutline w14:w="0" w14:cap="flat" w14:cmpd="sng" w14:algn="ctr">
                            <w14:noFill/>
                            <w14:prstDash w14:val="solid"/>
                            <w14:round/>
                          </w14:textOutline>
                        </w:rPr>
                        <w:t>which identifies headteachers’ and chairs of governors’ opinions and attitudes towards adolescent obesity and its prevention in English secondary school settings.</w:t>
                      </w:r>
                    </w:p>
                  </w:txbxContent>
                </v:textbox>
              </v:rect>
            </w:pict>
          </mc:Fallback>
        </mc:AlternateContent>
      </w:r>
    </w:p>
    <w:p w:rsidR="007E6B3F" w:rsidRDefault="00515C73" w:rsidP="00BA5176">
      <w:pPr>
        <w:rPr>
          <w:rFonts w:eastAsia="Times New Roman" w:cstheme="minorHAnsi"/>
          <w:b/>
          <w:bCs/>
          <w:color w:val="000000"/>
          <w:sz w:val="32"/>
          <w:szCs w:val="32"/>
          <w:u w:val="single"/>
          <w:lang w:eastAsia="en-GB"/>
        </w:rPr>
      </w:pPr>
      <w:r>
        <w:rPr>
          <w:noProof/>
          <w:lang w:eastAsia="en-GB"/>
        </w:rPr>
        <mc:AlternateContent>
          <mc:Choice Requires="wps">
            <w:drawing>
              <wp:anchor distT="0" distB="0" distL="114300" distR="114300" simplePos="0" relativeHeight="251700224" behindDoc="0" locked="0" layoutInCell="1" allowOverlap="1" wp14:anchorId="3EFA1B11" wp14:editId="1BED2967">
                <wp:simplePos x="0" y="0"/>
                <wp:positionH relativeFrom="column">
                  <wp:posOffset>2971800</wp:posOffset>
                </wp:positionH>
                <wp:positionV relativeFrom="paragraph">
                  <wp:posOffset>440055</wp:posOffset>
                </wp:positionV>
                <wp:extent cx="876300" cy="0"/>
                <wp:effectExtent l="0" t="95250" r="0" b="95250"/>
                <wp:wrapNone/>
                <wp:docPr id="49" name="Straight Arrow Connector 49"/>
                <wp:cNvGraphicFramePr/>
                <a:graphic xmlns:a="http://schemas.openxmlformats.org/drawingml/2006/main">
                  <a:graphicData uri="http://schemas.microsoft.com/office/word/2010/wordprocessingShape">
                    <wps:wsp>
                      <wps:cNvCnPr/>
                      <wps:spPr>
                        <a:xfrm>
                          <a:off x="0" y="0"/>
                          <a:ext cx="8763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21C288" id="Straight Arrow Connector 49" o:spid="_x0000_s1026" type="#_x0000_t32" style="position:absolute;margin-left:234pt;margin-top:34.65pt;width:69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" strokecolor="black [3213]" strokeweight="3pt">
                <v:stroke endarrow="block" joinstyle="miter"/>
              </v:shape>
            </w:pict>
          </mc:Fallback>
        </mc:AlternateContent>
      </w:r>
      <w:r>
        <w:rPr>
          <w:noProof/>
          <w:lang w:eastAsia="en-GB"/>
        </w:rPr>
        <mc:AlternateContent>
          <mc:Choice Requires="wps">
            <w:drawing>
              <wp:anchor distT="0" distB="0" distL="114300" distR="114300" simplePos="0" relativeHeight="251701248" behindDoc="0" locked="0" layoutInCell="1" allowOverlap="1" wp14:anchorId="7A46BF6B" wp14:editId="072A5EF7">
                <wp:simplePos x="0" y="0"/>
                <wp:positionH relativeFrom="column">
                  <wp:posOffset>2971800</wp:posOffset>
                </wp:positionH>
                <wp:positionV relativeFrom="paragraph">
                  <wp:posOffset>2459355</wp:posOffset>
                </wp:positionV>
                <wp:extent cx="876300" cy="0"/>
                <wp:effectExtent l="0" t="95250" r="0" b="95250"/>
                <wp:wrapNone/>
                <wp:docPr id="18" name="Straight Arrow Connector 18"/>
                <wp:cNvGraphicFramePr/>
                <a:graphic xmlns:a="http://schemas.openxmlformats.org/drawingml/2006/main">
                  <a:graphicData uri="http://schemas.microsoft.com/office/word/2010/wordprocessingShape">
                    <wps:wsp>
                      <wps:cNvCnPr/>
                      <wps:spPr>
                        <a:xfrm>
                          <a:off x="0" y="0"/>
                          <a:ext cx="8763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F268DA" id="Straight Arrow Connector 18" o:spid="_x0000_s1026" type="#_x0000_t32" style="position:absolute;margin-left:234pt;margin-top:193.65pt;width:69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" strokecolor="black [3213]" strokeweight="3pt">
                <v:stroke endarrow="block" joinstyle="miter"/>
              </v:shape>
            </w:pict>
          </mc:Fallback>
        </mc:AlternateContent>
      </w:r>
      <w:r>
        <w:rPr>
          <w:noProof/>
          <w:lang w:eastAsia="en-GB"/>
        </w:rPr>
        <mc:AlternateContent>
          <mc:Choice Requires="wps">
            <w:drawing>
              <wp:anchor distT="0" distB="0" distL="114300" distR="114300" simplePos="0" relativeHeight="251698176" behindDoc="0" locked="0" layoutInCell="1" allowOverlap="1" wp14:anchorId="6BD9F5FF" wp14:editId="23BF3AFD">
                <wp:simplePos x="0" y="0"/>
                <wp:positionH relativeFrom="column">
                  <wp:posOffset>4010025</wp:posOffset>
                </wp:positionH>
                <wp:positionV relativeFrom="paragraph">
                  <wp:posOffset>2009775</wp:posOffset>
                </wp:positionV>
                <wp:extent cx="2251710" cy="800100"/>
                <wp:effectExtent l="0" t="0" r="15240" b="19050"/>
                <wp:wrapNone/>
                <wp:docPr id="10" name="Rectangle 10"/>
                <wp:cNvGraphicFramePr/>
                <a:graphic xmlns:a="http://schemas.openxmlformats.org/drawingml/2006/main">
                  <a:graphicData uri="http://schemas.microsoft.com/office/word/2010/wordprocessingShape">
                    <wps:wsp>
                      <wps:cNvSpPr/>
                      <wps:spPr>
                        <a:xfrm>
                          <a:off x="0" y="0"/>
                          <a:ext cx="2251710" cy="800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1EBF" w:rsidRPr="00486C1B" w:rsidRDefault="00071EBF" w:rsidP="007E6B3F">
                            <w:pPr>
                              <w:spacing w:line="240" w:lineRule="auto"/>
                              <w:jc w:val="center"/>
                              <w:rPr>
                                <w:rFonts w:eastAsia="Times New Roman" w:cstheme="minorHAnsi"/>
                                <w:b/>
                                <w:color w:val="000000" w:themeColor="text1"/>
                                <w:u w:val="single"/>
                                <w:lang w:eastAsia="en-GB"/>
                                <w14:textOutline w14:w="0" w14:cap="flat" w14:cmpd="sng" w14:algn="ctr">
                                  <w14:noFill/>
                                  <w14:prstDash w14:val="solid"/>
                                  <w14:round/>
                                </w14:textOutline>
                              </w:rPr>
                            </w:pPr>
                            <w:r w:rsidRPr="00486C1B">
                              <w:rPr>
                                <w:rFonts w:eastAsia="Times New Roman" w:cstheme="minorHAnsi"/>
                                <w:b/>
                                <w:color w:val="000000" w:themeColor="text1"/>
                                <w:u w:val="single"/>
                                <w:lang w:eastAsia="en-GB"/>
                                <w14:textOutline w14:w="0" w14:cap="flat" w14:cmpd="sng" w14:algn="ctr">
                                  <w14:noFill/>
                                  <w14:prstDash w14:val="solid"/>
                                  <w14:round/>
                                </w14:textOutline>
                              </w:rPr>
                              <w:t xml:space="preserve">Systematic review and qualitative synthesis  </w:t>
                            </w:r>
                          </w:p>
                          <w:p w:rsidR="00071EBF" w:rsidRPr="00B7182D" w:rsidRDefault="00071EBF" w:rsidP="007E6B3F">
                            <w:pPr>
                              <w:spacing w:line="240" w:lineRule="auto"/>
                              <w:jc w:val="center"/>
                              <w:rPr>
                                <w:rFonts w:eastAsia="Times New Roman" w:cstheme="minorHAnsi"/>
                                <w:color w:val="000000" w:themeColor="text1"/>
                                <w:sz w:val="20"/>
                                <w:szCs w:val="20"/>
                                <w:lang w:eastAsia="en-GB"/>
                                <w14:textOutline w14:w="0" w14:cap="flat" w14:cmpd="sng" w14:algn="ctr">
                                  <w14:noFill/>
                                  <w14:prstDash w14:val="solid"/>
                                  <w14:round/>
                                </w14:textOutline>
                              </w:rPr>
                            </w:pPr>
                            <w:r>
                              <w:rPr>
                                <w:rFonts w:eastAsia="Times New Roman" w:cstheme="minorHAnsi"/>
                                <w:color w:val="000000" w:themeColor="text1"/>
                                <w:sz w:val="20"/>
                                <w:szCs w:val="20"/>
                                <w:lang w:eastAsia="en-GB"/>
                                <w14:textOutline w14:w="0" w14:cap="flat" w14:cmpd="sng" w14:algn="ctr">
                                  <w14:noFill/>
                                  <w14:prstDash w14:val="solid"/>
                                  <w14:round/>
                                </w14:textOutline>
                              </w:rPr>
                              <w:t>Results analysed using thematic synthesis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9F5FF" id="Rectangle 10" o:spid="_x0000_s1031" style="position:absolute;margin-left:315.75pt;margin-top:158.25pt;width:177.3pt;height:6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" filled="f" strokecolor="black [3213]" strokeweight="1pt">
                <v:textbox>
                  <w:txbxContent>
                    <w:p w:rsidR="00071EBF" w:rsidRPr="00486C1B" w:rsidRDefault="00071EBF" w:rsidP="007E6B3F">
                      <w:pPr>
                        <w:spacing w:line="240" w:lineRule="auto"/>
                        <w:jc w:val="center"/>
                        <w:rPr>
                          <w:rFonts w:eastAsia="Times New Roman" w:cstheme="minorHAnsi"/>
                          <w:b/>
                          <w:color w:val="000000" w:themeColor="text1"/>
                          <w:u w:val="single"/>
                          <w:lang w:eastAsia="en-GB"/>
                          <w14:textOutline w14:w="0" w14:cap="flat" w14:cmpd="sng" w14:algn="ctr">
                            <w14:noFill/>
                            <w14:prstDash w14:val="solid"/>
                            <w14:round/>
                          </w14:textOutline>
                        </w:rPr>
                      </w:pPr>
                      <w:r w:rsidRPr="00486C1B">
                        <w:rPr>
                          <w:rFonts w:eastAsia="Times New Roman" w:cstheme="minorHAnsi"/>
                          <w:b/>
                          <w:color w:val="000000" w:themeColor="text1"/>
                          <w:u w:val="single"/>
                          <w:lang w:eastAsia="en-GB"/>
                          <w14:textOutline w14:w="0" w14:cap="flat" w14:cmpd="sng" w14:algn="ctr">
                            <w14:noFill/>
                            <w14:prstDash w14:val="solid"/>
                            <w14:round/>
                          </w14:textOutline>
                        </w:rPr>
                        <w:t xml:space="preserve">Systematic review and qualitative synthesis  </w:t>
                      </w:r>
                    </w:p>
                    <w:p w:rsidR="00071EBF" w:rsidRPr="00B7182D" w:rsidRDefault="00071EBF" w:rsidP="007E6B3F">
                      <w:pPr>
                        <w:spacing w:line="240" w:lineRule="auto"/>
                        <w:jc w:val="center"/>
                        <w:rPr>
                          <w:rFonts w:eastAsia="Times New Roman" w:cstheme="minorHAnsi"/>
                          <w:color w:val="000000" w:themeColor="text1"/>
                          <w:sz w:val="20"/>
                          <w:szCs w:val="20"/>
                          <w:lang w:eastAsia="en-GB"/>
                          <w14:textOutline w14:w="0" w14:cap="flat" w14:cmpd="sng" w14:algn="ctr">
                            <w14:noFill/>
                            <w14:prstDash w14:val="solid"/>
                            <w14:round/>
                          </w14:textOutline>
                        </w:rPr>
                      </w:pPr>
                      <w:r>
                        <w:rPr>
                          <w:rFonts w:eastAsia="Times New Roman" w:cstheme="minorHAnsi"/>
                          <w:color w:val="000000" w:themeColor="text1"/>
                          <w:sz w:val="20"/>
                          <w:szCs w:val="20"/>
                          <w:lang w:eastAsia="en-GB"/>
                          <w14:textOutline w14:w="0" w14:cap="flat" w14:cmpd="sng" w14:algn="ctr">
                            <w14:noFill/>
                            <w14:prstDash w14:val="solid"/>
                            <w14:round/>
                          </w14:textOutline>
                        </w:rPr>
                        <w:t>Results analysed using thematic synthesis</w:t>
                      </w:r>
                    </w:p>
                  </w:txbxContent>
                </v:textbox>
              </v:rect>
            </w:pict>
          </mc:Fallback>
        </mc:AlternateContent>
      </w:r>
      <w:r>
        <w:rPr>
          <w:noProof/>
          <w:lang w:eastAsia="en-GB"/>
        </w:rPr>
        <mc:AlternateContent>
          <mc:Choice Requires="wps">
            <w:drawing>
              <wp:anchor distT="0" distB="0" distL="114300" distR="114300" simplePos="0" relativeHeight="251695104" behindDoc="0" locked="0" layoutInCell="1" allowOverlap="1" wp14:anchorId="7F89DD34" wp14:editId="66F80BEC">
                <wp:simplePos x="0" y="0"/>
                <wp:positionH relativeFrom="column">
                  <wp:posOffset>-344805</wp:posOffset>
                </wp:positionH>
                <wp:positionV relativeFrom="paragraph">
                  <wp:posOffset>1728470</wp:posOffset>
                </wp:positionV>
                <wp:extent cx="3179445" cy="1433830"/>
                <wp:effectExtent l="0" t="0" r="20955" b="13970"/>
                <wp:wrapNone/>
                <wp:docPr id="14" name="Rectangle 14"/>
                <wp:cNvGraphicFramePr/>
                <a:graphic xmlns:a="http://schemas.openxmlformats.org/drawingml/2006/main">
                  <a:graphicData uri="http://schemas.microsoft.com/office/word/2010/wordprocessingShape">
                    <wps:wsp>
                      <wps:cNvSpPr/>
                      <wps:spPr>
                        <a:xfrm>
                          <a:off x="0" y="0"/>
                          <a:ext cx="3179445" cy="14338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1EBF" w:rsidRPr="00A76290" w:rsidRDefault="00071EBF" w:rsidP="007E6B3F">
                            <w:pPr>
                              <w:jc w:val="center"/>
                              <w:rPr>
                                <w:rFonts w:eastAsia="Times New Roman" w:cstheme="minorHAnsi"/>
                                <w:b/>
                                <w:color w:val="000000"/>
                                <w:u w:val="single"/>
                                <w:lang w:eastAsia="en-GB"/>
                              </w:rPr>
                            </w:pPr>
                            <w:r>
                              <w:rPr>
                                <w:rFonts w:eastAsia="Times New Roman" w:cstheme="minorHAnsi"/>
                                <w:b/>
                                <w:color w:val="000000"/>
                                <w:u w:val="single"/>
                                <w:lang w:eastAsia="en-GB"/>
                              </w:rPr>
                              <w:t>Research a</w:t>
                            </w:r>
                            <w:r w:rsidRPr="00A76290">
                              <w:rPr>
                                <w:rFonts w:eastAsia="Times New Roman" w:cstheme="minorHAnsi"/>
                                <w:b/>
                                <w:color w:val="000000"/>
                                <w:u w:val="single"/>
                                <w:lang w:eastAsia="en-GB"/>
                              </w:rPr>
                              <w:t>im 3</w:t>
                            </w:r>
                          </w:p>
                          <w:p w:rsidR="00071EBF" w:rsidRPr="00A76290" w:rsidRDefault="00071EBF" w:rsidP="007E6B3F">
                            <w:pPr>
                              <w:spacing w:line="240" w:lineRule="auto"/>
                              <w:jc w:val="center"/>
                              <w:rPr>
                                <w:rFonts w:eastAsia="Times New Roman" w:cstheme="minorHAnsi"/>
                                <w:color w:val="000000"/>
                                <w:sz w:val="20"/>
                                <w:szCs w:val="20"/>
                                <w:lang w:eastAsia="en-GB"/>
                              </w:rPr>
                            </w:pPr>
                            <w:r w:rsidRPr="008B1434">
                              <w:rPr>
                                <w:rFonts w:eastAsia="Times New Roman" w:cstheme="minorHAnsi"/>
                                <w:color w:val="000000"/>
                                <w:sz w:val="20"/>
                                <w:szCs w:val="20"/>
                                <w:lang w:eastAsia="en-GB"/>
                              </w:rPr>
                              <w:t xml:space="preserve">Systematically identify and synthesise the research literature </w:t>
                            </w:r>
                            <w:r w:rsidRPr="00B7182D">
                              <w:rPr>
                                <w:rFonts w:eastAsia="Times New Roman" w:cstheme="minorHAnsi"/>
                                <w:color w:val="000000"/>
                                <w:sz w:val="20"/>
                                <w:szCs w:val="20"/>
                                <w:lang w:eastAsia="en-GB"/>
                              </w:rPr>
                              <w:t>concerning ‘</w:t>
                            </w:r>
                            <w:r w:rsidRPr="00B7182D">
                              <w:rPr>
                                <w:rFonts w:eastAsia="Times New Roman" w:cstheme="minorHAnsi"/>
                                <w:iCs/>
                                <w:color w:val="000000"/>
                                <w:sz w:val="20"/>
                                <w:szCs w:val="20"/>
                                <w:lang w:eastAsia="en-GB"/>
                              </w:rPr>
                              <w:t>headteachers’ and chairs of governors’ perspectives on childhood or adolescent obesity and its prevention in school settings’</w:t>
                            </w:r>
                            <w:r w:rsidRPr="00B7182D">
                              <w:rPr>
                                <w:rFonts w:eastAsia="Times New Roman" w:cstheme="minorHAnsi"/>
                                <w:color w:val="000000"/>
                                <w:sz w:val="20"/>
                                <w:szCs w:val="20"/>
                                <w:lang w:eastAsia="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9DD34" id="Rectangle 14" o:spid="_x0000_s1032" style="position:absolute;margin-left:-27.15pt;margin-top:136.1pt;width:250.35pt;height:112.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" filled="f" strokecolor="black [3213]" strokeweight="1pt">
                <v:textbox>
                  <w:txbxContent>
                    <w:p w:rsidR="00071EBF" w:rsidRPr="00A76290" w:rsidRDefault="00071EBF" w:rsidP="007E6B3F">
                      <w:pPr>
                        <w:jc w:val="center"/>
                        <w:rPr>
                          <w:rFonts w:eastAsia="Times New Roman" w:cstheme="minorHAnsi"/>
                          <w:b/>
                          <w:color w:val="000000"/>
                          <w:u w:val="single"/>
                          <w:lang w:eastAsia="en-GB"/>
                        </w:rPr>
                      </w:pPr>
                      <w:r>
                        <w:rPr>
                          <w:rFonts w:eastAsia="Times New Roman" w:cstheme="minorHAnsi"/>
                          <w:b/>
                          <w:color w:val="000000"/>
                          <w:u w:val="single"/>
                          <w:lang w:eastAsia="en-GB"/>
                        </w:rPr>
                        <w:t>Research a</w:t>
                      </w:r>
                      <w:r w:rsidRPr="00A76290">
                        <w:rPr>
                          <w:rFonts w:eastAsia="Times New Roman" w:cstheme="minorHAnsi"/>
                          <w:b/>
                          <w:color w:val="000000"/>
                          <w:u w:val="single"/>
                          <w:lang w:eastAsia="en-GB"/>
                        </w:rPr>
                        <w:t>im 3</w:t>
                      </w:r>
                    </w:p>
                    <w:p w:rsidR="00071EBF" w:rsidRPr="00A76290" w:rsidRDefault="00071EBF" w:rsidP="007E6B3F">
                      <w:pPr>
                        <w:spacing w:line="240" w:lineRule="auto"/>
                        <w:jc w:val="center"/>
                        <w:rPr>
                          <w:rFonts w:eastAsia="Times New Roman" w:cstheme="minorHAnsi"/>
                          <w:color w:val="000000"/>
                          <w:sz w:val="20"/>
                          <w:szCs w:val="20"/>
                          <w:lang w:eastAsia="en-GB"/>
                        </w:rPr>
                      </w:pPr>
                      <w:r w:rsidRPr="008B1434">
                        <w:rPr>
                          <w:rFonts w:eastAsia="Times New Roman" w:cstheme="minorHAnsi"/>
                          <w:color w:val="000000"/>
                          <w:sz w:val="20"/>
                          <w:szCs w:val="20"/>
                          <w:lang w:eastAsia="en-GB"/>
                        </w:rPr>
                        <w:t xml:space="preserve">Systematically identify and synthesise the research literature </w:t>
                      </w:r>
                      <w:r w:rsidRPr="00B7182D">
                        <w:rPr>
                          <w:rFonts w:eastAsia="Times New Roman" w:cstheme="minorHAnsi"/>
                          <w:color w:val="000000"/>
                          <w:sz w:val="20"/>
                          <w:szCs w:val="20"/>
                          <w:lang w:eastAsia="en-GB"/>
                        </w:rPr>
                        <w:t>concerning ‘</w:t>
                      </w:r>
                      <w:r w:rsidRPr="00B7182D">
                        <w:rPr>
                          <w:rFonts w:eastAsia="Times New Roman" w:cstheme="minorHAnsi"/>
                          <w:iCs/>
                          <w:color w:val="000000"/>
                          <w:sz w:val="20"/>
                          <w:szCs w:val="20"/>
                          <w:lang w:eastAsia="en-GB"/>
                        </w:rPr>
                        <w:t>headteachers’ and chairs of governors’ perspectives on childhood or adolescent obesity and its prevention in school settings’</w:t>
                      </w:r>
                      <w:r w:rsidRPr="00B7182D">
                        <w:rPr>
                          <w:rFonts w:eastAsia="Times New Roman" w:cstheme="minorHAnsi"/>
                          <w:color w:val="000000"/>
                          <w:sz w:val="20"/>
                          <w:szCs w:val="20"/>
                          <w:lang w:eastAsia="en-GB"/>
                        </w:rPr>
                        <w:t>.</w:t>
                      </w:r>
                    </w:p>
                  </w:txbxContent>
                </v:textbox>
              </v:rect>
            </w:pict>
          </mc:Fallback>
        </mc:AlternateContent>
      </w:r>
    </w:p>
    <w:p w:rsidR="007E6B3F" w:rsidRPr="009B3747" w:rsidRDefault="007E6B3F" w:rsidP="00BA5176">
      <w:pPr>
        <w:rPr>
          <w:rFonts w:eastAsia="Times New Roman" w:cstheme="minorHAnsi"/>
          <w:b/>
          <w:bCs/>
          <w:color w:val="000000"/>
          <w:sz w:val="32"/>
          <w:szCs w:val="32"/>
          <w:u w:val="single"/>
          <w:lang w:eastAsia="en-GB"/>
        </w:rPr>
        <w:sectPr w:rsidR="007E6B3F" w:rsidRPr="009B3747" w:rsidSect="003D781F">
          <w:pgSz w:w="11906" w:h="16838" w:code="9"/>
          <w:pgMar w:top="1440" w:right="1440" w:bottom="1440" w:left="1440" w:header="709" w:footer="709" w:gutter="0"/>
          <w:pgNumType w:fmt="lowerRoman" w:start="1"/>
          <w:cols w:space="708"/>
          <w:docGrid w:linePitch="360"/>
        </w:sectPr>
      </w:pPr>
    </w:p>
    <w:p w:rsidR="00846B21" w:rsidRPr="009B3747" w:rsidRDefault="00846B21" w:rsidP="00773382">
      <w:pPr>
        <w:jc w:val="center"/>
        <w:rPr>
          <w:rFonts w:eastAsia="Times New Roman" w:cstheme="minorHAnsi"/>
          <w:b/>
          <w:bCs/>
          <w:color w:val="000000"/>
          <w:sz w:val="36"/>
          <w:szCs w:val="36"/>
          <w:u w:val="single"/>
          <w:lang w:eastAsia="en-GB"/>
        </w:rPr>
      </w:pPr>
      <w:r w:rsidRPr="009B3747">
        <w:rPr>
          <w:rFonts w:eastAsia="Times New Roman" w:cstheme="minorHAnsi"/>
          <w:b/>
          <w:bCs/>
          <w:color w:val="000000"/>
          <w:sz w:val="36"/>
          <w:szCs w:val="36"/>
          <w:u w:val="single"/>
          <w:lang w:eastAsia="en-GB"/>
        </w:rPr>
        <w:lastRenderedPageBreak/>
        <w:t>Chapter 1</w:t>
      </w:r>
    </w:p>
    <w:p w:rsidR="00E3660F" w:rsidRPr="009B3747" w:rsidRDefault="00E3660F" w:rsidP="00BA5176">
      <w:pPr>
        <w:rPr>
          <w:rFonts w:eastAsia="Times New Roman" w:cstheme="minorHAnsi"/>
          <w:b/>
          <w:bCs/>
          <w:color w:val="000000"/>
          <w:sz w:val="28"/>
          <w:szCs w:val="28"/>
          <w:u w:val="single"/>
          <w:lang w:eastAsia="en-GB"/>
        </w:rPr>
      </w:pPr>
    </w:p>
    <w:p w:rsidR="00BA5176" w:rsidRPr="009B3747" w:rsidRDefault="00BA5176" w:rsidP="00BA5176">
      <w:pPr>
        <w:rPr>
          <w:rFonts w:eastAsia="Times New Roman" w:cstheme="minorHAnsi"/>
          <w:sz w:val="32"/>
          <w:szCs w:val="32"/>
          <w:lang w:eastAsia="en-GB"/>
        </w:rPr>
      </w:pPr>
      <w:r w:rsidRPr="009B3747">
        <w:rPr>
          <w:rFonts w:eastAsia="Times New Roman" w:cstheme="minorHAnsi"/>
          <w:b/>
          <w:bCs/>
          <w:color w:val="000000"/>
          <w:sz w:val="32"/>
          <w:szCs w:val="32"/>
          <w:u w:val="single"/>
          <w:lang w:eastAsia="en-GB"/>
        </w:rPr>
        <w:t>Introduction</w:t>
      </w:r>
    </w:p>
    <w:p w:rsidR="00BA5176" w:rsidRPr="009B3747" w:rsidRDefault="00BA5176" w:rsidP="00BA5176">
      <w:pPr>
        <w:rPr>
          <w:rFonts w:eastAsia="Times New Roman" w:cstheme="minorHAnsi"/>
          <w:sz w:val="24"/>
          <w:szCs w:val="24"/>
          <w:lang w:eastAsia="en-GB"/>
        </w:rPr>
      </w:pPr>
    </w:p>
    <w:p w:rsidR="00BA5176" w:rsidRPr="009B3747" w:rsidRDefault="00BA5176" w:rsidP="00BA5176">
      <w:pPr>
        <w:rPr>
          <w:rFonts w:eastAsia="Times New Roman" w:cstheme="minorHAnsi"/>
          <w:sz w:val="24"/>
          <w:szCs w:val="24"/>
          <w:lang w:eastAsia="en-GB"/>
        </w:rPr>
      </w:pPr>
      <w:r w:rsidRPr="009B3747">
        <w:rPr>
          <w:rFonts w:eastAsia="Times New Roman" w:cstheme="minorHAnsi"/>
          <w:color w:val="000000"/>
          <w:lang w:eastAsia="en-GB"/>
        </w:rPr>
        <w:t>This introductory chapter sets the scene for the doctoral study</w:t>
      </w:r>
      <w:r w:rsidR="00515C73">
        <w:rPr>
          <w:rFonts w:eastAsia="Times New Roman" w:cstheme="minorHAnsi"/>
          <w:color w:val="000000"/>
          <w:lang w:eastAsia="en-GB"/>
        </w:rPr>
        <w:t>,</w:t>
      </w:r>
      <w:r w:rsidRPr="009B3747">
        <w:rPr>
          <w:rFonts w:eastAsia="Times New Roman" w:cstheme="minorHAnsi"/>
          <w:color w:val="000000"/>
          <w:lang w:eastAsia="en-GB"/>
        </w:rPr>
        <w:t xml:space="preserve"> by providing both a brief summary to the background and </w:t>
      </w:r>
      <w:r w:rsidR="004D2FB9" w:rsidRPr="009B3747">
        <w:rPr>
          <w:rFonts w:eastAsia="Times New Roman" w:cstheme="minorHAnsi"/>
          <w:color w:val="000000"/>
          <w:lang w:eastAsia="en-GB"/>
        </w:rPr>
        <w:t>a rationale for</w:t>
      </w:r>
      <w:r w:rsidRPr="009B3747">
        <w:rPr>
          <w:rFonts w:eastAsia="Times New Roman" w:cstheme="minorHAnsi"/>
          <w:color w:val="000000"/>
          <w:lang w:eastAsia="en-GB"/>
        </w:rPr>
        <w:t xml:space="preserve"> this</w:t>
      </w:r>
      <w:r w:rsidR="004D2FB9" w:rsidRPr="009B3747">
        <w:rPr>
          <w:rFonts w:eastAsia="Times New Roman" w:cstheme="minorHAnsi"/>
          <w:color w:val="000000"/>
          <w:lang w:eastAsia="en-GB"/>
        </w:rPr>
        <w:t xml:space="preserve"> research</w:t>
      </w:r>
      <w:r w:rsidRPr="009B3747">
        <w:rPr>
          <w:rFonts w:eastAsia="Times New Roman" w:cstheme="minorHAnsi"/>
          <w:color w:val="000000"/>
          <w:lang w:eastAsia="en-GB"/>
        </w:rPr>
        <w:t>.  An overview of the</w:t>
      </w:r>
      <w:r w:rsidR="004D2FB9" w:rsidRPr="009B3747">
        <w:rPr>
          <w:rFonts w:eastAsia="Times New Roman" w:cstheme="minorHAnsi"/>
          <w:color w:val="000000"/>
          <w:lang w:eastAsia="en-GB"/>
        </w:rPr>
        <w:t xml:space="preserve"> research</w:t>
      </w:r>
      <w:r w:rsidRPr="009B3747">
        <w:rPr>
          <w:rFonts w:eastAsia="Times New Roman" w:cstheme="minorHAnsi"/>
          <w:color w:val="000000"/>
          <w:lang w:eastAsia="en-GB"/>
        </w:rPr>
        <w:t xml:space="preserve"> purpose and the approach adopted to address the research question, aims and objectives is presented, in addition to a reflection regarding the potential </w:t>
      </w:r>
      <w:r w:rsidR="0047189B" w:rsidRPr="009B3747">
        <w:rPr>
          <w:rFonts w:eastAsia="Times New Roman" w:cstheme="minorHAnsi"/>
          <w:color w:val="000000"/>
          <w:lang w:eastAsia="en-GB"/>
        </w:rPr>
        <w:t xml:space="preserve">empirical </w:t>
      </w:r>
      <w:r w:rsidRPr="009B3747">
        <w:rPr>
          <w:rFonts w:eastAsia="Times New Roman" w:cstheme="minorHAnsi"/>
          <w:color w:val="000000"/>
          <w:lang w:eastAsia="en-GB"/>
        </w:rPr>
        <w:t>contribution of this postgraduate research project.  The researcher’s background is then discussed, before the chapter concludes with an overview of the thesis structure and content.</w:t>
      </w:r>
    </w:p>
    <w:p w:rsidR="00BA5176" w:rsidRPr="009B3747" w:rsidRDefault="00BA5176" w:rsidP="00BA5176">
      <w:pPr>
        <w:rPr>
          <w:rFonts w:eastAsia="Times New Roman" w:cstheme="minorHAnsi"/>
          <w:sz w:val="24"/>
          <w:szCs w:val="24"/>
          <w:lang w:eastAsia="en-GB"/>
        </w:rPr>
      </w:pPr>
    </w:p>
    <w:p w:rsidR="00BA5176" w:rsidRPr="007358E0" w:rsidRDefault="00BA5176" w:rsidP="00BA5176">
      <w:pPr>
        <w:rPr>
          <w:rFonts w:eastAsia="Times New Roman" w:cstheme="minorHAnsi"/>
          <w:sz w:val="24"/>
          <w:szCs w:val="24"/>
          <w:lang w:eastAsia="en-GB"/>
        </w:rPr>
      </w:pPr>
      <w:r w:rsidRPr="007358E0">
        <w:rPr>
          <w:rFonts w:eastAsia="Times New Roman" w:cstheme="minorHAnsi"/>
          <w:b/>
          <w:bCs/>
          <w:sz w:val="24"/>
          <w:szCs w:val="24"/>
          <w:u w:val="single"/>
          <w:lang w:eastAsia="en-GB"/>
        </w:rPr>
        <w:t>1.1 Research background and rationale</w:t>
      </w:r>
    </w:p>
    <w:p w:rsidR="00BA5176" w:rsidRPr="007358E0" w:rsidRDefault="00BA5176" w:rsidP="00BA5176">
      <w:pPr>
        <w:rPr>
          <w:rFonts w:eastAsia="Times New Roman" w:cstheme="minorHAnsi"/>
          <w:sz w:val="24"/>
          <w:szCs w:val="24"/>
          <w:lang w:eastAsia="en-GB"/>
        </w:rPr>
      </w:pPr>
    </w:p>
    <w:p w:rsidR="00BA5176" w:rsidRPr="007358E0" w:rsidRDefault="00BA5176" w:rsidP="00BA5176">
      <w:pPr>
        <w:rPr>
          <w:rFonts w:eastAsia="Times New Roman" w:cstheme="minorHAnsi"/>
          <w:sz w:val="24"/>
          <w:szCs w:val="24"/>
          <w:lang w:eastAsia="en-GB"/>
        </w:rPr>
      </w:pPr>
      <w:r w:rsidRPr="007358E0">
        <w:rPr>
          <w:rFonts w:eastAsia="Times New Roman" w:cstheme="minorHAnsi"/>
          <w:lang w:eastAsia="en-GB"/>
        </w:rPr>
        <w:t xml:space="preserve">The escalating scale and severity of childhood and adolescent obesity both globally and nationally has presented a serious public health challenge for the 21st century </w:t>
      </w:r>
      <w:r w:rsidR="009C581C" w:rsidRPr="007358E0">
        <w:rPr>
          <w:rFonts w:eastAsia="Times New Roman" w:cstheme="minorHAnsi"/>
          <w:lang w:eastAsia="en-GB"/>
        </w:rPr>
        <w:fldChar w:fldCharType="begin" w:fldLock="1"/>
      </w:r>
      <w:r w:rsidR="009C581C" w:rsidRPr="007358E0">
        <w:rPr>
          <w:rFonts w:eastAsia="Times New Roman" w:cstheme="minorHAnsi"/>
          <w:lang w:eastAsia="en-GB"/>
        </w:rPr>
        <w:instrText>ADDIN CSL_CITATION { "citationItems" : [ { "id" : "ITEM-1", "itemData" : { "DOI" : "10.1016/S0140-6736(16)31471-4", "ISSN" : "01406736", "PMID" : "27597454", "author" : [ { "dropping-particle" : "", "family" : "Lobstein", "given" : "Tim", "non-dropping-particle" : "", "parse-names" : false, "suffix" : "" }, { "dropping-particle" : "", "family" : "McPherson", "given" : "Klim", "non-dropping-particle" : "", "parse-names" : false, "suffix" : "" } ], "container-title" : "The Lancet", "id" : "ITEM-1", "issue" : "10047", "issued" : { "date-parts" : [ [ "2016", "8", "27" ] ] }, "page" : "853-854", "title" : "Nothing new in UK's strategy on childhood obesity", "type" : "article-journal", "volume" : "388" }, "uris" : [ "http://www.mendeley.com/documents/?uuid=74346242-5c21-35c1-bff5-a083b8be702d" ] } ], "mendeley" : { "formattedCitation" : "(Lobstein and McPherson, 2016)", "plainTextFormattedCitation" : "(Lobstein and McPherson, 2016)", "previouslyFormattedCitation" : "(Lobstein and McPherson, 2016)" }, "properties" : { "noteIndex" : 0 }, "schema" : "https://github.com/citation-style-language/schema/raw/master/csl-citation.json" }</w:instrText>
      </w:r>
      <w:r w:rsidR="009C581C" w:rsidRPr="007358E0">
        <w:rPr>
          <w:rFonts w:eastAsia="Times New Roman" w:cstheme="minorHAnsi"/>
          <w:lang w:eastAsia="en-GB"/>
        </w:rPr>
        <w:fldChar w:fldCharType="separate"/>
      </w:r>
      <w:r w:rsidR="009C581C" w:rsidRPr="007358E0">
        <w:rPr>
          <w:rFonts w:eastAsia="Times New Roman" w:cstheme="minorHAnsi"/>
          <w:noProof/>
          <w:lang w:eastAsia="en-GB"/>
        </w:rPr>
        <w:t>(Lobstein and McPherson, 2016)</w:t>
      </w:r>
      <w:r w:rsidR="009C581C" w:rsidRPr="007358E0">
        <w:rPr>
          <w:rFonts w:eastAsia="Times New Roman" w:cstheme="minorHAnsi"/>
          <w:lang w:eastAsia="en-GB"/>
        </w:rPr>
        <w:fldChar w:fldCharType="end"/>
      </w:r>
      <w:r w:rsidR="009C581C" w:rsidRPr="007358E0">
        <w:rPr>
          <w:rFonts w:eastAsia="Times New Roman" w:cstheme="minorHAnsi"/>
          <w:lang w:eastAsia="en-GB"/>
        </w:rPr>
        <w:t xml:space="preserve">.  </w:t>
      </w:r>
      <w:r w:rsidRPr="007358E0">
        <w:rPr>
          <w:rFonts w:eastAsia="Times New Roman" w:cstheme="minorHAnsi"/>
          <w:lang w:eastAsia="en-GB"/>
        </w:rPr>
        <w:t>In England, 25% of children aged</w:t>
      </w:r>
      <w:r w:rsidR="00846B21" w:rsidRPr="007358E0">
        <w:rPr>
          <w:rFonts w:eastAsia="Times New Roman" w:cstheme="minorHAnsi"/>
          <w:lang w:eastAsia="en-GB"/>
        </w:rPr>
        <w:t xml:space="preserve"> four to five years </w:t>
      </w:r>
      <w:r w:rsidRPr="007358E0">
        <w:rPr>
          <w:rFonts w:eastAsia="Times New Roman" w:cstheme="minorHAnsi"/>
          <w:lang w:eastAsia="en-GB"/>
        </w:rPr>
        <w:t>a</w:t>
      </w:r>
      <w:r w:rsidR="00C72206" w:rsidRPr="007358E0">
        <w:rPr>
          <w:rFonts w:eastAsia="Times New Roman" w:cstheme="minorHAnsi"/>
          <w:lang w:eastAsia="en-GB"/>
        </w:rPr>
        <w:t xml:space="preserve">nd 33% of children aged </w:t>
      </w:r>
      <w:r w:rsidR="00846B21" w:rsidRPr="007358E0">
        <w:rPr>
          <w:rFonts w:eastAsia="Times New Roman" w:cstheme="minorHAnsi"/>
          <w:lang w:eastAsia="en-GB"/>
        </w:rPr>
        <w:t>ten to eleven years</w:t>
      </w:r>
      <w:r w:rsidR="00515C73">
        <w:rPr>
          <w:rFonts w:eastAsia="Times New Roman" w:cstheme="minorHAnsi"/>
          <w:lang w:eastAsia="en-GB"/>
        </w:rPr>
        <w:t xml:space="preserve">, </w:t>
      </w:r>
      <w:r w:rsidRPr="007358E0">
        <w:rPr>
          <w:rFonts w:eastAsia="Times New Roman" w:cstheme="minorHAnsi"/>
          <w:lang w:eastAsia="en-GB"/>
        </w:rPr>
        <w:t xml:space="preserve">are </w:t>
      </w:r>
      <w:r w:rsidR="0047189B" w:rsidRPr="007358E0">
        <w:rPr>
          <w:rFonts w:eastAsia="Times New Roman" w:cstheme="minorHAnsi"/>
          <w:lang w:eastAsia="en-GB"/>
        </w:rPr>
        <w:t>either</w:t>
      </w:r>
      <w:r w:rsidRPr="007358E0">
        <w:rPr>
          <w:rFonts w:eastAsia="Times New Roman" w:cstheme="minorHAnsi"/>
          <w:lang w:eastAsia="en-GB"/>
        </w:rPr>
        <w:t xml:space="preserve"> overweight or obese</w:t>
      </w:r>
      <w:r w:rsidR="00B4397E" w:rsidRPr="007358E0">
        <w:rPr>
          <w:rFonts w:eastAsia="Times New Roman" w:cstheme="minorHAnsi"/>
          <w:lang w:eastAsia="en-GB"/>
        </w:rPr>
        <w:t xml:space="preserve"> </w:t>
      </w:r>
      <w:r w:rsidR="00B4397E" w:rsidRPr="007358E0">
        <w:rPr>
          <w:rFonts w:eastAsia="Times New Roman" w:cstheme="minorHAnsi"/>
          <w:lang w:eastAsia="en-GB"/>
        </w:rPr>
        <w:fldChar w:fldCharType="begin" w:fldLock="1"/>
      </w:r>
      <w:r w:rsidR="00B4397E" w:rsidRPr="007358E0">
        <w:rPr>
          <w:rFonts w:eastAsia="Times New Roman" w:cstheme="minorHAnsi"/>
          <w:lang w:eastAsia="en-GB"/>
        </w:rPr>
        <w:instrText>ADDIN CSL_CITATION { "citationItems" : [ { "id" : "ITEM-1", "itemData" : { "author" : [ { "dropping-particle" : "", "family" : "NHS Digital", "given" : "", "non-dropping-particle" : "", "parse-names" : false, "suffix" : "" } ], "id" : "ITEM-1", "issued" : { "date-parts" : [ [ "2016" ] ] }, "publisher-place" : "London", "title" : "National Child Measurement Programme - England, 2015/2016 school year", "type" : "report" }, "uris" : [ "http://www.mendeley.com/documents/?uuid=c13c8b37-9c1a-4559-8550-5f5e414a2fe2" ] } ], "mendeley" : { "formattedCitation" : "(NHS Digital, 2016b)", "plainTextFormattedCitation" : "(NHS Digital, 2016b)", "previouslyFormattedCitation" : "(NHS Digital, 2016b)" }, "properties" : { "noteIndex" : 0 }, "schema" : "https://github.com/citation-style-language/schema/raw/master/csl-citation.json" }</w:instrText>
      </w:r>
      <w:r w:rsidR="00B4397E" w:rsidRPr="007358E0">
        <w:rPr>
          <w:rFonts w:eastAsia="Times New Roman" w:cstheme="minorHAnsi"/>
          <w:lang w:eastAsia="en-GB"/>
        </w:rPr>
        <w:fldChar w:fldCharType="separate"/>
      </w:r>
      <w:r w:rsidR="00B4397E" w:rsidRPr="007358E0">
        <w:rPr>
          <w:rFonts w:eastAsia="Times New Roman" w:cstheme="minorHAnsi"/>
          <w:noProof/>
          <w:lang w:eastAsia="en-GB"/>
        </w:rPr>
        <w:t>(NHS Digital, 2016b)</w:t>
      </w:r>
      <w:r w:rsidR="00B4397E" w:rsidRPr="007358E0">
        <w:rPr>
          <w:rFonts w:eastAsia="Times New Roman" w:cstheme="minorHAnsi"/>
          <w:lang w:eastAsia="en-GB"/>
        </w:rPr>
        <w:fldChar w:fldCharType="end"/>
      </w:r>
      <w:r w:rsidR="00A42BA8" w:rsidRPr="007358E0">
        <w:rPr>
          <w:rFonts w:eastAsia="Times New Roman" w:cstheme="minorHAnsi"/>
          <w:lang w:eastAsia="en-GB"/>
        </w:rPr>
        <w:t xml:space="preserve">.  </w:t>
      </w:r>
      <w:r w:rsidRPr="007358E0">
        <w:rPr>
          <w:rFonts w:eastAsia="Times New Roman" w:cstheme="minorHAnsi"/>
          <w:lang w:eastAsia="en-GB"/>
        </w:rPr>
        <w:t>In the UK, whilst trends have indicated that the r</w:t>
      </w:r>
      <w:r w:rsidR="00E01E19" w:rsidRPr="007358E0">
        <w:rPr>
          <w:rFonts w:eastAsia="Times New Roman" w:cstheme="minorHAnsi"/>
          <w:lang w:eastAsia="en-GB"/>
        </w:rPr>
        <w:t xml:space="preserve">ate of increase is stabilising </w:t>
      </w:r>
      <w:r w:rsidR="00E01E19" w:rsidRPr="007358E0">
        <w:rPr>
          <w:rFonts w:eastAsia="Times New Roman" w:cstheme="minorHAnsi"/>
          <w:lang w:eastAsia="en-GB"/>
        </w:rPr>
        <w:fldChar w:fldCharType="begin" w:fldLock="1"/>
      </w:r>
      <w:r w:rsidR="00E01E19" w:rsidRPr="007358E0">
        <w:rPr>
          <w:rFonts w:eastAsia="Times New Roman" w:cstheme="minorHAnsi"/>
          <w:lang w:eastAsia="en-GB"/>
        </w:rPr>
        <w:instrText>ADDIN CSL_CITATION { "citationItems" : [ { "id" : "ITEM-1", "itemData" : { "DOI" : "10.1186/1741-7015-12-17", "ISSN" : "1741-7015", "abstract" : "Surveys performed in the past 10 to 15years show a yet unexplained stabilization or decline in prevalence rates of childhood obesity in developed countries. The projected continuous increase in obesity prevalence throughout future decades seems not to occur at present. Apparently, saturation has been reached, which might be related to societal adjustments. Hence, we postulate a cumulative effect of public health programs for obesity prevention resulting, for example, in an increase in physical activity, and a decline in television viewing and in the consumption of sugar-sweetened soft drinks by children. Effective public health programs are urgently needed for developing countries, where obesity rates in children still continued to increase during the past decade.", "author" : [ { "dropping-particle" : "", "family" : "Wabitsch", "given" : "Martin", "non-dropping-particle" : "", "parse-names" : false, "suffix" : "" }, { "dropping-particle" : "", "family" : "Moss", "given" : "Anja", "non-dropping-particle" : "", "parse-names" : false, "suffix" : "" }, { "dropping-particle" : "", "family" : "Kromeyer-Hauschild", "given" : "Katrin", "non-dropping-particle" : "", "parse-names" : false, "suffix" : "" } ], "container-title" : "BMC Medicine", "id" : "ITEM-1", "issue" : "1", "issued" : { "date-parts" : [ [ "2014" ] ] }, "page" : "17", "title" : "Unexpected plateauing of childhood obesity rates in developed countries", "type" : "article-journal", "volume" : "12" }, "uris" : [ "http://www.mendeley.com/documents/?uuid=45ed62d9-b2e6-459f-85eb-a2cc9e0e182d" ] } ], "mendeley" : { "formattedCitation" : "(Wabitsch et al., 2014)", "plainTextFormattedCitation" : "(Wabitsch et al., 2014)", "previouslyFormattedCitation" : "(Wabitsch et al., 2014)" }, "properties" : { "noteIndex" : 0 }, "schema" : "https://github.com/citation-style-language/schema/raw/master/csl-citation.json" }</w:instrText>
      </w:r>
      <w:r w:rsidR="00E01E19" w:rsidRPr="007358E0">
        <w:rPr>
          <w:rFonts w:eastAsia="Times New Roman" w:cstheme="minorHAnsi"/>
          <w:lang w:eastAsia="en-GB"/>
        </w:rPr>
        <w:fldChar w:fldCharType="separate"/>
      </w:r>
      <w:r w:rsidR="00E01E19" w:rsidRPr="007358E0">
        <w:rPr>
          <w:rFonts w:eastAsia="Times New Roman" w:cstheme="minorHAnsi"/>
          <w:noProof/>
          <w:lang w:eastAsia="en-GB"/>
        </w:rPr>
        <w:t>(Wabitsch et al., 2014)</w:t>
      </w:r>
      <w:r w:rsidR="00E01E19" w:rsidRPr="007358E0">
        <w:rPr>
          <w:rFonts w:eastAsia="Times New Roman" w:cstheme="minorHAnsi"/>
          <w:lang w:eastAsia="en-GB"/>
        </w:rPr>
        <w:fldChar w:fldCharType="end"/>
      </w:r>
      <w:r w:rsidR="00515C73">
        <w:rPr>
          <w:rFonts w:eastAsia="Times New Roman" w:cstheme="minorHAnsi"/>
          <w:lang w:eastAsia="en-GB"/>
        </w:rPr>
        <w:t>,</w:t>
      </w:r>
      <w:r w:rsidRPr="007358E0">
        <w:rPr>
          <w:rFonts w:eastAsia="Times New Roman" w:cstheme="minorHAnsi"/>
          <w:lang w:eastAsia="en-GB"/>
        </w:rPr>
        <w:t xml:space="preserve"> levels remain </w:t>
      </w:r>
      <w:r w:rsidR="0047189B" w:rsidRPr="007358E0">
        <w:rPr>
          <w:rFonts w:eastAsia="Times New Roman" w:cstheme="minorHAnsi"/>
          <w:i/>
          <w:lang w:eastAsia="en-GB"/>
        </w:rPr>
        <w:t>“historically high”</w:t>
      </w:r>
      <w:r w:rsidR="0047189B" w:rsidRPr="007358E0">
        <w:rPr>
          <w:rFonts w:eastAsia="Times New Roman" w:cstheme="minorHAnsi"/>
          <w:lang w:eastAsia="en-GB"/>
        </w:rPr>
        <w:t xml:space="preserve"> </w:t>
      </w:r>
      <w:r w:rsidRPr="007358E0">
        <w:rPr>
          <w:rFonts w:eastAsia="Times New Roman" w:cstheme="minorHAnsi"/>
          <w:lang w:eastAsia="en-GB"/>
        </w:rPr>
        <w:t xml:space="preserve">and inequalities within childhood obesity prevalence continue to grow </w:t>
      </w:r>
      <w:r w:rsidR="00E01E19" w:rsidRPr="007358E0">
        <w:rPr>
          <w:rFonts w:eastAsia="Times New Roman" w:cstheme="minorHAnsi"/>
          <w:lang w:eastAsia="en-GB"/>
        </w:rPr>
        <w:fldChar w:fldCharType="begin" w:fldLock="1"/>
      </w:r>
      <w:r w:rsidR="0047189B" w:rsidRPr="007358E0">
        <w:rPr>
          <w:rFonts w:eastAsia="Times New Roman" w:cstheme="minorHAnsi"/>
          <w:lang w:eastAsia="en-GB"/>
        </w:rPr>
        <w:instrText>ADDIN CSL_CITATION { "citationItems" : [ { "id" : "ITEM-1", "itemData" : { "author" : [ { "dropping-particle" : "", "family" : "Lobstein", "given" : "T", "non-dropping-particle" : "", "parse-names" : false, "suffix" : "" }, { "dropping-particle" : "", "family" : "Jackson-Leach", "given" : "R", "non-dropping-particle" : "", "parse-names" : false, "suffix" : "" }, { "dropping-particle" : "", "family" : "Moodie", "given" : "ML", "non-dropping-particle" : "", "parse-names" : false, "suffix" : "" } ], "container-title" : "The Lancet", "id" : "ITEM-1", "issue" : "9986", "issued" : { "date-parts" : [ [ "2015" ] ] }, "page" : "2510-2520", "title" : "Child and adolescent obesity: part of a bigger picture", "type" : "article-journal", "volume" : "385" }, "uris" : [ "http://www.mendeley.com/documents/?uuid=e072a246-f28d-4879-b95a-10b312372cee" ] } ], "mendeley" : { "formattedCitation" : "(Lobstein et al., 2015)", "manualFormatting" : "(Lobstein et al., 2015, p2510)", "plainTextFormattedCitation" : "(Lobstein et al., 2015)", "previouslyFormattedCitation" : "(Lobstein et al., 2015)" }, "properties" : { "noteIndex" : 0 }, "schema" : "https://github.com/citation-style-language/schema/raw/master/csl-citation.json" }</w:instrText>
      </w:r>
      <w:r w:rsidR="00E01E19" w:rsidRPr="007358E0">
        <w:rPr>
          <w:rFonts w:eastAsia="Times New Roman" w:cstheme="minorHAnsi"/>
          <w:lang w:eastAsia="en-GB"/>
        </w:rPr>
        <w:fldChar w:fldCharType="separate"/>
      </w:r>
      <w:r w:rsidR="00E01E19" w:rsidRPr="007358E0">
        <w:rPr>
          <w:rFonts w:eastAsia="Times New Roman" w:cstheme="minorHAnsi"/>
          <w:noProof/>
          <w:lang w:eastAsia="en-GB"/>
        </w:rPr>
        <w:t>(Lobstein et al., 2015</w:t>
      </w:r>
      <w:r w:rsidR="0047189B" w:rsidRPr="007358E0">
        <w:rPr>
          <w:rFonts w:eastAsia="Times New Roman" w:cstheme="minorHAnsi"/>
          <w:noProof/>
          <w:lang w:eastAsia="en-GB"/>
        </w:rPr>
        <w:t>, p2510</w:t>
      </w:r>
      <w:r w:rsidR="00E01E19" w:rsidRPr="007358E0">
        <w:rPr>
          <w:rFonts w:eastAsia="Times New Roman" w:cstheme="minorHAnsi"/>
          <w:noProof/>
          <w:lang w:eastAsia="en-GB"/>
        </w:rPr>
        <w:t>)</w:t>
      </w:r>
      <w:r w:rsidR="00E01E19" w:rsidRPr="007358E0">
        <w:rPr>
          <w:rFonts w:eastAsia="Times New Roman" w:cstheme="minorHAnsi"/>
          <w:lang w:eastAsia="en-GB"/>
        </w:rPr>
        <w:fldChar w:fldCharType="end"/>
      </w:r>
      <w:r w:rsidRPr="007358E0">
        <w:rPr>
          <w:rFonts w:eastAsia="Times New Roman" w:cstheme="minorHAnsi"/>
          <w:lang w:eastAsia="en-GB"/>
        </w:rPr>
        <w:t>.  </w:t>
      </w:r>
    </w:p>
    <w:p w:rsidR="00BA5176" w:rsidRPr="007358E0" w:rsidRDefault="0047189B" w:rsidP="0047189B">
      <w:pPr>
        <w:tabs>
          <w:tab w:val="left" w:pos="7500"/>
        </w:tabs>
        <w:rPr>
          <w:rFonts w:eastAsia="Times New Roman" w:cstheme="minorHAnsi"/>
          <w:sz w:val="24"/>
          <w:szCs w:val="24"/>
          <w:lang w:eastAsia="en-GB"/>
        </w:rPr>
      </w:pPr>
      <w:r w:rsidRPr="007358E0">
        <w:rPr>
          <w:rFonts w:eastAsia="Times New Roman" w:cstheme="minorHAnsi"/>
          <w:sz w:val="24"/>
          <w:szCs w:val="24"/>
          <w:lang w:eastAsia="en-GB"/>
        </w:rPr>
        <w:tab/>
      </w:r>
    </w:p>
    <w:p w:rsidR="00BA5176" w:rsidRPr="007358E0" w:rsidRDefault="00BA5176" w:rsidP="00BA5176">
      <w:pPr>
        <w:rPr>
          <w:rFonts w:eastAsia="Times New Roman" w:cstheme="minorHAnsi"/>
          <w:sz w:val="24"/>
          <w:szCs w:val="24"/>
          <w:lang w:eastAsia="en-GB"/>
        </w:rPr>
      </w:pPr>
      <w:r w:rsidRPr="007358E0">
        <w:rPr>
          <w:rFonts w:eastAsia="Times New Roman" w:cstheme="minorHAnsi"/>
          <w:lang w:eastAsia="en-GB"/>
        </w:rPr>
        <w:t>The causes of obesity during childhood, adolescence and adulthood are exceptionally complex and multifactorial, with genetic, behaviour and environmental factors</w:t>
      </w:r>
      <w:r w:rsidR="00515C73">
        <w:rPr>
          <w:rFonts w:eastAsia="Times New Roman" w:cstheme="minorHAnsi"/>
          <w:lang w:eastAsia="en-GB"/>
        </w:rPr>
        <w:t>,</w:t>
      </w:r>
      <w:r w:rsidRPr="007358E0">
        <w:rPr>
          <w:rFonts w:eastAsia="Times New Roman" w:cstheme="minorHAnsi"/>
          <w:lang w:eastAsia="en-GB"/>
        </w:rPr>
        <w:t xml:space="preserve"> all influencing the resultant weight status of both individuals and populations </w:t>
      </w:r>
      <w:r w:rsidR="00E01E19" w:rsidRPr="007358E0">
        <w:rPr>
          <w:rFonts w:eastAsia="Times New Roman" w:cstheme="minorHAnsi"/>
          <w:lang w:eastAsia="en-GB"/>
        </w:rPr>
        <w:fldChar w:fldCharType="begin" w:fldLock="1"/>
      </w:r>
      <w:r w:rsidR="0047189B" w:rsidRPr="007358E0">
        <w:rPr>
          <w:rFonts w:eastAsia="Times New Roman" w:cstheme="minorHAnsi"/>
          <w:lang w:eastAsia="en-GB"/>
        </w:rPr>
        <w:instrText>ADDIN CSL_CITATION { "citationItems" : [ { "id" : "ITEM-1", "itemData" : { "author" : [ { "dropping-particle" : "", "family" : "Butland", "given" : "B", "non-dropping-particle" : "", "parse-names" : false, "suffix" : "" }, { "dropping-particle" : "", "family" : "Jebb", "given" : "S", "non-dropping-particle" : "", "parse-names" : false, "suffix" : "" } ], "id" : "ITEM-1", "issued" : { "date-parts" : [ [ "2007" ] ] }, "title" : "Foresight. Tackling obesities: future choices. Project report.", "type" : "report" }, "uris" : [ "http://www.mendeley.com/documents/?uuid=8ae0e880-41d4-4b61-b434-dc36711dd306" ] } ], "mendeley" : { "formattedCitation" : "(Butland and Jebb, 2007)", "plainTextFormattedCitation" : "(Butland and Jebb, 2007)", "previouslyFormattedCitation" : "(Butland and Jebb, 2007)" }, "properties" : { "noteIndex" : 0 }, "schema" : "https://github.com/citation-style-language/schema/raw/master/csl-citation.json" }</w:instrText>
      </w:r>
      <w:r w:rsidR="00E01E19" w:rsidRPr="007358E0">
        <w:rPr>
          <w:rFonts w:eastAsia="Times New Roman" w:cstheme="minorHAnsi"/>
          <w:lang w:eastAsia="en-GB"/>
        </w:rPr>
        <w:fldChar w:fldCharType="separate"/>
      </w:r>
      <w:r w:rsidR="00E01E19" w:rsidRPr="007358E0">
        <w:rPr>
          <w:rFonts w:eastAsia="Times New Roman" w:cstheme="minorHAnsi"/>
          <w:noProof/>
          <w:lang w:eastAsia="en-GB"/>
        </w:rPr>
        <w:t>(Butland and Jebb, 2007)</w:t>
      </w:r>
      <w:r w:rsidR="00E01E19" w:rsidRPr="007358E0">
        <w:rPr>
          <w:rFonts w:eastAsia="Times New Roman" w:cstheme="minorHAnsi"/>
          <w:lang w:eastAsia="en-GB"/>
        </w:rPr>
        <w:fldChar w:fldCharType="end"/>
      </w:r>
      <w:r w:rsidR="00E01E19" w:rsidRPr="007358E0">
        <w:rPr>
          <w:rFonts w:eastAsia="Times New Roman" w:cstheme="minorHAnsi"/>
          <w:lang w:eastAsia="en-GB"/>
        </w:rPr>
        <w:t xml:space="preserve">.  </w:t>
      </w:r>
      <w:r w:rsidRPr="007358E0">
        <w:rPr>
          <w:rFonts w:eastAsia="Times New Roman" w:cstheme="minorHAnsi"/>
          <w:lang w:eastAsia="en-GB"/>
        </w:rPr>
        <w:t xml:space="preserve">Obesity is associated with an increased risk of morbidity and premature mortality </w:t>
      </w:r>
      <w:r w:rsidR="00E01E19" w:rsidRPr="007358E0">
        <w:rPr>
          <w:rFonts w:eastAsia="Times New Roman" w:cstheme="minorHAnsi"/>
          <w:lang w:eastAsia="en-GB"/>
        </w:rPr>
        <w:fldChar w:fldCharType="begin" w:fldLock="1"/>
      </w:r>
      <w:r w:rsidR="0047189B" w:rsidRPr="007358E0">
        <w:rPr>
          <w:rFonts w:eastAsia="Times New Roman" w:cstheme="minorHAnsi"/>
          <w:lang w:eastAsia="en-GB"/>
        </w:rPr>
        <w:instrText>ADDIN CSL_CITATION { "citationItems" : [ { "id" : "ITEM-1", "itemData" : { "author" : [ { "dropping-particle" : "", "family" : "Ebbeling", "given" : "CB", "non-dropping-particle" : "", "parse-names" : false, "suffix" : "" }, { "dropping-particle" : "", "family" : "Pawlak", "given" : "DB", "non-dropping-particle" : "", "parse-names" : false, "suffix" : "" }, { "dropping-particle" : "", "family" : "Ludwig", "given" : "DS", "non-dropping-particle" : "", "parse-names" : false, "suffix" : "" } ], "container-title" : "The lancet", "id" : "ITEM-1", "issue" : "9331", "issued" : { "date-parts" : [ [ "2002" ] ] }, "page" : "473-482", "title" : "Childhood obesity: public-health crisis, common sense cure", "type" : "article-journal", "volume" : "360" }, "uris" : [ "http://www.mendeley.com/documents/?uuid=170d16d6-47bb-497e-ad62-092f44b77542" ] } ], "mendeley" : { "formattedCitation" : "(Ebbeling et al., 2002)", "plainTextFormattedCitation" : "(Ebbeling et al., 2002)", "previouslyFormattedCitation" : "(Ebbeling et al., 2002)" }, "properties" : { "noteIndex" : 0 }, "schema" : "https://github.com/citation-style-language/schema/raw/master/csl-citation.json" }</w:instrText>
      </w:r>
      <w:r w:rsidR="00E01E19" w:rsidRPr="007358E0">
        <w:rPr>
          <w:rFonts w:eastAsia="Times New Roman" w:cstheme="minorHAnsi"/>
          <w:lang w:eastAsia="en-GB"/>
        </w:rPr>
        <w:fldChar w:fldCharType="separate"/>
      </w:r>
      <w:r w:rsidR="00E01E19" w:rsidRPr="007358E0">
        <w:rPr>
          <w:rFonts w:eastAsia="Times New Roman" w:cstheme="minorHAnsi"/>
          <w:noProof/>
          <w:lang w:eastAsia="en-GB"/>
        </w:rPr>
        <w:t>(Ebbeling et al., 2002)</w:t>
      </w:r>
      <w:r w:rsidR="00E01E19" w:rsidRPr="007358E0">
        <w:rPr>
          <w:rFonts w:eastAsia="Times New Roman" w:cstheme="minorHAnsi"/>
          <w:lang w:eastAsia="en-GB"/>
        </w:rPr>
        <w:fldChar w:fldCharType="end"/>
      </w:r>
      <w:r w:rsidR="00E01E19" w:rsidRPr="007358E0">
        <w:rPr>
          <w:rFonts w:eastAsia="Times New Roman" w:cstheme="minorHAnsi"/>
          <w:lang w:eastAsia="en-GB"/>
        </w:rPr>
        <w:t>,</w:t>
      </w:r>
      <w:r w:rsidRPr="007358E0">
        <w:rPr>
          <w:rFonts w:eastAsia="Times New Roman" w:cstheme="minorHAnsi"/>
          <w:lang w:eastAsia="en-GB"/>
        </w:rPr>
        <w:t xml:space="preserve"> in addition to presenting a substantial economic burden to society</w:t>
      </w:r>
      <w:r w:rsidR="00E01E19" w:rsidRPr="007358E0">
        <w:rPr>
          <w:rFonts w:eastAsia="Times New Roman" w:cstheme="minorHAnsi"/>
          <w:lang w:eastAsia="en-GB"/>
        </w:rPr>
        <w:t xml:space="preserve"> </w:t>
      </w:r>
      <w:r w:rsidR="00E01E19" w:rsidRPr="007358E0">
        <w:rPr>
          <w:rFonts w:eastAsia="Times New Roman" w:cstheme="minorHAnsi"/>
          <w:lang w:eastAsia="en-GB"/>
        </w:rPr>
        <w:fldChar w:fldCharType="begin" w:fldLock="1"/>
      </w:r>
      <w:r w:rsidR="009C2ECF" w:rsidRPr="007358E0">
        <w:rPr>
          <w:rFonts w:eastAsia="Times New Roman" w:cstheme="minorHAnsi"/>
          <w:lang w:eastAsia="en-GB"/>
        </w:rPr>
        <w:instrText>ADDIN CSL_CITATION { "citationItems" : [ { "id" : "ITEM-1", "itemData" : { "DOI" : "10.1016/S0140-6736(11)60814-3", "ISBN" : "1474-547X (Electronic)\\n0140-6736 (Linking)", "ISSN" : "01406736", "PMID" : "21872750", "abstract" : "Rising prevalence of obesity is a worldwide health concern because excess weight gain within populations forecasts an increased burden from several diseases, most notably cardiovascular diseases, diabetes, and cancers. In this report, we used a simulation model to project the probable health and economic consequences in the next two decades from a continued rise in obesity in two ageing populations - the USA and the UK. These trends project 65 million more obese adults in the USA and 11 million more obese adults in the UK by 2030, consequently accruing an additional 6-8\u00b75 million cases of diabetes, 5\u00b77-7\u00b73 million cases of heart disease and stroke, 492 000-669 000 additional cases of cancer, and 26-55 million quality-adjusted life years forgone for USA and UK combined. The combined medical costs associated with treatment of these preventable diseases are estimated to increase by $48-66 billion/year in the USA and by \u00a31\u00b79-2 billion/year in the UK by 2030. Hence, effective policies to promote healthier weight also have economic benefits. \u00a9 2011 Elsevier Ltd.", "author" : [ { "dropping-particle" : "", "family" : "Wang", "given" : "Y. Claire", "non-dropping-particle" : "", "parse-names" : false, "suffix" : "" }, { "dropping-particle" : "", "family" : "McPherson", "given" : "Klim", "non-dropping-particle" : "", "parse-names" : false, "suffix" : "" }, { "dropping-particle" : "", "family" : "Marsh", "given" : "Tim", "non-dropping-particle" : "", "parse-names" : false, "suffix" : "" }, { "dropping-particle" : "", "family" : "Gortmaker", "given" : "Steven L.", "non-dropping-particle" : "", "parse-names" : false, "suffix" : "" }, { "dropping-particle" : "", "family" : "Brown", "given" : "Martin", "non-dropping-particle" : "", "parse-names" : false, "suffix" : "" } ], "container-title" : "The Lancet", "id" : "ITEM-1", "issue" : "9793", "issued" : { "date-parts" : [ [ "2011" ] ] }, "page" : "815-825", "title" : "Health and economic burden of the projected obesity trends in the USA and the UK", "type" : "article-journal", "volume" : "378" }, "uris" : [ "http://www.mendeley.com/documents/?uuid=d847f100-977f-4bd7-8545-734bc0cf2667" ] } ], "mendeley" : { "formattedCitation" : "(Wang et al., 2011)", "manualFormatting" : "(Wang et al., 2011)", "plainTextFormattedCitation" : "(Wang et al., 2011)", "previouslyFormattedCitation" : "(Wang et al., 2011)" }, "properties" : { "noteIndex" : 0 }, "schema" : "https://github.com/citation-style-language/schema/raw/master/csl-citation.json" }</w:instrText>
      </w:r>
      <w:r w:rsidR="00E01E19" w:rsidRPr="007358E0">
        <w:rPr>
          <w:rFonts w:eastAsia="Times New Roman" w:cstheme="minorHAnsi"/>
          <w:lang w:eastAsia="en-GB"/>
        </w:rPr>
        <w:fldChar w:fldCharType="separate"/>
      </w:r>
      <w:r w:rsidR="00B41686" w:rsidRPr="007358E0">
        <w:rPr>
          <w:rFonts w:eastAsia="Times New Roman" w:cstheme="minorHAnsi"/>
          <w:noProof/>
          <w:lang w:eastAsia="en-GB"/>
        </w:rPr>
        <w:t>(Wang et al.,</w:t>
      </w:r>
      <w:r w:rsidR="00B41686" w:rsidRPr="007358E0">
        <w:rPr>
          <w:rFonts w:eastAsia="Times New Roman" w:cstheme="minorHAnsi"/>
          <w:i/>
          <w:noProof/>
          <w:lang w:eastAsia="en-GB"/>
        </w:rPr>
        <w:t xml:space="preserve"> </w:t>
      </w:r>
      <w:r w:rsidR="00B41686" w:rsidRPr="007358E0">
        <w:rPr>
          <w:rFonts w:eastAsia="Times New Roman" w:cstheme="minorHAnsi"/>
          <w:noProof/>
          <w:lang w:eastAsia="en-GB"/>
        </w:rPr>
        <w:t>2011)</w:t>
      </w:r>
      <w:r w:rsidR="00E01E19" w:rsidRPr="007358E0">
        <w:rPr>
          <w:rFonts w:eastAsia="Times New Roman" w:cstheme="minorHAnsi"/>
          <w:lang w:eastAsia="en-GB"/>
        </w:rPr>
        <w:fldChar w:fldCharType="end"/>
      </w:r>
      <w:r w:rsidR="00E01E19" w:rsidRPr="007358E0">
        <w:rPr>
          <w:rFonts w:eastAsia="Times New Roman" w:cstheme="minorHAnsi"/>
          <w:lang w:eastAsia="en-GB"/>
        </w:rPr>
        <w:t xml:space="preserve">.  </w:t>
      </w:r>
      <w:r w:rsidRPr="007358E0">
        <w:rPr>
          <w:rFonts w:eastAsia="Times New Roman" w:cstheme="minorHAnsi"/>
          <w:lang w:eastAsia="en-GB"/>
        </w:rPr>
        <w:t>Consequently, tackling the epidemic of obesity remains a critical national and international priority</w:t>
      </w:r>
      <w:r w:rsidR="00E01E19" w:rsidRPr="007358E0">
        <w:rPr>
          <w:rFonts w:eastAsia="Times New Roman" w:cstheme="minorHAnsi"/>
          <w:lang w:eastAsia="en-GB"/>
        </w:rPr>
        <w:t xml:space="preserve">  </w:t>
      </w:r>
      <w:r w:rsidR="00E01E19" w:rsidRPr="007358E0">
        <w:rPr>
          <w:rFonts w:eastAsia="Times New Roman" w:cstheme="minorHAnsi"/>
          <w:lang w:eastAsia="en-GB"/>
        </w:rPr>
        <w:fldChar w:fldCharType="begin" w:fldLock="1"/>
      </w:r>
      <w:r w:rsidR="00395650" w:rsidRPr="007358E0">
        <w:rPr>
          <w:rFonts w:eastAsia="Times New Roman" w:cstheme="minorHAnsi"/>
          <w:lang w:eastAsia="en-GB"/>
        </w:rPr>
        <w:instrText>ADDIN CSL_CITATION { "citationItems" : [ { "id" : "ITEM-1", "itemData" : { "author" : [ { "dropping-particle" : "", "family" : "Ng", "given" : "M", "non-dropping-particle" : "", "parse-names" : false, "suffix" : "" }, { "dropping-particle" : "", "family" : "Fleming", "given" : "T", "non-dropping-particle" : "", "parse-names" : false, "suffix" : "" }, { "dropping-particle" : "", "family" : "Robinson", "given" : "M", "non-dropping-particle" : "", "parse-names" : false, "suffix" : "" }, { "dropping-particle" : "", "family" : "Thomson", "given" : "B", "non-dropping-particle" : "", "parse-names" : false, "suffix" : "" } ], "container-title" : "The Lancet", "id" : "ITEM-1", "issue" : "9945", "issued" : { "date-parts" : [ [ "2014" ] ] }, "page" : "766\u2013781", "title" : "Global, regional, and national prevalence of overweight and obesity in children and adults during 1980\u20132013: a systematic analysis for the Global Burden of Disease", "type" : "article-journal", "volume" : "384" }, "uris" : [ "http://www.mendeley.com/documents/?uuid=b95f8d13-2451-49b7-9542-f84d44941706" ] } ], "mendeley" : { "formattedCitation" : "(Ng et al., 2014)", "plainTextFormattedCitation" : "(Ng et al., 2014)", "previouslyFormattedCitation" : "(Ng et al., 2014)" }, "properties" : { "noteIndex" : 0 }, "schema" : "https://github.com/citation-style-language/schema/raw/master/csl-citation.json" }</w:instrText>
      </w:r>
      <w:r w:rsidR="00E01E19" w:rsidRPr="007358E0">
        <w:rPr>
          <w:rFonts w:eastAsia="Times New Roman" w:cstheme="minorHAnsi"/>
          <w:lang w:eastAsia="en-GB"/>
        </w:rPr>
        <w:fldChar w:fldCharType="separate"/>
      </w:r>
      <w:r w:rsidR="00E01E19" w:rsidRPr="007358E0">
        <w:rPr>
          <w:rFonts w:eastAsia="Times New Roman" w:cstheme="minorHAnsi"/>
          <w:noProof/>
          <w:lang w:eastAsia="en-GB"/>
        </w:rPr>
        <w:t>(Ng et al., 2014)</w:t>
      </w:r>
      <w:r w:rsidR="00E01E19" w:rsidRPr="007358E0">
        <w:rPr>
          <w:rFonts w:eastAsia="Times New Roman" w:cstheme="minorHAnsi"/>
          <w:lang w:eastAsia="en-GB"/>
        </w:rPr>
        <w:fldChar w:fldCharType="end"/>
      </w:r>
      <w:r w:rsidR="00E01E19" w:rsidRPr="007358E0">
        <w:rPr>
          <w:rFonts w:eastAsia="Times New Roman" w:cstheme="minorHAnsi"/>
          <w:lang w:eastAsia="en-GB"/>
        </w:rPr>
        <w:t>.</w:t>
      </w:r>
    </w:p>
    <w:p w:rsidR="00BA5176" w:rsidRPr="007358E0" w:rsidRDefault="00BA5176" w:rsidP="00BA5176">
      <w:pPr>
        <w:rPr>
          <w:rFonts w:eastAsia="Times New Roman" w:cstheme="minorHAnsi"/>
          <w:sz w:val="24"/>
          <w:szCs w:val="24"/>
          <w:lang w:eastAsia="en-GB"/>
        </w:rPr>
      </w:pPr>
    </w:p>
    <w:p w:rsidR="001971CC" w:rsidRDefault="00BA5176" w:rsidP="00601609">
      <w:pPr>
        <w:rPr>
          <w:rFonts w:eastAsia="Times New Roman" w:cstheme="minorHAnsi"/>
          <w:lang w:eastAsia="en-GB"/>
        </w:rPr>
      </w:pPr>
      <w:r w:rsidRPr="007358E0">
        <w:rPr>
          <w:rFonts w:eastAsia="Times New Roman" w:cstheme="minorHAnsi"/>
          <w:lang w:eastAsia="en-GB"/>
        </w:rPr>
        <w:t>Prevention is perceived as the most effective solution to addressing obesity</w:t>
      </w:r>
      <w:r w:rsidR="00236EC3" w:rsidRPr="007358E0">
        <w:rPr>
          <w:rFonts w:eastAsia="Times New Roman" w:cstheme="minorHAnsi"/>
          <w:lang w:eastAsia="en-GB"/>
        </w:rPr>
        <w:t xml:space="preserve"> </w:t>
      </w:r>
      <w:r w:rsidR="00236EC3" w:rsidRPr="007358E0">
        <w:rPr>
          <w:rFonts w:eastAsia="Times New Roman" w:cstheme="minorHAnsi"/>
          <w:lang w:eastAsia="en-GB"/>
        </w:rPr>
        <w:fldChar w:fldCharType="begin" w:fldLock="1"/>
      </w:r>
      <w:r w:rsidR="00236EC3" w:rsidRPr="007358E0">
        <w:rPr>
          <w:rFonts w:eastAsia="Times New Roman" w:cstheme="minorHAnsi"/>
          <w:lang w:eastAsia="en-GB"/>
        </w:rPr>
        <w:instrText>ADDIN CSL_CITATION { "citationItems" : [ { "id" : "ITEM-1", "itemData" : { "DOI" : "10.1016/S0140-6736(16)31471-4", "ISSN" : "01406736", "PMID" : "27597454", "author" : [ { "dropping-particle" : "", "family" : "Lobstein", "given" : "Tim", "non-dropping-particle" : "", "parse-names" : false, "suffix" : "" }, { "dropping-particle" : "", "family" : "McPherson", "given" : "Klim", "non-dropping-particle" : "", "parse-names" : false, "suffix" : "" } ], "container-title" : "The Lancet", "id" : "ITEM-1", "issue" : "10047", "issued" : { "date-parts" : [ [ "2016", "8", "27" ] ] }, "page" : "853-854", "title" : "Nothing new in UK's strategy on childhood obesity", "type" : "article-journal", "volume" : "388" }, "uris" : [ "http://www.mendeley.com/documents/?uuid=74346242-5c21-35c1-bff5-a083b8be702d" ] } ], "mendeley" : { "formattedCitation" : "(Lobstein and McPherson, 2016)", "plainTextFormattedCitation" : "(Lobstein and McPherson, 2016)", "previouslyFormattedCitation" : "(Lobstein and McPherson, 2016)" }, "properties" : { "noteIndex" : 0 }, "schema" : "https://github.com/citation-style-language/schema/raw/master/csl-citation.json" }</w:instrText>
      </w:r>
      <w:r w:rsidR="00236EC3" w:rsidRPr="007358E0">
        <w:rPr>
          <w:rFonts w:eastAsia="Times New Roman" w:cstheme="minorHAnsi"/>
          <w:lang w:eastAsia="en-GB"/>
        </w:rPr>
        <w:fldChar w:fldCharType="separate"/>
      </w:r>
      <w:r w:rsidR="00236EC3" w:rsidRPr="007358E0">
        <w:rPr>
          <w:rFonts w:eastAsia="Times New Roman" w:cstheme="minorHAnsi"/>
          <w:noProof/>
          <w:lang w:eastAsia="en-GB"/>
        </w:rPr>
        <w:t>(Lobstein and McPherson, 2016)</w:t>
      </w:r>
      <w:r w:rsidR="00236EC3" w:rsidRPr="007358E0">
        <w:rPr>
          <w:rFonts w:eastAsia="Times New Roman" w:cstheme="minorHAnsi"/>
          <w:lang w:eastAsia="en-GB"/>
        </w:rPr>
        <w:fldChar w:fldCharType="end"/>
      </w:r>
      <w:r w:rsidRPr="007358E0">
        <w:rPr>
          <w:rFonts w:eastAsia="Times New Roman" w:cstheme="minorHAnsi"/>
          <w:lang w:eastAsia="en-GB"/>
        </w:rPr>
        <w:t xml:space="preserve"> as attempting to manage or treat excess weight is challenging, costly </w:t>
      </w:r>
      <w:r w:rsidR="0047189B" w:rsidRPr="007358E0">
        <w:rPr>
          <w:rFonts w:eastAsia="Times New Roman" w:cstheme="minorHAnsi"/>
          <w:lang w:eastAsia="en-GB"/>
        </w:rPr>
        <w:t xml:space="preserve">and </w:t>
      </w:r>
      <w:r w:rsidRPr="007358E0">
        <w:rPr>
          <w:rFonts w:eastAsia="Times New Roman" w:cstheme="minorHAnsi"/>
          <w:lang w:eastAsia="en-GB"/>
        </w:rPr>
        <w:t xml:space="preserve">with varying </w:t>
      </w:r>
      <w:r w:rsidR="00B4397E" w:rsidRPr="007358E0">
        <w:rPr>
          <w:rFonts w:eastAsia="Times New Roman" w:cstheme="minorHAnsi"/>
          <w:lang w:eastAsia="en-GB"/>
        </w:rPr>
        <w:t xml:space="preserve">long term </w:t>
      </w:r>
      <w:r w:rsidRPr="007358E0">
        <w:rPr>
          <w:rFonts w:eastAsia="Times New Roman" w:cstheme="minorHAnsi"/>
          <w:lang w:eastAsia="en-GB"/>
        </w:rPr>
        <w:t xml:space="preserve">effectiveness evidenced </w:t>
      </w:r>
      <w:r w:rsidR="00236EC3" w:rsidRPr="007358E0">
        <w:rPr>
          <w:rFonts w:eastAsia="Times New Roman" w:cstheme="minorHAnsi"/>
          <w:lang w:eastAsia="en-GB"/>
        </w:rPr>
        <w:fldChar w:fldCharType="begin" w:fldLock="1"/>
      </w:r>
      <w:r w:rsidR="00793881" w:rsidRPr="007358E0">
        <w:rPr>
          <w:rFonts w:eastAsia="Times New Roman" w:cstheme="minorHAnsi"/>
          <w:lang w:eastAsia="en-GB"/>
        </w:rPr>
        <w:instrText>ADDIN CSL_CITATION { "citationItems" : [ { "id" : "ITEM-1", "itemData" : { "DOI" : "10.1186/2049-3258-72-3", "ISBN" : "0778-7367 (Print)\\r0778-7367 (Linking)", "ISSN" : "0778-7367", "PMID" : "24472187", "abstract" : "BACKGROUND: The prevalence of childhood obesity, which has seen a rapid increase over the last decade, is now considered a major public health problem. Current treatment options are based on the two important frameworks of school- and family-based interventions; however, most research has yet to compare the two frameworks in the treatment of childhood obesity.The objective of this review is to compare the effectiveness of school-based intervention with family-based intervention in the treatment of childhood obesity.\\n\\nMETHODS: Databases such as Medline, Pub med, CINAHL, and Science Direct were used to execute the search for primary research papers according to inclusion criteria. The review included a randomised controlled trial and quasi-randomised controlled trials based on family- and school-based intervention frameworks on the treatment of childhood obesity.\\n\\nRESULTS: The review identified 1231 articles of which 13 met the criteria. Out of the thirteen studies, eight were family-based interventions (n = 8) and five were school-based interventions (n = 5) with total participants (n = 2067). The participants were aged between 6 and 17 with the study duration ranging between one month and three years. Family-based interventions demonstrated effectiveness for children under the age of twelve and school-based intervention was most effective for those aged between 12 and 17 with differences for both long-term and short-term results.\\n\\nCONCLUSIONS: The evidence shows that family- and school-based interventions have a considerable effect on treating childhood obesity. However, the effectiveness of the interventional frameworks depends on factors such as age, short- or long-term outcome, and methodological quality of the trials. Further research studies are required to determine the effectiveness of family- and school-based interventions using primary outcomes such as weight, BMI, percentage overweight and waist circumference in addition to the aforementioned factors.", "author" : [ { "dropping-particle" : "", "family" : "Kothandan", "given" : "Saravana Kumar", "non-dropping-particle" : "", "parse-names" : false, "suffix" : "" } ], "container-title" : "Archives of public health = Archives belges de sante publique", "id" : "ITEM-1", "issue" : "1", "issued" : { "date-parts" : [ [ "2014" ] ] }, "page" : "3", "title" : "School based interventions versus family based interventions in the treatment of childhood obesity- a systematic review.", "type" : "article-journal", "volume" : "72" }, "uris" : [ "http://www.mendeley.com/documents/?uuid=f65183cb-eb4e-41bc-bbc0-bce614b0b62a" ] } ], "mendeley" : { "formattedCitation" : "(Kothandan, 2014)", "plainTextFormattedCitation" : "(Kothandan, 2014)", "previouslyFormattedCitation" : "(Kothandan, 2014)" }, "properties" : { "noteIndex" : 0 }, "schema" : "https://github.com/citation-style-language/schema/raw/master/csl-citation.json" }</w:instrText>
      </w:r>
      <w:r w:rsidR="00236EC3" w:rsidRPr="007358E0">
        <w:rPr>
          <w:rFonts w:eastAsia="Times New Roman" w:cstheme="minorHAnsi"/>
          <w:lang w:eastAsia="en-GB"/>
        </w:rPr>
        <w:fldChar w:fldCharType="separate"/>
      </w:r>
      <w:r w:rsidR="00236EC3" w:rsidRPr="007358E0">
        <w:rPr>
          <w:rFonts w:eastAsia="Times New Roman" w:cstheme="minorHAnsi"/>
          <w:noProof/>
          <w:lang w:eastAsia="en-GB"/>
        </w:rPr>
        <w:t>(Kothandan, 2014)</w:t>
      </w:r>
      <w:r w:rsidR="00236EC3" w:rsidRPr="007358E0">
        <w:rPr>
          <w:rFonts w:eastAsia="Times New Roman" w:cstheme="minorHAnsi"/>
          <w:lang w:eastAsia="en-GB"/>
        </w:rPr>
        <w:fldChar w:fldCharType="end"/>
      </w:r>
      <w:r w:rsidRPr="007358E0">
        <w:rPr>
          <w:rFonts w:eastAsia="Times New Roman" w:cstheme="minorHAnsi"/>
          <w:lang w:eastAsia="en-GB"/>
        </w:rPr>
        <w:t>.  Put simplistically, preventing excess weight during childhood and adolescence</w:t>
      </w:r>
      <w:r w:rsidR="00515C73">
        <w:rPr>
          <w:rFonts w:eastAsia="Times New Roman" w:cstheme="minorHAnsi"/>
          <w:lang w:eastAsia="en-GB"/>
        </w:rPr>
        <w:t>,</w:t>
      </w:r>
      <w:r w:rsidRPr="007358E0">
        <w:rPr>
          <w:rFonts w:eastAsia="Times New Roman" w:cstheme="minorHAnsi"/>
          <w:lang w:eastAsia="en-GB"/>
        </w:rPr>
        <w:t xml:space="preserve"> is achieved through influencing physical activi</w:t>
      </w:r>
      <w:r w:rsidR="0047189B" w:rsidRPr="007358E0">
        <w:rPr>
          <w:rFonts w:eastAsia="Times New Roman" w:cstheme="minorHAnsi"/>
          <w:lang w:eastAsia="en-GB"/>
        </w:rPr>
        <w:t>ty and nutrition behaviours, such as</w:t>
      </w:r>
      <w:r w:rsidRPr="007358E0">
        <w:rPr>
          <w:rFonts w:eastAsia="Times New Roman" w:cstheme="minorHAnsi"/>
          <w:lang w:eastAsia="en-GB"/>
        </w:rPr>
        <w:t xml:space="preserve"> </w:t>
      </w:r>
      <w:r w:rsidR="001971CC">
        <w:rPr>
          <w:rFonts w:eastAsia="Times New Roman" w:cstheme="minorHAnsi"/>
          <w:lang w:eastAsia="en-GB"/>
        </w:rPr>
        <w:t xml:space="preserve">improving </w:t>
      </w:r>
      <w:r w:rsidRPr="007358E0">
        <w:rPr>
          <w:rFonts w:eastAsia="Times New Roman" w:cstheme="minorHAnsi"/>
          <w:lang w:eastAsia="en-GB"/>
        </w:rPr>
        <w:t>dietary intake and increasing exercise levels.  </w:t>
      </w:r>
    </w:p>
    <w:p w:rsidR="0024413F" w:rsidRDefault="00BA5176" w:rsidP="00601609">
      <w:pPr>
        <w:rPr>
          <w:rFonts w:eastAsia="Times New Roman" w:cstheme="minorHAnsi"/>
          <w:lang w:eastAsia="en-GB"/>
        </w:rPr>
      </w:pPr>
      <w:r w:rsidRPr="007358E0">
        <w:rPr>
          <w:rFonts w:eastAsia="Times New Roman" w:cstheme="minorHAnsi"/>
          <w:lang w:eastAsia="en-GB"/>
        </w:rPr>
        <w:lastRenderedPageBreak/>
        <w:t xml:space="preserve">In addition to the family and community, schools both </w:t>
      </w:r>
      <w:r w:rsidR="007358E0">
        <w:rPr>
          <w:rFonts w:eastAsia="Times New Roman" w:cstheme="minorHAnsi"/>
          <w:lang w:eastAsia="en-GB"/>
        </w:rPr>
        <w:t xml:space="preserve">at </w:t>
      </w:r>
      <w:r w:rsidRPr="007358E0">
        <w:rPr>
          <w:rFonts w:eastAsia="Times New Roman" w:cstheme="minorHAnsi"/>
          <w:lang w:eastAsia="en-GB"/>
        </w:rPr>
        <w:t>primary and secondary</w:t>
      </w:r>
      <w:r w:rsidR="0047189B" w:rsidRPr="007358E0">
        <w:rPr>
          <w:rFonts w:eastAsia="Times New Roman" w:cstheme="minorHAnsi"/>
          <w:lang w:eastAsia="en-GB"/>
        </w:rPr>
        <w:t xml:space="preserve"> </w:t>
      </w:r>
      <w:r w:rsidR="00071EBF">
        <w:rPr>
          <w:rFonts w:eastAsia="Times New Roman" w:cstheme="minorHAnsi"/>
          <w:lang w:eastAsia="en-GB"/>
        </w:rPr>
        <w:t xml:space="preserve">level, </w:t>
      </w:r>
      <w:r w:rsidR="007358E0">
        <w:rPr>
          <w:rFonts w:eastAsia="Times New Roman" w:cstheme="minorHAnsi"/>
          <w:lang w:eastAsia="en-GB"/>
        </w:rPr>
        <w:t xml:space="preserve">are viewed as </w:t>
      </w:r>
      <w:r w:rsidRPr="007358E0">
        <w:rPr>
          <w:rFonts w:eastAsia="Times New Roman" w:cstheme="minorHAnsi"/>
          <w:lang w:eastAsia="en-GB"/>
        </w:rPr>
        <w:t>vital setting</w:t>
      </w:r>
      <w:r w:rsidR="007358E0">
        <w:rPr>
          <w:rFonts w:eastAsia="Times New Roman" w:cstheme="minorHAnsi"/>
          <w:lang w:eastAsia="en-GB"/>
        </w:rPr>
        <w:t xml:space="preserve">s </w:t>
      </w:r>
      <w:r w:rsidR="001971CC">
        <w:rPr>
          <w:rFonts w:eastAsia="Times New Roman" w:cstheme="minorHAnsi"/>
          <w:lang w:eastAsia="en-GB"/>
        </w:rPr>
        <w:t xml:space="preserve">for positively </w:t>
      </w:r>
      <w:r w:rsidR="0024413F">
        <w:rPr>
          <w:rFonts w:eastAsia="Times New Roman" w:cstheme="minorHAnsi"/>
          <w:lang w:eastAsia="en-GB"/>
        </w:rPr>
        <w:t>addressing these key lifestyle behaviours</w:t>
      </w:r>
      <w:r w:rsidR="00793881" w:rsidRPr="007358E0">
        <w:rPr>
          <w:rFonts w:eastAsia="Times New Roman" w:cstheme="minorHAnsi"/>
          <w:lang w:eastAsia="en-GB"/>
        </w:rPr>
        <w:t xml:space="preserve"> </w:t>
      </w:r>
      <w:r w:rsidR="00793881" w:rsidRPr="007358E0">
        <w:rPr>
          <w:rFonts w:eastAsia="Times New Roman" w:cstheme="minorHAnsi"/>
          <w:lang w:eastAsia="en-GB"/>
        </w:rPr>
        <w:fldChar w:fldCharType="begin" w:fldLock="1"/>
      </w:r>
      <w:r w:rsidR="009C2ECF" w:rsidRPr="007358E0">
        <w:rPr>
          <w:rFonts w:eastAsia="Times New Roman" w:cstheme="minorHAnsi"/>
          <w:lang w:eastAsia="en-GB"/>
        </w:rPr>
        <w:instrText>ADDIN CSL_CITATION { "citationItems" : [ { "id" : "ITEM-1", "itemData" : { "author" : [ { "dropping-particle" : "", "family" : "Waters", "given" : "E", "non-dropping-particle" : "", "parse-names" : false, "suffix" : "" }, { "dropping-particle" : "de", "family" : "Silva-Sanigorski", "given" : "A", "non-dropping-particle" : "", "parse-names" : false, "suffix" : "" } ], "container-title" : "Cochrane Database of Systematic Reviews", "id" : "ITEM-1", "issue" : "12", "issued" : { "date-parts" : [ [ "2011" ] ] }, "title" : "Interventions for preventing obesity in children", "type" : "article-journal" }, "uris" : [ "http://www.mendeley.com/documents/?uuid=edceb688-e3c5-459d-b1d2-e8f0aa963cd2" ] } ], "mendeley" : { "formattedCitation" : "(Waters and Silva-Sanigorski, 2011)", "plainTextFormattedCitation" : "(Waters and Silva-Sanigorski, 2011)", "previouslyFormattedCitation" : "(Waters and Silva-Sanigorski, 2011)" }, "properties" : { "noteIndex" : 0 }, "schema" : "https://github.com/citation-style-language/schema/raw/master/csl-citation.json" }</w:instrText>
      </w:r>
      <w:r w:rsidR="00793881" w:rsidRPr="007358E0">
        <w:rPr>
          <w:rFonts w:eastAsia="Times New Roman" w:cstheme="minorHAnsi"/>
          <w:lang w:eastAsia="en-GB"/>
        </w:rPr>
        <w:fldChar w:fldCharType="separate"/>
      </w:r>
      <w:r w:rsidR="00793881" w:rsidRPr="007358E0">
        <w:rPr>
          <w:rFonts w:eastAsia="Times New Roman" w:cstheme="minorHAnsi"/>
          <w:noProof/>
          <w:lang w:eastAsia="en-GB"/>
        </w:rPr>
        <w:t>(Waters and Silva-Sanigorski, 2011)</w:t>
      </w:r>
      <w:r w:rsidR="00793881" w:rsidRPr="007358E0">
        <w:rPr>
          <w:rFonts w:eastAsia="Times New Roman" w:cstheme="minorHAnsi"/>
          <w:lang w:eastAsia="en-GB"/>
        </w:rPr>
        <w:fldChar w:fldCharType="end"/>
      </w:r>
      <w:r w:rsidR="00B74104" w:rsidRPr="007358E0">
        <w:rPr>
          <w:rFonts w:eastAsia="Times New Roman" w:cstheme="minorHAnsi"/>
          <w:lang w:eastAsia="en-GB"/>
        </w:rPr>
        <w:t>.</w:t>
      </w:r>
      <w:r w:rsidR="001971CC">
        <w:rPr>
          <w:rFonts w:eastAsia="Times New Roman" w:cstheme="minorHAnsi"/>
          <w:lang w:eastAsia="en-GB"/>
        </w:rPr>
        <w:t xml:space="preserve">  </w:t>
      </w:r>
      <w:r w:rsidR="003F4710">
        <w:rPr>
          <w:rFonts w:eastAsia="Times New Roman" w:cstheme="minorHAnsi"/>
          <w:lang w:eastAsia="en-GB"/>
        </w:rPr>
        <w:t>Crucially, s</w:t>
      </w:r>
      <w:r w:rsidR="0024413F">
        <w:rPr>
          <w:rFonts w:eastAsia="Times New Roman" w:cstheme="minorHAnsi"/>
          <w:lang w:eastAsia="en-GB"/>
        </w:rPr>
        <w:t xml:space="preserve">chool based preventative action is deemed to be of benefit not only for child and adolescent health outcomes, but for educational outcomes related to academic attendance, engagement and performance </w:t>
      </w:r>
      <w:r w:rsidR="0024413F" w:rsidRPr="00601609">
        <w:rPr>
          <w:rFonts w:eastAsia="Times New Roman" w:cstheme="minorHAnsi"/>
          <w:lang w:eastAsia="en-GB"/>
        </w:rPr>
        <w:fldChar w:fldCharType="begin" w:fldLock="1"/>
      </w:r>
      <w:r w:rsidR="003F4710">
        <w:rPr>
          <w:rFonts w:eastAsia="Times New Roman" w:cstheme="minorHAnsi"/>
          <w:lang w:eastAsia="en-GB"/>
        </w:rPr>
        <w:instrText>ADDIN CSL_CITATION { "citationItems" : [ { "id" : "ITEM-1", "itemData" : { "author" : [ { "dropping-particle" : "", "family" : "Duckworth", "given" : "AL", "non-dropping-particle" : "", "parse-names" : false, "suffix" : "" }, { "dropping-particle" : "", "family" : "Seligman", "given" : "MEP", "non-dropping-particle" : "", "parse-names" : false, "suffix" : "" } ], "container-title" : "Psychological science", "id" : "ITEM-1", "issue" : "12", "issued" : { "date-parts" : [ [ "2005" ] ] }, "page" : "939-44", "title" : "Self-discipline outdoes IQ in predicting academic performance of adolescents", "type" : "article-journal", "volume" : "16" }, "uris" : [ "http://www.mendeley.com/documents/?uuid=0e860009-06fb-40d2-8522-40bc05128612" ] }, { "id" : "ITEM-2", "itemData" : { "author" : [ { "dropping-particle" : "", "family" : "Murray", "given" : "NG", "non-dropping-particle" : "", "parse-names" : false, "suffix" : "" }, { "dropping-particle" : "", "family" : "Low", "given" : "BJ", "non-dropping-particle" : "", "parse-names" : false, "suffix" : "" }, { "dropping-particle" : "", "family" : "Hollis", "given" : "C", "non-dropping-particle" : "", "parse-names" : false, "suffix" : "" } ], "container-title" : "Journal of School \u2026", "id" : "ITEM-2", "issue" : "9", "issued" : { "date-parts" : [ [ "2007" ] ] }, "page" : "589-600", "title" : "Coordinated school health programs and academic achievement: A systematic review of the literature", "type" : "article-journal", "volume" : "77" }, "uris" : [ "http://www.mendeley.com/documents/?uuid=a9d4093e-c3bc-4d28-86b3-56abf55a2c13" ] }, { "id" : "ITEM-3", "itemData" : { "author" : [ { "dropping-particle" : "", "family" : "Story", "given" : "M", "non-dropping-particle" : "", "parse-names" : false, "suffix" : "" }, { "dropping-particle" : "", "family" : "Nanney", "given" : "MS", "non-dropping-particle" : "", "parse-names" : false, "suffix" : "" }, { "dropping-particle" : "", "family" : "Schwartz", "given" : "MB", "non-dropping-particle" : "", "parse-names" : false, "suffix" : "" } ], "container-title" : "Milbank Quarterly", "id" : "ITEM-3", "issue" : "1", "issued" : { "date-parts" : [ [ "2009" ] ] }, "page" : "71\u2013100", "title" : "Schools and obesity prevention: creating school environments and policies to promote healthy eating and physical activity", "type" : "article-journal", "volume" : "87" }, "uris" : [ "http://www.mendeley.com/documents/?uuid=caeb8bd2-da0c-4ec6-bda7-744bfbb6dbc3" ] }, { "id" : "ITEM-4", "itemData" : { "author" : [ { "dropping-particle" : "", "family" : "Stead", "given" : "R", "non-dropping-particle" : "", "parse-names" : false, "suffix" : "" }, { "dropping-particle" : "", "family" : "Neville", "given" : "M", "non-dropping-particle" : "", "parse-names" : false, "suffix" : "" } ], "container-title" : "Loughborough: Institute of Youth Sport", "id" : "ITEM-4", "issued" : { "date-parts" : [ [ "2010" ] ] }, "title" : "The impact of physical education and sport on education outcomes: a review of literature", "type" : "report" }, "uris" : [ "http://www.mendeley.com/documents/?uuid=7cbacbf5-3468-49ba-9b9e-6c4fa645dbf9" ] }, { "id" : "ITEM-5", "itemData" : { "author" : [ { "dropping-particle" : "", "family" : "Gutman", "given" : "LM", "non-dropping-particle" : "", "parse-names" : false, "suffix" : "" }, { "dropping-particle" : "", "family" : "Vorhaus", "given" : "J", "non-dropping-particle" : "", "parse-names" : false, "suffix" : "" } ], "id" : "ITEM-5", "issued" : { "date-parts" : [ [ "2012" ] ] }, "title" : "The impact of pupil behaviour and wellbeing on educational outcomes", "type" : "report" }, "uris" : [ "http://www.mendeley.com/documents/?uuid=958dc9ec-7f22-43c3-b3d1-b8422b27e49a" ] } ], "mendeley" : { "formattedCitation" : "(Duckworth and Seligman, 2005; Murray et al., 2007; Story et al., 2009; Stead and Neville, 2010; Gutman and Vorhaus, 2012)", "plainTextFormattedCitation" : "(Duckworth and Seligman, 2005; Murray et al., 2007; Story et al., 2009; Stead and Neville, 2010; Gutman and Vorhaus, 2012)", "previouslyFormattedCitation" : "(Duckworth and Seligman, 2005; Murray et al., 2007; Story et al., 2009; Stead and Neville, 2010; Gutman and Vorhaus, 2012)" }, "properties" : { "noteIndex" : 0 }, "schema" : "https://github.com/citation-style-language/schema/raw/master/csl-citation.json" }</w:instrText>
      </w:r>
      <w:r w:rsidR="0024413F" w:rsidRPr="00601609">
        <w:rPr>
          <w:rFonts w:eastAsia="Times New Roman" w:cstheme="minorHAnsi"/>
          <w:lang w:eastAsia="en-GB"/>
        </w:rPr>
        <w:fldChar w:fldCharType="separate"/>
      </w:r>
      <w:r w:rsidR="003F4710" w:rsidRPr="003F4710">
        <w:rPr>
          <w:rFonts w:eastAsia="Times New Roman" w:cstheme="minorHAnsi"/>
          <w:noProof/>
          <w:lang w:eastAsia="en-GB"/>
        </w:rPr>
        <w:t>(Duckworth and Seligman, 2005; Murray et al., 2007; Story et al., 2009; Stead and Neville, 2010; Gutman and Vorhaus, 2012)</w:t>
      </w:r>
      <w:r w:rsidR="0024413F" w:rsidRPr="00601609">
        <w:rPr>
          <w:rFonts w:eastAsia="Times New Roman" w:cstheme="minorHAnsi"/>
          <w:lang w:eastAsia="en-GB"/>
        </w:rPr>
        <w:fldChar w:fldCharType="end"/>
      </w:r>
      <w:r w:rsidR="0024413F" w:rsidRPr="00601609">
        <w:rPr>
          <w:rFonts w:eastAsia="Times New Roman" w:cstheme="minorHAnsi"/>
          <w:lang w:eastAsia="en-GB"/>
        </w:rPr>
        <w:t>.</w:t>
      </w:r>
      <w:r w:rsidR="0024413F">
        <w:rPr>
          <w:rFonts w:eastAsia="Times New Roman" w:cstheme="minorHAnsi"/>
          <w:lang w:eastAsia="en-GB"/>
        </w:rPr>
        <w:t xml:space="preserve">  </w:t>
      </w:r>
      <w:r w:rsidR="00FC039E">
        <w:rPr>
          <w:rFonts w:eastAsia="Times New Roman" w:cstheme="minorHAnsi"/>
          <w:lang w:eastAsia="en-GB"/>
        </w:rPr>
        <w:t>S</w:t>
      </w:r>
      <w:r w:rsidR="0024413F">
        <w:rPr>
          <w:rFonts w:eastAsia="Times New Roman" w:cstheme="minorHAnsi"/>
          <w:lang w:eastAsia="en-GB"/>
        </w:rPr>
        <w:t xml:space="preserve">chools </w:t>
      </w:r>
      <w:r w:rsidR="003F4710">
        <w:rPr>
          <w:rFonts w:eastAsia="Times New Roman" w:cstheme="minorHAnsi"/>
          <w:lang w:eastAsia="en-GB"/>
        </w:rPr>
        <w:t xml:space="preserve">are </w:t>
      </w:r>
      <w:r w:rsidR="00FC039E">
        <w:rPr>
          <w:rFonts w:eastAsia="Times New Roman" w:cstheme="minorHAnsi"/>
          <w:lang w:eastAsia="en-GB"/>
        </w:rPr>
        <w:t xml:space="preserve">therefore </w:t>
      </w:r>
      <w:r w:rsidR="003F4710">
        <w:rPr>
          <w:rFonts w:eastAsia="Times New Roman" w:cstheme="minorHAnsi"/>
          <w:lang w:eastAsia="en-GB"/>
        </w:rPr>
        <w:t xml:space="preserve">argued to </w:t>
      </w:r>
      <w:r w:rsidR="0024413F">
        <w:rPr>
          <w:rFonts w:eastAsia="Times New Roman" w:cstheme="minorHAnsi"/>
          <w:lang w:eastAsia="en-GB"/>
        </w:rPr>
        <w:t xml:space="preserve">have a vested interest in contributing to the obesity prevention agenda </w:t>
      </w:r>
      <w:r w:rsidR="0024413F">
        <w:rPr>
          <w:rFonts w:eastAsia="Times New Roman" w:cstheme="minorHAnsi"/>
          <w:lang w:eastAsia="en-GB"/>
        </w:rPr>
        <w:fldChar w:fldCharType="begin" w:fldLock="1"/>
      </w:r>
      <w:r w:rsidR="003F4710">
        <w:rPr>
          <w:rFonts w:eastAsia="Times New Roman" w:cstheme="minorHAnsi"/>
          <w:lang w:eastAsia="en-GB"/>
        </w:rPr>
        <w:instrText>ADDIN CSL_CITATION { "citationItems" : [ { "id" : "ITEM-1", "itemData" : { "author" : [ { "dropping-particle" : "", "family" : "Langford", "given" : "R", "non-dropping-particle" : "", "parse-names" : false, "suffix" : "" }, { "dropping-particle" : "", "family" : "Bonell", "given" : "C", "non-dropping-particle" : "", "parse-names" : false, "suffix" : "" } ], "container-title" : "International Journal of Behavioral Nutrition and Physical Activity", "id" : "ITEM-1", "issue" : "15", "issued" : { "date-parts" : [ [ "2015" ] ] }, "title" : "Obesity prevention and the Health promoting Schools framework: essential components and barriers to success", "type" : "article-journal", "volume" : "12" }, "uris" : [ "http://www.mendeley.com/documents/?uuid=33a18f66-3855-47de-96c1-ab2efb0e4b0c" ] }, { "id" : "ITEM-2", "itemData" : { "DOI" : "10.1177/1090198116673800", "ISSN" : "1090-1981", "abstract" : "The World Health Organization\u2019s Health Promoting Schools (HPS) framework is a whole-school approach to promoting health that recognizes the intrinsic relationship between health and education. Our recent Cochrane systematic review found HPS interventions produced improvements in a number of student health outcomes. Here we reflect on what this review was not able to tell us: in other words, what evidence is missing with regard to the HPS approach. Few HPS interventions engage with schools\u2019 \u201ccore business\u201d by examining impacts on educational outcomes. Current evidence is dominated by obesity interventions, with most studies conducted with children rather than adolescents. Evidence is lacking for outcomes such as mental or sexual health, substance use, and violence. Activities to engage families and communities are currently weak and unlikely to prompt behavioral change. The HPS approach is largely absent in low-income settings, despite its potential in meeting children\u2019s basic health needs. Intervention th...", "author" : [ { "dropping-particle" : "", "family" : "Langford", "given" : "Rebecca", "non-dropping-particle" : "", "parse-names" : false, "suffix" : "" }, { "dropping-particle" : "", "family" : "Bonell", "given" : "Christopher", "non-dropping-particle" : "", "parse-names" : false, "suffix" : "" }, { "dropping-particle" : "", "family" : "Komro", "given" : "Kelli", "non-dropping-particle" : "", "parse-names" : false, "suffix" : "" }, { "dropping-particle" : "", "family" : "Murphy", "given" : "Simon", "non-dropping-particle" : "", "parse-names" : false, "suffix" : "" }, { "dropping-particle" : "", "family" : "Magnus", "given" : "Daniel", "non-dropping-particle" : "", "parse-names" : false, "suffix" : "" }, { "dropping-particle" : "", "family" : "Waters", "given" : "Elizabeth", "non-dropping-particle" : "", "parse-names" : false, "suffix" : "" }, { "dropping-particle" : "", "family" : "Gibbs", "given" : "Lisa", "non-dropping-particle" : "", "parse-names" : false, "suffix" : "" }, { "dropping-particle" : "", "family" : "Campbell", "given" : "Rona", "non-dropping-particle" : "", "parse-names" : false, "suffix" : "" } ], "container-title" : "Health Education &amp; Behavior", "id" : "ITEM-2", "issue" : "3", "issued" : { "date-parts" : [ [ "2017", "6", "14" ] ] }, "page" : "463-475", "publisher" : "SAGE PublicationsSage CA: Los Angeles, CA", "title" : "The Health Promoting Schools Framework: Known Unknowns and an Agenda for Future Research", "type" : "article-journal", "volume" : "44" }, "uris" : [ "http://www.mendeley.com/documents/?uuid=de774f89-a5aa-30ec-92b3-bfccef33e128" ] } ], "mendeley" : { "formattedCitation" : "(Langford and Bonell, 2015; Langford et al., 2017)", "plainTextFormattedCitation" : "(Langford and Bonell, 2015; Langford et al., 2017)", "previouslyFormattedCitation" : "(Langford and Bonell, 2015; Langford et al., 2017)" }, "properties" : { "noteIndex" : 0 }, "schema" : "https://github.com/citation-style-language/schema/raw/master/csl-citation.json" }</w:instrText>
      </w:r>
      <w:r w:rsidR="0024413F">
        <w:rPr>
          <w:rFonts w:eastAsia="Times New Roman" w:cstheme="minorHAnsi"/>
          <w:lang w:eastAsia="en-GB"/>
        </w:rPr>
        <w:fldChar w:fldCharType="separate"/>
      </w:r>
      <w:r w:rsidR="0024413F" w:rsidRPr="0024413F">
        <w:rPr>
          <w:rFonts w:eastAsia="Times New Roman" w:cstheme="minorHAnsi"/>
          <w:noProof/>
          <w:lang w:eastAsia="en-GB"/>
        </w:rPr>
        <w:t>(Langford and Bonell, 2015; Langford et al., 2017)</w:t>
      </w:r>
      <w:r w:rsidR="0024413F">
        <w:rPr>
          <w:rFonts w:eastAsia="Times New Roman" w:cstheme="minorHAnsi"/>
          <w:lang w:eastAsia="en-GB"/>
        </w:rPr>
        <w:fldChar w:fldCharType="end"/>
      </w:r>
      <w:r w:rsidR="003F4710">
        <w:rPr>
          <w:rFonts w:eastAsia="Times New Roman" w:cstheme="minorHAnsi"/>
          <w:lang w:eastAsia="en-GB"/>
        </w:rPr>
        <w:t>.</w:t>
      </w:r>
    </w:p>
    <w:p w:rsidR="0024413F" w:rsidRDefault="0024413F" w:rsidP="00601609">
      <w:pPr>
        <w:rPr>
          <w:rFonts w:eastAsia="Times New Roman" w:cstheme="minorHAnsi"/>
          <w:lang w:eastAsia="en-GB"/>
        </w:rPr>
      </w:pPr>
    </w:p>
    <w:p w:rsidR="00601609" w:rsidRPr="00601609" w:rsidRDefault="003F4710" w:rsidP="00601609">
      <w:pPr>
        <w:rPr>
          <w:rFonts w:eastAsia="Times New Roman" w:cstheme="minorHAnsi"/>
          <w:lang w:eastAsia="en-GB"/>
        </w:rPr>
      </w:pPr>
      <w:r>
        <w:rPr>
          <w:rFonts w:eastAsia="Times New Roman" w:cstheme="minorHAnsi"/>
          <w:lang w:eastAsia="en-GB"/>
        </w:rPr>
        <w:t xml:space="preserve">The </w:t>
      </w:r>
      <w:r w:rsidR="00FC039E">
        <w:rPr>
          <w:rFonts w:eastAsia="Times New Roman" w:cstheme="minorHAnsi"/>
          <w:lang w:eastAsia="en-GB"/>
        </w:rPr>
        <w:t xml:space="preserve">important role of </w:t>
      </w:r>
      <w:r w:rsidR="00601609" w:rsidRPr="00601609">
        <w:rPr>
          <w:rFonts w:eastAsia="Times New Roman" w:cstheme="minorHAnsi"/>
          <w:lang w:eastAsia="en-GB"/>
        </w:rPr>
        <w:t xml:space="preserve">schools </w:t>
      </w:r>
      <w:r w:rsidR="00515C73">
        <w:rPr>
          <w:rFonts w:eastAsia="Times New Roman" w:cstheme="minorHAnsi"/>
          <w:lang w:eastAsia="en-GB"/>
        </w:rPr>
        <w:t xml:space="preserve">in preventing obesity, </w:t>
      </w:r>
      <w:r w:rsidR="00FC039E">
        <w:rPr>
          <w:rFonts w:eastAsia="Times New Roman" w:cstheme="minorHAnsi"/>
          <w:lang w:eastAsia="en-GB"/>
        </w:rPr>
        <w:t>a</w:t>
      </w:r>
      <w:r w:rsidR="00601609" w:rsidRPr="00601609">
        <w:rPr>
          <w:rFonts w:eastAsia="Times New Roman" w:cstheme="minorHAnsi"/>
          <w:lang w:eastAsia="en-GB"/>
        </w:rPr>
        <w:t xml:space="preserve">nd the </w:t>
      </w:r>
      <w:r w:rsidR="00FC039E" w:rsidRPr="00601609">
        <w:rPr>
          <w:rFonts w:eastAsia="Times New Roman" w:cstheme="minorHAnsi"/>
          <w:lang w:eastAsia="en-GB"/>
        </w:rPr>
        <w:t>reciprocal</w:t>
      </w:r>
      <w:r w:rsidR="00601609" w:rsidRPr="00601609">
        <w:rPr>
          <w:rFonts w:eastAsia="Times New Roman" w:cstheme="minorHAnsi"/>
          <w:lang w:eastAsia="en-GB"/>
        </w:rPr>
        <w:t xml:space="preserve"> relationship between health and educational outcomes has been raised at a policy level </w:t>
      </w:r>
      <w:r w:rsidR="00601609" w:rsidRPr="00601609">
        <w:rPr>
          <w:rFonts w:eastAsia="Times New Roman" w:cstheme="minorHAnsi"/>
          <w:lang w:eastAsia="en-GB"/>
        </w:rPr>
        <w:fldChar w:fldCharType="begin" w:fldLock="1"/>
      </w:r>
      <w:r>
        <w:rPr>
          <w:rFonts w:eastAsia="Times New Roman" w:cstheme="minorHAnsi"/>
          <w:lang w:eastAsia="en-GB"/>
        </w:rPr>
        <w:instrText>ADDIN CSL_CITATION { "citationItems" : [ { "id" : "ITEM-1", "itemData" : { "author" : [ { "dropping-particle" : "", "family" : "Department of Health", "given" : "", "non-dropping-particle" : "", "parse-names" : false, "suffix" : "" } ], "container-title" : "London: Department of Health", "id" : "ITEM-1", "issued" : { "date-parts" : [ [ "2008" ] ] }, "publisher-place" : "London", "title" : "Healthy weight, Healthy lives: a cross-government strategy for england", "type" : "report" }, "uris" : [ "http://www.mendeley.com/documents/?uuid=0c33aeb4-092b-494a-86d6-7021337f1a8c" ] }, { "id" : "ITEM-2", "itemData" : { "author" : [ { "dropping-particle" : "", "family" : "Department of Health", "given" : "", "non-dropping-particle" : "", "parse-names" : false, "suffix" : "" } ], "container-title" : "London: Department of Health", "id" : "ITEM-2", "issued" : { "date-parts" : [ [ "2011" ] ] }, "publisher-place" : "London", "title" : "Healthy Lives, Healthy People: A Call to Action on Obesity in England", "type" : "report" }, "uris" : [ "http://www.mendeley.com/documents/?uuid=4cc3b3a8-0e69-41d7-bd60-1a13d047dc64" ] }, { "id" : "ITEM-3", "itemData" : { "author" : [ { "dropping-particle" : "", "family" : "Public Health England", "given" : "", "non-dropping-particle" : "", "parse-names" : false, "suffix" : "" } ], "id" : "ITEM-3", "issued" : { "date-parts" : [ [ "2014" ] ] }, "publisher-place" : "London", "title" : "The link between pupil health and wellbeing and attainment", "type" : "report" }, "uris" : [ "http://www.mendeley.com/documents/?uuid=5c2ad93c-1b7b-419f-8c07-910a8d2ebb04" ] }, { "id" : "ITEM-4", "itemData" : { "author" : [ { "dropping-particle" : "", "family" : "HM Government", "given" : "", "non-dropping-particle" : "", "parse-names" : false, "suffix" : "" } ], "id" : "ITEM-4", "issued" : { "date-parts" : [ [ "2016" ] ] }, "title" : "Childhood obesity - A plan for action", "type" : "report" }, "uris" : [ "http://www.mendeley.com/documents/?uuid=b98f114e-5233-47f8-a635-d7641b44ba3f" ] } ], "mendeley" : { "formattedCitation" : "(Department of Health, 2008, 2011; Public Health England, 2014c; HM Government, 2016)", "plainTextFormattedCitation" : "(Department of Health, 2008, 2011; Public Health England, 2014c; HM Government, 2016)", "previouslyFormattedCitation" : "(Department of Health, 2008, 2011)" }, "properties" : { "noteIndex" : 0 }, "schema" : "https://github.com/citation-style-language/schema/raw/master/csl-citation.json" }</w:instrText>
      </w:r>
      <w:r w:rsidR="00601609" w:rsidRPr="00601609">
        <w:rPr>
          <w:rFonts w:eastAsia="Times New Roman" w:cstheme="minorHAnsi"/>
          <w:lang w:eastAsia="en-GB"/>
        </w:rPr>
        <w:fldChar w:fldCharType="separate"/>
      </w:r>
      <w:r w:rsidRPr="003F4710">
        <w:rPr>
          <w:rFonts w:eastAsia="Times New Roman" w:cstheme="minorHAnsi"/>
          <w:noProof/>
          <w:lang w:eastAsia="en-GB"/>
        </w:rPr>
        <w:t>(Department of Health, 2008, 2011; Public Health England, 2014c; HM Government, 2016)</w:t>
      </w:r>
      <w:r w:rsidR="00601609" w:rsidRPr="00601609">
        <w:rPr>
          <w:rFonts w:eastAsia="Times New Roman" w:cstheme="minorHAnsi"/>
          <w:lang w:eastAsia="en-GB"/>
        </w:rPr>
        <w:fldChar w:fldCharType="end"/>
      </w:r>
      <w:r w:rsidR="00515C73">
        <w:rPr>
          <w:rFonts w:eastAsia="Times New Roman" w:cstheme="minorHAnsi"/>
          <w:lang w:eastAsia="en-GB"/>
        </w:rPr>
        <w:t xml:space="preserve">, </w:t>
      </w:r>
      <w:r w:rsidR="00071EBF">
        <w:rPr>
          <w:rFonts w:eastAsia="Times New Roman" w:cstheme="minorHAnsi"/>
          <w:lang w:eastAsia="en-GB"/>
        </w:rPr>
        <w:t>supported by</w:t>
      </w:r>
      <w:r w:rsidR="00601609" w:rsidRPr="00601609">
        <w:rPr>
          <w:rFonts w:eastAsia="Times New Roman" w:cstheme="minorHAnsi"/>
          <w:lang w:eastAsia="en-GB"/>
        </w:rPr>
        <w:t xml:space="preserve"> NICE guidelines </w:t>
      </w:r>
      <w:r w:rsidR="00601609" w:rsidRPr="00601609">
        <w:rPr>
          <w:rFonts w:eastAsia="Times New Roman" w:cstheme="minorHAnsi"/>
          <w:lang w:eastAsia="en-GB"/>
        </w:rPr>
        <w:fldChar w:fldCharType="begin" w:fldLock="1"/>
      </w:r>
      <w:r w:rsidR="00601609" w:rsidRPr="00601609">
        <w:rPr>
          <w:rFonts w:eastAsia="Times New Roman" w:cstheme="minorHAnsi"/>
          <w:lang w:eastAsia="en-GB"/>
        </w:rPr>
        <w:instrText>ADDIN CSL_CITATION { "citationItems" : [ { "id" : "ITEM-1", "itemData" : { "author" : [ { "dropping-particle" : "", "family" : "National Institute of Health and Care Excellence", "given" : "", "non-dropping-particle" : "", "parse-names" : false, "suffix" : "" } ], "id" : "ITEM-1", "issued" : { "date-parts" : [ [ "2006" ] ] }, "publisher-place" : "London", "title" : "Obesity Prevention", "type" : "report" }, "uris" : [ "http://www.mendeley.com/documents/?uuid=2c9bcfb1-609e-40cf-9a6f-3d48e4bb567f" ] }, { "id" : "ITEM-2", "itemData" : { "author" : [ { "dropping-particle" : "", "family" : "National Institute of Health and Care Excellence", "given" : "", "non-dropping-particle" : "", "parse-names" : false, "suffix" : "" } ], "id" : "ITEM-2", "issued" : { "date-parts" : [ [ "2012" ] ] }, "publisher-place" : "London", "title" : "Obesity: working with local communities", "type" : "report" }, "uris" : [ "http://www.mendeley.com/documents/?uuid=3f59c511-c1cd-465c-a943-40d84ca02514" ] }, { "id" : "ITEM-3", "itemData" : { "author" : [ { "dropping-particle" : "", "family" : "National Institute of Health and Care Excellence", "given" : "", "non-dropping-particle" : "", "parse-names" : false, "suffix" : "" } ], "id" : "ITEM-3", "issued" : { "date-parts" : [ [ "2015" ] ] }, "publisher-place" : "London", "title" : "NICE Pathway - Preventing Obesity", "type" : "report" }, "uris" : [ "http://www.mendeley.com/documents/?uuid=b4b27288-9afd-4746-a8da-bc42a8085260" ] }, { "id" : "ITEM-4", "itemData" : { "author" : [ { "dropping-particle" : "", "family" : "National Institute of Health and Care Excellence", "given" : "", "non-dropping-particle" : "", "parse-names" : false, "suffix" : "" } ], "id" : "ITEM-4", "issued" : { "date-parts" : [ [ "2015" ] ] }, "publisher-place" : "London", "title" : "Obesity in children and young people: prevention and lifestyle weight management programmes", "type" : "report" }, "uris" : [ "http://www.mendeley.com/documents/?uuid=572b7eec-0d9f-4bd1-8da0-2229d1fa31a3" ] } ], "mendeley" : { "formattedCitation" : "(National Institute of Health and Care Excellence, 2006, 2012, 2015a, 2015b)", "plainTextFormattedCitation" : "(National Institute of Health and Care Excellence, 2006, 2012, 2015a, 2015b)", "previouslyFormattedCitation" : "(National Institute of Health and Care Excellence, 2006, 2012, 2015a, 2015b)" }, "properties" : { "noteIndex" : 0 }, "schema" : "https://github.com/citation-style-language/schema/raw/master/csl-citation.json" }</w:instrText>
      </w:r>
      <w:r w:rsidR="00601609" w:rsidRPr="00601609">
        <w:rPr>
          <w:rFonts w:eastAsia="Times New Roman" w:cstheme="minorHAnsi"/>
          <w:lang w:eastAsia="en-GB"/>
        </w:rPr>
        <w:fldChar w:fldCharType="separate"/>
      </w:r>
      <w:r w:rsidR="00601609" w:rsidRPr="00601609">
        <w:rPr>
          <w:rFonts w:eastAsia="Times New Roman" w:cstheme="minorHAnsi"/>
          <w:noProof/>
          <w:lang w:eastAsia="en-GB"/>
        </w:rPr>
        <w:t>(National Institute of Health and Care Excellence, 2006, 2012, 2015a, 2015b)</w:t>
      </w:r>
      <w:r w:rsidR="00601609" w:rsidRPr="00601609">
        <w:rPr>
          <w:rFonts w:eastAsia="Times New Roman" w:cstheme="minorHAnsi"/>
          <w:lang w:eastAsia="en-GB"/>
        </w:rPr>
        <w:fldChar w:fldCharType="end"/>
      </w:r>
      <w:r w:rsidR="00071EBF">
        <w:rPr>
          <w:rFonts w:eastAsia="Times New Roman" w:cstheme="minorHAnsi"/>
          <w:lang w:eastAsia="en-GB"/>
        </w:rPr>
        <w:t xml:space="preserve"> and advocated for by </w:t>
      </w:r>
      <w:r w:rsidR="00601609" w:rsidRPr="00601609">
        <w:rPr>
          <w:rFonts w:eastAsia="Times New Roman" w:cstheme="minorHAnsi"/>
          <w:lang w:eastAsia="en-GB"/>
        </w:rPr>
        <w:t xml:space="preserve">leading academics in the field </w:t>
      </w:r>
      <w:r w:rsidR="00601609" w:rsidRPr="00601609">
        <w:rPr>
          <w:rFonts w:eastAsia="Times New Roman" w:cstheme="minorHAnsi"/>
          <w:lang w:eastAsia="en-GB"/>
        </w:rPr>
        <w:fldChar w:fldCharType="begin" w:fldLock="1"/>
      </w:r>
      <w:r w:rsidR="00601609" w:rsidRPr="00601609">
        <w:rPr>
          <w:rFonts w:eastAsia="Times New Roman" w:cstheme="minorHAnsi"/>
          <w:lang w:eastAsia="en-GB"/>
        </w:rPr>
        <w:instrText>ADDIN CSL_CITATION { "citationItems" : [ { "id" : "ITEM-1", "itemData" : { "author" : [ { "dropping-particle" : "", "family" : "Lobstein", "given" : "T", "non-dropping-particle" : "", "parse-names" : false, "suffix" : "" }, { "dropping-particle" : "", "family" : "Jackson-Leach", "given" : "R", "non-dropping-particle" : "", "parse-names" : false, "suffix" : "" }, { "dropping-particle" : "", "family" : "Moodie", "given" : "ML", "non-dropping-particle" : "", "parse-names" : false, "suffix" : "" } ], "container-title" : "The Lancet", "id" : "ITEM-1", "issue" : "9986", "issued" : { "date-parts" : [ [ "2015" ] ] }, "page" : "2510-2520", "title" : "Child and adolescent obesity: part of a bigger picture", "type" : "article-journal", "volume" : "385" }, "uris" : [ "http://www.mendeley.com/documents/?uuid=e072a246-f28d-4879-b95a-10b312372cee" ] }, { "id" : "ITEM-2", "itemData" : { "DOI" : "10.1111/obr.12277", "ISSN" : "14677881", "PMID" : "25893796", "abstract" : "Previous reviews of childhood obesity prevention have focused largely on schools and findings have been inconsistent. Funded by the US Agency for Healthcare Research and Quality (AHRQ) and the National Institutes of Health, we systematically evaluated the effectiveness of childhood obesity prevention programmes conducted in high-income countries and implemented in various settings. We searched MEDLINE\u00ae, Embase, PsycINFO, CINAHL\u00ae, ClinicalTrials.gov and the Cochrane Library from inception through 22 April 2013 for relevant studies, including randomized controlled trials, quasi-experimental studies and natural experiments, targeting diet, physical activity or both, and conducted in children aged 2-18 in high-income countries. Two reviewers independently abstracted the data. The strength of evidence (SOE) supporting interventions was graded for each study setting (e.g. home, school). Meta-analyses were performed on studies judged sufficiently similar and appropriate to pool using random effect models. This paper reported our findings on various adiposity-related outcomes. We identified 147 articles (139 intervention studies) of which 115 studies were primarily school based, although\u2009other settings could have been involved. Most were conducted in the United States and within the past decade. SOE was high for physical activity-only interventions delivered in schools with home involvement or combined diet-physical activity interventions delivered in schools with both home and community components. SOE was moderate for school-based interventions targeting either diet or physical activity, combined interventions delivered in schools with home or community components or combined interventions delivered in the community with a school component. SOE was low for combined interventions in childcare or home settings. Evidence was insufficient for other interventions. In conclusion, at least moderately strong evidence supports the effectiveness of school-based interventions for preventing childhood obesity. More research is needed to evaluate programmes in other settings or of other design types, especially environmental, policy and consumer health informatics-oriented interventions.", "author" : [ { "dropping-particle" : "", "family" : "Wang", "given" : "Y.", "non-dropping-particle" : "", "parse-names" : false, "suffix" : "" }, { "dropping-particle" : "", "family" : "Cai", "given" : "L.", "non-dropping-particle" : "", "parse-names" : false, "suffix" : "" }, { "dropping-particle" : "", "family" : "Wu", "given" : "Y.", "non-dropping-particle" : "", "parse-names" : false, "suffix" : "" }, { "dropping-particle" : "", "family" : "Wilson", "given" : "R. F.", "non-dropping-particle" : "", "parse-names" : false, "suffix" : "" }, { "dropping-particle" : "", "family" : "Weston", "given" : "C.", "non-dropping-particle" : "", "parse-names" : false, "suffix" : "" }, { "dropping-particle" : "", "family" : "Fawole", "given" : "O.", "non-dropping-particle" : "", "parse-names" : false, "suffix" : "" }, { "dropping-particle" : "", "family" : "Bleich", "given" : "S. N.", "non-dropping-particle" : "", "parse-names" : false, "suffix" : "" }, { "dropping-particle" : "", "family" : "Cheskin", "given" : "L. J.", "non-dropping-particle" : "", "parse-names" : false, "suffix" : "" }, { "dropping-particle" : "", "family" : "Showell", "given" : "N. N.", "non-dropping-particle" : "", "parse-names" : false, "suffix" : "" }, { "dropping-particle" : "", "family" : "Lau", "given" : "B. D.", "non-dropping-particle" : "", "parse-names" : false, "suffix" : "" }, { "dropping-particle" : "", "family" : "Chiu", "given" : "D. T.", "non-dropping-particle" : "", "parse-names" : false, "suffix" : "" }, { "dropping-particle" : "", "family" : "Zhang", "given" : "A.", "non-dropping-particle" : "", "parse-names" : false, "suffix" : "" }, { "dropping-particle" : "", "family" : "Segal", "given" : "J.", "non-dropping-particle" : "", "parse-names" : false, "suffix" : "" } ], "container-title" : "Obesity Reviews", "id" : "ITEM-2", "issue" : "7", "issued" : { "date-parts" : [ [ "2015", "7", "20" ] ] }, "page" : "547-565", "title" : "What childhood obesity prevention programmes work? A systematic review and meta-analysis", "type" : "article-journal", "volume" : "16" }, "uris" : [ "http://www.mendeley.com/documents/?uuid=6062d135-073b-40bc-a5de-04435d42cd04" ] } ], "mendeley" : { "formattedCitation" : "(Lobstein et al., 2015; Wang et al., 2015)", "plainTextFormattedCitation" : "(Lobstein et al., 2015; Wang et al., 2015)", "previouslyFormattedCitation" : "(Lobstein et al., 2015; Wang et al., 2015)" }, "properties" : { "noteIndex" : 0 }, "schema" : "https://github.com/citation-style-language/schema/raw/master/csl-citation.json" }</w:instrText>
      </w:r>
      <w:r w:rsidR="00601609" w:rsidRPr="00601609">
        <w:rPr>
          <w:rFonts w:eastAsia="Times New Roman" w:cstheme="minorHAnsi"/>
          <w:lang w:eastAsia="en-GB"/>
        </w:rPr>
        <w:fldChar w:fldCharType="separate"/>
      </w:r>
      <w:r w:rsidR="00601609" w:rsidRPr="00601609">
        <w:rPr>
          <w:rFonts w:eastAsia="Times New Roman" w:cstheme="minorHAnsi"/>
          <w:noProof/>
          <w:lang w:eastAsia="en-GB"/>
        </w:rPr>
        <w:t>(Lobstein et al., 2015; Wang et al., 2015)</w:t>
      </w:r>
      <w:r w:rsidR="00601609" w:rsidRPr="00601609">
        <w:rPr>
          <w:rFonts w:eastAsia="Times New Roman" w:cstheme="minorHAnsi"/>
          <w:lang w:eastAsia="en-GB"/>
        </w:rPr>
        <w:fldChar w:fldCharType="end"/>
      </w:r>
      <w:r w:rsidR="00601609" w:rsidRPr="00601609">
        <w:rPr>
          <w:rFonts w:eastAsia="Times New Roman" w:cstheme="minorHAnsi"/>
          <w:lang w:eastAsia="en-GB"/>
        </w:rPr>
        <w:t>.</w:t>
      </w:r>
    </w:p>
    <w:p w:rsidR="00FC039E" w:rsidRDefault="00FC039E" w:rsidP="00BA5176">
      <w:pPr>
        <w:rPr>
          <w:rFonts w:eastAsia="Times New Roman" w:cstheme="minorHAnsi"/>
          <w:lang w:eastAsia="en-GB"/>
        </w:rPr>
      </w:pPr>
    </w:p>
    <w:p w:rsidR="00BA5176" w:rsidRPr="00601609" w:rsidRDefault="00BA5176" w:rsidP="00BA5176">
      <w:pPr>
        <w:rPr>
          <w:rFonts w:eastAsia="Times New Roman" w:cstheme="minorHAnsi"/>
          <w:sz w:val="24"/>
          <w:szCs w:val="24"/>
          <w:lang w:eastAsia="en-GB"/>
        </w:rPr>
      </w:pPr>
      <w:r w:rsidRPr="00601609">
        <w:rPr>
          <w:rFonts w:eastAsia="Times New Roman" w:cstheme="minorHAnsi"/>
          <w:lang w:eastAsia="en-GB"/>
        </w:rPr>
        <w:t xml:space="preserve">One of the critical </w:t>
      </w:r>
      <w:r w:rsidR="0047189B" w:rsidRPr="00601609">
        <w:rPr>
          <w:rFonts w:eastAsia="Times New Roman" w:cstheme="minorHAnsi"/>
          <w:lang w:eastAsia="en-GB"/>
        </w:rPr>
        <w:t>factors</w:t>
      </w:r>
      <w:r w:rsidRPr="00601609">
        <w:rPr>
          <w:rFonts w:eastAsia="Times New Roman" w:cstheme="minorHAnsi"/>
          <w:lang w:eastAsia="en-GB"/>
        </w:rPr>
        <w:t xml:space="preserve"> for </w:t>
      </w:r>
      <w:r w:rsidR="0047189B" w:rsidRPr="00601609">
        <w:rPr>
          <w:rFonts w:eastAsia="Times New Roman" w:cstheme="minorHAnsi"/>
          <w:lang w:eastAsia="en-GB"/>
        </w:rPr>
        <w:t xml:space="preserve">successful </w:t>
      </w:r>
      <w:r w:rsidRPr="00601609">
        <w:rPr>
          <w:rFonts w:eastAsia="Times New Roman" w:cstheme="minorHAnsi"/>
          <w:lang w:eastAsia="en-GB"/>
        </w:rPr>
        <w:t>school based obesity prevention, identified across a number of systematic reviews</w:t>
      </w:r>
      <w:r w:rsidR="00515C73">
        <w:rPr>
          <w:rFonts w:eastAsia="Times New Roman" w:cstheme="minorHAnsi"/>
          <w:lang w:eastAsia="en-GB"/>
        </w:rPr>
        <w:t>,</w:t>
      </w:r>
      <w:r w:rsidRPr="00601609">
        <w:rPr>
          <w:rFonts w:eastAsia="Times New Roman" w:cstheme="minorHAnsi"/>
          <w:lang w:eastAsia="en-GB"/>
        </w:rPr>
        <w:t xml:space="preserve"> is the role and engagement of key school stakeholders</w:t>
      </w:r>
      <w:r w:rsidR="00EC718D" w:rsidRPr="00601609">
        <w:rPr>
          <w:rFonts w:eastAsia="Times New Roman" w:cstheme="minorHAnsi"/>
          <w:lang w:eastAsia="en-GB"/>
        </w:rPr>
        <w:t xml:space="preserve"> </w:t>
      </w:r>
      <w:r w:rsidR="00EC718D" w:rsidRPr="00601609">
        <w:rPr>
          <w:rFonts w:eastAsia="Times New Roman" w:cstheme="minorHAnsi"/>
          <w:lang w:eastAsia="en-GB"/>
        </w:rPr>
        <w:fldChar w:fldCharType="begin" w:fldLock="1"/>
      </w:r>
      <w:r w:rsidR="009C2ECF" w:rsidRPr="00601609">
        <w:rPr>
          <w:rFonts w:eastAsia="Times New Roman" w:cstheme="minorHAnsi"/>
          <w:lang w:eastAsia="en-GB"/>
        </w:rPr>
        <w:instrText>ADDIN CSL_CITATION { "citationItems" : [ { "id" : "ITEM-1", "itemData" : { "author" : [ { "dropping-particle" : "", "family" : "Waters", "given" : "E", "non-dropping-particle" : "", "parse-names" : false, "suffix" : "" }, { "dropping-particle" : "de", "family" : "Silva-Sanigorski", "given" : "A", "non-dropping-particle" : "", "parse-names" : false, "suffix" : "" } ], "container-title" : "Cochrane Database of Systematic Reviews", "id" : "ITEM-1", "issue" : "12", "issued" : { "date-parts" : [ [ "2011" ] ] }, "title" : "Interventions for preventing obesity in children", "type" : "article-journal" }, "uris" : [ "http://www.mendeley.com/documents/?uuid=edceb688-e3c5-459d-b1d2-e8f0aa963cd2" ] }, { "id" : "ITEM-2", "itemData" : { "DOI" : "10.1111/obr.12277", "ISSN" : "14677881", "PMID" : "25893796", "abstract" : "Previous reviews of childhood obesity prevention have focused largely on schools and findings have been inconsistent. Funded by the US Agency for Healthcare Research and Quality (AHRQ) and the National Institutes of Health, we systematically evaluated the effectiveness of childhood obesity prevention programmes conducted in high-income countries and implemented in various settings. We searched MEDLINE\u00ae, Embase, PsycINFO, CINAHL\u00ae, ClinicalTrials.gov and the Cochrane Library from inception through 22 April 2013 for relevant studies, including randomized controlled trials, quasi-experimental studies and natural experiments, targeting diet, physical activity or both, and conducted in children aged 2-18 in high-income countries. Two reviewers independently abstracted the data. The strength of evidence (SOE) supporting interventions was graded for each study setting (e.g. home, school). Meta-analyses were performed on studies judged sufficiently similar and appropriate to pool using random effect models. This paper reported our findings on various adiposity-related outcomes. We identified 147 articles (139 intervention studies) of which 115 studies were primarily school based, although\u2009other settings could have been involved. Most were conducted in the United States and within the past decade. SOE was high for physical activity-only interventions delivered in schools with home involvement or combined diet-physical activity interventions delivered in schools with both home and community components. SOE was moderate for school-based interventions targeting either diet or physical activity, combined interventions delivered in schools with home or community components or combined interventions delivered in the community with a school component. SOE was low for combined interventions in childcare or home settings. Evidence was insufficient for other interventions. In conclusion, at least moderately strong evidence supports the effectiveness of school-based interventions for preventing childhood obesity. More research is needed to evaluate programmes in other settings or of other design types, especially environmental, policy and consumer health informatics-oriented interventions.", "author" : [ { "dropping-particle" : "", "family" : "Wang", "given" : "Y.", "non-dropping-particle" : "", "parse-names" : false, "suffix" : "" }, { "dropping-particle" : "", "family" : "Cai", "given" : "L.", "non-dropping-particle" : "", "parse-names" : false, "suffix" : "" }, { "dropping-particle" : "", "family" : "Wu", "given" : "Y.", "non-dropping-particle" : "", "parse-names" : false, "suffix" : "" }, { "dropping-particle" : "", "family" : "Wilson", "given" : "R. F.", "non-dropping-particle" : "", "parse-names" : false, "suffix" : "" }, { "dropping-particle" : "", "family" : "Weston", "given" : "C.", "non-dropping-particle" : "", "parse-names" : false, "suffix" : "" }, { "dropping-particle" : "", "family" : "Fawole", "given" : "O.", "non-dropping-particle" : "", "parse-names" : false, "suffix" : "" }, { "dropping-particle" : "", "family" : "Bleich", "given" : "S. N.", "non-dropping-particle" : "", "parse-names" : false, "suffix" : "" }, { "dropping-particle" : "", "family" : "Cheskin", "given" : "L. J.", "non-dropping-particle" : "", "parse-names" : false, "suffix" : "" }, { "dropping-particle" : "", "family" : "Showell", "given" : "N. N.", "non-dropping-particle" : "", "parse-names" : false, "suffix" : "" }, { "dropping-particle" : "", "family" : "Lau", "given" : "B. D.", "non-dropping-particle" : "", "parse-names" : false, "suffix" : "" }, { "dropping-particle" : "", "family" : "Chiu", "given" : "D. T.", "non-dropping-particle" : "", "parse-names" : false, "suffix" : "" }, { "dropping-particle" : "", "family" : "Zhang", "given" : "A.", "non-dropping-particle" : "", "parse-names" : false, "suffix" : "" }, { "dropping-particle" : "", "family" : "Segal", "given" : "J.", "non-dropping-particle" : "", "parse-names" : false, "suffix" : "" } ], "container-title" : "Obesity Reviews", "id" : "ITEM-2", "issue" : "7", "issued" : { "date-parts" : [ [ "2015", "7", "20" ] ] }, "page" : "547-565", "title" : "What childhood obesity prevention programmes work? A systematic review and meta-analysis", "type" : "article-journal", "volume" : "16" }, "uris" : [ "http://www.mendeley.com/documents/?uuid=6062d135-073b-40bc-a5de-04435d42cd04" ] }, { "id" : "ITEM-3", "itemData" : { "author" : [ { "dropping-particle" : "", "family" : "Guerra", "given" : "PH", "non-dropping-particle" : "", "parse-names" : false, "suffix" : "" }, { "dropping-particle" : "da", "family" : "Silveira", "given" : "JAC", "non-dropping-particle" : "", "parse-names" : false, "suffix" : "" }, { "dropping-particle" : "", "family" : "Salvador", "given" : "EP", "non-dropping-particle" : "", "parse-names" : false, "suffix" : "" } ], "container-title" : "Jornal de Pediatria", "id" : "ITEM-3", "issue" : "1", "issued" : { "date-parts" : [ [ "2015" ] ] }, "page" : "15-23", "title" : "Physical activity and nutrition education at the school environment aimed at preventing childhood obesity: evidence from systematic reviews", "type" : "article-journal", "volume" : "92" }, "uris" : [ "http://www.mendeley.com/documents/?uuid=98dd3955-cf26-4c07-8061-13dd1c0276c8" ] } ], "mendeley" : { "formattedCitation" : "(Waters and Silva-Sanigorski, 2011; Wang et al., 2015; Guerra et al., 2015)", "plainTextFormattedCitation" : "(Waters and Silva-Sanigorski, 2011; Wang et al., 2015; Guerra et al., 2015)", "previouslyFormattedCitation" : "(Waters and Silva-Sanigorski, 2011; Wang et al., 2015; Guerra et al., 2015)" }, "properties" : { "noteIndex" : 0 }, "schema" : "https://github.com/citation-style-language/schema/raw/master/csl-citation.json" }</w:instrText>
      </w:r>
      <w:r w:rsidR="00EC718D" w:rsidRPr="00601609">
        <w:rPr>
          <w:rFonts w:eastAsia="Times New Roman" w:cstheme="minorHAnsi"/>
          <w:lang w:eastAsia="en-GB"/>
        </w:rPr>
        <w:fldChar w:fldCharType="separate"/>
      </w:r>
      <w:r w:rsidR="00EC718D" w:rsidRPr="00601609">
        <w:rPr>
          <w:rFonts w:eastAsia="Times New Roman" w:cstheme="minorHAnsi"/>
          <w:noProof/>
          <w:lang w:eastAsia="en-GB"/>
        </w:rPr>
        <w:t>(Waters and Silva-Sanigorski, 2011; Wang et al., 2015; Guerra et al., 2015)</w:t>
      </w:r>
      <w:r w:rsidR="00EC718D" w:rsidRPr="00601609">
        <w:rPr>
          <w:rFonts w:eastAsia="Times New Roman" w:cstheme="minorHAnsi"/>
          <w:lang w:eastAsia="en-GB"/>
        </w:rPr>
        <w:fldChar w:fldCharType="end"/>
      </w:r>
      <w:r w:rsidR="00EC718D" w:rsidRPr="00601609">
        <w:rPr>
          <w:rFonts w:eastAsia="Times New Roman" w:cstheme="minorHAnsi"/>
          <w:lang w:eastAsia="en-GB"/>
        </w:rPr>
        <w:t xml:space="preserve">.  </w:t>
      </w:r>
      <w:r w:rsidRPr="00601609">
        <w:rPr>
          <w:rFonts w:eastAsia="Times New Roman" w:cstheme="minorHAnsi"/>
          <w:lang w:eastAsia="en-GB"/>
        </w:rPr>
        <w:t>A vast array of literature has advocated that school staff, parents and wider community partners are crucial in influencing the outcomes of obesity preventative action in primary and secondary schools</w:t>
      </w:r>
      <w:r w:rsidR="00EC718D" w:rsidRPr="00601609">
        <w:rPr>
          <w:rFonts w:eastAsia="Times New Roman" w:cstheme="minorHAnsi"/>
          <w:lang w:eastAsia="en-GB"/>
        </w:rPr>
        <w:t xml:space="preserve"> </w:t>
      </w:r>
      <w:r w:rsidR="00EC718D" w:rsidRPr="00601609">
        <w:rPr>
          <w:rFonts w:eastAsia="Times New Roman" w:cstheme="minorHAnsi"/>
          <w:lang w:eastAsia="en-GB"/>
        </w:rPr>
        <w:fldChar w:fldCharType="begin" w:fldLock="1"/>
      </w:r>
      <w:r w:rsidR="00395650" w:rsidRPr="00601609">
        <w:rPr>
          <w:rFonts w:eastAsia="Times New Roman" w:cstheme="minorHAnsi"/>
          <w:lang w:eastAsia="en-GB"/>
        </w:rPr>
        <w:instrText>ADDIN CSL_CITATION { "citationItems" : [ { "id" : "ITEM-1", "itemData" : { "author" : [ { "dropping-particle" : "", "family" : "Deschesnes", "given" : "M", "non-dropping-particle" : "", "parse-names" : false, "suffix" : "" }, { "dropping-particle" : "", "family" : "Martin", "given" : "C", "non-dropping-particle" : "", "parse-names" : false, "suffix" : "" }, { "dropping-particle" : "", "family" : "Hill", "given" : "AJ", "non-dropping-particle" : "", "parse-names" : false, "suffix" : "" } ], "container-title" : "Health promotion international", "id" : "ITEM-1", "issue" : "4", "issued" : { "date-parts" : [ [ "2003" ] ] }, "page" : "387-396", "title" : "Comprehensive approaches to school health promotion: how to achieve broader implementation?", "type" : "article-journal", "volume" : "18" }, "uris" : [ "http://www.mendeley.com/documents/?uuid=c0e8215d-1499-433c-af21-86e9699c5c79" ] }, { "id" : "ITEM-2", "itemData" : { "author" : [ { "dropping-particle" : "", "family" : "Doak", "given" : "CM", "non-dropping-particle" : "", "parse-names" : false, "suffix" : "" }, { "dropping-particle" : "", "family" : "Visscher", "given" : "TLS", "non-dropping-particle" : "", "parse-names" : false, "suffix" : "" } ], "container-title" : "Obesity reviews", "id" : "ITEM-2", "issue" : "1", "issued" : { "date-parts" : [ [ "2006" ] ] }, "page" : "111-136", "title" : "The prevention of overweight and obesity in children and adolescents: a review of interventions and programmes", "type" : "article-journal", "volume" : "7" }, "uris" : [ "http://www.mendeley.com/documents/?uuid=85b0cc74-369d-4256-93dc-c94435a10bb7" ] }, { "id" : "ITEM-3", "itemData" : { "author" : [ { "dropping-particle" : "", "family" : "Keshavarz", "given" : "N", "non-dropping-particle" : "", "parse-names" : false, "suffix" : "" }, { "dropping-particle" : "", "family" : "Nutbeam", "given" : "D", "non-dropping-particle" : "", "parse-names" : false, "suffix" : "" } ], "container-title" : "Social Science &amp; Medicine", "id" : "ITEM-3", "issue" : "10", "issued" : { "date-parts" : [ [ "2010" ] ] }, "page" : "1467-1474", "title" : "Schools as social complex adaptive systems: a new way to understand the challenges of introducing the health promoting schools concept", "type" : "article-journal", "volume" : "70" }, "uris" : [ "http://www.mendeley.com/documents/?uuid=2374f76d-9254-4fe6-b5b6-448d49f7a371" ] }, { "id" : "ITEM-4", "itemData" : { "author" : [ { "dropping-particle" : "", "family" : "Flaschberger", "given" : "E", "non-dropping-particle" : "", "parse-names" : false, "suffix" : "" } ], "container-title" : "Health promotion practice", "id" : "ITEM-4", "issue" : "3", "issued" : { "date-parts" : [ [ "2012" ] ] }, "page" : "364-369", "title" : "Implementing School Health Promotion in Austria Experiences From a Pilot Training Course", "type" : "article-journal", "volume" : "13" }, "uris" : [ "http://www.mendeley.com/documents/?uuid=b17397ea-81d6-4303-8977-80e2cbee08cc" ] }, { "id" : "ITEM-5", "itemData" : { "DOI" : "10.1371/journal.pone.0108284", "ISSN" : "1932-6203", "author" : [ { "dropping-particle" : "", "family" : "Hung", "given" : "Tommy Tsz Man", "non-dropping-particle" : "", "parse-names" : false, "suffix" : "" }, { "dropping-particle" : "", "family" : "Chiang", "given" : "Vico Chung Lim", "non-dropping-particle" : "", "parse-names" : false, "suffix" : "" }, { "dropping-particle" : "", "family" : "Dawson", "given" : "Angela", "non-dropping-particle" : "", "parse-names" : false, "suffix" : "" }, { "dropping-particle" : "", "family" : "Lee", "given" : "Regina Lai Tong", "non-dropping-particle" : "", "parse-names" : false, "suffix" : "" }, { "dropping-particle" : "", "family" : "Carlisle", "given" : "R", "non-dropping-particle" : "", "parse-names" : false, "suffix" : "" } ], "container-title" : "PLoS ONE", "editor" : [ { "dropping-particle" : "", "family" : "Kokubo", "given" : "Yoshihiro", "non-dropping-particle" : "", "parse-names" : false, "suffix" : "" } ], "id" : "ITEM-5", "issue" : "9", "issued" : { "date-parts" : [ [ "2014", "9", "29" ] ] }, "page" : "e108284", "publisher" : "Public Library of Science", "title" : "Understanding of Factors that Enable Health Promoters in Implementing Health-Promoting Schools: A Systematic Review and Narrative Synthesis of Qualitative Evidence", "type" : "article-journal", "volume" : "9" }, "uris" : [ "http://www.mendeley.com/documents/?uuid=ae1f20e4-22b2-3cc5-b3e2-f5bab28f6071" ] } ], "mendeley" : { "formattedCitation" : "(Deschesnes et al., 2003; Doak and Visscher, 2006; Keshavarz and Nutbeam, 2010; Flaschberger, 2012; Hung et al., 2014)", "plainTextFormattedCitation" : "(Deschesnes et al., 2003; Doak and Visscher, 2006; Keshavarz and Nutbeam, 2010; Flaschberger, 2012; Hung et al., 2014)", "previouslyFormattedCitation" : "(Deschesnes et al., 2003; Doak and Visscher, 2006; Keshavarz and Nutbeam, 2010; Flaschberger, 2012; Hung et al., 2014)" }, "properties" : { "noteIndex" : 0 }, "schema" : "https://github.com/citation-style-language/schema/raw/master/csl-citation.json" }</w:instrText>
      </w:r>
      <w:r w:rsidR="00EC718D" w:rsidRPr="00601609">
        <w:rPr>
          <w:rFonts w:eastAsia="Times New Roman" w:cstheme="minorHAnsi"/>
          <w:lang w:eastAsia="en-GB"/>
        </w:rPr>
        <w:fldChar w:fldCharType="separate"/>
      </w:r>
      <w:r w:rsidR="00EC718D" w:rsidRPr="00601609">
        <w:rPr>
          <w:rFonts w:eastAsia="Times New Roman" w:cstheme="minorHAnsi"/>
          <w:noProof/>
          <w:lang w:eastAsia="en-GB"/>
        </w:rPr>
        <w:t>(Deschesnes et al., 2003; Doak and Visscher, 2006; Keshavarz and Nutbeam, 2010; Flaschberger, 2012; Hung et al., 2014)</w:t>
      </w:r>
      <w:r w:rsidR="00EC718D" w:rsidRPr="00601609">
        <w:rPr>
          <w:rFonts w:eastAsia="Times New Roman" w:cstheme="minorHAnsi"/>
          <w:lang w:eastAsia="en-GB"/>
        </w:rPr>
        <w:fldChar w:fldCharType="end"/>
      </w:r>
      <w:r w:rsidR="00EC718D" w:rsidRPr="00601609">
        <w:rPr>
          <w:rFonts w:eastAsia="Times New Roman" w:cstheme="minorHAnsi"/>
          <w:lang w:eastAsia="en-GB"/>
        </w:rPr>
        <w:t>.</w:t>
      </w:r>
    </w:p>
    <w:p w:rsidR="00BA5176" w:rsidRPr="00601609" w:rsidRDefault="00BA5176" w:rsidP="00BA5176">
      <w:pPr>
        <w:rPr>
          <w:rFonts w:eastAsia="Times New Roman" w:cstheme="minorHAnsi"/>
          <w:sz w:val="24"/>
          <w:szCs w:val="24"/>
          <w:lang w:eastAsia="en-GB"/>
        </w:rPr>
      </w:pPr>
    </w:p>
    <w:p w:rsidR="00BA5176" w:rsidRPr="00601609" w:rsidRDefault="00BA5176" w:rsidP="00BA5176">
      <w:pPr>
        <w:rPr>
          <w:rFonts w:eastAsia="Times New Roman" w:cstheme="minorHAnsi"/>
          <w:lang w:eastAsia="en-GB"/>
        </w:rPr>
      </w:pPr>
      <w:r w:rsidRPr="00601609">
        <w:rPr>
          <w:rFonts w:eastAsia="Times New Roman" w:cstheme="minorHAnsi"/>
          <w:lang w:eastAsia="en-GB"/>
        </w:rPr>
        <w:t xml:space="preserve">Of </w:t>
      </w:r>
      <w:r w:rsidR="0047189B" w:rsidRPr="00601609">
        <w:rPr>
          <w:rFonts w:eastAsia="Times New Roman" w:cstheme="minorHAnsi"/>
          <w:lang w:eastAsia="en-GB"/>
        </w:rPr>
        <w:t>s</w:t>
      </w:r>
      <w:r w:rsidRPr="00601609">
        <w:rPr>
          <w:rFonts w:eastAsia="Times New Roman" w:cstheme="minorHAnsi"/>
          <w:lang w:eastAsia="en-GB"/>
        </w:rPr>
        <w:t xml:space="preserve">ignificance, is the </w:t>
      </w:r>
      <w:r w:rsidR="0047189B" w:rsidRPr="00601609">
        <w:rPr>
          <w:rFonts w:eastAsia="Times New Roman" w:cstheme="minorHAnsi"/>
          <w:lang w:eastAsia="en-GB"/>
        </w:rPr>
        <w:t xml:space="preserve">important </w:t>
      </w:r>
      <w:r w:rsidRPr="00601609">
        <w:rPr>
          <w:rFonts w:eastAsia="Times New Roman" w:cstheme="minorHAnsi"/>
          <w:lang w:eastAsia="en-GB"/>
        </w:rPr>
        <w:t xml:space="preserve">role of school leaders (headteachers) and the school board management (governors) </w:t>
      </w:r>
      <w:r w:rsidR="00EC718D" w:rsidRPr="00601609">
        <w:rPr>
          <w:rFonts w:eastAsia="Times New Roman" w:cstheme="minorHAnsi"/>
          <w:lang w:eastAsia="en-GB"/>
        </w:rPr>
        <w:fldChar w:fldCharType="begin" w:fldLock="1"/>
      </w:r>
      <w:r w:rsidR="009C2ECF" w:rsidRPr="00601609">
        <w:rPr>
          <w:rFonts w:eastAsia="Times New Roman" w:cstheme="minorHAnsi"/>
          <w:lang w:eastAsia="en-GB"/>
        </w:rPr>
        <w:instrText>ADDIN CSL_CITATION { "citationItems" : [ { "id" : "ITEM-1", "itemData" : { "author" : [ { "dropping-particle" : "", "family" : "Yager", "given" : "Z", "non-dropping-particle" : "", "parse-names" : false, "suffix" : "" }, { "dropping-particle" : "", "family" : "Dea", "given" : "JA O';", "non-dropping-particle" : "", "parse-names" : false, "suffix" : "" } ], "container-title" : "Eating Disorders", "id" : "ITEM-1", "issue" : "3", "issued" : { "date-parts" : [ [ "2005" ] ] }, "page" : "261-278", "title" : "The role of teachers and other educators in the prevention of eating disorders and child obesity: what are the issues?", "type" : "article-journal", "volume" : "13" }, "uris" : [ "http://www.mendeley.com/documents/?uuid=9e690bc9-c148-4a22-af40-4349f6a9ca2f" ] }, { "id" : "ITEM-2", "itemData" : { "author" : [ { "dropping-particle" : "", "family" : "Inchley", "given" : "J", "non-dropping-particle" : "", "parse-names" : false, "suffix" : "" }, { "dropping-particle" : "", "family" : "Muldoon", "given" : "J", "non-dropping-particle" : "", "parse-names" : false, "suffix" : "" }, { "dropping-particle" : "", "family" : "Currie", "given" : "C", "non-dropping-particle" : "", "parse-names" : false, "suffix" : "" } ], "container-title" : "Health Promotion International", "id" : "ITEM-2", "issue" : "1", "issued" : { "date-parts" : [ [ "2007" ] ] }, "page" : "65-71", "title" : "Becoming a health promoting school: evaluating the process of effective implementation in Scotland", "type" : "article-journal", "volume" : "22" }, "uris" : [ "http://www.mendeley.com/documents/?uuid=9ae6ded9-f5c1-4715-918e-ff528cfc6a67" ] }, { "id" : "ITEM-3", "itemData" : { "author" : [ { "dropping-particle" : "", "family" : "Swanton", "given" : "K", "non-dropping-particle" : "", "parse-names" : false, "suffix" : "" } ], "container-title" : "National Health Forum", "id" : "ITEM-3", "issued" : { "date-parts" : [ [ "2008" ] ] }, "publisher-place" : "London", "title" : "Healthy Weight, Healthy Lives: A toolkit for developing local strategies", "type" : "report" }, "uris" : [ "http://www.mendeley.com/documents/?uuid=b30e974e-41e9-493f-986d-8ab654023d57" ] }, { "id" : "ITEM-4", "itemData" : { "author" : [ { "dropping-particle" : "", "family" : "Keshavarz", "given" : "N", "non-dropping-particle" : "", "parse-names" : false, "suffix" : "" }, { "dropping-particle" : "", "family" : "Nutbeam", "given" : "D", "non-dropping-particle" : "", "parse-names" : false, "suffix" : "" } ], "container-title" : "Social Science &amp; Medicine", "id" : "ITEM-4", "issue" : "10", "issued" : { "date-parts" : [ [ "2010" ] ] }, "page" : "1467-1474", "title" : "Schools as social complex adaptive systems: a new way to understand the challenges of introducing the health promoting schools concept", "type" : "article-journal", "volume" : "70" }, "uris" : [ "http://www.mendeley.com/documents/?uuid=2374f76d-9254-4fe6-b5b6-448d49f7a371" ] }, { "id" : "ITEM-5", "itemData" : { "author" : [ { "dropping-particle" : "", "family" : "Clarke", "given" : "J", "non-dropping-particle" : "", "parse-names" : false, "suffix" : "" }, { "dropping-particle" : "", "family" : "Fletcher", "given" : "B", "non-dropping-particle" : "", "parse-names" : false, "suffix" : "" }, { "dropping-particle" : "", "family" : "Lancashire", "given" : "E", "non-dropping-particle" : "", "parse-names" : false, "suffix" : "" } ], "container-title" : "Obesity \u2026", "id" : "ITEM-5", "issue" : "12", "issued" : { "date-parts" : [ [ "2013" ] ] }, "page" : "975-988", "title" : "The views of stakeholders on the role of the primary school in preventing childhood obesity: a qualitative systematic review", "type" : "article-journal", "volume" : "14" }, "uris" : [ "http://www.mendeley.com/documents/?uuid=3c387bfd-6df4-468e-b78c-dacfe65735da" ] }, { "id" : "ITEM-6", "itemData" : { "author" : [ { "dropping-particle" : "", "family" : "National Institute of Health and Care Excellence", "given" : "", "non-dropping-particle" : "", "parse-names" : false, "suffix" : "" } ], "id" : "ITEM-6", "issued" : { "date-parts" : [ [ "2015" ] ] }, "publisher-place" : "London", "title" : "NICE Pathway - Preventing Obesity", "type" : "report" }, "uris" : [ "http://www.mendeley.com/documents/?uuid=b4b27288-9afd-4746-a8da-bc42a8085260" ] } ], "mendeley" : { "formattedCitation" : "(Yager and Dea, 2005; Inchley et al., 2007; Swanton, 2008; Keshavarz and Nutbeam, 2010; Clarke et al., 2013; National Institute of Health and Care Excellence, 2015a)", "plainTextFormattedCitation" : "(Yager and Dea, 2005; Inchley et al., 2007; Swanton, 2008; Keshavarz and Nutbeam, 2010; Clarke et al., 2013; National Institute of Health and Care Excellence, 2015a)", "previouslyFormattedCitation" : "(Yager and Dea, 2005; Inchley et al., 2007; Swanton, 2008; Keshavarz and Nutbeam, 2010; Clarke et al., 2013; National Institute of Health and Care Excellence, 2015a)" }, "properties" : { "noteIndex" : 0 }, "schema" : "https://github.com/citation-style-language/schema/raw/master/csl-citation.json" }</w:instrText>
      </w:r>
      <w:r w:rsidR="00EC718D" w:rsidRPr="00601609">
        <w:rPr>
          <w:rFonts w:eastAsia="Times New Roman" w:cstheme="minorHAnsi"/>
          <w:lang w:eastAsia="en-GB"/>
        </w:rPr>
        <w:fldChar w:fldCharType="separate"/>
      </w:r>
      <w:r w:rsidR="00EC718D" w:rsidRPr="00601609">
        <w:rPr>
          <w:rFonts w:eastAsia="Times New Roman" w:cstheme="minorHAnsi"/>
          <w:noProof/>
          <w:lang w:eastAsia="en-GB"/>
        </w:rPr>
        <w:t>(Yager and Dea, 2005; Inchley et al., 2007; Swanton, 2008; Keshavarz and Nutbeam, 2010; Clarke et al., 2013; National Institute of Health and Care Excellence, 2015a)</w:t>
      </w:r>
      <w:r w:rsidR="00EC718D" w:rsidRPr="00601609">
        <w:rPr>
          <w:rFonts w:eastAsia="Times New Roman" w:cstheme="minorHAnsi"/>
          <w:lang w:eastAsia="en-GB"/>
        </w:rPr>
        <w:fldChar w:fldCharType="end"/>
      </w:r>
      <w:r w:rsidR="00EC718D" w:rsidRPr="00601609">
        <w:rPr>
          <w:rFonts w:eastAsia="Times New Roman" w:cstheme="minorHAnsi"/>
          <w:lang w:eastAsia="en-GB"/>
        </w:rPr>
        <w:t xml:space="preserve">.  </w:t>
      </w:r>
      <w:r w:rsidRPr="00601609">
        <w:rPr>
          <w:rFonts w:eastAsia="Times New Roman" w:cstheme="minorHAnsi"/>
          <w:lang w:eastAsia="en-GB"/>
        </w:rPr>
        <w:t>In England</w:t>
      </w:r>
      <w:r w:rsidR="00846B21" w:rsidRPr="00601609">
        <w:rPr>
          <w:rFonts w:eastAsia="Times New Roman" w:cstheme="minorHAnsi"/>
          <w:lang w:eastAsia="en-GB"/>
        </w:rPr>
        <w:t>,</w:t>
      </w:r>
      <w:r w:rsidRPr="00601609">
        <w:rPr>
          <w:rFonts w:eastAsia="Times New Roman" w:cstheme="minorHAnsi"/>
          <w:lang w:eastAsia="en-GB"/>
        </w:rPr>
        <w:t xml:space="preserve"> and as determined by the Department for Education, headteachers are tasked with providi</w:t>
      </w:r>
      <w:r w:rsidR="0047189B" w:rsidRPr="00601609">
        <w:rPr>
          <w:rFonts w:eastAsia="Times New Roman" w:cstheme="minorHAnsi"/>
          <w:lang w:eastAsia="en-GB"/>
        </w:rPr>
        <w:t xml:space="preserve">ng professional leadership of </w:t>
      </w:r>
      <w:r w:rsidRPr="00601609">
        <w:rPr>
          <w:rFonts w:eastAsia="Times New Roman" w:cstheme="minorHAnsi"/>
          <w:lang w:eastAsia="en-GB"/>
        </w:rPr>
        <w:t>school</w:t>
      </w:r>
      <w:r w:rsidR="0047189B" w:rsidRPr="00601609">
        <w:rPr>
          <w:rFonts w:eastAsia="Times New Roman" w:cstheme="minorHAnsi"/>
          <w:lang w:eastAsia="en-GB"/>
        </w:rPr>
        <w:t>s</w:t>
      </w:r>
      <w:r w:rsidRPr="00601609">
        <w:rPr>
          <w:rFonts w:eastAsia="Times New Roman" w:cstheme="minorHAnsi"/>
          <w:lang w:eastAsia="en-GB"/>
        </w:rPr>
        <w:t>.  As a school’s most senior leader, headteachers are responsible for the operational management, organisation and control of a school including the creation of school policies and practices</w:t>
      </w:r>
      <w:r w:rsidR="00EC718D" w:rsidRPr="00601609">
        <w:rPr>
          <w:rFonts w:eastAsia="Times New Roman" w:cstheme="minorHAnsi"/>
          <w:lang w:eastAsia="en-GB"/>
        </w:rPr>
        <w:t xml:space="preserve"> </w:t>
      </w:r>
      <w:r w:rsidR="00EC718D" w:rsidRPr="00601609">
        <w:rPr>
          <w:rFonts w:eastAsia="Times New Roman" w:cstheme="minorHAnsi"/>
          <w:lang w:eastAsia="en-GB"/>
        </w:rPr>
        <w:fldChar w:fldCharType="begin" w:fldLock="1"/>
      </w:r>
      <w:r w:rsidR="0047189B" w:rsidRPr="00601609">
        <w:rPr>
          <w:rFonts w:eastAsia="Times New Roman" w:cstheme="minorHAnsi"/>
          <w:lang w:eastAsia="en-GB"/>
        </w:rPr>
        <w:instrText>ADDIN CSL_CITATION { "citationItems" : [ { "id" : "ITEM-1", "itemData" : { "author" : [ { "dropping-particle" : "", "family" : "Department for Education", "given" : "", "non-dropping-particle" : "", "parse-names" : false, "suffix" : "" } ], "id" : "ITEM-1", "issued" : { "date-parts" : [ [ "2015" ] ] }, "publisher-place" : "London", "title" : "National standards of excellence for headteachers", "type" : "report" }, "uris" : [ "http://www.mendeley.com/documents/?uuid=2615a369-fc01-4e04-bd98-bb47d833567a" ] } ], "mendeley" : { "formattedCitation" : "(Department for Education, 2015b)", "plainTextFormattedCitation" : "(Department for Education, 2015b)", "previouslyFormattedCitation" : "(Department for Education, 2015b)" }, "properties" : { "noteIndex" : 0 }, "schema" : "https://github.com/citation-style-language/schema/raw/master/csl-citation.json" }</w:instrText>
      </w:r>
      <w:r w:rsidR="00EC718D" w:rsidRPr="00601609">
        <w:rPr>
          <w:rFonts w:eastAsia="Times New Roman" w:cstheme="minorHAnsi"/>
          <w:lang w:eastAsia="en-GB"/>
        </w:rPr>
        <w:fldChar w:fldCharType="separate"/>
      </w:r>
      <w:r w:rsidR="00516326" w:rsidRPr="00601609">
        <w:rPr>
          <w:rFonts w:eastAsia="Times New Roman" w:cstheme="minorHAnsi"/>
          <w:noProof/>
          <w:lang w:eastAsia="en-GB"/>
        </w:rPr>
        <w:t>(Department for Education, 2015b)</w:t>
      </w:r>
      <w:r w:rsidR="00EC718D" w:rsidRPr="00601609">
        <w:rPr>
          <w:rFonts w:eastAsia="Times New Roman" w:cstheme="minorHAnsi"/>
          <w:lang w:eastAsia="en-GB"/>
        </w:rPr>
        <w:fldChar w:fldCharType="end"/>
      </w:r>
      <w:r w:rsidR="00EC718D" w:rsidRPr="00601609">
        <w:rPr>
          <w:rFonts w:eastAsia="Times New Roman" w:cstheme="minorHAnsi"/>
          <w:lang w:eastAsia="en-GB"/>
        </w:rPr>
        <w:t xml:space="preserve">.  </w:t>
      </w:r>
      <w:r w:rsidRPr="00601609">
        <w:rPr>
          <w:rFonts w:eastAsia="Times New Roman" w:cstheme="minorHAnsi"/>
          <w:lang w:eastAsia="en-GB"/>
        </w:rPr>
        <w:t xml:space="preserve">In contrast, the governing body, led by the </w:t>
      </w:r>
      <w:r w:rsidR="00B4397E" w:rsidRPr="00601609">
        <w:rPr>
          <w:rFonts w:eastAsia="Times New Roman" w:cstheme="minorHAnsi"/>
          <w:lang w:eastAsia="en-GB"/>
        </w:rPr>
        <w:t>chair of g</w:t>
      </w:r>
      <w:r w:rsidRPr="00601609">
        <w:rPr>
          <w:rFonts w:eastAsia="Times New Roman" w:cstheme="minorHAnsi"/>
          <w:lang w:eastAsia="en-GB"/>
        </w:rPr>
        <w:t>overnors is the strategic decision-making hub of every school.  The governing body is expected to set the school’s strategic direction, oversee financial management and hold the headteacher to account on a school’s educational performance</w:t>
      </w:r>
      <w:r w:rsidR="00EC718D" w:rsidRPr="00601609">
        <w:rPr>
          <w:rFonts w:eastAsia="Times New Roman" w:cstheme="minorHAnsi"/>
          <w:lang w:eastAsia="en-GB"/>
        </w:rPr>
        <w:t xml:space="preserve"> </w:t>
      </w:r>
      <w:r w:rsidR="00EC718D" w:rsidRPr="00601609">
        <w:rPr>
          <w:rFonts w:eastAsia="Times New Roman" w:cstheme="minorHAnsi"/>
          <w:lang w:eastAsia="en-GB"/>
        </w:rPr>
        <w:fldChar w:fldCharType="begin" w:fldLock="1"/>
      </w:r>
      <w:r w:rsidR="00395650" w:rsidRPr="00601609">
        <w:rPr>
          <w:rFonts w:eastAsia="Times New Roman" w:cstheme="minorHAnsi"/>
          <w:lang w:eastAsia="en-GB"/>
        </w:rPr>
        <w:instrText>ADDIN CSL_CITATION { "citationItems" : [ { "id" : "ITEM-1", "itemData" : { "author" : [ { "dropping-particle" : "", "family" : "Department for Education", "given" : "", "non-dropping-particle" : "", "parse-names" : false, "suffix" : "" } ], "id" : "ITEM-1", "issued" : { "date-parts" : [ [ "2014" ] ] }, "publisher-place" : "London", "title" : "Governors\u2019 handbook", "type" : "report" }, "uris" : [ "http://www.mendeley.com/documents/?uuid=9c50c954-d2b5-48be-a1f6-84a0f7cf8985" ] } ], "mendeley" : { "formattedCitation" : "(Department for Education, 2014a)", "plainTextFormattedCitation" : "(Department for Education, 2014a)", "previouslyFormattedCitation" : "(Department for Education, 2014a)" }, "properties" : { "noteIndex" : 0 }, "schema" : "https://github.com/citation-style-language/schema/raw/master/csl-citation.json" }</w:instrText>
      </w:r>
      <w:r w:rsidR="00EC718D" w:rsidRPr="00601609">
        <w:rPr>
          <w:rFonts w:eastAsia="Times New Roman" w:cstheme="minorHAnsi"/>
          <w:lang w:eastAsia="en-GB"/>
        </w:rPr>
        <w:fldChar w:fldCharType="separate"/>
      </w:r>
      <w:r w:rsidR="0047189B" w:rsidRPr="00601609">
        <w:rPr>
          <w:rFonts w:eastAsia="Times New Roman" w:cstheme="minorHAnsi"/>
          <w:noProof/>
          <w:lang w:eastAsia="en-GB"/>
        </w:rPr>
        <w:t>(Department for Education, 2014a)</w:t>
      </w:r>
      <w:r w:rsidR="00EC718D" w:rsidRPr="00601609">
        <w:rPr>
          <w:rFonts w:eastAsia="Times New Roman" w:cstheme="minorHAnsi"/>
          <w:lang w:eastAsia="en-GB"/>
        </w:rPr>
        <w:fldChar w:fldCharType="end"/>
      </w:r>
      <w:r w:rsidR="00EC718D" w:rsidRPr="00601609">
        <w:rPr>
          <w:rFonts w:eastAsia="Times New Roman" w:cstheme="minorHAnsi"/>
          <w:lang w:eastAsia="en-GB"/>
        </w:rPr>
        <w:t>.</w:t>
      </w:r>
    </w:p>
    <w:p w:rsidR="00BA5176" w:rsidRPr="00601609" w:rsidRDefault="00BA5176" w:rsidP="00BA5176">
      <w:pPr>
        <w:rPr>
          <w:rFonts w:eastAsia="Times New Roman" w:cstheme="minorHAnsi"/>
          <w:sz w:val="24"/>
          <w:szCs w:val="24"/>
          <w:lang w:eastAsia="en-GB"/>
        </w:rPr>
      </w:pPr>
    </w:p>
    <w:p w:rsidR="00BA5176" w:rsidRPr="00601609" w:rsidRDefault="00BA5176" w:rsidP="00BA5176">
      <w:pPr>
        <w:rPr>
          <w:rFonts w:eastAsia="Times New Roman" w:cstheme="minorHAnsi"/>
          <w:lang w:eastAsia="en-GB"/>
        </w:rPr>
      </w:pPr>
      <w:r w:rsidRPr="00601609">
        <w:rPr>
          <w:rFonts w:eastAsia="Times New Roman" w:cstheme="minorHAnsi"/>
          <w:lang w:eastAsia="en-GB"/>
        </w:rPr>
        <w:lastRenderedPageBreak/>
        <w:t>Consequently, and as proposed by the National Institute of Health and Care Excellence</w:t>
      </w:r>
      <w:r w:rsidR="00EC718D" w:rsidRPr="00601609">
        <w:rPr>
          <w:rFonts w:eastAsia="Times New Roman" w:cstheme="minorHAnsi"/>
          <w:lang w:eastAsia="en-GB"/>
        </w:rPr>
        <w:t xml:space="preserve"> </w:t>
      </w:r>
      <w:r w:rsidR="00EC718D" w:rsidRPr="00601609">
        <w:rPr>
          <w:rFonts w:eastAsia="Times New Roman" w:cstheme="minorHAnsi"/>
          <w:lang w:eastAsia="en-GB"/>
        </w:rPr>
        <w:fldChar w:fldCharType="begin" w:fldLock="1"/>
      </w:r>
      <w:r w:rsidR="00395650" w:rsidRPr="00601609">
        <w:rPr>
          <w:rFonts w:eastAsia="Times New Roman" w:cstheme="minorHAnsi"/>
          <w:lang w:eastAsia="en-GB"/>
        </w:rPr>
        <w:instrText>ADDIN CSL_CITATION { "citationItems" : [ { "id" : "ITEM-1", "itemData" : { "author" : [ { "dropping-particle" : "", "family" : "National Institute of Health and Care Excellence", "given" : "", "non-dropping-particle" : "", "parse-names" : false, "suffix" : "" } ], "id" : "ITEM-1", "issued" : { "date-parts" : [ [ "2015" ] ] }, "publisher-place" : "London", "title" : "NICE Pathway - Preventing Obesity", "type" : "report" }, "uris" : [ "http://www.mendeley.com/documents/?uuid=b4b27288-9afd-4746-a8da-bc42a8085260" ] } ], "mendeley" : { "formattedCitation" : "(National Institute of Health and Care Excellence, 2015a)", "plainTextFormattedCitation" : "(National Institute of Health and Care Excellence, 2015a)", "previouslyFormattedCitation" : "(National Institute of Health and Care Excellence, 2015a)" }, "properties" : { "noteIndex" : 0 }, "schema" : "https://github.com/citation-style-language/schema/raw/master/csl-citation.json" }</w:instrText>
      </w:r>
      <w:r w:rsidR="00EC718D" w:rsidRPr="00601609">
        <w:rPr>
          <w:rFonts w:eastAsia="Times New Roman" w:cstheme="minorHAnsi"/>
          <w:lang w:eastAsia="en-GB"/>
        </w:rPr>
        <w:fldChar w:fldCharType="separate"/>
      </w:r>
      <w:r w:rsidR="00EC718D" w:rsidRPr="00601609">
        <w:rPr>
          <w:rFonts w:eastAsia="Times New Roman" w:cstheme="minorHAnsi"/>
          <w:noProof/>
          <w:lang w:eastAsia="en-GB"/>
        </w:rPr>
        <w:t>(National Institute of Health and Care Excellence, 2015a)</w:t>
      </w:r>
      <w:r w:rsidR="00EC718D" w:rsidRPr="00601609">
        <w:rPr>
          <w:rFonts w:eastAsia="Times New Roman" w:cstheme="minorHAnsi"/>
          <w:lang w:eastAsia="en-GB"/>
        </w:rPr>
        <w:fldChar w:fldCharType="end"/>
      </w:r>
      <w:r w:rsidR="00515C73">
        <w:rPr>
          <w:rFonts w:eastAsia="Times New Roman" w:cstheme="minorHAnsi"/>
          <w:lang w:eastAsia="en-GB"/>
        </w:rPr>
        <w:t xml:space="preserve">, </w:t>
      </w:r>
      <w:r w:rsidRPr="00601609">
        <w:rPr>
          <w:rFonts w:eastAsia="Times New Roman" w:cstheme="minorHAnsi"/>
          <w:lang w:eastAsia="en-GB"/>
        </w:rPr>
        <w:t xml:space="preserve">headteachers and </w:t>
      </w:r>
      <w:r w:rsidR="004D2FB9" w:rsidRPr="00601609">
        <w:rPr>
          <w:rFonts w:eastAsia="Times New Roman" w:cstheme="minorHAnsi"/>
          <w:lang w:eastAsia="en-GB"/>
        </w:rPr>
        <w:t>chairs of governors are</w:t>
      </w:r>
      <w:r w:rsidR="00515C73">
        <w:rPr>
          <w:rFonts w:eastAsia="Times New Roman" w:cstheme="minorHAnsi"/>
          <w:lang w:eastAsia="en-GB"/>
        </w:rPr>
        <w:t xml:space="preserve"> the</w:t>
      </w:r>
      <w:r w:rsidR="004D2FB9" w:rsidRPr="00601609">
        <w:rPr>
          <w:rFonts w:eastAsia="Times New Roman" w:cstheme="minorHAnsi"/>
          <w:lang w:eastAsia="en-GB"/>
        </w:rPr>
        <w:t xml:space="preserve"> key decision makers</w:t>
      </w:r>
      <w:r w:rsidR="00515C73">
        <w:rPr>
          <w:rFonts w:eastAsia="Times New Roman" w:cstheme="minorHAnsi"/>
          <w:lang w:eastAsia="en-GB"/>
        </w:rPr>
        <w:t xml:space="preserve"> in schools and are </w:t>
      </w:r>
      <w:r w:rsidRPr="00601609">
        <w:rPr>
          <w:rFonts w:eastAsia="Times New Roman" w:cstheme="minorHAnsi"/>
          <w:lang w:eastAsia="en-GB"/>
        </w:rPr>
        <w:t>deemed to be pivotal in influencing whether and how obesity prevention policies and interventions are implemented in their respective settings</w:t>
      </w:r>
      <w:r w:rsidR="00EC718D" w:rsidRPr="00601609">
        <w:rPr>
          <w:rFonts w:eastAsia="Times New Roman" w:cstheme="minorHAnsi"/>
          <w:lang w:eastAsia="en-GB"/>
        </w:rPr>
        <w:t xml:space="preserve"> </w:t>
      </w:r>
      <w:r w:rsidR="00EC718D" w:rsidRPr="00601609">
        <w:rPr>
          <w:rFonts w:eastAsia="Times New Roman" w:cstheme="minorHAnsi"/>
          <w:lang w:eastAsia="en-GB"/>
        </w:rPr>
        <w:fldChar w:fldCharType="begin" w:fldLock="1"/>
      </w:r>
      <w:r w:rsidR="00395650" w:rsidRPr="00601609">
        <w:rPr>
          <w:rFonts w:eastAsia="Times New Roman" w:cstheme="minorHAnsi"/>
          <w:lang w:eastAsia="en-GB"/>
        </w:rPr>
        <w:instrText>ADDIN CSL_CITATION { "citationItems" : [ { "id" : "ITEM-1", "itemData" : { "author" : [ { "dropping-particle" : "", "family" : "Dixey", "given" : "Rachael", "non-dropping-particle" : "", "parse-names" : false, "suffix" : "" }, { "dropping-particle" : "", "family" : "Wordley", "given" : "Janet", "non-dropping-particle" : "", "parse-names" : false, "suffix" : "" } ], "container-title" : "CfBT", "id" : "ITEM-1", "issued" : { "date-parts" : [ [ "2010" ] ] }, "title" : "Tackling childhood obesity within schools: A review of interventions", "type" : "report" }, "uris" : [ "http://www.mendeley.com/documents/?uuid=0c61ab0f-fe9c-48c0-bfd2-9f17bee1f527" ] }, { "id" : "ITEM-2", "itemData" : { "author" : [ { "dropping-particle" : "", "family" : "Department for Education", "given" : "", "non-dropping-particle" : "", "parse-names" : false, "suffix" : "" } ], "id" : "ITEM-2", "issued" : { "date-parts" : [ [ "2014" ] ] }, "publisher-place" : "London", "title" : "Governors\u2019 handbook", "type" : "report" }, "uris" : [ "http://www.mendeley.com/documents/?uuid=9c50c954-d2b5-48be-a1f6-84a0f7cf8985" ] }, { "id" : "ITEM-3", "itemData" : { "author" : [ { "dropping-particle" : "", "family" : "Department for Education", "given" : "", "non-dropping-particle" : "", "parse-names" : false, "suffix" : "" } ], "id" : "ITEM-3", "issued" : { "date-parts" : [ [ "2015" ] ] }, "publisher-place" : "London", "title" : "National standards of excellence for headteachers", "type" : "report" }, "uris" : [ "http://www.mendeley.com/documents/?uuid=2615a369-fc01-4e04-bd98-bb47d833567a" ] }, { "id" : "ITEM-4", "itemData" : { "author" : [ { "dropping-particle" : "", "family" : "National Institute of Health and Care Excellence", "given" : "", "non-dropping-particle" : "", "parse-names" : false, "suffix" : "" } ], "id" : "ITEM-4", "issued" : { "date-parts" : [ [ "2015" ] ] }, "publisher-place" : "London", "title" : "NICE Pathway - Preventing Obesity", "type" : "report" }, "uris" : [ "http://www.mendeley.com/documents/?uuid=b4b27288-9afd-4746-a8da-bc42a8085260" ] } ], "mendeley" : { "formattedCitation" : "(Dixey and Wordley, 2010; Department for Education, 2014a, 2015b; National Institute of Health and Care Excellence, 2015a)", "plainTextFormattedCitation" : "(Dixey and Wordley, 2010; Department for Education, 2014a, 2015b; National Institute of Health and Care Excellence, 2015a)", "previouslyFormattedCitation" : "(Dixey and Wordley, 2010; Department for Education, 2014a, 2015b; National Institute of Health and Care Excellence, 2015a)" }, "properties" : { "noteIndex" : 0 }, "schema" : "https://github.com/citation-style-language/schema/raw/master/csl-citation.json" }</w:instrText>
      </w:r>
      <w:r w:rsidR="00EC718D" w:rsidRPr="00601609">
        <w:rPr>
          <w:rFonts w:eastAsia="Times New Roman" w:cstheme="minorHAnsi"/>
          <w:lang w:eastAsia="en-GB"/>
        </w:rPr>
        <w:fldChar w:fldCharType="separate"/>
      </w:r>
      <w:r w:rsidR="0047189B" w:rsidRPr="00601609">
        <w:rPr>
          <w:rFonts w:eastAsia="Times New Roman" w:cstheme="minorHAnsi"/>
          <w:noProof/>
          <w:lang w:eastAsia="en-GB"/>
        </w:rPr>
        <w:t>(Dixey and Wordley, 2010; Department for Education, 2014a, 2015b; National Institute of Health and Care Excellence, 2015a)</w:t>
      </w:r>
      <w:r w:rsidR="00EC718D" w:rsidRPr="00601609">
        <w:rPr>
          <w:rFonts w:eastAsia="Times New Roman" w:cstheme="minorHAnsi"/>
          <w:lang w:eastAsia="en-GB"/>
        </w:rPr>
        <w:fldChar w:fldCharType="end"/>
      </w:r>
      <w:r w:rsidR="00B4397E" w:rsidRPr="00601609">
        <w:rPr>
          <w:rFonts w:eastAsia="Times New Roman" w:cstheme="minorHAnsi"/>
          <w:lang w:eastAsia="en-GB"/>
        </w:rPr>
        <w:t xml:space="preserve">.  </w:t>
      </w:r>
      <w:r w:rsidRPr="00601609">
        <w:rPr>
          <w:rFonts w:eastAsia="Times New Roman" w:cstheme="minorHAnsi"/>
          <w:lang w:eastAsia="en-GB"/>
        </w:rPr>
        <w:t>Whilst a small evidence base has explored the views of primary school head teachers regarding childhood obesity and its prevention in English primary school settings</w:t>
      </w:r>
      <w:r w:rsidR="00EC718D" w:rsidRPr="00601609">
        <w:rPr>
          <w:rFonts w:eastAsia="Times New Roman" w:cstheme="minorHAnsi"/>
          <w:lang w:eastAsia="en-GB"/>
        </w:rPr>
        <w:t xml:space="preserve"> </w:t>
      </w:r>
      <w:r w:rsidR="00522730" w:rsidRPr="00601609">
        <w:rPr>
          <w:rFonts w:eastAsia="Times New Roman" w:cstheme="minorHAnsi"/>
          <w:lang w:eastAsia="en-GB"/>
        </w:rPr>
        <w:fldChar w:fldCharType="begin" w:fldLock="1"/>
      </w:r>
      <w:r w:rsidR="00A84723" w:rsidRPr="00601609">
        <w:rPr>
          <w:rFonts w:eastAsia="Times New Roman" w:cstheme="minorHAnsi"/>
          <w:lang w:eastAsia="en-GB"/>
        </w:rPr>
        <w:instrText>ADDIN CSL_CITATION { "citationItems" : [ { "id" : "ITEM-1", "itemData" : { "author" : [ { "dropping-particle" : "", "family" : "Howard-Drake", "given" : "EJ", "non-dropping-particle" : "", "parse-names" : false, "suffix" : "" }, { "dropping-particle" : "", "family" : "Halliday", "given" : "V", "non-dropping-particle" : "", "parse-names" : false, "suffix" : "" } ], "container-title" : "Journal of Public Health", "id" : "ITEM-1", "issue" : "1", "issued" : { "date-parts" : [ [ "2015" ] ] }, "page" : "44-52", "title" : "Exploring primary school headteachers' perspectives on the barriers and facilitators of preventing childhood obesity", "type" : "article-journal", "volume" : "38" }, "uris" : [ "http://www.mendeley.com/documents/?uuid=5809992c-2717-4e23-9b1e-b80b2a030870" ] }, { "id" : "ITEM-2", "itemData" : { "DOI" : "10.1016/j.appet.2014.12.121", "ISSN" : "01956663", "author" : [ { "dropping-particle" : "", "family" : "Clarke", "given" : "J.", "non-dropping-particle" : "", "parse-names" : false, "suffix" : "" }, { "dropping-particle" : "", "family" : "Lancashire", "given" : "E.", "non-dropping-particle" : "", "parse-names" : false, "suffix" : "" }, { "dropping-particle" : "", "family" : "Pallan", "given" : "M.", "non-dropping-particle" : "", "parse-names" : false, "suffix" : "" }, { "dropping-particle" : "", "family" : "Adab", "given" : "P.", "non-dropping-particle" : "", "parse-names" : false, "suffix" : "" } ], "container-title" : "Appetite", "id" : "ITEM-2", "issued" : { "date-parts" : [ [ "2015", "4" ] ] }, "page" : "377", "title" : "Headteacher perspectives on the role of the primary school in preventing childhood obesity", "type" : "article-journal", "volume" : "87" }, "uris" : [ "http://www.mendeley.com/documents/?uuid=ac79f162-74f2-49d2-a629-f4abdfb486ea" ] } ], "mendeley" : { "formattedCitation" : "(Howard-Drake and Halliday, 2015; Clarke et al., 2015)", "plainTextFormattedCitation" : "(Howard-Drake and Halliday, 2015; Clarke et al., 2015)", "previouslyFormattedCitation" : "(Howard-Drake and Halliday, 2015; Clarke et al., 2015)" }, "properties" : { "noteIndex" : 0 }, "schema" : "https://github.com/citation-style-language/schema/raw/master/csl-citation.json" }</w:instrText>
      </w:r>
      <w:r w:rsidR="00522730" w:rsidRPr="00601609">
        <w:rPr>
          <w:rFonts w:eastAsia="Times New Roman" w:cstheme="minorHAnsi"/>
          <w:lang w:eastAsia="en-GB"/>
        </w:rPr>
        <w:fldChar w:fldCharType="separate"/>
      </w:r>
      <w:r w:rsidR="00395650" w:rsidRPr="00601609">
        <w:rPr>
          <w:rFonts w:eastAsia="Times New Roman" w:cstheme="minorHAnsi"/>
          <w:noProof/>
          <w:lang w:eastAsia="en-GB"/>
        </w:rPr>
        <w:t>(Howard-Drake and Halliday, 2015; Clarke et al., 2015)</w:t>
      </w:r>
      <w:r w:rsidR="00522730" w:rsidRPr="00601609">
        <w:rPr>
          <w:rFonts w:eastAsia="Times New Roman" w:cstheme="minorHAnsi"/>
          <w:lang w:eastAsia="en-GB"/>
        </w:rPr>
        <w:fldChar w:fldCharType="end"/>
      </w:r>
      <w:r w:rsidR="00515C73">
        <w:rPr>
          <w:rFonts w:eastAsia="Times New Roman" w:cstheme="minorHAnsi"/>
          <w:lang w:eastAsia="en-GB"/>
        </w:rPr>
        <w:t>,</w:t>
      </w:r>
      <w:r w:rsidRPr="00601609">
        <w:rPr>
          <w:rFonts w:eastAsia="Times New Roman" w:cstheme="minorHAnsi"/>
          <w:lang w:eastAsia="en-GB"/>
        </w:rPr>
        <w:t xml:space="preserve"> a significant gap in the literature exists related to headteachers at a secondary school level and governors overall. </w:t>
      </w:r>
    </w:p>
    <w:p w:rsidR="00601609" w:rsidRPr="00601609" w:rsidRDefault="00601609" w:rsidP="00BA5176">
      <w:pPr>
        <w:rPr>
          <w:rFonts w:eastAsia="Times New Roman" w:cstheme="minorHAnsi"/>
          <w:lang w:eastAsia="en-GB"/>
        </w:rPr>
      </w:pPr>
    </w:p>
    <w:p w:rsidR="00BA5176" w:rsidRPr="00601609" w:rsidRDefault="00BA5176" w:rsidP="00BA5176">
      <w:pPr>
        <w:rPr>
          <w:rFonts w:eastAsia="Times New Roman" w:cstheme="minorHAnsi"/>
          <w:sz w:val="24"/>
          <w:szCs w:val="24"/>
          <w:lang w:eastAsia="en-GB"/>
        </w:rPr>
      </w:pPr>
      <w:r w:rsidRPr="00601609">
        <w:rPr>
          <w:rFonts w:eastAsia="Times New Roman" w:cstheme="minorHAnsi"/>
          <w:lang w:eastAsia="en-GB"/>
        </w:rPr>
        <w:t xml:space="preserve">Secondary schools provide education for adolescents aged </w:t>
      </w:r>
      <w:r w:rsidR="00846B21" w:rsidRPr="00601609">
        <w:rPr>
          <w:rFonts w:eastAsia="Times New Roman" w:cstheme="minorHAnsi"/>
          <w:lang w:eastAsia="en-GB"/>
        </w:rPr>
        <w:t>11 to 16 years</w:t>
      </w:r>
      <w:r w:rsidR="00515C73">
        <w:rPr>
          <w:rFonts w:eastAsia="Times New Roman" w:cstheme="minorHAnsi"/>
          <w:lang w:eastAsia="en-GB"/>
        </w:rPr>
        <w:t>,</w:t>
      </w:r>
      <w:r w:rsidRPr="00601609">
        <w:rPr>
          <w:rFonts w:eastAsia="Times New Roman" w:cstheme="minorHAnsi"/>
          <w:lang w:eastAsia="en-GB"/>
        </w:rPr>
        <w:t xml:space="preserve"> and this period of age still provides critical windows of opportunity to influence physical activity and dietary behaviour</w:t>
      </w:r>
      <w:r w:rsidR="00522730" w:rsidRPr="00601609">
        <w:rPr>
          <w:rFonts w:eastAsia="Times New Roman" w:cstheme="minorHAnsi"/>
          <w:lang w:eastAsia="en-GB"/>
        </w:rPr>
        <w:t xml:space="preserve"> </w:t>
      </w:r>
      <w:r w:rsidR="00522730" w:rsidRPr="00601609">
        <w:rPr>
          <w:rFonts w:eastAsia="Times New Roman" w:cstheme="minorHAnsi"/>
          <w:lang w:eastAsia="en-GB"/>
        </w:rPr>
        <w:fldChar w:fldCharType="begin" w:fldLock="1"/>
      </w:r>
      <w:r w:rsidR="0047189B" w:rsidRPr="00601609">
        <w:rPr>
          <w:rFonts w:eastAsia="Times New Roman" w:cstheme="minorHAnsi"/>
          <w:lang w:eastAsia="en-GB"/>
        </w:rPr>
        <w:instrText>ADDIN CSL_CITATION { "citationItems" : [ { "id" : "ITEM-1", "itemData" : { "author" : [ { "dropping-particle" : "", "family" : "Crone", "given" : "EA", "non-dropping-particle" : "", "parse-names" : false, "suffix" : "" }, { "dropping-particle" : "", "family" : "Dahl", "given" : "RE", "non-dropping-particle" : "", "parse-names" : false, "suffix" : "" } ], "container-title" : "Nature Reviews Neuroscience", "id" : "ITEM-1", "issue" : "9", "issued" : { "date-parts" : [ [ "2012" ] ] }, "page" : "636-50", "title" : "Understanding adolescence as a period of social\u2013affective engagement and goal flexibility", "type" : "article-journal", "volume" : "13" }, "uris" : [ "http://www.mendeley.com/documents/?uuid=ff3e7fb9-06b6-417f-976a-af5ff659fa27" ] } ], "mendeley" : { "formattedCitation" : "(Crone and Dahl, 2012)", "plainTextFormattedCitation" : "(Crone and Dahl, 2012)", "previouslyFormattedCitation" : "(Crone and Dahl, 2012)" }, "properties" : { "noteIndex" : 0 }, "schema" : "https://github.com/citation-style-language/schema/raw/master/csl-citation.json" }</w:instrText>
      </w:r>
      <w:r w:rsidR="00522730" w:rsidRPr="00601609">
        <w:rPr>
          <w:rFonts w:eastAsia="Times New Roman" w:cstheme="minorHAnsi"/>
          <w:lang w:eastAsia="en-GB"/>
        </w:rPr>
        <w:fldChar w:fldCharType="separate"/>
      </w:r>
      <w:r w:rsidR="00522730" w:rsidRPr="00601609">
        <w:rPr>
          <w:rFonts w:eastAsia="Times New Roman" w:cstheme="minorHAnsi"/>
          <w:noProof/>
          <w:lang w:eastAsia="en-GB"/>
        </w:rPr>
        <w:t>(Crone and Dahl, 2012)</w:t>
      </w:r>
      <w:r w:rsidR="00522730" w:rsidRPr="00601609">
        <w:rPr>
          <w:rFonts w:eastAsia="Times New Roman" w:cstheme="minorHAnsi"/>
          <w:lang w:eastAsia="en-GB"/>
        </w:rPr>
        <w:fldChar w:fldCharType="end"/>
      </w:r>
      <w:r w:rsidR="00522730" w:rsidRPr="00601609">
        <w:rPr>
          <w:rFonts w:eastAsia="Times New Roman" w:cstheme="minorHAnsi"/>
          <w:lang w:eastAsia="en-GB"/>
        </w:rPr>
        <w:t xml:space="preserve">.  </w:t>
      </w:r>
      <w:r w:rsidRPr="00601609">
        <w:rPr>
          <w:rFonts w:eastAsia="Times New Roman" w:cstheme="minorHAnsi"/>
          <w:lang w:eastAsia="en-GB"/>
        </w:rPr>
        <w:t>Evidence indicates that the proportion of adolescents who are obese generally increases as age increases</w:t>
      </w:r>
      <w:r w:rsidR="00522730" w:rsidRPr="00601609">
        <w:rPr>
          <w:rFonts w:eastAsia="Times New Roman" w:cstheme="minorHAnsi"/>
          <w:lang w:eastAsia="en-GB"/>
        </w:rPr>
        <w:t xml:space="preserve"> </w:t>
      </w:r>
      <w:r w:rsidR="00522730" w:rsidRPr="00601609">
        <w:rPr>
          <w:rFonts w:eastAsia="Times New Roman" w:cstheme="minorHAnsi"/>
          <w:lang w:eastAsia="en-GB"/>
        </w:rPr>
        <w:fldChar w:fldCharType="begin" w:fldLock="1"/>
      </w:r>
      <w:r w:rsidR="00395650" w:rsidRPr="00601609">
        <w:rPr>
          <w:rFonts w:eastAsia="Times New Roman" w:cstheme="minorHAnsi"/>
          <w:lang w:eastAsia="en-GB"/>
        </w:rPr>
        <w:instrText>ADDIN CSL_CITATION { "citationItems" : [ { "id" : "ITEM-1", "itemData" : { "author" : [ { "dropping-particle" : "", "family" : "NHS Digital", "given" : "", "non-dropping-particle" : "", "parse-names" : false, "suffix" : "" } ], "id" : "ITEM-1", "issued" : { "date-parts" : [ [ "2016" ] ] }, "publisher-place" : "London", "title" : "Health Survey for England 2015 - Children\u2019s body mass index, overweight and obesity", "type" : "report" }, "uris" : [ "http://www.mendeley.com/documents/?uuid=5a7638ee-a87e-4bc0-a4b3-e4740e162d11" ] } ], "mendeley" : { "formattedCitation" : "(NHS Digital, 2016a)", "plainTextFormattedCitation" : "(NHS Digital, 2016a)", "previouslyFormattedCitation" : "(NHS Digital, 2016a)" }, "properties" : { "noteIndex" : 0 }, "schema" : "https://github.com/citation-style-language/schema/raw/master/csl-citation.json" }</w:instrText>
      </w:r>
      <w:r w:rsidR="00522730" w:rsidRPr="00601609">
        <w:rPr>
          <w:rFonts w:eastAsia="Times New Roman" w:cstheme="minorHAnsi"/>
          <w:lang w:eastAsia="en-GB"/>
        </w:rPr>
        <w:fldChar w:fldCharType="separate"/>
      </w:r>
      <w:r w:rsidR="00522730" w:rsidRPr="00601609">
        <w:rPr>
          <w:rFonts w:eastAsia="Times New Roman" w:cstheme="minorHAnsi"/>
          <w:noProof/>
          <w:lang w:eastAsia="en-GB"/>
        </w:rPr>
        <w:t>(NHS Digital, 2016a)</w:t>
      </w:r>
      <w:r w:rsidR="00522730" w:rsidRPr="00601609">
        <w:rPr>
          <w:rFonts w:eastAsia="Times New Roman" w:cstheme="minorHAnsi"/>
          <w:lang w:eastAsia="en-GB"/>
        </w:rPr>
        <w:fldChar w:fldCharType="end"/>
      </w:r>
      <w:r w:rsidR="00515C73">
        <w:rPr>
          <w:rFonts w:eastAsia="Times New Roman" w:cstheme="minorHAnsi"/>
          <w:lang w:eastAsia="en-GB"/>
        </w:rPr>
        <w:t>, c</w:t>
      </w:r>
      <w:r w:rsidRPr="00601609">
        <w:rPr>
          <w:rFonts w:eastAsia="Times New Roman" w:cstheme="minorHAnsi"/>
          <w:lang w:eastAsia="en-GB"/>
        </w:rPr>
        <w:t>onfirming the crucial importance of maintaining an obesity prevention focus througho</w:t>
      </w:r>
      <w:r w:rsidR="00522730" w:rsidRPr="00601609">
        <w:rPr>
          <w:rFonts w:eastAsia="Times New Roman" w:cstheme="minorHAnsi"/>
          <w:lang w:eastAsia="en-GB"/>
        </w:rPr>
        <w:t xml:space="preserve">ut the secondary school period </w:t>
      </w:r>
      <w:r w:rsidR="00522730" w:rsidRPr="00601609">
        <w:rPr>
          <w:rFonts w:eastAsia="Times New Roman" w:cstheme="minorHAnsi"/>
          <w:lang w:eastAsia="en-GB"/>
        </w:rPr>
        <w:fldChar w:fldCharType="begin" w:fldLock="1"/>
      </w:r>
      <w:r w:rsidR="00522730" w:rsidRPr="00601609">
        <w:rPr>
          <w:rFonts w:eastAsia="Times New Roman" w:cstheme="minorHAnsi"/>
          <w:lang w:eastAsia="en-GB"/>
        </w:rPr>
        <w:instrText>ADDIN CSL_CITATION { "citationItems" : [ { "id" : "ITEM-1", "itemData" : { "DOI" : "10.1016/j.jadohealth.2010.06.019", "ISSN" : "1879-1972", "PMID" : "21338899", "abstract" : "OBJECTIVES: To assess changes in overweight and obesity between adolescence and young adulthood.\n\nDESIGN: Prospective 8-wave cohort study in Victoria, Australia, with 1,520 adolescents tracked from the age of 14 for a period of 10 years.\n\nMAIN OUTCOME MEASURES: Participants aged &lt;18 years were classified as non-overweight, overweight, or obese according to International Obesity Taskforce cutoff points. In those aged &gt;18 years overweight was defined as a body mass index (BMI) \u2265 25; and obesity as a BMI \u2265 30.\n\nRESULTS: The proportion of overweight individuals increased from 20% in mid-adolescence to 33% at the age of 24 years. Obesity increased from 3.6% to 6.7%. Approximately 40% of young adults with a BMI \u2265 25 had been persistently at normal weights during adolescence and approximately 80% had been at a normal weight at some point. Around half of obese young adults had never been classified as obese as adolescents. No individual with persistent obesity in adolescence had a BMI &lt;25 at 24 years. A total of 31% of females and 59% of males who had been overweight for only one or two waves of adolescent data collection had a BMI \u2265 25 at 24 years.\n\nCONCLUSIONS: Substantial shifts in overweight and obesity occur between adolescence and young adulthood; the extent of continuity depends on both the severity and persistence of adiposity in adolescence. Few adolescents who peak into obesity or are persistently overweight achieve a normal weight in young adulthood. Resolution is more common in those who are less persistently overweight as teenagers, suggesting scope for lifestyle interventions in this subgroup.", "author" : [ { "dropping-particle" : "", "family" : "Patton", "given" : "George C", "non-dropping-particle" : "", "parse-names" : false, "suffix" : "" }, { "dropping-particle" : "", "family" : "Coffey", "given" : "Carolyn", "non-dropping-particle" : "", "parse-names" : false, "suffix" : "" }, { "dropping-particle" : "", "family" : "Carlin", "given" : "John B", "non-dropping-particle" : "", "parse-names" : false, "suffix" : "" }, { "dropping-particle" : "", "family" : "Sawyer", "given" : "Susan M", "non-dropping-particle" : "", "parse-names" : false, "suffix" : "" }, { "dropping-particle" : "", "family" : "Williams", "given" : "Joanne", "non-dropping-particle" : "", "parse-names" : false, "suffix" : "" }, { "dropping-particle" : "", "family" : "Olsson", "given" : "Craig A", "non-dropping-particle" : "", "parse-names" : false, "suffix" : "" }, { "dropping-particle" : "", "family" : "Wake", "given" : "Melissa", "non-dropping-particle" : "", "parse-names" : false, "suffix" : "" } ], "container-title" : "The Journal of adolescent health : official publication of the Society for Adolescent Medicine", "id" : "ITEM-1", "issue" : "3", "issued" : { "date-parts" : [ [ "2011", "3", "3" ] ] }, "language" : "English", "page" : "275-80", "publisher" : "Elsevier", "title" : "Overweight and obesity between adolescence and young adulthood: a 10-year prospective cohort study.", "type" : "article-journal", "volume" : "48" }, "uris" : [ "http://www.mendeley.com/documents/?uuid=d52337f9-1bc5-4f91-8711-fbb6ee9a9373" ] } ], "mendeley" : { "formattedCitation" : "(Patton et al., 2011)", "plainTextFormattedCitation" : "(Patton et al., 2011)", "previouslyFormattedCitation" : "(Patton et al., 2011)" }, "properties" : { "noteIndex" : 0 }, "schema" : "https://github.com/citation-style-language/schema/raw/master/csl-citation.json" }</w:instrText>
      </w:r>
      <w:r w:rsidR="00522730" w:rsidRPr="00601609">
        <w:rPr>
          <w:rFonts w:eastAsia="Times New Roman" w:cstheme="minorHAnsi"/>
          <w:lang w:eastAsia="en-GB"/>
        </w:rPr>
        <w:fldChar w:fldCharType="separate"/>
      </w:r>
      <w:r w:rsidR="00522730" w:rsidRPr="00601609">
        <w:rPr>
          <w:rFonts w:eastAsia="Times New Roman" w:cstheme="minorHAnsi"/>
          <w:noProof/>
          <w:lang w:eastAsia="en-GB"/>
        </w:rPr>
        <w:t>(Patton et al., 2011)</w:t>
      </w:r>
      <w:r w:rsidR="00522730" w:rsidRPr="00601609">
        <w:rPr>
          <w:rFonts w:eastAsia="Times New Roman" w:cstheme="minorHAnsi"/>
          <w:lang w:eastAsia="en-GB"/>
        </w:rPr>
        <w:fldChar w:fldCharType="end"/>
      </w:r>
      <w:r w:rsidR="00522730" w:rsidRPr="00601609">
        <w:rPr>
          <w:rFonts w:eastAsia="Times New Roman" w:cstheme="minorHAnsi"/>
          <w:lang w:eastAsia="en-GB"/>
        </w:rPr>
        <w:t xml:space="preserve">.  </w:t>
      </w:r>
      <w:r w:rsidRPr="00601609">
        <w:rPr>
          <w:rFonts w:eastAsia="Times New Roman" w:cstheme="minorHAnsi"/>
          <w:lang w:eastAsia="en-GB"/>
        </w:rPr>
        <w:t>Consequently, secondary schools have been proposed as the last chance to meaningfully influence the health behaviours of the majority of adolescents across the demographic spectrum</w:t>
      </w:r>
      <w:r w:rsidR="00522730" w:rsidRPr="00601609">
        <w:rPr>
          <w:rFonts w:eastAsia="Times New Roman" w:cstheme="minorHAnsi"/>
          <w:lang w:eastAsia="en-GB"/>
        </w:rPr>
        <w:t xml:space="preserve"> </w:t>
      </w:r>
      <w:r w:rsidR="00522730" w:rsidRPr="00601609">
        <w:rPr>
          <w:rFonts w:eastAsia="Times New Roman" w:cstheme="minorHAnsi"/>
          <w:lang w:eastAsia="en-GB"/>
        </w:rPr>
        <w:fldChar w:fldCharType="begin" w:fldLock="1"/>
      </w:r>
      <w:r w:rsidR="00395650" w:rsidRPr="00601609">
        <w:rPr>
          <w:rFonts w:eastAsia="Times New Roman" w:cstheme="minorHAnsi"/>
          <w:lang w:eastAsia="en-GB"/>
        </w:rPr>
        <w:instrText>ADDIN CSL_CITATION { "citationItems" : [ { "id" : "ITEM-1", "itemData" : { "author" : [ { "dropping-particle" : "", "family" : "Hagell", "given" : "A", "non-dropping-particle" : "", "parse-names" : false, "suffix" : "" }, { "dropping-particle" : "", "family" : "Rigby", "given" : "E", "non-dropping-particle" : "", "parse-names" : false, "suffix" : "" }, { "dropping-particle" : "", "family" : "Perrow", "given" : "F", "non-dropping-particle" : "", "parse-names" : false, "suffix" : "" } ], "container-title" : "British Journal of School \u2026", "id" : "ITEM-1", "issue" : "2", "issued" : { "date-parts" : [ [ "2015" ] ] }, "page" : "82-87", "title" : "Promoting health literacy in secondary schools: A review", "type" : "article-journal", "volume" : "10" }, "uris" : [ "http://www.mendeley.com/documents/?uuid=851306bb-02a9-43d7-835d-f758ee6265eb" ] } ], "mendeley" : { "formattedCitation" : "(Hagell et al., 2015)", "plainTextFormattedCitation" : "(Hagell et al., 2015)", "previouslyFormattedCitation" : "(Hagell et al., 2015)" }, "properties" : { "noteIndex" : 0 }, "schema" : "https://github.com/citation-style-language/schema/raw/master/csl-citation.json" }</w:instrText>
      </w:r>
      <w:r w:rsidR="00522730" w:rsidRPr="00601609">
        <w:rPr>
          <w:rFonts w:eastAsia="Times New Roman" w:cstheme="minorHAnsi"/>
          <w:lang w:eastAsia="en-GB"/>
        </w:rPr>
        <w:fldChar w:fldCharType="separate"/>
      </w:r>
      <w:r w:rsidR="00522730" w:rsidRPr="00601609">
        <w:rPr>
          <w:rFonts w:eastAsia="Times New Roman" w:cstheme="minorHAnsi"/>
          <w:noProof/>
          <w:lang w:eastAsia="en-GB"/>
        </w:rPr>
        <w:t>(Hagell et al., 2015)</w:t>
      </w:r>
      <w:r w:rsidR="00522730" w:rsidRPr="00601609">
        <w:rPr>
          <w:rFonts w:eastAsia="Times New Roman" w:cstheme="minorHAnsi"/>
          <w:lang w:eastAsia="en-GB"/>
        </w:rPr>
        <w:fldChar w:fldCharType="end"/>
      </w:r>
      <w:r w:rsidR="00522730" w:rsidRPr="00601609">
        <w:rPr>
          <w:rFonts w:eastAsia="Times New Roman" w:cstheme="minorHAnsi"/>
          <w:lang w:eastAsia="en-GB"/>
        </w:rPr>
        <w:t>.</w:t>
      </w:r>
    </w:p>
    <w:p w:rsidR="00BA5176" w:rsidRPr="00601609" w:rsidRDefault="00BA5176" w:rsidP="00BA5176">
      <w:pPr>
        <w:rPr>
          <w:rFonts w:eastAsia="Times New Roman" w:cstheme="minorHAnsi"/>
          <w:sz w:val="24"/>
          <w:szCs w:val="24"/>
          <w:lang w:eastAsia="en-GB"/>
        </w:rPr>
      </w:pPr>
    </w:p>
    <w:p w:rsidR="00B06FA6" w:rsidRPr="00601609" w:rsidRDefault="00BA5176" w:rsidP="00BA5176">
      <w:pPr>
        <w:rPr>
          <w:rFonts w:eastAsia="Times New Roman" w:cstheme="minorHAnsi"/>
          <w:lang w:eastAsia="en-GB"/>
        </w:rPr>
      </w:pPr>
      <w:r w:rsidRPr="00601609">
        <w:rPr>
          <w:rFonts w:eastAsia="Times New Roman" w:cstheme="minorHAnsi"/>
          <w:lang w:eastAsia="en-GB"/>
        </w:rPr>
        <w:t xml:space="preserve">Despite this, </w:t>
      </w:r>
      <w:r w:rsidR="0047189B" w:rsidRPr="00601609">
        <w:rPr>
          <w:rFonts w:eastAsia="Times New Roman" w:cstheme="minorHAnsi"/>
          <w:lang w:eastAsia="en-GB"/>
        </w:rPr>
        <w:t>it is still not known from the</w:t>
      </w:r>
      <w:r w:rsidRPr="00601609">
        <w:rPr>
          <w:rFonts w:eastAsia="Times New Roman" w:cstheme="minorHAnsi"/>
          <w:lang w:eastAsia="en-GB"/>
        </w:rPr>
        <w:t xml:space="preserve"> current published literature what the perspectives are of the two crucia</w:t>
      </w:r>
      <w:r w:rsidR="0047189B" w:rsidRPr="00601609">
        <w:rPr>
          <w:rFonts w:eastAsia="Times New Roman" w:cstheme="minorHAnsi"/>
          <w:lang w:eastAsia="en-GB"/>
        </w:rPr>
        <w:t xml:space="preserve">l secondary school stakeholders - </w:t>
      </w:r>
      <w:r w:rsidRPr="00601609">
        <w:rPr>
          <w:rFonts w:eastAsia="Times New Roman" w:cstheme="minorHAnsi"/>
          <w:lang w:eastAsia="en-GB"/>
        </w:rPr>
        <w:t>headte</w:t>
      </w:r>
      <w:r w:rsidR="0047189B" w:rsidRPr="00601609">
        <w:rPr>
          <w:rFonts w:eastAsia="Times New Roman" w:cstheme="minorHAnsi"/>
          <w:lang w:eastAsia="en-GB"/>
        </w:rPr>
        <w:t xml:space="preserve">achers and chairs of governors - </w:t>
      </w:r>
      <w:r w:rsidRPr="00601609">
        <w:rPr>
          <w:rFonts w:eastAsia="Times New Roman" w:cstheme="minorHAnsi"/>
          <w:lang w:eastAsia="en-GB"/>
        </w:rPr>
        <w:t xml:space="preserve">who are explicitly referenced as being responsible for delivering school based obesity prevention </w:t>
      </w:r>
      <w:r w:rsidR="00522730" w:rsidRPr="00601609">
        <w:rPr>
          <w:rFonts w:eastAsia="Times New Roman" w:cstheme="minorHAnsi"/>
          <w:lang w:eastAsia="en-GB"/>
        </w:rPr>
        <w:fldChar w:fldCharType="begin" w:fldLock="1"/>
      </w:r>
      <w:r w:rsidR="00395650" w:rsidRPr="00601609">
        <w:rPr>
          <w:rFonts w:eastAsia="Times New Roman" w:cstheme="minorHAnsi"/>
          <w:lang w:eastAsia="en-GB"/>
        </w:rPr>
        <w:instrText>ADDIN CSL_CITATION { "citationItems" : [ { "id" : "ITEM-1", "itemData" : { "author" : [ { "dropping-particle" : "", "family" : "National Institute of Health and Care Excellence", "given" : "", "non-dropping-particle" : "", "parse-names" : false, "suffix" : "" } ], "id" : "ITEM-1", "issued" : { "date-parts" : [ [ "2015" ] ] }, "publisher-place" : "London", "title" : "NICE Pathway - Preventing Obesity", "type" : "report" }, "uris" : [ "http://www.mendeley.com/documents/?uuid=b4b27288-9afd-4746-a8da-bc42a8085260" ] } ], "mendeley" : { "formattedCitation" : "(National Institute of Health and Care Excellence, 2015a)", "plainTextFormattedCitation" : "(National Institute of Health and Care Excellence, 2015a)", "previouslyFormattedCitation" : "(National Institute of Health and Care Excellence, 2015a)" }, "properties" : { "noteIndex" : 0 }, "schema" : "https://github.com/citation-style-language/schema/raw/master/csl-citation.json" }</w:instrText>
      </w:r>
      <w:r w:rsidR="00522730" w:rsidRPr="00601609">
        <w:rPr>
          <w:rFonts w:eastAsia="Times New Roman" w:cstheme="minorHAnsi"/>
          <w:lang w:eastAsia="en-GB"/>
        </w:rPr>
        <w:fldChar w:fldCharType="separate"/>
      </w:r>
      <w:r w:rsidR="00522730" w:rsidRPr="00601609">
        <w:rPr>
          <w:rFonts w:eastAsia="Times New Roman" w:cstheme="minorHAnsi"/>
          <w:noProof/>
          <w:lang w:eastAsia="en-GB"/>
        </w:rPr>
        <w:t>(National Institute of Health and Care Excellence, 2015a)</w:t>
      </w:r>
      <w:r w:rsidR="00522730" w:rsidRPr="00601609">
        <w:rPr>
          <w:rFonts w:eastAsia="Times New Roman" w:cstheme="minorHAnsi"/>
          <w:lang w:eastAsia="en-GB"/>
        </w:rPr>
        <w:fldChar w:fldCharType="end"/>
      </w:r>
      <w:r w:rsidR="00522730" w:rsidRPr="00601609">
        <w:rPr>
          <w:rFonts w:eastAsia="Times New Roman" w:cstheme="minorHAnsi"/>
          <w:lang w:eastAsia="en-GB"/>
        </w:rPr>
        <w:t xml:space="preserve">.  </w:t>
      </w:r>
    </w:p>
    <w:p w:rsidR="00B06FA6" w:rsidRPr="00601609" w:rsidRDefault="00B06FA6" w:rsidP="00BA5176">
      <w:pPr>
        <w:rPr>
          <w:rFonts w:eastAsia="Times New Roman" w:cstheme="minorHAnsi"/>
          <w:lang w:eastAsia="en-GB"/>
        </w:rPr>
      </w:pPr>
    </w:p>
    <w:p w:rsidR="00BA5176" w:rsidRPr="00601609" w:rsidRDefault="00522730" w:rsidP="00BA5176">
      <w:pPr>
        <w:rPr>
          <w:rFonts w:eastAsia="Times New Roman" w:cstheme="minorHAnsi"/>
          <w:lang w:eastAsia="en-GB"/>
        </w:rPr>
      </w:pPr>
      <w:r w:rsidRPr="00601609">
        <w:rPr>
          <w:rFonts w:eastAsia="Times New Roman" w:cstheme="minorHAnsi"/>
          <w:lang w:eastAsia="en-GB"/>
        </w:rPr>
        <w:t xml:space="preserve">The </w:t>
      </w:r>
      <w:r w:rsidR="00BA5176" w:rsidRPr="00601609">
        <w:rPr>
          <w:rFonts w:eastAsia="Times New Roman" w:cstheme="minorHAnsi"/>
          <w:lang w:eastAsia="en-GB"/>
        </w:rPr>
        <w:t>rationale therefore underpinning this research w</w:t>
      </w:r>
      <w:r w:rsidR="00B4397E" w:rsidRPr="00601609">
        <w:rPr>
          <w:rFonts w:eastAsia="Times New Roman" w:cstheme="minorHAnsi"/>
          <w:lang w:eastAsia="en-GB"/>
        </w:rPr>
        <w:t>as that</w:t>
      </w:r>
      <w:r w:rsidR="00BA5176" w:rsidRPr="00601609">
        <w:rPr>
          <w:rFonts w:eastAsia="Times New Roman" w:cstheme="minorHAnsi"/>
          <w:lang w:eastAsia="en-GB"/>
        </w:rPr>
        <w:t xml:space="preserve"> secondary school headteachers and chairs of governors have the overall decision making power regarding whether and how their setting engages with obesity related publ</w:t>
      </w:r>
      <w:r w:rsidR="00846B21" w:rsidRPr="00601609">
        <w:rPr>
          <w:rFonts w:eastAsia="Times New Roman" w:cstheme="minorHAnsi"/>
          <w:lang w:eastAsia="en-GB"/>
        </w:rPr>
        <w:t>i</w:t>
      </w:r>
      <w:r w:rsidR="00654610" w:rsidRPr="00601609">
        <w:rPr>
          <w:rFonts w:eastAsia="Times New Roman" w:cstheme="minorHAnsi"/>
          <w:lang w:eastAsia="en-GB"/>
        </w:rPr>
        <w:t>c health policy and practice.  Consequently their</w:t>
      </w:r>
      <w:r w:rsidR="00BA5176" w:rsidRPr="00601609">
        <w:rPr>
          <w:rFonts w:eastAsia="Times New Roman" w:cstheme="minorHAnsi"/>
          <w:lang w:eastAsia="en-GB"/>
        </w:rPr>
        <w:t xml:space="preserve"> perspectives </w:t>
      </w:r>
      <w:r w:rsidR="00654610" w:rsidRPr="00601609">
        <w:rPr>
          <w:rFonts w:eastAsia="Times New Roman" w:cstheme="minorHAnsi"/>
          <w:lang w:eastAsia="en-GB"/>
        </w:rPr>
        <w:t>on the public health</w:t>
      </w:r>
      <w:r w:rsidR="00BA5176" w:rsidRPr="00601609">
        <w:rPr>
          <w:rFonts w:eastAsia="Times New Roman" w:cstheme="minorHAnsi"/>
          <w:lang w:eastAsia="en-GB"/>
        </w:rPr>
        <w:t xml:space="preserve"> issue of adolescent obesity </w:t>
      </w:r>
      <w:r w:rsidR="00654610" w:rsidRPr="00601609">
        <w:rPr>
          <w:rFonts w:eastAsia="Times New Roman" w:cstheme="minorHAnsi"/>
          <w:lang w:eastAsia="en-GB"/>
        </w:rPr>
        <w:t xml:space="preserve">and its prevention </w:t>
      </w:r>
      <w:r w:rsidR="00BA5176" w:rsidRPr="00601609">
        <w:rPr>
          <w:rFonts w:eastAsia="Times New Roman" w:cstheme="minorHAnsi"/>
          <w:lang w:eastAsia="en-GB"/>
        </w:rPr>
        <w:t>require</w:t>
      </w:r>
      <w:r w:rsidR="00654610" w:rsidRPr="00601609">
        <w:rPr>
          <w:rFonts w:eastAsia="Times New Roman" w:cstheme="minorHAnsi"/>
          <w:lang w:eastAsia="en-GB"/>
        </w:rPr>
        <w:t>d</w:t>
      </w:r>
      <w:r w:rsidR="00BA5176" w:rsidRPr="00601609">
        <w:rPr>
          <w:rFonts w:eastAsia="Times New Roman" w:cstheme="minorHAnsi"/>
          <w:lang w:eastAsia="en-GB"/>
        </w:rPr>
        <w:t xml:space="preserve"> exploring and understanding.  </w:t>
      </w:r>
    </w:p>
    <w:p w:rsidR="00846B21" w:rsidRPr="00601609" w:rsidRDefault="00846B21" w:rsidP="00BA5176">
      <w:pPr>
        <w:rPr>
          <w:rFonts w:eastAsia="Times New Roman" w:cstheme="minorHAnsi"/>
          <w:lang w:eastAsia="en-GB"/>
        </w:rPr>
      </w:pPr>
    </w:p>
    <w:p w:rsidR="00846B21" w:rsidRPr="00601609" w:rsidRDefault="00846B21" w:rsidP="00BA5176">
      <w:pPr>
        <w:rPr>
          <w:rFonts w:eastAsia="Times New Roman" w:cstheme="minorHAnsi"/>
          <w:lang w:eastAsia="en-GB"/>
        </w:rPr>
      </w:pPr>
      <w:r w:rsidRPr="00601609">
        <w:rPr>
          <w:rFonts w:eastAsia="Times New Roman" w:cstheme="minorHAnsi"/>
          <w:lang w:eastAsia="en-GB"/>
        </w:rPr>
        <w:t>In order to gui</w:t>
      </w:r>
      <w:r w:rsidR="00C27A50">
        <w:rPr>
          <w:rFonts w:eastAsia="Times New Roman" w:cstheme="minorHAnsi"/>
          <w:lang w:eastAsia="en-GB"/>
        </w:rPr>
        <w:t>de this explora</w:t>
      </w:r>
      <w:r w:rsidR="00515C73">
        <w:rPr>
          <w:rFonts w:eastAsia="Times New Roman" w:cstheme="minorHAnsi"/>
          <w:lang w:eastAsia="en-GB"/>
        </w:rPr>
        <w:t>tion and as presented in page ix</w:t>
      </w:r>
      <w:r w:rsidR="00D96A8A">
        <w:rPr>
          <w:rFonts w:eastAsia="Times New Roman" w:cstheme="minorHAnsi"/>
          <w:lang w:eastAsia="en-GB"/>
        </w:rPr>
        <w:t xml:space="preserve"> (framework of the PhD)</w:t>
      </w:r>
      <w:r w:rsidR="00C27A50">
        <w:rPr>
          <w:rFonts w:eastAsia="Times New Roman" w:cstheme="minorHAnsi"/>
          <w:lang w:eastAsia="en-GB"/>
        </w:rPr>
        <w:t xml:space="preserve">, </w:t>
      </w:r>
      <w:r w:rsidR="00654610" w:rsidRPr="00601609">
        <w:rPr>
          <w:rFonts w:eastAsia="Times New Roman" w:cstheme="minorHAnsi"/>
          <w:lang w:eastAsia="en-GB"/>
        </w:rPr>
        <w:t xml:space="preserve">the purpose of this research study was articulated through the development of a defined research question, aims and objectives.  </w:t>
      </w:r>
    </w:p>
    <w:p w:rsidR="00846B21" w:rsidRPr="00073321" w:rsidRDefault="00846B21" w:rsidP="00BA5176">
      <w:pPr>
        <w:rPr>
          <w:rFonts w:eastAsia="Times New Roman" w:cstheme="minorHAnsi"/>
          <w:lang w:eastAsia="en-GB"/>
        </w:rPr>
      </w:pPr>
    </w:p>
    <w:p w:rsidR="00BA5176" w:rsidRPr="00073321" w:rsidRDefault="00BA5176" w:rsidP="00BA5176">
      <w:pPr>
        <w:rPr>
          <w:rFonts w:eastAsia="Times New Roman" w:cstheme="minorHAnsi"/>
          <w:sz w:val="24"/>
          <w:szCs w:val="24"/>
          <w:lang w:eastAsia="en-GB"/>
        </w:rPr>
      </w:pPr>
      <w:r w:rsidRPr="00073321">
        <w:rPr>
          <w:rFonts w:eastAsia="Times New Roman" w:cstheme="minorHAnsi"/>
          <w:b/>
          <w:bCs/>
          <w:sz w:val="24"/>
          <w:szCs w:val="24"/>
          <w:u w:val="single"/>
          <w:lang w:eastAsia="en-GB"/>
        </w:rPr>
        <w:lastRenderedPageBreak/>
        <w:t xml:space="preserve">1.2 Purpose of the research study </w:t>
      </w:r>
    </w:p>
    <w:p w:rsidR="006B2E47" w:rsidRDefault="006B2E47" w:rsidP="00561DEA">
      <w:pPr>
        <w:rPr>
          <w:rFonts w:eastAsia="Times New Roman" w:cstheme="minorHAnsi"/>
          <w:b/>
          <w:bCs/>
          <w:u w:val="single"/>
          <w:lang w:eastAsia="en-GB"/>
        </w:rPr>
      </w:pPr>
    </w:p>
    <w:p w:rsidR="00561DEA" w:rsidRPr="00073321" w:rsidRDefault="00636E13" w:rsidP="00561DEA">
      <w:pPr>
        <w:rPr>
          <w:rFonts w:eastAsia="Times New Roman" w:cstheme="minorHAnsi"/>
          <w:b/>
          <w:u w:val="single"/>
          <w:lang w:eastAsia="en-GB"/>
        </w:rPr>
      </w:pPr>
      <w:r>
        <w:rPr>
          <w:rFonts w:eastAsia="Times New Roman" w:cstheme="minorHAnsi"/>
          <w:b/>
          <w:bCs/>
          <w:u w:val="single"/>
          <w:lang w:eastAsia="en-GB"/>
        </w:rPr>
        <w:t>O</w:t>
      </w:r>
      <w:r w:rsidR="00561DEA" w:rsidRPr="00073321">
        <w:rPr>
          <w:rFonts w:eastAsia="Times New Roman" w:cstheme="minorHAnsi"/>
          <w:b/>
          <w:bCs/>
          <w:u w:val="single"/>
          <w:lang w:eastAsia="en-GB"/>
        </w:rPr>
        <w:t>verarching research question</w:t>
      </w:r>
    </w:p>
    <w:p w:rsidR="00561DEA" w:rsidRPr="00073321" w:rsidRDefault="00561DEA" w:rsidP="00561DEA">
      <w:pPr>
        <w:rPr>
          <w:rFonts w:eastAsia="Times New Roman" w:cstheme="minorHAnsi"/>
          <w:lang w:eastAsia="en-GB"/>
        </w:rPr>
      </w:pPr>
      <w:r w:rsidRPr="00073321">
        <w:rPr>
          <w:rFonts w:eastAsia="Times New Roman" w:cstheme="minorHAnsi"/>
          <w:lang w:eastAsia="en-GB"/>
        </w:rPr>
        <w:t>What are headteachers’ and chairs of governors’ perspectives on adolescent obesity and its prevention in English secondary school settings?</w:t>
      </w:r>
    </w:p>
    <w:p w:rsidR="00561DEA" w:rsidRPr="00073321" w:rsidRDefault="00561DEA" w:rsidP="00561DEA">
      <w:pPr>
        <w:rPr>
          <w:rFonts w:eastAsia="Times New Roman" w:cstheme="minorHAnsi"/>
          <w:lang w:eastAsia="en-GB"/>
        </w:rPr>
      </w:pPr>
    </w:p>
    <w:p w:rsidR="00561DEA" w:rsidRPr="00515C73" w:rsidRDefault="00561DEA" w:rsidP="00561DEA">
      <w:pPr>
        <w:rPr>
          <w:rFonts w:eastAsia="Times New Roman" w:cstheme="minorHAnsi"/>
          <w:b/>
          <w:bCs/>
          <w:u w:val="single"/>
          <w:lang w:eastAsia="en-GB"/>
        </w:rPr>
      </w:pPr>
      <w:r w:rsidRPr="00515C73">
        <w:rPr>
          <w:rFonts w:eastAsia="Times New Roman" w:cstheme="minorHAnsi"/>
          <w:b/>
          <w:bCs/>
          <w:u w:val="single"/>
          <w:lang w:eastAsia="en-GB"/>
        </w:rPr>
        <w:t>Research aims</w:t>
      </w:r>
    </w:p>
    <w:p w:rsidR="00561DEA" w:rsidRPr="00073321" w:rsidRDefault="00561DEA" w:rsidP="00561DEA">
      <w:pPr>
        <w:rPr>
          <w:rFonts w:eastAsia="Times New Roman" w:cstheme="minorHAnsi"/>
          <w:b/>
          <w:bCs/>
          <w:lang w:eastAsia="en-GB"/>
        </w:rPr>
      </w:pPr>
    </w:p>
    <w:p w:rsidR="00561DEA" w:rsidRPr="00073321" w:rsidRDefault="00561DEA" w:rsidP="00561DEA">
      <w:pPr>
        <w:rPr>
          <w:rFonts w:eastAsia="Times New Roman" w:cstheme="minorHAnsi"/>
          <w:lang w:eastAsia="en-GB"/>
        </w:rPr>
      </w:pPr>
      <w:r w:rsidRPr="00073321">
        <w:rPr>
          <w:rFonts w:eastAsia="Times New Roman" w:cstheme="minorHAnsi"/>
          <w:u w:val="single"/>
          <w:lang w:eastAsia="en-GB"/>
        </w:rPr>
        <w:t>Aim 1</w:t>
      </w:r>
    </w:p>
    <w:p w:rsidR="00561DEA" w:rsidRPr="00073321" w:rsidRDefault="00561DEA" w:rsidP="00561DEA">
      <w:pPr>
        <w:rPr>
          <w:rFonts w:eastAsia="Times New Roman" w:cstheme="minorHAnsi"/>
          <w:lang w:eastAsia="en-GB"/>
        </w:rPr>
      </w:pPr>
    </w:p>
    <w:p w:rsidR="00561DEA" w:rsidRPr="00073321" w:rsidRDefault="00561DEA" w:rsidP="00561DEA">
      <w:pPr>
        <w:rPr>
          <w:rFonts w:eastAsia="Times New Roman" w:cstheme="minorHAnsi"/>
          <w:lang w:eastAsia="en-GB"/>
        </w:rPr>
      </w:pPr>
      <w:r w:rsidRPr="00073321">
        <w:rPr>
          <w:rFonts w:eastAsia="Times New Roman" w:cstheme="minorHAnsi"/>
          <w:lang w:eastAsia="en-GB"/>
        </w:rPr>
        <w:t xml:space="preserve">Within an initial and </w:t>
      </w:r>
      <w:r w:rsidR="00515C73">
        <w:rPr>
          <w:rFonts w:eastAsia="Times New Roman" w:cstheme="minorHAnsi"/>
          <w:lang w:eastAsia="en-GB"/>
        </w:rPr>
        <w:t>core qualitative research</w:t>
      </w:r>
      <w:r w:rsidR="00A15B23">
        <w:rPr>
          <w:rFonts w:eastAsia="Times New Roman" w:cstheme="minorHAnsi"/>
          <w:lang w:eastAsia="en-GB"/>
        </w:rPr>
        <w:t xml:space="preserve"> phase , ex</w:t>
      </w:r>
      <w:r w:rsidRPr="00073321">
        <w:rPr>
          <w:rFonts w:eastAsia="Times New Roman" w:cstheme="minorHAnsi"/>
          <w:lang w:eastAsia="en-GB"/>
        </w:rPr>
        <w:t>plore and understand in-depth headteachers’ and chairs of governors’ views and experiences of adolescent obesity and its prevention in English secondary school settings</w:t>
      </w:r>
    </w:p>
    <w:p w:rsidR="00561DEA" w:rsidRPr="00073321" w:rsidRDefault="00561DEA" w:rsidP="00561DEA">
      <w:pPr>
        <w:rPr>
          <w:rFonts w:eastAsia="Times New Roman" w:cstheme="minorHAnsi"/>
          <w:lang w:eastAsia="en-GB"/>
        </w:rPr>
      </w:pPr>
    </w:p>
    <w:p w:rsidR="00561DEA" w:rsidRPr="00073321" w:rsidRDefault="00561DEA" w:rsidP="00561DEA">
      <w:pPr>
        <w:rPr>
          <w:rFonts w:eastAsia="Times New Roman" w:cstheme="minorHAnsi"/>
          <w:lang w:eastAsia="en-GB"/>
        </w:rPr>
      </w:pPr>
      <w:r w:rsidRPr="00073321">
        <w:rPr>
          <w:rFonts w:eastAsia="Times New Roman" w:cstheme="minorHAnsi"/>
          <w:u w:val="single"/>
          <w:lang w:eastAsia="en-GB"/>
        </w:rPr>
        <w:t>Aim 2</w:t>
      </w:r>
    </w:p>
    <w:p w:rsidR="00561DEA" w:rsidRPr="00073321" w:rsidRDefault="00561DEA" w:rsidP="00561DEA">
      <w:pPr>
        <w:rPr>
          <w:rFonts w:eastAsia="Times New Roman" w:cstheme="minorHAnsi"/>
          <w:lang w:eastAsia="en-GB"/>
        </w:rPr>
      </w:pPr>
    </w:p>
    <w:p w:rsidR="00561DEA" w:rsidRDefault="00561DEA" w:rsidP="00561DEA">
      <w:pPr>
        <w:rPr>
          <w:rFonts w:eastAsia="Times New Roman" w:cstheme="minorHAnsi"/>
          <w:lang w:eastAsia="en-GB"/>
        </w:rPr>
      </w:pPr>
      <w:r w:rsidRPr="00073321">
        <w:rPr>
          <w:rFonts w:eastAsia="Times New Roman" w:cstheme="minorHAnsi"/>
          <w:lang w:eastAsia="en-GB"/>
        </w:rPr>
        <w:t>Within a supplementary quantitative research phase and in order to determine the relevance of the qualitative findings out</w:t>
      </w:r>
      <w:r w:rsidR="00515C73">
        <w:rPr>
          <w:rFonts w:eastAsia="Times New Roman" w:cstheme="minorHAnsi"/>
          <w:lang w:eastAsia="en-GB"/>
        </w:rPr>
        <w:t xml:space="preserve">side of their original context - </w:t>
      </w:r>
      <w:r w:rsidR="00A15B23">
        <w:rPr>
          <w:rFonts w:eastAsia="Times New Roman" w:cstheme="minorHAnsi"/>
          <w:lang w:eastAsia="en-GB"/>
        </w:rPr>
        <w:t>C</w:t>
      </w:r>
      <w:r w:rsidRPr="00073321">
        <w:rPr>
          <w:rFonts w:eastAsia="Times New Roman" w:cstheme="minorHAnsi"/>
          <w:lang w:eastAsia="en-GB"/>
        </w:rPr>
        <w:t>onduct a des</w:t>
      </w:r>
      <w:r w:rsidR="00281979">
        <w:rPr>
          <w:rFonts w:eastAsia="Times New Roman" w:cstheme="minorHAnsi"/>
          <w:lang w:eastAsia="en-GB"/>
        </w:rPr>
        <w:t xml:space="preserve">criptive cross-sectional survey, </w:t>
      </w:r>
      <w:r w:rsidRPr="00073321">
        <w:rPr>
          <w:rFonts w:eastAsia="Times New Roman" w:cstheme="minorHAnsi"/>
          <w:lang w:eastAsia="en-GB"/>
        </w:rPr>
        <w:t>which identifies headteachers’ and chairs of governors’ opinions and attitudes towards adolescent obesity and its prevention in English secondary school settings.  </w:t>
      </w:r>
    </w:p>
    <w:p w:rsidR="008D136F" w:rsidRDefault="008D136F" w:rsidP="00561DEA">
      <w:pPr>
        <w:rPr>
          <w:rFonts w:eastAsia="Times New Roman" w:cstheme="minorHAnsi"/>
          <w:lang w:eastAsia="en-GB"/>
        </w:rPr>
      </w:pPr>
    </w:p>
    <w:p w:rsidR="00C27A50" w:rsidRDefault="00C27A50" w:rsidP="00561DEA">
      <w:pPr>
        <w:rPr>
          <w:rFonts w:eastAsia="Times New Roman" w:cstheme="minorHAnsi"/>
          <w:u w:val="single"/>
          <w:lang w:eastAsia="en-GB"/>
        </w:rPr>
      </w:pPr>
      <w:r w:rsidRPr="00C27A50">
        <w:rPr>
          <w:rFonts w:eastAsia="Times New Roman" w:cstheme="minorHAnsi"/>
          <w:u w:val="single"/>
          <w:lang w:eastAsia="en-GB"/>
        </w:rPr>
        <w:t>Aim 3</w:t>
      </w:r>
    </w:p>
    <w:p w:rsidR="00C27A50" w:rsidRPr="00C27A50" w:rsidRDefault="00C27A50" w:rsidP="00561DEA">
      <w:pPr>
        <w:rPr>
          <w:rFonts w:eastAsia="Times New Roman" w:cstheme="minorHAnsi"/>
          <w:u w:val="single"/>
          <w:lang w:eastAsia="en-GB"/>
        </w:rPr>
      </w:pPr>
    </w:p>
    <w:p w:rsidR="008D136F" w:rsidRDefault="00A15B23" w:rsidP="008D136F">
      <w:pPr>
        <w:rPr>
          <w:rFonts w:eastAsia="Times New Roman" w:cstheme="minorHAnsi"/>
          <w:color w:val="000000"/>
          <w:lang w:eastAsia="en-GB"/>
        </w:rPr>
      </w:pPr>
      <w:r>
        <w:rPr>
          <w:rFonts w:eastAsia="Times New Roman" w:cstheme="minorHAnsi"/>
          <w:bCs/>
          <w:lang w:eastAsia="en-GB"/>
        </w:rPr>
        <w:t>Undertake</w:t>
      </w:r>
      <w:r w:rsidR="00C27A50">
        <w:rPr>
          <w:rFonts w:eastAsia="Times New Roman" w:cstheme="minorHAnsi"/>
          <w:bCs/>
          <w:lang w:eastAsia="en-GB"/>
        </w:rPr>
        <w:t xml:space="preserve"> a</w:t>
      </w:r>
      <w:r w:rsidR="008D136F">
        <w:rPr>
          <w:rFonts w:eastAsia="Times New Roman" w:cstheme="minorHAnsi"/>
          <w:bCs/>
          <w:lang w:eastAsia="en-GB"/>
        </w:rPr>
        <w:t xml:space="preserve"> systematic review and qualitative synthesis </w:t>
      </w:r>
      <w:r w:rsidR="00C27A50">
        <w:rPr>
          <w:rFonts w:eastAsia="Times New Roman" w:cstheme="minorHAnsi"/>
          <w:bCs/>
          <w:lang w:eastAsia="en-GB"/>
        </w:rPr>
        <w:t xml:space="preserve">to </w:t>
      </w:r>
      <w:r w:rsidR="008D136F">
        <w:rPr>
          <w:rFonts w:eastAsia="Times New Roman" w:cstheme="minorHAnsi"/>
          <w:bCs/>
          <w:lang w:eastAsia="en-GB"/>
        </w:rPr>
        <w:t>s</w:t>
      </w:r>
      <w:r w:rsidR="008D136F" w:rsidRPr="009B3747">
        <w:rPr>
          <w:rFonts w:eastAsia="Times New Roman" w:cstheme="minorHAnsi"/>
          <w:color w:val="000000"/>
          <w:lang w:eastAsia="en-GB"/>
        </w:rPr>
        <w:t>ystematically identify and synthesise the rese</w:t>
      </w:r>
      <w:r w:rsidR="008D136F">
        <w:rPr>
          <w:rFonts w:eastAsia="Times New Roman" w:cstheme="minorHAnsi"/>
          <w:color w:val="000000"/>
          <w:lang w:eastAsia="en-GB"/>
        </w:rPr>
        <w:t xml:space="preserve">arch literature concerning </w:t>
      </w:r>
      <w:r w:rsidR="008D136F" w:rsidRPr="009B3747">
        <w:rPr>
          <w:rFonts w:eastAsia="Times New Roman" w:cstheme="minorHAnsi"/>
          <w:color w:val="000000"/>
          <w:lang w:eastAsia="en-GB"/>
        </w:rPr>
        <w:t>‘</w:t>
      </w:r>
      <w:r w:rsidR="008D136F" w:rsidRPr="009B3747">
        <w:rPr>
          <w:rFonts w:eastAsia="Times New Roman" w:cstheme="minorHAnsi"/>
          <w:i/>
          <w:iCs/>
          <w:color w:val="000000"/>
          <w:lang w:eastAsia="en-GB"/>
        </w:rPr>
        <w:t>headteachers’ and chairs of governors’ perspectives on childhood or adolescent obesity and its prevention in school settings’</w:t>
      </w:r>
      <w:r w:rsidR="008D136F" w:rsidRPr="009B3747">
        <w:rPr>
          <w:rFonts w:eastAsia="Times New Roman" w:cstheme="minorHAnsi"/>
          <w:color w:val="000000"/>
          <w:lang w:eastAsia="en-GB"/>
        </w:rPr>
        <w:t xml:space="preserve">. </w:t>
      </w:r>
      <w:r w:rsidR="008D136F">
        <w:rPr>
          <w:rFonts w:eastAsia="Times New Roman" w:cstheme="minorHAnsi"/>
          <w:color w:val="000000"/>
          <w:lang w:eastAsia="en-GB"/>
        </w:rPr>
        <w:t xml:space="preserve">  </w:t>
      </w:r>
    </w:p>
    <w:p w:rsidR="00085FA1" w:rsidRDefault="00085FA1" w:rsidP="00085FA1">
      <w:pPr>
        <w:rPr>
          <w:rFonts w:eastAsia="Times New Roman" w:cstheme="minorHAnsi"/>
          <w:lang w:eastAsia="en-GB"/>
        </w:rPr>
      </w:pPr>
    </w:p>
    <w:p w:rsidR="00BA5176" w:rsidRPr="00073321" w:rsidRDefault="00BA5176" w:rsidP="00BA5176">
      <w:pPr>
        <w:rPr>
          <w:rFonts w:eastAsia="Times New Roman" w:cstheme="minorHAnsi"/>
          <w:sz w:val="24"/>
          <w:szCs w:val="24"/>
          <w:lang w:eastAsia="en-GB"/>
        </w:rPr>
      </w:pPr>
      <w:r w:rsidRPr="00073321">
        <w:rPr>
          <w:rFonts w:eastAsia="Times New Roman" w:cstheme="minorHAnsi"/>
          <w:b/>
          <w:bCs/>
          <w:sz w:val="24"/>
          <w:szCs w:val="24"/>
          <w:u w:val="single"/>
          <w:lang w:eastAsia="en-GB"/>
        </w:rPr>
        <w:t>1.3 Approach of the research study</w:t>
      </w:r>
    </w:p>
    <w:p w:rsidR="00BA5176" w:rsidRPr="00073321" w:rsidRDefault="00BA5176" w:rsidP="00BA5176">
      <w:pPr>
        <w:rPr>
          <w:rFonts w:eastAsia="Times New Roman" w:cstheme="minorHAnsi"/>
          <w:sz w:val="24"/>
          <w:szCs w:val="24"/>
          <w:lang w:eastAsia="en-GB"/>
        </w:rPr>
      </w:pPr>
    </w:p>
    <w:p w:rsidR="006B2E47" w:rsidRDefault="00BA5176" w:rsidP="006B2E47">
      <w:pPr>
        <w:rPr>
          <w:rFonts w:eastAsia="Times New Roman" w:cstheme="minorHAnsi"/>
          <w:color w:val="000000"/>
          <w:lang w:eastAsia="en-GB"/>
        </w:rPr>
      </w:pPr>
      <w:r w:rsidRPr="00073321">
        <w:rPr>
          <w:rFonts w:eastAsia="Times New Roman" w:cstheme="minorHAnsi"/>
          <w:lang w:eastAsia="en-GB"/>
        </w:rPr>
        <w:t>In order to address the overarching research questions, aims and objectives, the study adopted a mixed methods approach, underpinned by a pragmatic philosophical worldview and employed an</w:t>
      </w:r>
      <w:r w:rsidR="00522730" w:rsidRPr="00073321">
        <w:rPr>
          <w:rFonts w:eastAsia="Times New Roman" w:cstheme="minorHAnsi"/>
          <w:lang w:eastAsia="en-GB"/>
        </w:rPr>
        <w:t xml:space="preserve"> exploratory sequential design </w:t>
      </w:r>
      <w:r w:rsidR="00522730" w:rsidRPr="00073321">
        <w:rPr>
          <w:rFonts w:eastAsia="Times New Roman" w:cstheme="minorHAnsi"/>
          <w:lang w:eastAsia="en-GB"/>
        </w:rPr>
        <w:fldChar w:fldCharType="begin" w:fldLock="1"/>
      </w:r>
      <w:r w:rsidR="00395650" w:rsidRPr="00073321">
        <w:rPr>
          <w:rFonts w:eastAsia="Times New Roman" w:cstheme="minorHAnsi"/>
          <w:lang w:eastAsia="en-GB"/>
        </w:rPr>
        <w:instrText>ADDIN CSL_CITATION { "citationItems" : [ { "id" : "ITEM-1", "itemData" : { "author" : [ { "dropping-particle" : "", "family" : "Creswell", "given" : "JW", "non-dropping-particle" : "", "parse-names" : false, "suffix" : "" }, { "dropping-particle" : "", "family" : "Clark", "given" : "VLP", "non-dropping-particle" : "", "parse-names" : false, "suffix" : "" } ], "edition" : "1st", "id" : "ITEM-1", "issued" : { "date-parts" : [ [ "2007" ] ] }, "publisher" : "SAGE Publications Inc.", "publisher-place" : "Thousand Oaks", "title" : "Designing and conducting mixed methods research", "type" : "book" }, "uris" : [ "http://www.mendeley.com/documents/?uuid=450730c4-cfe7-4ef3-acc5-a7ca4306febf" ] } ], "mendeley" : { "formattedCitation" : "(Creswell and Clark, 2007)", "manualFormatting" : "(Creswell and Clark, 2011)", "plainTextFormattedCitation" : "(Creswell and Clark, 2007)", "previouslyFormattedCitation" : "(Creswell and Clark, 2007)" }, "properties" : { "noteIndex" : 0 }, "schema" : "https://github.com/citation-style-language/schema/raw/master/csl-citation.json" }</w:instrText>
      </w:r>
      <w:r w:rsidR="00522730" w:rsidRPr="00073321">
        <w:rPr>
          <w:rFonts w:eastAsia="Times New Roman" w:cstheme="minorHAnsi"/>
          <w:lang w:eastAsia="en-GB"/>
        </w:rPr>
        <w:fldChar w:fldCharType="separate"/>
      </w:r>
      <w:r w:rsidR="00A12CF2" w:rsidRPr="00073321">
        <w:rPr>
          <w:rFonts w:eastAsia="Times New Roman" w:cstheme="minorHAnsi"/>
          <w:noProof/>
          <w:lang w:eastAsia="en-GB"/>
        </w:rPr>
        <w:t>(Creswell and Clark</w:t>
      </w:r>
      <w:r w:rsidR="00522730" w:rsidRPr="00073321">
        <w:rPr>
          <w:rFonts w:eastAsia="Times New Roman" w:cstheme="minorHAnsi"/>
          <w:noProof/>
          <w:lang w:eastAsia="en-GB"/>
        </w:rPr>
        <w:t>, 2011)</w:t>
      </w:r>
      <w:r w:rsidR="00522730" w:rsidRPr="00073321">
        <w:rPr>
          <w:rFonts w:eastAsia="Times New Roman" w:cstheme="minorHAnsi"/>
          <w:lang w:eastAsia="en-GB"/>
        </w:rPr>
        <w:fldChar w:fldCharType="end"/>
      </w:r>
      <w:r w:rsidRPr="00073321">
        <w:rPr>
          <w:rFonts w:eastAsia="Times New Roman" w:cstheme="minorHAnsi"/>
          <w:lang w:eastAsia="en-GB"/>
        </w:rPr>
        <w:t>.  </w:t>
      </w:r>
      <w:r w:rsidR="006B2E47">
        <w:rPr>
          <w:rFonts w:eastAsia="Times New Roman" w:cstheme="minorHAnsi"/>
          <w:lang w:eastAsia="en-GB"/>
        </w:rPr>
        <w:t xml:space="preserve">In addition, a systematic review and qualitative synthesis was undertaken (chapter three), to inform the research design, develop data </w:t>
      </w:r>
      <w:r w:rsidR="006B2E47">
        <w:rPr>
          <w:rFonts w:eastAsia="Times New Roman" w:cstheme="minorHAnsi"/>
          <w:lang w:eastAsia="en-GB"/>
        </w:rPr>
        <w:lastRenderedPageBreak/>
        <w:t xml:space="preserve">collection methods and crucially provide points of reflection for the thesis discussion chapter (chapter nine).  </w:t>
      </w:r>
    </w:p>
    <w:p w:rsidR="006B2E47" w:rsidRDefault="006B2E47" w:rsidP="006B2E47">
      <w:pPr>
        <w:tabs>
          <w:tab w:val="left" w:pos="1665"/>
        </w:tabs>
        <w:rPr>
          <w:rFonts w:eastAsia="Times New Roman" w:cstheme="minorHAnsi"/>
          <w:lang w:eastAsia="en-GB"/>
        </w:rPr>
      </w:pPr>
      <w:r>
        <w:rPr>
          <w:rFonts w:eastAsia="Times New Roman" w:cstheme="minorHAnsi"/>
          <w:lang w:eastAsia="en-GB"/>
        </w:rPr>
        <w:tab/>
      </w:r>
    </w:p>
    <w:p w:rsidR="00BA5176" w:rsidRDefault="00073321" w:rsidP="008D136F">
      <w:pPr>
        <w:rPr>
          <w:rFonts w:eastAsia="Times New Roman" w:cstheme="minorHAnsi"/>
          <w:lang w:eastAsia="en-GB"/>
        </w:rPr>
      </w:pPr>
      <w:r>
        <w:rPr>
          <w:rFonts w:eastAsia="Times New Roman" w:cstheme="minorHAnsi"/>
          <w:lang w:eastAsia="en-GB"/>
        </w:rPr>
        <w:t>T</w:t>
      </w:r>
      <w:r w:rsidR="00BA5176" w:rsidRPr="00073321">
        <w:rPr>
          <w:rFonts w:eastAsia="Times New Roman" w:cstheme="minorHAnsi"/>
          <w:lang w:eastAsia="en-GB"/>
        </w:rPr>
        <w:t xml:space="preserve">he </w:t>
      </w:r>
      <w:r w:rsidR="006B2E47">
        <w:rPr>
          <w:rFonts w:eastAsia="Times New Roman" w:cstheme="minorHAnsi"/>
          <w:lang w:eastAsia="en-GB"/>
        </w:rPr>
        <w:t xml:space="preserve">mixed methods </w:t>
      </w:r>
      <w:r w:rsidR="00BA5176" w:rsidRPr="00073321">
        <w:rPr>
          <w:rFonts w:eastAsia="Times New Roman" w:cstheme="minorHAnsi"/>
          <w:lang w:eastAsia="en-GB"/>
        </w:rPr>
        <w:t xml:space="preserve">research design </w:t>
      </w:r>
      <w:r w:rsidR="006B2E47">
        <w:rPr>
          <w:rFonts w:eastAsia="Times New Roman" w:cstheme="minorHAnsi"/>
          <w:lang w:eastAsia="en-GB"/>
        </w:rPr>
        <w:t xml:space="preserve">for obtaining empirical data </w:t>
      </w:r>
      <w:r w:rsidR="00BA5176" w:rsidRPr="00073321">
        <w:rPr>
          <w:rFonts w:eastAsia="Times New Roman" w:cstheme="minorHAnsi"/>
          <w:lang w:eastAsia="en-GB"/>
        </w:rPr>
        <w:t xml:space="preserve">was conducted in two distinct </w:t>
      </w:r>
      <w:r>
        <w:rPr>
          <w:rFonts w:eastAsia="Times New Roman" w:cstheme="minorHAnsi"/>
          <w:lang w:eastAsia="en-GB"/>
        </w:rPr>
        <w:t xml:space="preserve">yet integrated </w:t>
      </w:r>
      <w:r w:rsidR="00BA5176" w:rsidRPr="00073321">
        <w:rPr>
          <w:rFonts w:eastAsia="Times New Roman" w:cstheme="minorHAnsi"/>
          <w:lang w:eastAsia="en-GB"/>
        </w:rPr>
        <w:t>p</w:t>
      </w:r>
      <w:r w:rsidR="00755923" w:rsidRPr="00073321">
        <w:rPr>
          <w:rFonts w:eastAsia="Times New Roman" w:cstheme="minorHAnsi"/>
          <w:lang w:eastAsia="en-GB"/>
        </w:rPr>
        <w:t>hases</w:t>
      </w:r>
      <w:r w:rsidR="00F76EF2">
        <w:rPr>
          <w:rFonts w:eastAsia="Times New Roman" w:cstheme="minorHAnsi"/>
          <w:lang w:eastAsia="en-GB"/>
        </w:rPr>
        <w:t xml:space="preserve">.  </w:t>
      </w:r>
      <w:r w:rsidR="00755923" w:rsidRPr="00073321">
        <w:rPr>
          <w:rFonts w:eastAsia="Times New Roman" w:cstheme="minorHAnsi"/>
          <w:lang w:eastAsia="en-GB"/>
        </w:rPr>
        <w:t xml:space="preserve">Starting with a core qualitative phase, the resultant findings </w:t>
      </w:r>
      <w:r w:rsidR="00636E13">
        <w:rPr>
          <w:rFonts w:eastAsia="Times New Roman" w:cstheme="minorHAnsi"/>
          <w:lang w:eastAsia="en-GB"/>
        </w:rPr>
        <w:t>formed the basis of a</w:t>
      </w:r>
      <w:r w:rsidR="00BA5176" w:rsidRPr="00073321">
        <w:rPr>
          <w:rFonts w:eastAsia="Times New Roman" w:cstheme="minorHAnsi"/>
          <w:lang w:eastAsia="en-GB"/>
        </w:rPr>
        <w:t xml:space="preserve"> data collection tool for use in a supplementary quantitative phase.  This design was chosen as the paucity of relevant literature meant the priority was undertaking an in-depth qualitative exploration with the quantitative methods utilised to identify whether the first phase findings had relevance beyond their original context. </w:t>
      </w:r>
      <w:r w:rsidR="00B4397E" w:rsidRPr="00073321">
        <w:rPr>
          <w:rFonts w:eastAsia="Times New Roman" w:cstheme="minorHAnsi"/>
          <w:lang w:eastAsia="en-GB"/>
        </w:rPr>
        <w:t xml:space="preserve"> </w:t>
      </w:r>
      <w:r w:rsidR="00BA5176" w:rsidRPr="00073321">
        <w:rPr>
          <w:rFonts w:eastAsia="Times New Roman" w:cstheme="minorHAnsi"/>
          <w:lang w:eastAsia="en-GB"/>
        </w:rPr>
        <w:t xml:space="preserve">Furthermore, given the lack of existing research it was </w:t>
      </w:r>
      <w:r w:rsidR="00522730" w:rsidRPr="00073321">
        <w:rPr>
          <w:rFonts w:eastAsia="Times New Roman" w:cstheme="minorHAnsi"/>
          <w:lang w:eastAsia="en-GB"/>
        </w:rPr>
        <w:t>neither possible nor</w:t>
      </w:r>
      <w:r w:rsidR="00BA5176" w:rsidRPr="00073321">
        <w:rPr>
          <w:rFonts w:eastAsia="Times New Roman" w:cstheme="minorHAnsi"/>
          <w:lang w:eastAsia="en-GB"/>
        </w:rPr>
        <w:t xml:space="preserve"> appropriate to construct a quantitative instrument for use in a mono method study.  </w:t>
      </w:r>
    </w:p>
    <w:p w:rsidR="00F76EF2" w:rsidRPr="00073321" w:rsidRDefault="00F76EF2" w:rsidP="008D136F">
      <w:pPr>
        <w:rPr>
          <w:rFonts w:eastAsia="Times New Roman" w:cstheme="minorHAnsi"/>
          <w:sz w:val="24"/>
          <w:szCs w:val="24"/>
          <w:lang w:eastAsia="en-GB"/>
        </w:rPr>
      </w:pPr>
    </w:p>
    <w:p w:rsidR="00BA5176" w:rsidRDefault="008D136F" w:rsidP="008D136F">
      <w:pPr>
        <w:jc w:val="both"/>
        <w:rPr>
          <w:rFonts w:eastAsia="Times New Roman" w:cstheme="minorHAnsi"/>
          <w:lang w:eastAsia="en-GB"/>
        </w:rPr>
      </w:pPr>
      <w:r w:rsidRPr="00073321">
        <w:rPr>
          <w:rFonts w:eastAsia="Times New Roman" w:cstheme="minorHAnsi"/>
          <w:lang w:eastAsia="en-GB"/>
        </w:rPr>
        <w:t>During the primary qualitative phase, semi-structured interviews guided by an interview schedule were undertaken with secondary school headteachers and chairs of governors to obtain study data.</w:t>
      </w:r>
      <w:r>
        <w:rPr>
          <w:rFonts w:eastAsia="Times New Roman" w:cstheme="minorHAnsi"/>
          <w:lang w:eastAsia="en-GB"/>
        </w:rPr>
        <w:t xml:space="preserve">  Results from the systematic review and qualitative synthesis assisted in shaping the content of the interview schedule.  </w:t>
      </w:r>
      <w:r w:rsidR="00BA5176" w:rsidRPr="00073321">
        <w:rPr>
          <w:rFonts w:eastAsia="Times New Roman" w:cstheme="minorHAnsi"/>
          <w:lang w:eastAsia="en-GB"/>
        </w:rPr>
        <w:t>Following transcription of the audio recorded interviews, the findings obtained were thematically analysed.  Resultant themes and sub-themes formed the basis of developing the content of an online questionnaire for use in a quantitative survey.  The online questionnaire was distributed to a census of the population under study and the responses received were analysed using descriptive and inferential statistics.   </w:t>
      </w:r>
    </w:p>
    <w:p w:rsidR="00636E13" w:rsidRPr="00073321" w:rsidRDefault="00636E13" w:rsidP="008D136F">
      <w:pPr>
        <w:tabs>
          <w:tab w:val="left" w:pos="2145"/>
        </w:tabs>
        <w:rPr>
          <w:rFonts w:eastAsia="Times New Roman" w:cstheme="minorHAnsi"/>
          <w:sz w:val="24"/>
          <w:szCs w:val="24"/>
          <w:lang w:eastAsia="en-GB"/>
        </w:rPr>
      </w:pPr>
    </w:p>
    <w:p w:rsidR="00BA5176" w:rsidRPr="00073321" w:rsidRDefault="00BA5176" w:rsidP="00BA5176">
      <w:pPr>
        <w:rPr>
          <w:rFonts w:eastAsia="Times New Roman" w:cstheme="minorHAnsi"/>
          <w:sz w:val="24"/>
          <w:szCs w:val="24"/>
          <w:lang w:eastAsia="en-GB"/>
        </w:rPr>
      </w:pPr>
      <w:r w:rsidRPr="00073321">
        <w:rPr>
          <w:rFonts w:eastAsia="Times New Roman" w:cstheme="minorHAnsi"/>
          <w:b/>
          <w:bCs/>
          <w:sz w:val="24"/>
          <w:szCs w:val="24"/>
          <w:u w:val="single"/>
          <w:lang w:eastAsia="en-GB"/>
        </w:rPr>
        <w:t>1.4 Potential contribution of this research study</w:t>
      </w:r>
    </w:p>
    <w:p w:rsidR="00BA5176" w:rsidRPr="00073321" w:rsidRDefault="00BA5176" w:rsidP="00BA5176">
      <w:pPr>
        <w:rPr>
          <w:rFonts w:eastAsia="Times New Roman" w:cstheme="minorHAnsi"/>
          <w:sz w:val="24"/>
          <w:szCs w:val="24"/>
          <w:lang w:eastAsia="en-GB"/>
        </w:rPr>
      </w:pPr>
    </w:p>
    <w:p w:rsidR="00BA5176" w:rsidRDefault="00755923" w:rsidP="00BA5176">
      <w:pPr>
        <w:rPr>
          <w:rFonts w:eastAsia="Times New Roman" w:cstheme="minorHAnsi"/>
          <w:lang w:eastAsia="en-GB"/>
        </w:rPr>
      </w:pPr>
      <w:r w:rsidRPr="00073321">
        <w:rPr>
          <w:rFonts w:eastAsia="Times New Roman" w:cstheme="minorHAnsi"/>
          <w:lang w:eastAsia="en-GB"/>
        </w:rPr>
        <w:t>Results from conducting</w:t>
      </w:r>
      <w:r w:rsidR="00BA5176" w:rsidRPr="00073321">
        <w:rPr>
          <w:rFonts w:eastAsia="Times New Roman" w:cstheme="minorHAnsi"/>
          <w:lang w:eastAsia="en-GB"/>
        </w:rPr>
        <w:t xml:space="preserve"> a systematic review and </w:t>
      </w:r>
      <w:r w:rsidR="00A15B23">
        <w:rPr>
          <w:rFonts w:eastAsia="Times New Roman" w:cstheme="minorHAnsi"/>
          <w:lang w:eastAsia="en-GB"/>
        </w:rPr>
        <w:t xml:space="preserve">qualitative synthesis, highlighted </w:t>
      </w:r>
      <w:r w:rsidR="00BA5176" w:rsidRPr="00073321">
        <w:rPr>
          <w:rFonts w:eastAsia="Times New Roman" w:cstheme="minorHAnsi"/>
          <w:lang w:eastAsia="en-GB"/>
        </w:rPr>
        <w:t>that existing literature related to headteachers</w:t>
      </w:r>
      <w:r w:rsidRPr="00073321">
        <w:rPr>
          <w:rFonts w:eastAsia="Times New Roman" w:cstheme="minorHAnsi"/>
          <w:lang w:eastAsia="en-GB"/>
        </w:rPr>
        <w:t>’</w:t>
      </w:r>
      <w:r w:rsidR="00BA5176" w:rsidRPr="00073321">
        <w:rPr>
          <w:rFonts w:eastAsia="Times New Roman" w:cstheme="minorHAnsi"/>
          <w:lang w:eastAsia="en-GB"/>
        </w:rPr>
        <w:t xml:space="preserve"> and chairs of </w:t>
      </w:r>
      <w:r w:rsidRPr="00073321">
        <w:rPr>
          <w:rFonts w:eastAsia="Times New Roman" w:cstheme="minorHAnsi"/>
          <w:lang w:eastAsia="en-GB"/>
        </w:rPr>
        <w:t>governors’</w:t>
      </w:r>
      <w:r w:rsidR="00BA5176" w:rsidRPr="00073321">
        <w:rPr>
          <w:rFonts w:eastAsia="Times New Roman" w:cstheme="minorHAnsi"/>
          <w:lang w:eastAsia="en-GB"/>
        </w:rPr>
        <w:t xml:space="preserve"> perspectives on obesity is exceptionally limited, of varying quality and minimal direct relevance to the topic under study.  Consequently, this r</w:t>
      </w:r>
      <w:r w:rsidR="00A15B23">
        <w:rPr>
          <w:rFonts w:eastAsia="Times New Roman" w:cstheme="minorHAnsi"/>
          <w:lang w:eastAsia="en-GB"/>
        </w:rPr>
        <w:t xml:space="preserve">esearch is the first identified (on a national or international level), to </w:t>
      </w:r>
      <w:r w:rsidR="00BA5176" w:rsidRPr="00073321">
        <w:rPr>
          <w:rFonts w:eastAsia="Times New Roman" w:cstheme="minorHAnsi"/>
          <w:lang w:eastAsia="en-GB"/>
        </w:rPr>
        <w:t>focus exclusively on the perspectives of the overarching decision makers for obesity prevention within secondary school settings.</w:t>
      </w:r>
      <w:r w:rsidR="00A15B23">
        <w:rPr>
          <w:rFonts w:eastAsia="Times New Roman" w:cstheme="minorHAnsi"/>
          <w:lang w:eastAsia="en-GB"/>
        </w:rPr>
        <w:t xml:space="preserve">  </w:t>
      </w:r>
    </w:p>
    <w:p w:rsidR="00A15B23" w:rsidRPr="00073321" w:rsidRDefault="00A15B23" w:rsidP="00BA5176">
      <w:pPr>
        <w:rPr>
          <w:rFonts w:eastAsia="Times New Roman" w:cstheme="minorHAnsi"/>
          <w:sz w:val="24"/>
          <w:szCs w:val="24"/>
          <w:lang w:eastAsia="en-GB"/>
        </w:rPr>
      </w:pPr>
    </w:p>
    <w:p w:rsidR="00BA5176" w:rsidRPr="00073321" w:rsidRDefault="00BA5176" w:rsidP="00BA5176">
      <w:pPr>
        <w:rPr>
          <w:rFonts w:eastAsia="Times New Roman" w:cstheme="minorHAnsi"/>
          <w:sz w:val="24"/>
          <w:szCs w:val="24"/>
          <w:lang w:eastAsia="en-GB"/>
        </w:rPr>
      </w:pPr>
      <w:r w:rsidRPr="00073321">
        <w:rPr>
          <w:rFonts w:eastAsia="Times New Roman" w:cstheme="minorHAnsi"/>
          <w:lang w:eastAsia="en-GB"/>
        </w:rPr>
        <w:t>This study therefore provides a crucial opportunity to significantly advance the knowledge regarding whether, how and why headteachers and chairs o</w:t>
      </w:r>
      <w:r w:rsidR="00EA0386" w:rsidRPr="00073321">
        <w:rPr>
          <w:rFonts w:eastAsia="Times New Roman" w:cstheme="minorHAnsi"/>
          <w:lang w:eastAsia="en-GB"/>
        </w:rPr>
        <w:t>f governors decide to undertake</w:t>
      </w:r>
      <w:r w:rsidR="00F34CB5" w:rsidRPr="00073321">
        <w:rPr>
          <w:rFonts w:eastAsia="Times New Roman" w:cstheme="minorHAnsi"/>
          <w:lang w:eastAsia="en-GB"/>
        </w:rPr>
        <w:t xml:space="preserve"> school-</w:t>
      </w:r>
      <w:r w:rsidRPr="00073321">
        <w:rPr>
          <w:rFonts w:eastAsia="Times New Roman" w:cstheme="minorHAnsi"/>
          <w:lang w:eastAsia="en-GB"/>
        </w:rPr>
        <w:t>based preventative action for adolescent obesity.  This knowledge will be of interest to policy makers across education and heal</w:t>
      </w:r>
      <w:r w:rsidR="00F34CB5" w:rsidRPr="00073321">
        <w:rPr>
          <w:rFonts w:eastAsia="Times New Roman" w:cstheme="minorHAnsi"/>
          <w:lang w:eastAsia="en-GB"/>
        </w:rPr>
        <w:t>th</w:t>
      </w:r>
      <w:r w:rsidR="00A15B23">
        <w:rPr>
          <w:rFonts w:eastAsia="Times New Roman" w:cstheme="minorHAnsi"/>
          <w:lang w:eastAsia="en-GB"/>
        </w:rPr>
        <w:t>,</w:t>
      </w:r>
      <w:r w:rsidR="00F34CB5" w:rsidRPr="00073321">
        <w:rPr>
          <w:rFonts w:eastAsia="Times New Roman" w:cstheme="minorHAnsi"/>
          <w:lang w:eastAsia="en-GB"/>
        </w:rPr>
        <w:t xml:space="preserve"> and public health professionals</w:t>
      </w:r>
      <w:r w:rsidRPr="00073321">
        <w:rPr>
          <w:rFonts w:eastAsia="Times New Roman" w:cstheme="minorHAnsi"/>
          <w:lang w:eastAsia="en-GB"/>
        </w:rPr>
        <w:t xml:space="preserve"> who are currently engaged in the obesity prevention agenda with</w:t>
      </w:r>
      <w:r w:rsidR="00F34CB5" w:rsidRPr="00073321">
        <w:rPr>
          <w:rFonts w:eastAsia="Times New Roman" w:cstheme="minorHAnsi"/>
          <w:lang w:eastAsia="en-GB"/>
        </w:rPr>
        <w:t>in</w:t>
      </w:r>
      <w:r w:rsidRPr="00073321">
        <w:rPr>
          <w:rFonts w:eastAsia="Times New Roman" w:cstheme="minorHAnsi"/>
          <w:lang w:eastAsia="en-GB"/>
        </w:rPr>
        <w:t xml:space="preserve"> school settings.    </w:t>
      </w:r>
    </w:p>
    <w:p w:rsidR="00BA5176" w:rsidRPr="00073321" w:rsidRDefault="00BA5176" w:rsidP="00BA5176">
      <w:pPr>
        <w:rPr>
          <w:rFonts w:eastAsia="Times New Roman" w:cstheme="minorHAnsi"/>
          <w:sz w:val="24"/>
          <w:szCs w:val="24"/>
          <w:lang w:eastAsia="en-GB"/>
        </w:rPr>
      </w:pPr>
      <w:r w:rsidRPr="00073321">
        <w:rPr>
          <w:rFonts w:eastAsia="Times New Roman" w:cstheme="minorHAnsi"/>
          <w:lang w:eastAsia="en-GB"/>
        </w:rPr>
        <w:lastRenderedPageBreak/>
        <w:t>Furthermore, the research presented in this thesis related to the topic under study is the first known to adopt a mixed methods approach and research design.  Consequently, this doctoral study is intended to make a methodological cont</w:t>
      </w:r>
      <w:r w:rsidR="00F34CB5" w:rsidRPr="00073321">
        <w:rPr>
          <w:rFonts w:eastAsia="Times New Roman" w:cstheme="minorHAnsi"/>
          <w:lang w:eastAsia="en-GB"/>
        </w:rPr>
        <w:t>ribution to the field of school-</w:t>
      </w:r>
      <w:r w:rsidRPr="00073321">
        <w:rPr>
          <w:rFonts w:eastAsia="Times New Roman" w:cstheme="minorHAnsi"/>
          <w:lang w:eastAsia="en-GB"/>
        </w:rPr>
        <w:t>based obesity prevention.  The perceived value and application of mixed methods research approaches is becoming increasingly recognised</w:t>
      </w:r>
      <w:r w:rsidR="006E583B" w:rsidRPr="00073321">
        <w:rPr>
          <w:rFonts w:eastAsia="Times New Roman" w:cstheme="minorHAnsi"/>
          <w:lang w:eastAsia="en-GB"/>
        </w:rPr>
        <w:t xml:space="preserve"> </w:t>
      </w:r>
      <w:r w:rsidR="006E583B" w:rsidRPr="00073321">
        <w:rPr>
          <w:rFonts w:eastAsia="Times New Roman" w:cstheme="minorHAnsi"/>
          <w:lang w:eastAsia="en-GB"/>
        </w:rPr>
        <w:fldChar w:fldCharType="begin" w:fldLock="1"/>
      </w:r>
      <w:r w:rsidR="00395650" w:rsidRPr="00073321">
        <w:rPr>
          <w:rFonts w:eastAsia="Times New Roman" w:cstheme="minorHAnsi"/>
          <w:lang w:eastAsia="en-GB"/>
        </w:rPr>
        <w:instrText>ADDIN CSL_CITATION { "citationItems" : [ { "id" : "ITEM-1", "itemData" : { "author" : [ { "dropping-particle" : "", "family" : "O'Cathain", "given" : "A", "non-dropping-particle" : "", "parse-names" : false, "suffix" : "" }, { "dropping-particle" : "", "family" : "Murphy", "given" : "E", "non-dropping-particle" : "", "parse-names" : false, "suffix" : "" }, { "dropping-particle" : "", "family" : "Nicholl", "given" : "J", "non-dropping-particle" : "", "parse-names" : false, "suffix" : "" } ], "container-title" : "Journal of Health Services Research &amp; Policy", "id" : "ITEM-1", "issue" : "2", "issued" : { "date-parts" : [ [ "2008" ] ] }, "page" : "92-98", "title" : "The quality of mixed methods studies in health services research", "type" : "article-journal", "volume" : "13" }, "uris" : [ "http://www.mendeley.com/documents/?uuid=e48720a1-82c5-42fe-b696-00941b8ca04d" ] } ], "mendeley" : { "formattedCitation" : "(O\u2019Cathain et al., 2008)", "plainTextFormattedCitation" : "(O\u2019Cathain et al., 2008)", "previouslyFormattedCitation" : "(O\u2019Cathain et al., 2008)" }, "properties" : { "noteIndex" : 0 }, "schema" : "https://github.com/citation-style-language/schema/raw/master/csl-citation.json" }</w:instrText>
      </w:r>
      <w:r w:rsidR="006E583B" w:rsidRPr="00073321">
        <w:rPr>
          <w:rFonts w:eastAsia="Times New Roman" w:cstheme="minorHAnsi"/>
          <w:lang w:eastAsia="en-GB"/>
        </w:rPr>
        <w:fldChar w:fldCharType="separate"/>
      </w:r>
      <w:r w:rsidR="006E583B" w:rsidRPr="00073321">
        <w:rPr>
          <w:rFonts w:eastAsia="Times New Roman" w:cstheme="minorHAnsi"/>
          <w:noProof/>
          <w:lang w:eastAsia="en-GB"/>
        </w:rPr>
        <w:t>(O’Cathain et al., 2008)</w:t>
      </w:r>
      <w:r w:rsidR="006E583B" w:rsidRPr="00073321">
        <w:rPr>
          <w:rFonts w:eastAsia="Times New Roman" w:cstheme="minorHAnsi"/>
          <w:lang w:eastAsia="en-GB"/>
        </w:rPr>
        <w:fldChar w:fldCharType="end"/>
      </w:r>
      <w:r w:rsidR="00AB4D82">
        <w:rPr>
          <w:rFonts w:eastAsia="Times New Roman" w:cstheme="minorHAnsi"/>
          <w:lang w:eastAsia="en-GB"/>
        </w:rPr>
        <w:t>.  T</w:t>
      </w:r>
      <w:r w:rsidRPr="00073321">
        <w:rPr>
          <w:rFonts w:eastAsia="Times New Roman" w:cstheme="minorHAnsi"/>
          <w:lang w:eastAsia="en-GB"/>
        </w:rPr>
        <w:t>his research provides an example of how an exploratory sequential design can be effectively employed.  </w:t>
      </w:r>
    </w:p>
    <w:p w:rsidR="00BA5176" w:rsidRPr="00073321" w:rsidRDefault="00BA5176" w:rsidP="00BA5176">
      <w:pPr>
        <w:rPr>
          <w:rFonts w:eastAsia="Times New Roman" w:cstheme="minorHAnsi"/>
          <w:sz w:val="24"/>
          <w:szCs w:val="24"/>
          <w:lang w:eastAsia="en-GB"/>
        </w:rPr>
      </w:pPr>
    </w:p>
    <w:p w:rsidR="00BA5176" w:rsidRPr="00073321" w:rsidRDefault="00BA5176" w:rsidP="00BA5176">
      <w:pPr>
        <w:rPr>
          <w:rFonts w:eastAsia="Times New Roman" w:cstheme="minorHAnsi"/>
          <w:sz w:val="24"/>
          <w:szCs w:val="24"/>
          <w:lang w:eastAsia="en-GB"/>
        </w:rPr>
      </w:pPr>
      <w:r w:rsidRPr="00073321">
        <w:rPr>
          <w:rFonts w:eastAsia="Times New Roman" w:cstheme="minorHAnsi"/>
          <w:b/>
          <w:bCs/>
          <w:sz w:val="24"/>
          <w:szCs w:val="24"/>
          <w:u w:val="single"/>
          <w:lang w:eastAsia="en-GB"/>
        </w:rPr>
        <w:t>1.5 The researcher</w:t>
      </w:r>
    </w:p>
    <w:p w:rsidR="00BA5176" w:rsidRPr="00073321" w:rsidRDefault="00BA5176" w:rsidP="00BA5176">
      <w:pPr>
        <w:rPr>
          <w:rFonts w:eastAsia="Times New Roman" w:cstheme="minorHAnsi"/>
          <w:sz w:val="24"/>
          <w:szCs w:val="24"/>
          <w:lang w:eastAsia="en-GB"/>
        </w:rPr>
      </w:pPr>
    </w:p>
    <w:p w:rsidR="00BA5176" w:rsidRPr="00073321" w:rsidRDefault="00BA5176" w:rsidP="00BA5176">
      <w:pPr>
        <w:rPr>
          <w:rFonts w:eastAsia="Times New Roman" w:cstheme="minorHAnsi"/>
          <w:sz w:val="24"/>
          <w:szCs w:val="24"/>
          <w:lang w:eastAsia="en-GB"/>
        </w:rPr>
      </w:pPr>
      <w:r w:rsidRPr="00073321">
        <w:rPr>
          <w:rFonts w:eastAsia="Times New Roman" w:cstheme="minorHAnsi"/>
          <w:lang w:eastAsia="en-GB"/>
        </w:rPr>
        <w:t>The following section in this chapter reflexively addresses the motivation and interest in the research topic and the researcher’s professional and academic experiences that have led to the unde</w:t>
      </w:r>
      <w:r w:rsidR="00755923" w:rsidRPr="00073321">
        <w:rPr>
          <w:rFonts w:eastAsia="Times New Roman" w:cstheme="minorHAnsi"/>
          <w:lang w:eastAsia="en-GB"/>
        </w:rPr>
        <w:t xml:space="preserve">rtaking of this doctoral study.  </w:t>
      </w:r>
      <w:r w:rsidRPr="00073321">
        <w:rPr>
          <w:rFonts w:eastAsia="Times New Roman" w:cstheme="minorHAnsi"/>
          <w:lang w:eastAsia="en-GB"/>
        </w:rPr>
        <w:t> </w:t>
      </w:r>
      <w:r w:rsidR="00755923" w:rsidRPr="00073321">
        <w:rPr>
          <w:rFonts w:eastAsia="Times New Roman" w:cstheme="minorHAnsi"/>
          <w:lang w:eastAsia="en-GB"/>
        </w:rPr>
        <w:t xml:space="preserve">Engaging in explicit self-awareness is argued to enhance the integrity and trustworthiness of research </w:t>
      </w:r>
      <w:r w:rsidR="00755923" w:rsidRPr="00073321">
        <w:rPr>
          <w:rFonts w:eastAsia="Times New Roman" w:cstheme="minorHAnsi"/>
          <w:lang w:eastAsia="en-GB"/>
        </w:rPr>
        <w:fldChar w:fldCharType="begin" w:fldLock="1"/>
      </w:r>
      <w:r w:rsidR="00395650" w:rsidRPr="00073321">
        <w:rPr>
          <w:rFonts w:eastAsia="Times New Roman" w:cstheme="minorHAnsi"/>
          <w:lang w:eastAsia="en-GB"/>
        </w:rPr>
        <w:instrText>ADDIN CSL_CITATION { "citationItems" : [ { "id" : "ITEM-1", "itemData" : { "author" : [ { "dropping-particle" : "", "family" : "Patton", "given" : "MQ", "non-dropping-particle" : "", "parse-names" : false, "suffix" : "" } ], "id" : "ITEM-1", "issued" : { "date-parts" : [ [ "1990" ] ] }, "publisher" : "SAGE Publications Inc.", "publisher-place" : "Thousand Oaks", "title" : "Qualitative evaluation and research methods .", "type" : "book" }, "uris" : [ "http://www.mendeley.com/documents/?uuid=9225ea63-af32-4b1a-8445-c8d31666b4a7" ] }, { "id" : "ITEM-2", "itemData" : { "author" : [ { "dropping-particle" : "", "family" : "Finlay", "given" : "L", "non-dropping-particle" : "", "parse-names" : false, "suffix" : "" } ], "container-title" : "Qualitative health research", "id" : "ITEM-2", "issue" : "4", "issued" : { "date-parts" : [ [ "2002" ] ] }, "page" : "531-45", "title" : "\u201cOuting\u201d the researcher: The provenance, process, and practice of reflexivity", "type" : "article-journal", "volume" : "12" }, "uris" : [ "http://www.mendeley.com/documents/?uuid=7576f082-1e2b-411c-86c7-bfc33aeb707e" ] } ], "mendeley" : { "formattedCitation" : "(Patton, 1990; Finlay, 2002b)", "plainTextFormattedCitation" : "(Patton, 1990; Finlay, 2002b)", "previouslyFormattedCitation" : "(Patton, 1990; Finlay, 2002b)" }, "properties" : { "noteIndex" : 0 }, "schema" : "https://github.com/citation-style-language/schema/raw/master/csl-citation.json" }</w:instrText>
      </w:r>
      <w:r w:rsidR="00755923" w:rsidRPr="00073321">
        <w:rPr>
          <w:rFonts w:eastAsia="Times New Roman" w:cstheme="minorHAnsi"/>
          <w:lang w:eastAsia="en-GB"/>
        </w:rPr>
        <w:fldChar w:fldCharType="separate"/>
      </w:r>
      <w:r w:rsidR="00755923" w:rsidRPr="00073321">
        <w:rPr>
          <w:rFonts w:eastAsia="Times New Roman" w:cstheme="minorHAnsi"/>
          <w:noProof/>
          <w:lang w:eastAsia="en-GB"/>
        </w:rPr>
        <w:t>(Patton, 1990; Finlay, 2002b)</w:t>
      </w:r>
      <w:r w:rsidR="00755923" w:rsidRPr="00073321">
        <w:rPr>
          <w:rFonts w:eastAsia="Times New Roman" w:cstheme="minorHAnsi"/>
          <w:lang w:eastAsia="en-GB"/>
        </w:rPr>
        <w:fldChar w:fldCharType="end"/>
      </w:r>
      <w:r w:rsidR="00AB4D82">
        <w:rPr>
          <w:rFonts w:eastAsia="Times New Roman" w:cstheme="minorHAnsi"/>
          <w:lang w:eastAsia="en-GB"/>
        </w:rPr>
        <w:t>, and an</w:t>
      </w:r>
      <w:r w:rsidR="00755923" w:rsidRPr="00073321">
        <w:rPr>
          <w:rFonts w:eastAsia="Times New Roman" w:cstheme="minorHAnsi"/>
          <w:lang w:eastAsia="en-GB"/>
        </w:rPr>
        <w:t xml:space="preserve"> important part of this reflexive process is being transparent about one’s own background and experiences </w:t>
      </w:r>
      <w:r w:rsidR="00755923" w:rsidRPr="00073321">
        <w:rPr>
          <w:rFonts w:eastAsia="Times New Roman" w:cstheme="minorHAnsi"/>
          <w:lang w:eastAsia="en-GB"/>
        </w:rPr>
        <w:fldChar w:fldCharType="begin" w:fldLock="1"/>
      </w:r>
      <w:r w:rsidR="009C2ECF" w:rsidRPr="00073321">
        <w:rPr>
          <w:rFonts w:eastAsia="Times New Roman" w:cstheme="minorHAnsi"/>
          <w:lang w:eastAsia="en-GB"/>
        </w:rPr>
        <w:instrText>ADDIN CSL_CITATION { "citationItems" : [ { "id" : "ITEM-1", "itemData" : { "author" : [ { "dropping-particle" : "", "family" : "Davies", "given" : "D", "non-dropping-particle" : "", "parse-names" : false, "suffix" : "" }, { "dropping-particle" : "", "family" : "Dodd", "given" : "J", "non-dropping-particle" : "", "parse-names" : false, "suffix" : "" } ], "container-title" : "Qualitative health research", "id" : "ITEM-1", "issue" : "2", "issued" : { "date-parts" : [ [ "2002" ] ] }, "page" : "279-89", "title" : "Qualitative research and the question of rigor", "type" : "article-journal", "volume" : "12" }, "uris" : [ "http://www.mendeley.com/documents/?uuid=d3a23a57-261e-4cda-924f-5e639b37f28a" ] }, { "id" : "ITEM-2", "itemData" : { "author" : [ { "dropping-particle" : "", "family" : "Starks", "given" : "H", "non-dropping-particle" : "", "parse-names" : false, "suffix" : "" }, { "dropping-particle" : "", "family" : "Trinidad", "given" : "SB", "non-dropping-particle" : "", "parse-names" : false, "suffix" : "" } ], "container-title" : "Qualitative health research", "id" : "ITEM-2", "issue" : "10", "issued" : { "date-parts" : [ [ "2007" ] ] }, "page" : "1372-1380", "title" : "Choose your method: A comparison of phenomenology, discourse analysis, and grounded theory", "type" : "article-journal", "volume" : "17" }, "uris" : [ "http://www.mendeley.com/documents/?uuid=f86caa42-de6c-4845-b72e-65b2e973b1cc" ] } ], "mendeley" : { "formattedCitation" : "(Davies and Dodd, 2002; Starks and Trinidad, 2007)", "plainTextFormattedCitation" : "(Davies and Dodd, 2002; Starks and Trinidad, 2007)", "previouslyFormattedCitation" : "(Davies and Dodd, 2002; Starks and Trinidad, 2007)" }, "properties" : { "noteIndex" : 0 }, "schema" : "https://github.com/citation-style-language/schema/raw/master/csl-citation.json" }</w:instrText>
      </w:r>
      <w:r w:rsidR="00755923" w:rsidRPr="00073321">
        <w:rPr>
          <w:rFonts w:eastAsia="Times New Roman" w:cstheme="minorHAnsi"/>
          <w:lang w:eastAsia="en-GB"/>
        </w:rPr>
        <w:fldChar w:fldCharType="separate"/>
      </w:r>
      <w:r w:rsidR="00755923" w:rsidRPr="00073321">
        <w:rPr>
          <w:rFonts w:eastAsia="Times New Roman" w:cstheme="minorHAnsi"/>
          <w:noProof/>
          <w:lang w:eastAsia="en-GB"/>
        </w:rPr>
        <w:t>(Davies and Dodd, 2002; Starks and Trinidad, 2007)</w:t>
      </w:r>
      <w:r w:rsidR="00755923" w:rsidRPr="00073321">
        <w:rPr>
          <w:rFonts w:eastAsia="Times New Roman" w:cstheme="minorHAnsi"/>
          <w:lang w:eastAsia="en-GB"/>
        </w:rPr>
        <w:fldChar w:fldCharType="end"/>
      </w:r>
    </w:p>
    <w:p w:rsidR="00755923" w:rsidRPr="00073321" w:rsidRDefault="00755923" w:rsidP="00755923">
      <w:pPr>
        <w:tabs>
          <w:tab w:val="left" w:pos="3750"/>
        </w:tabs>
        <w:rPr>
          <w:rFonts w:eastAsia="Times New Roman" w:cstheme="minorHAnsi"/>
          <w:sz w:val="24"/>
          <w:szCs w:val="24"/>
          <w:lang w:eastAsia="en-GB"/>
        </w:rPr>
      </w:pPr>
    </w:p>
    <w:p w:rsidR="00BA5176" w:rsidRPr="00073321" w:rsidRDefault="00BA5176" w:rsidP="00755923">
      <w:pPr>
        <w:tabs>
          <w:tab w:val="left" w:pos="3750"/>
        </w:tabs>
        <w:rPr>
          <w:rFonts w:eastAsia="Times New Roman" w:cstheme="minorHAnsi"/>
          <w:sz w:val="24"/>
          <w:szCs w:val="24"/>
          <w:lang w:eastAsia="en-GB"/>
        </w:rPr>
      </w:pPr>
      <w:r w:rsidRPr="00073321">
        <w:rPr>
          <w:rFonts w:eastAsia="Times New Roman" w:cstheme="minorHAnsi"/>
          <w:lang w:eastAsia="en-GB"/>
        </w:rPr>
        <w:t>The researcher’s initial interest in the topic of childhood and adolescent obesity arose from a professional perspective.  At the time of applying for a faculty scholarship, the researcher was employed as a Public Health Specialist in a local authority within the Yorkshire and Humber region.  Within this role, the researcher had the strategic and commissioning responsibility for child, adolescent and adult obesity.  This required engagement with multi-agency partners and organisation, including schools.  </w:t>
      </w:r>
      <w:r w:rsidR="009A0D97">
        <w:rPr>
          <w:rFonts w:eastAsia="Times New Roman" w:cstheme="minorHAnsi"/>
          <w:lang w:eastAsia="en-GB"/>
        </w:rPr>
        <w:t xml:space="preserve">For one piece of work, despite offering to provide resources to implement obesity prevention interventions, </w:t>
      </w:r>
      <w:r w:rsidR="009A0D97" w:rsidRPr="00073321">
        <w:rPr>
          <w:rFonts w:eastAsia="Times New Roman" w:cstheme="minorHAnsi"/>
          <w:lang w:eastAsia="en-GB"/>
        </w:rPr>
        <w:t xml:space="preserve">the researcher had experienced substantial </w:t>
      </w:r>
      <w:r w:rsidR="009A0D97">
        <w:rPr>
          <w:rFonts w:eastAsia="Times New Roman" w:cstheme="minorHAnsi"/>
          <w:lang w:eastAsia="en-GB"/>
        </w:rPr>
        <w:t xml:space="preserve">professional </w:t>
      </w:r>
      <w:r w:rsidR="009A0D97" w:rsidRPr="00073321">
        <w:rPr>
          <w:rFonts w:eastAsia="Times New Roman" w:cstheme="minorHAnsi"/>
          <w:lang w:eastAsia="en-GB"/>
        </w:rPr>
        <w:t>resistance when attempting to engage with local headteachers</w:t>
      </w:r>
      <w:r w:rsidR="009A0D97">
        <w:rPr>
          <w:rFonts w:eastAsia="Times New Roman" w:cstheme="minorHAnsi"/>
          <w:lang w:eastAsia="en-GB"/>
        </w:rPr>
        <w:t>.</w:t>
      </w:r>
    </w:p>
    <w:p w:rsidR="00BA5176" w:rsidRPr="00073321" w:rsidRDefault="00BA5176" w:rsidP="00BA5176">
      <w:pPr>
        <w:rPr>
          <w:rFonts w:eastAsia="Times New Roman" w:cstheme="minorHAnsi"/>
          <w:sz w:val="24"/>
          <w:szCs w:val="24"/>
          <w:lang w:eastAsia="en-GB"/>
        </w:rPr>
      </w:pPr>
    </w:p>
    <w:p w:rsidR="00BA5176" w:rsidRPr="00073321" w:rsidRDefault="00BA5176" w:rsidP="00BA5176">
      <w:pPr>
        <w:rPr>
          <w:rFonts w:eastAsia="Times New Roman" w:cstheme="minorHAnsi"/>
          <w:sz w:val="24"/>
          <w:szCs w:val="24"/>
          <w:lang w:eastAsia="en-GB"/>
        </w:rPr>
      </w:pPr>
      <w:r w:rsidRPr="00073321">
        <w:rPr>
          <w:rFonts w:eastAsia="Times New Roman" w:cstheme="minorHAnsi"/>
          <w:lang w:eastAsia="en-GB"/>
        </w:rPr>
        <w:t>During this time, the researcher was undertaking a Master of Public Health (MPH) degree at The University of Sheffield.</w:t>
      </w:r>
      <w:r w:rsidR="009A0D97">
        <w:rPr>
          <w:rFonts w:eastAsia="Times New Roman" w:cstheme="minorHAnsi"/>
          <w:lang w:eastAsia="en-GB"/>
        </w:rPr>
        <w:t xml:space="preserve">  </w:t>
      </w:r>
      <w:r w:rsidRPr="00073321">
        <w:rPr>
          <w:rFonts w:eastAsia="Times New Roman" w:cstheme="minorHAnsi"/>
          <w:lang w:eastAsia="en-GB"/>
        </w:rPr>
        <w:t>Consequently, it was identified that there could be significant value in conducting a research project fo</w:t>
      </w:r>
      <w:r w:rsidR="00AB4D82">
        <w:rPr>
          <w:rFonts w:eastAsia="Times New Roman" w:cstheme="minorHAnsi"/>
          <w:lang w:eastAsia="en-GB"/>
        </w:rPr>
        <w:t>r the MPH dissertation, which focused on h</w:t>
      </w:r>
      <w:r w:rsidRPr="00073321">
        <w:rPr>
          <w:rFonts w:eastAsia="Times New Roman" w:cstheme="minorHAnsi"/>
          <w:lang w:eastAsia="en-GB"/>
        </w:rPr>
        <w:t>eadteachers</w:t>
      </w:r>
      <w:r w:rsidR="00755923" w:rsidRPr="00073321">
        <w:rPr>
          <w:rFonts w:eastAsia="Times New Roman" w:cstheme="minorHAnsi"/>
          <w:lang w:eastAsia="en-GB"/>
        </w:rPr>
        <w:t>’</w:t>
      </w:r>
      <w:r w:rsidRPr="00073321">
        <w:rPr>
          <w:rFonts w:eastAsia="Times New Roman" w:cstheme="minorHAnsi"/>
          <w:lang w:eastAsia="en-GB"/>
        </w:rPr>
        <w:t xml:space="preserve"> perspectives of obesity and the barriers and facilitators to</w:t>
      </w:r>
      <w:r w:rsidR="003F305F" w:rsidRPr="00073321">
        <w:rPr>
          <w:rFonts w:eastAsia="Times New Roman" w:cstheme="minorHAnsi"/>
          <w:lang w:eastAsia="en-GB"/>
        </w:rPr>
        <w:t xml:space="preserve"> preventing e</w:t>
      </w:r>
      <w:r w:rsidR="00F34CB5" w:rsidRPr="00073321">
        <w:rPr>
          <w:rFonts w:eastAsia="Times New Roman" w:cstheme="minorHAnsi"/>
          <w:lang w:eastAsia="en-GB"/>
        </w:rPr>
        <w:t>xcess weight in school settings</w:t>
      </w:r>
      <w:r w:rsidRPr="00073321">
        <w:rPr>
          <w:rFonts w:eastAsia="Times New Roman" w:cstheme="minorHAnsi"/>
          <w:lang w:eastAsia="en-GB"/>
        </w:rPr>
        <w:t>.  </w:t>
      </w:r>
      <w:r w:rsidR="009A0D97" w:rsidRPr="00073321">
        <w:rPr>
          <w:rFonts w:eastAsia="Times New Roman" w:cstheme="minorHAnsi"/>
          <w:lang w:eastAsia="en-GB"/>
        </w:rPr>
        <w:t xml:space="preserve"> </w:t>
      </w:r>
      <w:r w:rsidRPr="00073321">
        <w:rPr>
          <w:rFonts w:eastAsia="Times New Roman" w:cstheme="minorHAnsi"/>
          <w:lang w:eastAsia="en-GB"/>
        </w:rPr>
        <w:t>The resultant MPH research was published in the Journal of Public Health</w:t>
      </w:r>
      <w:r w:rsidR="00317603" w:rsidRPr="00073321">
        <w:rPr>
          <w:rFonts w:eastAsia="Times New Roman" w:cstheme="minorHAnsi"/>
          <w:lang w:eastAsia="en-GB"/>
        </w:rPr>
        <w:t xml:space="preserve"> </w:t>
      </w:r>
      <w:r w:rsidR="00317603" w:rsidRPr="00073321">
        <w:rPr>
          <w:rFonts w:eastAsia="Times New Roman" w:cstheme="minorHAnsi"/>
          <w:lang w:eastAsia="en-GB"/>
        </w:rPr>
        <w:fldChar w:fldCharType="begin" w:fldLock="1"/>
      </w:r>
      <w:r w:rsidR="00A84723" w:rsidRPr="00073321">
        <w:rPr>
          <w:rFonts w:eastAsia="Times New Roman" w:cstheme="minorHAnsi"/>
          <w:lang w:eastAsia="en-GB"/>
        </w:rPr>
        <w:instrText>ADDIN CSL_CITATION { "citationItems" : [ { "id" : "ITEM-1", "itemData" : { "author" : [ { "dropping-particle" : "", "family" : "Howard-Drake", "given" : "EJ", "non-dropping-particle" : "", "parse-names" : false, "suffix" : "" }, { "dropping-particle" : "", "family" : "Halliday", "given" : "V", "non-dropping-particle" : "", "parse-names" : false, "suffix" : "" } ], "container-title" : "Journal of Public Health", "id" : "ITEM-1", "issue" : "1", "issued" : { "date-parts" : [ [ "2015" ] ] }, "page" : "44-52", "title" : "Exploring primary school headteachers' perspectives on the barriers and facilitators of preventing childhood obesity", "type" : "article-journal", "volume" : "38" }, "uris" : [ "http://www.mendeley.com/documents/?uuid=5809992c-2717-4e23-9b1e-b80b2a030870" ] } ], "mendeley" : { "formattedCitation" : "(Howard-Drake and Halliday, 2015)", "manualFormatting" : "(Howard-Drake and Halliday, 2015)", "plainTextFormattedCitation" : "(Howard-Drake and Halliday, 2015)", "previouslyFormattedCitation" : "(Howard-Drake and Halliday, 2015)" }, "properties" : { "noteIndex" : 0 }, "schema" : "https://github.com/citation-style-language/schema/raw/master/csl-citation.json" }</w:instrText>
      </w:r>
      <w:r w:rsidR="00317603" w:rsidRPr="00073321">
        <w:rPr>
          <w:rFonts w:eastAsia="Times New Roman" w:cstheme="minorHAnsi"/>
          <w:lang w:eastAsia="en-GB"/>
        </w:rPr>
        <w:fldChar w:fldCharType="separate"/>
      </w:r>
      <w:r w:rsidR="00317603" w:rsidRPr="00073321">
        <w:rPr>
          <w:rFonts w:eastAsia="Times New Roman" w:cstheme="minorHAnsi"/>
          <w:noProof/>
          <w:lang w:eastAsia="en-GB"/>
        </w:rPr>
        <w:t>(Howard-Drake and Halliday, 2015)</w:t>
      </w:r>
      <w:r w:rsidR="00317603" w:rsidRPr="00073321">
        <w:rPr>
          <w:rFonts w:eastAsia="Times New Roman" w:cstheme="minorHAnsi"/>
          <w:lang w:eastAsia="en-GB"/>
        </w:rPr>
        <w:fldChar w:fldCharType="end"/>
      </w:r>
      <w:r w:rsidRPr="00073321">
        <w:rPr>
          <w:rFonts w:eastAsia="Times New Roman" w:cstheme="minorHAnsi"/>
          <w:lang w:eastAsia="en-GB"/>
        </w:rPr>
        <w:t>, and this further ignited the researcher’s passion for continuing to address the paucity of relevant literature on this topic.   </w:t>
      </w:r>
    </w:p>
    <w:p w:rsidR="00BA5176" w:rsidRPr="00073321" w:rsidRDefault="00BA5176" w:rsidP="00BA5176">
      <w:pPr>
        <w:rPr>
          <w:rFonts w:eastAsia="Times New Roman" w:cstheme="minorHAnsi"/>
          <w:sz w:val="24"/>
          <w:szCs w:val="24"/>
          <w:lang w:eastAsia="en-GB"/>
        </w:rPr>
      </w:pPr>
    </w:p>
    <w:p w:rsidR="00BA5176" w:rsidRPr="00073321" w:rsidRDefault="00BA5176" w:rsidP="00BA5176">
      <w:pPr>
        <w:rPr>
          <w:rFonts w:eastAsia="Times New Roman" w:cstheme="minorHAnsi"/>
          <w:sz w:val="24"/>
          <w:szCs w:val="24"/>
          <w:lang w:eastAsia="en-GB"/>
        </w:rPr>
      </w:pPr>
      <w:r w:rsidRPr="00073321">
        <w:rPr>
          <w:rFonts w:eastAsia="Times New Roman" w:cstheme="minorHAnsi"/>
          <w:lang w:eastAsia="en-GB"/>
        </w:rPr>
        <w:lastRenderedPageBreak/>
        <w:t>In the last year of the research, the researcher obtained a position as a Speciality Registrar in Public Health.  Whilst this changed the professional responsibilities from obesity to a wider range of public health topics, during the two days a week as a Registrar the researcher was still involved in obesity focused work.  For example as a peer-reviewer for the obesity chapter in a Joint Strategic Needs</w:t>
      </w:r>
      <w:r w:rsidR="00F34CB5" w:rsidRPr="00073321">
        <w:rPr>
          <w:rFonts w:eastAsia="Times New Roman" w:cstheme="minorHAnsi"/>
          <w:lang w:eastAsia="en-GB"/>
        </w:rPr>
        <w:t xml:space="preserve"> Assessment </w:t>
      </w:r>
      <w:r w:rsidRPr="00073321">
        <w:rPr>
          <w:rFonts w:eastAsia="Times New Roman" w:cstheme="minorHAnsi"/>
          <w:lang w:eastAsia="en-GB"/>
        </w:rPr>
        <w:t xml:space="preserve">and delivering </w:t>
      </w:r>
      <w:r w:rsidR="00F34CB5" w:rsidRPr="00073321">
        <w:rPr>
          <w:rFonts w:eastAsia="Times New Roman" w:cstheme="minorHAnsi"/>
          <w:lang w:eastAsia="en-GB"/>
        </w:rPr>
        <w:t xml:space="preserve">obesity focused </w:t>
      </w:r>
      <w:r w:rsidRPr="00073321">
        <w:rPr>
          <w:rFonts w:eastAsia="Times New Roman" w:cstheme="minorHAnsi"/>
          <w:lang w:eastAsia="en-GB"/>
        </w:rPr>
        <w:t>training to GP trainees.  </w:t>
      </w:r>
    </w:p>
    <w:p w:rsidR="00BA5176" w:rsidRPr="00073321" w:rsidRDefault="00BA5176" w:rsidP="00BA5176">
      <w:pPr>
        <w:rPr>
          <w:rFonts w:eastAsia="Times New Roman" w:cstheme="minorHAnsi"/>
          <w:sz w:val="24"/>
          <w:szCs w:val="24"/>
          <w:lang w:eastAsia="en-GB"/>
        </w:rPr>
      </w:pPr>
    </w:p>
    <w:p w:rsidR="00BA5176" w:rsidRPr="00073321" w:rsidRDefault="00BA5176" w:rsidP="00BA5176">
      <w:pPr>
        <w:rPr>
          <w:rFonts w:eastAsia="Times New Roman" w:cstheme="minorHAnsi"/>
          <w:sz w:val="24"/>
          <w:szCs w:val="24"/>
          <w:lang w:eastAsia="en-GB"/>
        </w:rPr>
      </w:pPr>
      <w:r w:rsidRPr="00073321">
        <w:rPr>
          <w:rFonts w:eastAsia="Times New Roman" w:cstheme="minorHAnsi"/>
          <w:lang w:eastAsia="en-GB"/>
        </w:rPr>
        <w:t>An additional personal factor also contributed to the researcher’s area of professional and academic interest.  Both the researcher’s parents were in secondary school leadership during the completion of the MPH and the doctoral study.  Frequent and extensive conversations with the researcher about their own and their peers experiences of engaging or not with the obesity prevention agenda, also enhanced the perceived value of conducting this study.  The intention was and has always been to address the lack of voice that headteachers and chairs of governors appear to have in the evidence base regarding obesity.  </w:t>
      </w:r>
    </w:p>
    <w:p w:rsidR="00BA5176" w:rsidRPr="00073321" w:rsidRDefault="00BA5176" w:rsidP="00BA5176">
      <w:pPr>
        <w:rPr>
          <w:rFonts w:eastAsia="Times New Roman" w:cstheme="minorHAnsi"/>
          <w:lang w:eastAsia="en-GB"/>
        </w:rPr>
      </w:pPr>
    </w:p>
    <w:p w:rsidR="00BA5176" w:rsidRPr="00073321" w:rsidRDefault="00BA5176" w:rsidP="00BA5176">
      <w:pPr>
        <w:rPr>
          <w:rFonts w:eastAsia="Times New Roman" w:cstheme="minorHAnsi"/>
          <w:sz w:val="24"/>
          <w:szCs w:val="24"/>
          <w:lang w:eastAsia="en-GB"/>
        </w:rPr>
      </w:pPr>
      <w:r w:rsidRPr="00073321">
        <w:rPr>
          <w:rFonts w:eastAsia="Times New Roman" w:cstheme="minorHAnsi"/>
          <w:lang w:eastAsia="en-GB"/>
        </w:rPr>
        <w:t xml:space="preserve">Whilst the above academic and professional experiences undoubtedly provides the researcher with a unique insight into the research topic under study, each could potentially have influenced the assumptions, perceptions and interpretations throughout the study </w:t>
      </w:r>
      <w:r w:rsidR="00DD40E6" w:rsidRPr="00073321">
        <w:rPr>
          <w:rFonts w:eastAsia="Times New Roman" w:cstheme="minorHAnsi"/>
          <w:lang w:eastAsia="en-GB"/>
        </w:rPr>
        <w:fldChar w:fldCharType="begin" w:fldLock="1"/>
      </w:r>
      <w:r w:rsidR="00395650" w:rsidRPr="00073321">
        <w:rPr>
          <w:rFonts w:eastAsia="Times New Roman" w:cstheme="minorHAnsi"/>
          <w:lang w:eastAsia="en-GB"/>
        </w:rPr>
        <w:instrText>ADDIN CSL_CITATION { "citationItems" : [ { "id" : "ITEM-1", "itemData" : { "author" : [ { "dropping-particle" : "", "family" : "Finlay", "given" : "L", "non-dropping-particle" : "", "parse-names" : false, "suffix" : "" } ], "container-title" : "Qualitative research", "id" : "ITEM-1", "issue" : "2", "issued" : { "date-parts" : [ [ "2002" ] ] }, "page" : "209-230", "title" : "Negotiating the swamp: the opportunity and challenge of reflexivity in research practice", "type" : "article-journal", "volume" : "2" }, "uris" : [ "http://www.mendeley.com/documents/?uuid=7a1963c6-e863-433e-bf37-82b4b37a5d1e" ] }, { "id" : "ITEM-2", "itemData" : { "author" : [ { "dropping-particle" : "", "family" : "Finlay", "given" : "L", "non-dropping-particle" : "", "parse-names" : false, "suffix" : "" } ], "container-title" : "Qualitative health research", "id" : "ITEM-2", "issue" : "4", "issued" : { "date-parts" : [ [ "2002" ] ] }, "page" : "531-45", "title" : "\u201cOuting\u201d the researcher: The provenance, process, and practice of reflexivity", "type" : "article-journal", "volume" : "12" }, "uris" : [ "http://www.mendeley.com/documents/?uuid=7576f082-1e2b-411c-86c7-bfc33aeb707e" ] } ], "mendeley" : { "formattedCitation" : "(Finlay, 2002a, 2002b)", "plainTextFormattedCitation" : "(Finlay, 2002a, 2002b)", "previouslyFormattedCitation" : "(Finlay, 2002a, 2002b)" }, "properties" : { "noteIndex" : 0 }, "schema" : "https://github.com/citation-style-language/schema/raw/master/csl-citation.json" }</w:instrText>
      </w:r>
      <w:r w:rsidR="00DD40E6" w:rsidRPr="00073321">
        <w:rPr>
          <w:rFonts w:eastAsia="Times New Roman" w:cstheme="minorHAnsi"/>
          <w:lang w:eastAsia="en-GB"/>
        </w:rPr>
        <w:fldChar w:fldCharType="separate"/>
      </w:r>
      <w:r w:rsidR="00DD40E6" w:rsidRPr="00073321">
        <w:rPr>
          <w:rFonts w:eastAsia="Times New Roman" w:cstheme="minorHAnsi"/>
          <w:noProof/>
          <w:lang w:eastAsia="en-GB"/>
        </w:rPr>
        <w:t>(Finlay, 2002a, 2002b)</w:t>
      </w:r>
      <w:r w:rsidR="00DD40E6" w:rsidRPr="00073321">
        <w:rPr>
          <w:rFonts w:eastAsia="Times New Roman" w:cstheme="minorHAnsi"/>
          <w:lang w:eastAsia="en-GB"/>
        </w:rPr>
        <w:fldChar w:fldCharType="end"/>
      </w:r>
      <w:r w:rsidR="00DD40E6" w:rsidRPr="00073321">
        <w:rPr>
          <w:rFonts w:eastAsia="Times New Roman" w:cstheme="minorHAnsi"/>
          <w:lang w:eastAsia="en-GB"/>
        </w:rPr>
        <w:t xml:space="preserve">.  </w:t>
      </w:r>
      <w:r w:rsidRPr="00073321">
        <w:rPr>
          <w:rFonts w:eastAsia="Times New Roman" w:cstheme="minorHAnsi"/>
          <w:lang w:eastAsia="en-GB"/>
        </w:rPr>
        <w:t xml:space="preserve">It is important to be mindful especially given the exploratory nature of the research and based on the experiences above, that there were points within the research process where participants’ views or experiences conflicted with the researcher’s internal standpoint.  In addition, the researcher was constantly aware of the need to minimise researcher bias in order to accurately represent </w:t>
      </w:r>
      <w:r w:rsidR="003F305F" w:rsidRPr="00073321">
        <w:rPr>
          <w:rFonts w:eastAsia="Times New Roman" w:cstheme="minorHAnsi"/>
          <w:lang w:eastAsia="en-GB"/>
        </w:rPr>
        <w:t>participants’</w:t>
      </w:r>
      <w:r w:rsidRPr="00073321">
        <w:rPr>
          <w:rFonts w:eastAsia="Times New Roman" w:cstheme="minorHAnsi"/>
          <w:lang w:eastAsia="en-GB"/>
        </w:rPr>
        <w:t xml:space="preserve"> perspectives and meanings.  A fundamental aspect of this research process therefore was the researcher’s effective and continuous engagement with academic supervision.</w:t>
      </w:r>
    </w:p>
    <w:p w:rsidR="00BA5176" w:rsidRPr="00073321" w:rsidRDefault="00BA5176" w:rsidP="00BA5176">
      <w:pPr>
        <w:rPr>
          <w:rFonts w:eastAsia="Times New Roman" w:cstheme="minorHAnsi"/>
          <w:sz w:val="24"/>
          <w:szCs w:val="24"/>
          <w:lang w:eastAsia="en-GB"/>
        </w:rPr>
      </w:pPr>
    </w:p>
    <w:p w:rsidR="00BA5176" w:rsidRPr="00073321" w:rsidRDefault="00F34CB5" w:rsidP="00BA5176">
      <w:pPr>
        <w:rPr>
          <w:rFonts w:eastAsia="Times New Roman" w:cstheme="minorHAnsi"/>
          <w:sz w:val="24"/>
          <w:szCs w:val="24"/>
          <w:lang w:eastAsia="en-GB"/>
        </w:rPr>
      </w:pPr>
      <w:r w:rsidRPr="00073321">
        <w:rPr>
          <w:rFonts w:eastAsia="Times New Roman" w:cstheme="minorHAnsi"/>
          <w:lang w:eastAsia="en-GB"/>
        </w:rPr>
        <w:t>In chapter 5.6</w:t>
      </w:r>
      <w:r w:rsidR="00BA5176" w:rsidRPr="00073321">
        <w:rPr>
          <w:rFonts w:eastAsia="Times New Roman" w:cstheme="minorHAnsi"/>
          <w:lang w:eastAsia="en-GB"/>
        </w:rPr>
        <w:t xml:space="preserve"> the researcher’s approach to reflexivity is pro</w:t>
      </w:r>
      <w:r w:rsidR="00C72206" w:rsidRPr="00073321">
        <w:rPr>
          <w:rFonts w:eastAsia="Times New Roman" w:cstheme="minorHAnsi"/>
          <w:lang w:eastAsia="en-GB"/>
        </w:rPr>
        <w:t xml:space="preserve">vided in depth and </w:t>
      </w:r>
      <w:r w:rsidR="00484675" w:rsidRPr="00073321">
        <w:rPr>
          <w:rFonts w:eastAsia="Times New Roman" w:cstheme="minorHAnsi"/>
          <w:lang w:eastAsia="en-GB"/>
        </w:rPr>
        <w:t>Appendix M</w:t>
      </w:r>
      <w:r w:rsidR="00C72206" w:rsidRPr="00073321">
        <w:rPr>
          <w:rFonts w:eastAsia="Times New Roman" w:cstheme="minorHAnsi"/>
          <w:lang w:eastAsia="en-GB"/>
        </w:rPr>
        <w:t xml:space="preserve"> </w:t>
      </w:r>
      <w:r w:rsidR="00BA5176" w:rsidRPr="00073321">
        <w:rPr>
          <w:rFonts w:eastAsia="Times New Roman" w:cstheme="minorHAnsi"/>
          <w:lang w:eastAsia="en-GB"/>
        </w:rPr>
        <w:t xml:space="preserve">presents </w:t>
      </w:r>
      <w:r w:rsidR="00484675" w:rsidRPr="00073321">
        <w:rPr>
          <w:rFonts w:eastAsia="Times New Roman" w:cstheme="minorHAnsi"/>
          <w:lang w:eastAsia="en-GB"/>
        </w:rPr>
        <w:t xml:space="preserve">a detailed </w:t>
      </w:r>
      <w:r w:rsidR="00BA5176" w:rsidRPr="00073321">
        <w:rPr>
          <w:rFonts w:eastAsia="Times New Roman" w:cstheme="minorHAnsi"/>
          <w:lang w:eastAsia="en-GB"/>
        </w:rPr>
        <w:t>personal reflection of the research</w:t>
      </w:r>
      <w:r w:rsidR="00484675" w:rsidRPr="00073321">
        <w:rPr>
          <w:rFonts w:eastAsia="Times New Roman" w:cstheme="minorHAnsi"/>
          <w:lang w:eastAsia="en-GB"/>
        </w:rPr>
        <w:t>er’s</w:t>
      </w:r>
      <w:r w:rsidR="00BA5176" w:rsidRPr="00073321">
        <w:rPr>
          <w:rFonts w:eastAsia="Times New Roman" w:cstheme="minorHAnsi"/>
          <w:lang w:eastAsia="en-GB"/>
        </w:rPr>
        <w:t xml:space="preserve"> journey.</w:t>
      </w:r>
    </w:p>
    <w:p w:rsidR="00BA5176" w:rsidRPr="00073321" w:rsidRDefault="00BA5176" w:rsidP="00BA5176">
      <w:pPr>
        <w:rPr>
          <w:rFonts w:eastAsia="Times New Roman" w:cstheme="minorHAnsi"/>
          <w:sz w:val="24"/>
          <w:szCs w:val="24"/>
          <w:lang w:eastAsia="en-GB"/>
        </w:rPr>
      </w:pPr>
    </w:p>
    <w:p w:rsidR="00BA5176" w:rsidRPr="00073321" w:rsidRDefault="00BA5176" w:rsidP="00BA5176">
      <w:pPr>
        <w:rPr>
          <w:rFonts w:eastAsia="Times New Roman" w:cstheme="minorHAnsi"/>
          <w:sz w:val="24"/>
          <w:szCs w:val="24"/>
          <w:lang w:eastAsia="en-GB"/>
        </w:rPr>
      </w:pPr>
      <w:r w:rsidRPr="00073321">
        <w:rPr>
          <w:rFonts w:eastAsia="Times New Roman" w:cstheme="minorHAnsi"/>
          <w:b/>
          <w:bCs/>
          <w:sz w:val="24"/>
          <w:szCs w:val="24"/>
          <w:u w:val="single"/>
          <w:lang w:eastAsia="en-GB"/>
        </w:rPr>
        <w:t>1.6 Structure and organisation of the thesis</w:t>
      </w:r>
    </w:p>
    <w:p w:rsidR="00BA5176" w:rsidRPr="00073321" w:rsidRDefault="00BA5176" w:rsidP="00BA5176">
      <w:pPr>
        <w:rPr>
          <w:rFonts w:eastAsia="Times New Roman" w:cstheme="minorHAnsi"/>
          <w:sz w:val="24"/>
          <w:szCs w:val="24"/>
          <w:lang w:eastAsia="en-GB"/>
        </w:rPr>
      </w:pPr>
    </w:p>
    <w:p w:rsidR="00BA5176" w:rsidRPr="00073321" w:rsidRDefault="003F305F" w:rsidP="00BA5176">
      <w:pPr>
        <w:rPr>
          <w:rFonts w:eastAsia="Times New Roman" w:cstheme="minorHAnsi"/>
          <w:lang w:eastAsia="en-GB"/>
        </w:rPr>
      </w:pPr>
      <w:r w:rsidRPr="00073321">
        <w:rPr>
          <w:rFonts w:eastAsia="Times New Roman" w:cstheme="minorHAnsi"/>
          <w:lang w:eastAsia="en-GB"/>
        </w:rPr>
        <w:t>This</w:t>
      </w:r>
      <w:r w:rsidR="00BA5176" w:rsidRPr="00073321">
        <w:rPr>
          <w:rFonts w:eastAsia="Times New Roman" w:cstheme="minorHAnsi"/>
          <w:lang w:eastAsia="en-GB"/>
        </w:rPr>
        <w:t xml:space="preserve"> thesis is presented over ten distinct chapters.  The following provides a brief overview of the cont</w:t>
      </w:r>
      <w:r w:rsidR="005F1170" w:rsidRPr="00073321">
        <w:rPr>
          <w:rFonts w:eastAsia="Times New Roman" w:cstheme="minorHAnsi"/>
          <w:lang w:eastAsia="en-GB"/>
        </w:rPr>
        <w:t>ents of each respective chapter:</w:t>
      </w:r>
      <w:r w:rsidR="00BA5176" w:rsidRPr="00073321">
        <w:rPr>
          <w:rFonts w:eastAsia="Times New Roman" w:cstheme="minorHAnsi"/>
          <w:lang w:eastAsia="en-GB"/>
        </w:rPr>
        <w:t xml:space="preserve"> </w:t>
      </w:r>
    </w:p>
    <w:p w:rsidR="00C72206" w:rsidRPr="00073321" w:rsidRDefault="00C72206" w:rsidP="00BA5176">
      <w:pPr>
        <w:rPr>
          <w:rFonts w:eastAsia="Times New Roman" w:cstheme="minorHAnsi"/>
          <w:i/>
          <w:iCs/>
          <w:lang w:eastAsia="en-GB"/>
        </w:rPr>
      </w:pPr>
    </w:p>
    <w:p w:rsidR="009A0D97" w:rsidRDefault="009A0D97" w:rsidP="00BA5176">
      <w:pPr>
        <w:rPr>
          <w:rFonts w:eastAsia="Times New Roman" w:cstheme="minorHAnsi"/>
          <w:i/>
          <w:iCs/>
          <w:lang w:eastAsia="en-GB"/>
        </w:rPr>
      </w:pPr>
    </w:p>
    <w:p w:rsidR="009A0D97" w:rsidRDefault="009A0D97" w:rsidP="00BA5176">
      <w:pPr>
        <w:rPr>
          <w:rFonts w:eastAsia="Times New Roman" w:cstheme="minorHAnsi"/>
          <w:i/>
          <w:iCs/>
          <w:lang w:eastAsia="en-GB"/>
        </w:rPr>
      </w:pPr>
    </w:p>
    <w:p w:rsidR="00BA5176" w:rsidRPr="00073321" w:rsidRDefault="002C6470" w:rsidP="00BA5176">
      <w:pPr>
        <w:rPr>
          <w:rFonts w:eastAsia="Times New Roman" w:cstheme="minorHAnsi"/>
          <w:sz w:val="24"/>
          <w:szCs w:val="24"/>
          <w:lang w:eastAsia="en-GB"/>
        </w:rPr>
      </w:pPr>
      <w:r w:rsidRPr="00073321">
        <w:rPr>
          <w:rFonts w:eastAsia="Times New Roman" w:cstheme="minorHAnsi"/>
          <w:i/>
          <w:iCs/>
          <w:lang w:eastAsia="en-GB"/>
        </w:rPr>
        <w:lastRenderedPageBreak/>
        <w:t>Chapter 1</w:t>
      </w:r>
      <w:r w:rsidR="00BA5176" w:rsidRPr="00073321">
        <w:rPr>
          <w:rFonts w:eastAsia="Times New Roman" w:cstheme="minorHAnsi"/>
          <w:i/>
          <w:iCs/>
          <w:lang w:eastAsia="en-GB"/>
        </w:rPr>
        <w:t xml:space="preserve"> Introduction</w:t>
      </w:r>
    </w:p>
    <w:p w:rsidR="00BA5176" w:rsidRPr="00073321" w:rsidRDefault="00BA5176" w:rsidP="00BA5176">
      <w:pPr>
        <w:rPr>
          <w:rFonts w:eastAsia="Times New Roman" w:cstheme="minorHAnsi"/>
          <w:sz w:val="24"/>
          <w:szCs w:val="24"/>
          <w:lang w:eastAsia="en-GB"/>
        </w:rPr>
      </w:pPr>
    </w:p>
    <w:p w:rsidR="00BA5176" w:rsidRPr="00073321" w:rsidRDefault="003F305F" w:rsidP="00BA5176">
      <w:pPr>
        <w:rPr>
          <w:rFonts w:eastAsia="Times New Roman" w:cstheme="minorHAnsi"/>
          <w:sz w:val="24"/>
          <w:szCs w:val="24"/>
          <w:lang w:eastAsia="en-GB"/>
        </w:rPr>
      </w:pPr>
      <w:r w:rsidRPr="00073321">
        <w:rPr>
          <w:rFonts w:eastAsia="Times New Roman" w:cstheme="minorHAnsi"/>
          <w:lang w:eastAsia="en-GB"/>
        </w:rPr>
        <w:t>Chapter one</w:t>
      </w:r>
      <w:r w:rsidR="00BA5176" w:rsidRPr="00073321">
        <w:rPr>
          <w:rFonts w:eastAsia="Times New Roman" w:cstheme="minorHAnsi"/>
          <w:lang w:eastAsia="en-GB"/>
        </w:rPr>
        <w:t xml:space="preserve"> begins by providing a background to the research study and an explanation of the research study purpose and approach.  The perceived potential contribution of the research study is then discussed before an in-depth account of the researcher’s background is provided.  This first chapter concludes with a brief summary of the thesis structure and organisation.    </w:t>
      </w:r>
    </w:p>
    <w:p w:rsidR="003F305F" w:rsidRPr="00073321" w:rsidRDefault="003F305F" w:rsidP="00BA5176">
      <w:pPr>
        <w:rPr>
          <w:rFonts w:eastAsia="Times New Roman" w:cstheme="minorHAnsi"/>
          <w:sz w:val="24"/>
          <w:szCs w:val="24"/>
          <w:lang w:eastAsia="en-GB"/>
        </w:rPr>
      </w:pPr>
    </w:p>
    <w:p w:rsidR="00BA5176" w:rsidRPr="00073321" w:rsidRDefault="002C6470" w:rsidP="00BA5176">
      <w:pPr>
        <w:rPr>
          <w:rFonts w:eastAsia="Times New Roman" w:cstheme="minorHAnsi"/>
          <w:sz w:val="24"/>
          <w:szCs w:val="24"/>
          <w:lang w:eastAsia="en-GB"/>
        </w:rPr>
      </w:pPr>
      <w:r w:rsidRPr="00073321">
        <w:rPr>
          <w:rFonts w:eastAsia="Times New Roman" w:cstheme="minorHAnsi"/>
          <w:i/>
          <w:iCs/>
          <w:lang w:eastAsia="en-GB"/>
        </w:rPr>
        <w:t>Chapter 2</w:t>
      </w:r>
      <w:r w:rsidR="003F305F" w:rsidRPr="00073321">
        <w:rPr>
          <w:rFonts w:eastAsia="Times New Roman" w:cstheme="minorHAnsi"/>
          <w:i/>
          <w:iCs/>
          <w:lang w:eastAsia="en-GB"/>
        </w:rPr>
        <w:t xml:space="preserve"> General r</w:t>
      </w:r>
      <w:r w:rsidR="00BA5176" w:rsidRPr="00073321">
        <w:rPr>
          <w:rFonts w:eastAsia="Times New Roman" w:cstheme="minorHAnsi"/>
          <w:i/>
          <w:iCs/>
          <w:lang w:eastAsia="en-GB"/>
        </w:rPr>
        <w:t>eview of the literature and context of the study</w:t>
      </w:r>
    </w:p>
    <w:p w:rsidR="00BA5176" w:rsidRPr="00073321" w:rsidRDefault="00BA5176" w:rsidP="00BA5176">
      <w:pPr>
        <w:rPr>
          <w:rFonts w:eastAsia="Times New Roman" w:cstheme="minorHAnsi"/>
          <w:sz w:val="24"/>
          <w:szCs w:val="24"/>
          <w:lang w:eastAsia="en-GB"/>
        </w:rPr>
      </w:pPr>
    </w:p>
    <w:p w:rsidR="00BA5176" w:rsidRPr="00073321" w:rsidRDefault="00BA5176" w:rsidP="00BA5176">
      <w:pPr>
        <w:rPr>
          <w:rFonts w:eastAsia="Times New Roman" w:cstheme="minorHAnsi"/>
          <w:sz w:val="24"/>
          <w:szCs w:val="24"/>
          <w:lang w:eastAsia="en-GB"/>
        </w:rPr>
      </w:pPr>
      <w:r w:rsidRPr="00073321">
        <w:rPr>
          <w:rFonts w:eastAsia="Times New Roman" w:cstheme="minorHAnsi"/>
          <w:lang w:eastAsia="en-GB"/>
        </w:rPr>
        <w:t xml:space="preserve">Chapter </w:t>
      </w:r>
      <w:r w:rsidR="003F305F" w:rsidRPr="00073321">
        <w:rPr>
          <w:rFonts w:eastAsia="Times New Roman" w:cstheme="minorHAnsi"/>
          <w:lang w:eastAsia="en-GB"/>
        </w:rPr>
        <w:t>two</w:t>
      </w:r>
      <w:r w:rsidRPr="00073321">
        <w:rPr>
          <w:rFonts w:eastAsia="Times New Roman" w:cstheme="minorHAnsi"/>
          <w:lang w:eastAsia="en-GB"/>
        </w:rPr>
        <w:t xml:space="preserve"> commences with a comprehensive overview of adolescent obesity and school based obesity prevention.  This is inclusive of information regarding prevalence, terminology, measurement, causation and consequences of childhood and adolescent obesity.  Chapter two then details the UK and more specifically England’s response to addressing obesity during childhood and adolescence (with a priority focus on its prevention).  Following this, a discussion is presented related to the health promotion approaches i</w:t>
      </w:r>
      <w:r w:rsidR="0071085A">
        <w:rPr>
          <w:rFonts w:eastAsia="Times New Roman" w:cstheme="minorHAnsi"/>
          <w:lang w:eastAsia="en-GB"/>
        </w:rPr>
        <w:t xml:space="preserve">n primary and secondary schools, </w:t>
      </w:r>
      <w:r w:rsidRPr="00073321">
        <w:rPr>
          <w:rFonts w:eastAsia="Times New Roman" w:cstheme="minorHAnsi"/>
          <w:lang w:eastAsia="en-GB"/>
        </w:rPr>
        <w:t>which contribute to the obesity prevention agenda.  The final section of the chapter provides additional context to the study by briefly describing the education system during the time of data collection, including school demographics and leadership and governance procedures.  </w:t>
      </w:r>
    </w:p>
    <w:p w:rsidR="00BA5176" w:rsidRPr="00073321" w:rsidRDefault="00BA5176" w:rsidP="00BA5176">
      <w:pPr>
        <w:rPr>
          <w:rFonts w:eastAsia="Times New Roman" w:cstheme="minorHAnsi"/>
          <w:sz w:val="24"/>
          <w:szCs w:val="24"/>
          <w:lang w:eastAsia="en-GB"/>
        </w:rPr>
      </w:pPr>
    </w:p>
    <w:p w:rsidR="00BA5176" w:rsidRPr="00073321" w:rsidRDefault="002C6470" w:rsidP="00BA5176">
      <w:pPr>
        <w:rPr>
          <w:rFonts w:eastAsia="Times New Roman" w:cstheme="minorHAnsi"/>
          <w:sz w:val="24"/>
          <w:szCs w:val="24"/>
          <w:lang w:eastAsia="en-GB"/>
        </w:rPr>
      </w:pPr>
      <w:r w:rsidRPr="00073321">
        <w:rPr>
          <w:rFonts w:eastAsia="Times New Roman" w:cstheme="minorHAnsi"/>
          <w:i/>
          <w:iCs/>
          <w:lang w:eastAsia="en-GB"/>
        </w:rPr>
        <w:t xml:space="preserve">Chapter 3 </w:t>
      </w:r>
      <w:r w:rsidR="00BA5176" w:rsidRPr="00073321">
        <w:rPr>
          <w:rFonts w:eastAsia="Times New Roman" w:cstheme="minorHAnsi"/>
          <w:i/>
          <w:iCs/>
          <w:lang w:eastAsia="en-GB"/>
        </w:rPr>
        <w:t>Systematic review and qualitative synthesis</w:t>
      </w:r>
    </w:p>
    <w:p w:rsidR="00BA5176" w:rsidRPr="00073321" w:rsidRDefault="00BA5176" w:rsidP="00BA5176">
      <w:pPr>
        <w:rPr>
          <w:rFonts w:eastAsia="Times New Roman" w:cstheme="minorHAnsi"/>
          <w:sz w:val="24"/>
          <w:szCs w:val="24"/>
          <w:lang w:eastAsia="en-GB"/>
        </w:rPr>
      </w:pPr>
    </w:p>
    <w:p w:rsidR="00BA5176" w:rsidRPr="00073321" w:rsidRDefault="00BA5176" w:rsidP="00BA5176">
      <w:pPr>
        <w:rPr>
          <w:rFonts w:eastAsia="Times New Roman" w:cstheme="minorHAnsi"/>
          <w:sz w:val="24"/>
          <w:szCs w:val="24"/>
          <w:lang w:eastAsia="en-GB"/>
        </w:rPr>
      </w:pPr>
      <w:r w:rsidRPr="00073321">
        <w:rPr>
          <w:rFonts w:eastAsia="Times New Roman" w:cstheme="minorHAnsi"/>
          <w:lang w:eastAsia="en-GB"/>
        </w:rPr>
        <w:t>Following the compre</w:t>
      </w:r>
      <w:r w:rsidR="003F305F" w:rsidRPr="00073321">
        <w:rPr>
          <w:rFonts w:eastAsia="Times New Roman" w:cstheme="minorHAnsi"/>
          <w:lang w:eastAsia="en-GB"/>
        </w:rPr>
        <w:t>hensive</w:t>
      </w:r>
      <w:r w:rsidRPr="00073321">
        <w:rPr>
          <w:rFonts w:eastAsia="Times New Roman" w:cstheme="minorHAnsi"/>
          <w:lang w:eastAsia="en-GB"/>
        </w:rPr>
        <w:t xml:space="preserve"> background to the topic under study, chapter </w:t>
      </w:r>
      <w:r w:rsidR="00D86A56" w:rsidRPr="00073321">
        <w:rPr>
          <w:rFonts w:eastAsia="Times New Roman" w:cstheme="minorHAnsi"/>
          <w:lang w:eastAsia="en-GB"/>
        </w:rPr>
        <w:t xml:space="preserve">three </w:t>
      </w:r>
      <w:r w:rsidRPr="00073321">
        <w:rPr>
          <w:rFonts w:eastAsia="Times New Roman" w:cstheme="minorHAnsi"/>
          <w:lang w:eastAsia="en-GB"/>
        </w:rPr>
        <w:t>re-states the research question and justifies the decision to conduct a systematic review and qualitative synthesis of literature pertinent to this study.  A detailed overview of the methods employed is provided in the first section, including how the review scope was defined, the search strategy developed and what approach was undertaken to extract study data and assess research quality.  Lastly, the second section of the chapter reports the findings of conducting the thematic synthesis, discussing each of the resultant themes identified.</w:t>
      </w:r>
    </w:p>
    <w:p w:rsidR="00BA5176" w:rsidRPr="00073321" w:rsidRDefault="00BA5176" w:rsidP="00BA5176">
      <w:pPr>
        <w:rPr>
          <w:rFonts w:eastAsia="Times New Roman" w:cstheme="minorHAnsi"/>
          <w:sz w:val="24"/>
          <w:szCs w:val="24"/>
          <w:lang w:eastAsia="en-GB"/>
        </w:rPr>
      </w:pPr>
    </w:p>
    <w:p w:rsidR="00BA5176" w:rsidRPr="00073321" w:rsidRDefault="002C6470" w:rsidP="00BA5176">
      <w:pPr>
        <w:rPr>
          <w:rFonts w:eastAsia="Times New Roman" w:cstheme="minorHAnsi"/>
          <w:sz w:val="24"/>
          <w:szCs w:val="24"/>
          <w:lang w:eastAsia="en-GB"/>
        </w:rPr>
      </w:pPr>
      <w:r w:rsidRPr="00073321">
        <w:rPr>
          <w:rFonts w:eastAsia="Times New Roman" w:cstheme="minorHAnsi"/>
          <w:i/>
          <w:iCs/>
          <w:lang w:eastAsia="en-GB"/>
        </w:rPr>
        <w:t xml:space="preserve">Chapter 4 </w:t>
      </w:r>
      <w:r w:rsidR="00BA5176" w:rsidRPr="00073321">
        <w:rPr>
          <w:rFonts w:eastAsia="Times New Roman" w:cstheme="minorHAnsi"/>
          <w:i/>
          <w:iCs/>
          <w:lang w:eastAsia="en-GB"/>
        </w:rPr>
        <w:t>Research approach and design</w:t>
      </w:r>
    </w:p>
    <w:p w:rsidR="00BA5176" w:rsidRPr="00073321" w:rsidRDefault="00BA5176" w:rsidP="00BA5176">
      <w:pPr>
        <w:rPr>
          <w:rFonts w:eastAsia="Times New Roman" w:cstheme="minorHAnsi"/>
          <w:sz w:val="24"/>
          <w:szCs w:val="24"/>
          <w:lang w:eastAsia="en-GB"/>
        </w:rPr>
      </w:pPr>
    </w:p>
    <w:p w:rsidR="00BA5176" w:rsidRPr="00073321" w:rsidRDefault="00D86A56" w:rsidP="00BA5176">
      <w:pPr>
        <w:rPr>
          <w:rFonts w:eastAsia="Times New Roman" w:cstheme="minorHAnsi"/>
          <w:sz w:val="24"/>
          <w:szCs w:val="24"/>
          <w:lang w:eastAsia="en-GB"/>
        </w:rPr>
      </w:pPr>
      <w:r w:rsidRPr="00073321">
        <w:rPr>
          <w:rFonts w:eastAsia="Times New Roman" w:cstheme="minorHAnsi"/>
          <w:lang w:eastAsia="en-GB"/>
        </w:rPr>
        <w:t>Chapter four</w:t>
      </w:r>
      <w:r w:rsidR="00BA5176" w:rsidRPr="00073321">
        <w:rPr>
          <w:rFonts w:eastAsia="Times New Roman" w:cstheme="minorHAnsi"/>
          <w:lang w:eastAsia="en-GB"/>
        </w:rPr>
        <w:t xml:space="preserve"> begins with a description of the overarching approaches to</w:t>
      </w:r>
      <w:r w:rsidR="00FC272B" w:rsidRPr="00073321">
        <w:rPr>
          <w:rFonts w:eastAsia="Times New Roman" w:cstheme="minorHAnsi"/>
          <w:lang w:eastAsia="en-GB"/>
        </w:rPr>
        <w:t xml:space="preserve"> the</w:t>
      </w:r>
      <w:r w:rsidR="00BA5176" w:rsidRPr="00073321">
        <w:rPr>
          <w:rFonts w:eastAsia="Times New Roman" w:cstheme="minorHAnsi"/>
          <w:lang w:eastAsia="en-GB"/>
        </w:rPr>
        <w:t xml:space="preserve"> research and focuses on discussing two of the main com</w:t>
      </w:r>
      <w:r w:rsidR="002C6470" w:rsidRPr="00073321">
        <w:rPr>
          <w:rFonts w:eastAsia="Times New Roman" w:cstheme="minorHAnsi"/>
          <w:lang w:eastAsia="en-GB"/>
        </w:rPr>
        <w:t xml:space="preserve">ponents of a research approach, </w:t>
      </w:r>
      <w:r w:rsidR="00BA5176" w:rsidRPr="00073321">
        <w:rPr>
          <w:rFonts w:eastAsia="Times New Roman" w:cstheme="minorHAnsi"/>
          <w:lang w:eastAsia="en-GB"/>
        </w:rPr>
        <w:t xml:space="preserve">philosophical worldviews and </w:t>
      </w:r>
      <w:r w:rsidRPr="00073321">
        <w:rPr>
          <w:rFonts w:eastAsia="Times New Roman" w:cstheme="minorHAnsi"/>
          <w:lang w:eastAsia="en-GB"/>
        </w:rPr>
        <w:t>research designs.  The chapter</w:t>
      </w:r>
      <w:r w:rsidR="00BA5176" w:rsidRPr="00073321">
        <w:rPr>
          <w:rFonts w:eastAsia="Times New Roman" w:cstheme="minorHAnsi"/>
          <w:lang w:eastAsia="en-GB"/>
        </w:rPr>
        <w:t xml:space="preserve"> reflect</w:t>
      </w:r>
      <w:r w:rsidRPr="00073321">
        <w:rPr>
          <w:rFonts w:eastAsia="Times New Roman" w:cstheme="minorHAnsi"/>
          <w:lang w:eastAsia="en-GB"/>
        </w:rPr>
        <w:t>s</w:t>
      </w:r>
      <w:r w:rsidR="00BA5176" w:rsidRPr="00073321">
        <w:rPr>
          <w:rFonts w:eastAsia="Times New Roman" w:cstheme="minorHAnsi"/>
          <w:lang w:eastAsia="en-GB"/>
        </w:rPr>
        <w:t xml:space="preserve"> on a variety of philosophical worldviews before justifying the </w:t>
      </w:r>
      <w:r w:rsidR="00BA5176" w:rsidRPr="00073321">
        <w:rPr>
          <w:rFonts w:eastAsia="Times New Roman" w:cstheme="minorHAnsi"/>
          <w:lang w:eastAsia="en-GB"/>
        </w:rPr>
        <w:lastRenderedPageBreak/>
        <w:t>researcher’s decision to adopt pragmatism as a guiding position.  Following this, research designs relevant to the chosen research approach (mixed methods) are discussed, w</w:t>
      </w:r>
      <w:r w:rsidR="003F305F" w:rsidRPr="00073321">
        <w:rPr>
          <w:rFonts w:eastAsia="Times New Roman" w:cstheme="minorHAnsi"/>
          <w:lang w:eastAsia="en-GB"/>
        </w:rPr>
        <w:t xml:space="preserve">ith the researcher providing a robust </w:t>
      </w:r>
      <w:r w:rsidR="00BA5176" w:rsidRPr="00073321">
        <w:rPr>
          <w:rFonts w:eastAsia="Times New Roman" w:cstheme="minorHAnsi"/>
          <w:lang w:eastAsia="en-GB"/>
        </w:rPr>
        <w:t>argument for why the exploratory sequential design was deemed to be the most suitable</w:t>
      </w:r>
      <w:r w:rsidR="00F34CB5" w:rsidRPr="00073321">
        <w:rPr>
          <w:rFonts w:eastAsia="Times New Roman" w:cstheme="minorHAnsi"/>
          <w:lang w:eastAsia="en-GB"/>
        </w:rPr>
        <w:t xml:space="preserve"> and appropriate.  Chapter four</w:t>
      </w:r>
      <w:r w:rsidR="00BA5176" w:rsidRPr="00073321">
        <w:rPr>
          <w:rFonts w:eastAsia="Times New Roman" w:cstheme="minorHAnsi"/>
          <w:lang w:eastAsia="en-GB"/>
        </w:rPr>
        <w:t xml:space="preserve"> concludes with information on the quality appraisal of mixed methods research studies.   </w:t>
      </w:r>
      <w:r w:rsidR="00BA5176" w:rsidRPr="00073321">
        <w:rPr>
          <w:rFonts w:eastAsia="Times New Roman" w:cstheme="minorHAnsi"/>
          <w:lang w:eastAsia="en-GB"/>
        </w:rPr>
        <w:br/>
      </w:r>
      <w:r w:rsidR="00BA5176" w:rsidRPr="00073321">
        <w:rPr>
          <w:rFonts w:eastAsia="Times New Roman" w:cstheme="minorHAnsi"/>
          <w:lang w:eastAsia="en-GB"/>
        </w:rPr>
        <w:br/>
      </w:r>
      <w:r w:rsidR="002C6470" w:rsidRPr="00073321">
        <w:rPr>
          <w:rFonts w:eastAsia="Times New Roman" w:cstheme="minorHAnsi"/>
          <w:i/>
          <w:iCs/>
          <w:lang w:eastAsia="en-GB"/>
        </w:rPr>
        <w:t xml:space="preserve">Chapter 5 </w:t>
      </w:r>
      <w:r w:rsidR="00BA5176" w:rsidRPr="00073321">
        <w:rPr>
          <w:rFonts w:eastAsia="Times New Roman" w:cstheme="minorHAnsi"/>
          <w:i/>
          <w:iCs/>
          <w:lang w:eastAsia="en-GB"/>
        </w:rPr>
        <w:t>Research methodology of qualitative phase</w:t>
      </w:r>
    </w:p>
    <w:p w:rsidR="00BA5176" w:rsidRPr="00073321" w:rsidRDefault="00BA5176" w:rsidP="00BA5176">
      <w:pPr>
        <w:rPr>
          <w:rFonts w:eastAsia="Times New Roman" w:cstheme="minorHAnsi"/>
          <w:sz w:val="24"/>
          <w:szCs w:val="24"/>
          <w:lang w:eastAsia="en-GB"/>
        </w:rPr>
      </w:pPr>
    </w:p>
    <w:p w:rsidR="009A0D97" w:rsidRDefault="00BA5176" w:rsidP="00BA5176">
      <w:pPr>
        <w:rPr>
          <w:rFonts w:eastAsia="Times New Roman" w:cstheme="minorHAnsi"/>
          <w:lang w:eastAsia="en-GB"/>
        </w:rPr>
      </w:pPr>
      <w:r w:rsidRPr="00073321">
        <w:rPr>
          <w:rFonts w:eastAsia="Times New Roman" w:cstheme="minorHAnsi"/>
          <w:lang w:eastAsia="en-GB"/>
        </w:rPr>
        <w:t xml:space="preserve">Chapter five commences by extensively detailing the methods utilised to conduct the primary and core qualitative phase.  This </w:t>
      </w:r>
      <w:r w:rsidR="003F305F" w:rsidRPr="00073321">
        <w:rPr>
          <w:rFonts w:eastAsia="Times New Roman" w:cstheme="minorHAnsi"/>
          <w:lang w:eastAsia="en-GB"/>
        </w:rPr>
        <w:t>includes</w:t>
      </w:r>
      <w:r w:rsidRPr="00073321">
        <w:rPr>
          <w:rFonts w:eastAsia="Times New Roman" w:cstheme="minorHAnsi"/>
          <w:lang w:eastAsia="en-GB"/>
        </w:rPr>
        <w:t xml:space="preserve"> a comprehensive overview of all methods utilised for sampling and recru</w:t>
      </w:r>
      <w:r w:rsidR="003F305F" w:rsidRPr="00073321">
        <w:rPr>
          <w:rFonts w:eastAsia="Times New Roman" w:cstheme="minorHAnsi"/>
          <w:lang w:eastAsia="en-GB"/>
        </w:rPr>
        <w:t xml:space="preserve">iting research participants, </w:t>
      </w:r>
      <w:r w:rsidR="00D86A56" w:rsidRPr="00073321">
        <w:rPr>
          <w:rFonts w:eastAsia="Times New Roman" w:cstheme="minorHAnsi"/>
          <w:lang w:eastAsia="en-GB"/>
        </w:rPr>
        <w:t>for co</w:t>
      </w:r>
      <w:r w:rsidRPr="00073321">
        <w:rPr>
          <w:rFonts w:eastAsia="Times New Roman" w:cstheme="minorHAnsi"/>
          <w:lang w:eastAsia="en-GB"/>
        </w:rPr>
        <w:t>llecting (semi-structured interviews) and analysing study data (thematic analysis).  The cha</w:t>
      </w:r>
      <w:r w:rsidR="00D86A56" w:rsidRPr="00073321">
        <w:rPr>
          <w:rFonts w:eastAsia="Times New Roman" w:cstheme="minorHAnsi"/>
          <w:lang w:eastAsia="en-GB"/>
        </w:rPr>
        <w:t>pter c</w:t>
      </w:r>
      <w:r w:rsidRPr="00073321">
        <w:rPr>
          <w:rFonts w:eastAsia="Times New Roman" w:cstheme="minorHAnsi"/>
          <w:lang w:eastAsia="en-GB"/>
        </w:rPr>
        <w:t>onclude</w:t>
      </w:r>
      <w:r w:rsidR="00D86A56" w:rsidRPr="00073321">
        <w:rPr>
          <w:rFonts w:eastAsia="Times New Roman" w:cstheme="minorHAnsi"/>
          <w:lang w:eastAsia="en-GB"/>
        </w:rPr>
        <w:t>s</w:t>
      </w:r>
      <w:r w:rsidRPr="00073321">
        <w:rPr>
          <w:rFonts w:eastAsia="Times New Roman" w:cstheme="minorHAnsi"/>
          <w:lang w:eastAsia="en-GB"/>
        </w:rPr>
        <w:t xml:space="preserve"> by discussing issues related to ethics and quality pertinent to the qualitative phase.  Throughout the chapter, the challenges encountered and any resultant limitations of the qualitative methods employed </w:t>
      </w:r>
      <w:r w:rsidR="00D86A56" w:rsidRPr="00073321">
        <w:rPr>
          <w:rFonts w:eastAsia="Times New Roman" w:cstheme="minorHAnsi"/>
          <w:lang w:eastAsia="en-GB"/>
        </w:rPr>
        <w:t>are</w:t>
      </w:r>
      <w:r w:rsidRPr="00073321">
        <w:rPr>
          <w:rFonts w:eastAsia="Times New Roman" w:cstheme="minorHAnsi"/>
          <w:lang w:eastAsia="en-GB"/>
        </w:rPr>
        <w:t xml:space="preserve"> </w:t>
      </w:r>
      <w:r w:rsidR="00D86A56" w:rsidRPr="00073321">
        <w:rPr>
          <w:rFonts w:eastAsia="Times New Roman" w:cstheme="minorHAnsi"/>
          <w:lang w:eastAsia="en-GB"/>
        </w:rPr>
        <w:t xml:space="preserve">referenced. </w:t>
      </w:r>
      <w:r w:rsidRPr="00073321">
        <w:rPr>
          <w:rFonts w:eastAsia="Times New Roman" w:cstheme="minorHAnsi"/>
          <w:lang w:eastAsia="en-GB"/>
        </w:rPr>
        <w:br/>
      </w:r>
      <w:r w:rsidR="002C6470" w:rsidRPr="00073321">
        <w:rPr>
          <w:rFonts w:eastAsia="Times New Roman" w:cstheme="minorHAnsi"/>
          <w:i/>
          <w:iCs/>
          <w:lang w:eastAsia="en-GB"/>
        </w:rPr>
        <w:br/>
        <w:t xml:space="preserve">Chapter 6 </w:t>
      </w:r>
      <w:r w:rsidRPr="00073321">
        <w:rPr>
          <w:rFonts w:eastAsia="Times New Roman" w:cstheme="minorHAnsi"/>
          <w:i/>
          <w:iCs/>
          <w:lang w:eastAsia="en-GB"/>
        </w:rPr>
        <w:t>Findings from the qualitative phase</w:t>
      </w:r>
      <w:r w:rsidR="00D86A56" w:rsidRPr="00073321">
        <w:rPr>
          <w:rFonts w:eastAsia="Times New Roman" w:cstheme="minorHAnsi"/>
          <w:lang w:eastAsia="en-GB"/>
        </w:rPr>
        <w:br/>
      </w:r>
      <w:r w:rsidR="00D86A56" w:rsidRPr="00073321">
        <w:rPr>
          <w:rFonts w:eastAsia="Times New Roman" w:cstheme="minorHAnsi"/>
          <w:lang w:eastAsia="en-GB"/>
        </w:rPr>
        <w:br/>
        <w:t>Chapter six</w:t>
      </w:r>
      <w:r w:rsidRPr="00073321">
        <w:rPr>
          <w:rFonts w:eastAsia="Times New Roman" w:cstheme="minorHAnsi"/>
          <w:lang w:eastAsia="en-GB"/>
        </w:rPr>
        <w:t xml:space="preserve"> begins by detailing the demographics of the research participants recruited into the qualitative phase. The chapter </w:t>
      </w:r>
      <w:r w:rsidR="00D86A56" w:rsidRPr="00073321">
        <w:rPr>
          <w:rFonts w:eastAsia="Times New Roman" w:cstheme="minorHAnsi"/>
          <w:lang w:eastAsia="en-GB"/>
        </w:rPr>
        <w:t>then moves on</w:t>
      </w:r>
      <w:r w:rsidRPr="00073321">
        <w:rPr>
          <w:rFonts w:eastAsia="Times New Roman" w:cstheme="minorHAnsi"/>
          <w:lang w:eastAsia="en-GB"/>
        </w:rPr>
        <w:t xml:space="preserve"> to present the analysis of the qualitative findings.  Within this chapter verbatim quotations </w:t>
      </w:r>
      <w:r w:rsidR="00D86A56" w:rsidRPr="00073321">
        <w:rPr>
          <w:rFonts w:eastAsia="Times New Roman" w:cstheme="minorHAnsi"/>
          <w:lang w:eastAsia="en-GB"/>
        </w:rPr>
        <w:t>are</w:t>
      </w:r>
      <w:r w:rsidRPr="00073321">
        <w:rPr>
          <w:rFonts w:eastAsia="Times New Roman" w:cstheme="minorHAnsi"/>
          <w:lang w:eastAsia="en-GB"/>
        </w:rPr>
        <w:t xml:space="preserve"> utilised to enhance and illum</w:t>
      </w:r>
      <w:r w:rsidR="003F305F" w:rsidRPr="00073321">
        <w:rPr>
          <w:rFonts w:eastAsia="Times New Roman" w:cstheme="minorHAnsi"/>
          <w:lang w:eastAsia="en-GB"/>
        </w:rPr>
        <w:t xml:space="preserve">inate the narrative presented.  At the end of each presented theme, </w:t>
      </w:r>
      <w:r w:rsidRPr="00073321">
        <w:rPr>
          <w:rFonts w:eastAsia="Times New Roman" w:cstheme="minorHAnsi"/>
          <w:lang w:eastAsia="en-GB"/>
        </w:rPr>
        <w:t xml:space="preserve">a </w:t>
      </w:r>
      <w:r w:rsidR="003F305F" w:rsidRPr="00073321">
        <w:rPr>
          <w:rFonts w:eastAsia="Times New Roman" w:cstheme="minorHAnsi"/>
          <w:lang w:eastAsia="en-GB"/>
        </w:rPr>
        <w:t xml:space="preserve">brief </w:t>
      </w:r>
      <w:r w:rsidRPr="00073321">
        <w:rPr>
          <w:rFonts w:eastAsia="Times New Roman" w:cstheme="minorHAnsi"/>
          <w:lang w:eastAsia="en-GB"/>
        </w:rPr>
        <w:t>s</w:t>
      </w:r>
      <w:r w:rsidR="003F305F" w:rsidRPr="00073321">
        <w:rPr>
          <w:rFonts w:eastAsia="Times New Roman" w:cstheme="minorHAnsi"/>
          <w:lang w:eastAsia="en-GB"/>
        </w:rPr>
        <w:t>ummary of the analysed findings is provided.</w:t>
      </w:r>
      <w:r w:rsidRPr="00073321">
        <w:rPr>
          <w:rFonts w:eastAsia="Times New Roman" w:cstheme="minorHAnsi"/>
          <w:lang w:eastAsia="en-GB"/>
        </w:rPr>
        <w:br/>
      </w:r>
      <w:r w:rsidRPr="00073321">
        <w:rPr>
          <w:rFonts w:eastAsia="Times New Roman" w:cstheme="minorHAnsi"/>
          <w:lang w:eastAsia="en-GB"/>
        </w:rPr>
        <w:br/>
      </w:r>
      <w:r w:rsidR="002C6470" w:rsidRPr="00073321">
        <w:rPr>
          <w:rFonts w:eastAsia="Times New Roman" w:cstheme="minorHAnsi"/>
          <w:i/>
          <w:iCs/>
          <w:lang w:eastAsia="en-GB"/>
        </w:rPr>
        <w:t xml:space="preserve">Chapter 7 </w:t>
      </w:r>
      <w:r w:rsidRPr="00073321">
        <w:rPr>
          <w:rFonts w:eastAsia="Times New Roman" w:cstheme="minorHAnsi"/>
          <w:i/>
          <w:iCs/>
          <w:lang w:eastAsia="en-GB"/>
        </w:rPr>
        <w:t xml:space="preserve">Research methodology of quantitative phase </w:t>
      </w:r>
      <w:r w:rsidR="00D86A56" w:rsidRPr="00073321">
        <w:rPr>
          <w:rFonts w:eastAsia="Times New Roman" w:cstheme="minorHAnsi"/>
          <w:lang w:eastAsia="en-GB"/>
        </w:rPr>
        <w:br/>
      </w:r>
      <w:r w:rsidR="00D86A56" w:rsidRPr="00073321">
        <w:rPr>
          <w:rFonts w:eastAsia="Times New Roman" w:cstheme="minorHAnsi"/>
          <w:lang w:eastAsia="en-GB"/>
        </w:rPr>
        <w:br/>
        <w:t xml:space="preserve">Similar to chapter five, this chapter </w:t>
      </w:r>
      <w:r w:rsidRPr="00073321">
        <w:rPr>
          <w:rFonts w:eastAsia="Times New Roman" w:cstheme="minorHAnsi"/>
          <w:lang w:eastAsia="en-GB"/>
        </w:rPr>
        <w:t xml:space="preserve">extensively details the </w:t>
      </w:r>
      <w:r w:rsidR="00AB5B41" w:rsidRPr="00073321">
        <w:rPr>
          <w:rFonts w:eastAsia="Times New Roman" w:cstheme="minorHAnsi"/>
          <w:lang w:eastAsia="en-GB"/>
        </w:rPr>
        <w:t xml:space="preserve">methods utilised to conduct the </w:t>
      </w:r>
      <w:r w:rsidRPr="00073321">
        <w:rPr>
          <w:rFonts w:eastAsia="Times New Roman" w:cstheme="minorHAnsi"/>
          <w:lang w:eastAsia="en-GB"/>
        </w:rPr>
        <w:t xml:space="preserve">quantitative phase.  At the beginning of the chapter, the approach employed to develop a quantitative instrument (i.e. survey) from the qualitative findings </w:t>
      </w:r>
      <w:r w:rsidR="00D86A56" w:rsidRPr="00073321">
        <w:rPr>
          <w:rFonts w:eastAsia="Times New Roman" w:cstheme="minorHAnsi"/>
          <w:lang w:eastAsia="en-GB"/>
        </w:rPr>
        <w:t>are</w:t>
      </w:r>
      <w:r w:rsidRPr="00073321">
        <w:rPr>
          <w:rFonts w:eastAsia="Times New Roman" w:cstheme="minorHAnsi"/>
          <w:lang w:eastAsia="en-GB"/>
        </w:rPr>
        <w:t xml:space="preserve"> explicitly detailed.  Following this, a comprehensive overview of all methods utilised for sampling and recruiting research participants and for collecting and analysing study data </w:t>
      </w:r>
      <w:r w:rsidR="00D86A56" w:rsidRPr="00073321">
        <w:rPr>
          <w:rFonts w:eastAsia="Times New Roman" w:cstheme="minorHAnsi"/>
          <w:lang w:eastAsia="en-GB"/>
        </w:rPr>
        <w:t>is</w:t>
      </w:r>
      <w:r w:rsidRPr="00073321">
        <w:rPr>
          <w:rFonts w:eastAsia="Times New Roman" w:cstheme="minorHAnsi"/>
          <w:lang w:eastAsia="en-GB"/>
        </w:rPr>
        <w:t xml:space="preserve"> provided.  Finally, this chapter </w:t>
      </w:r>
      <w:r w:rsidR="00D86A56" w:rsidRPr="00073321">
        <w:rPr>
          <w:rFonts w:eastAsia="Times New Roman" w:cstheme="minorHAnsi"/>
          <w:lang w:eastAsia="en-GB"/>
        </w:rPr>
        <w:t xml:space="preserve">concludes </w:t>
      </w:r>
      <w:r w:rsidRPr="00073321">
        <w:rPr>
          <w:rFonts w:eastAsia="Times New Roman" w:cstheme="minorHAnsi"/>
          <w:lang w:eastAsia="en-GB"/>
        </w:rPr>
        <w:t xml:space="preserve">by discussing issues related to ethics and quality of the quantitative phase. </w:t>
      </w:r>
      <w:r w:rsidRPr="00073321">
        <w:rPr>
          <w:rFonts w:eastAsia="Times New Roman" w:cstheme="minorHAnsi"/>
          <w:lang w:eastAsia="en-GB"/>
        </w:rPr>
        <w:br/>
      </w:r>
    </w:p>
    <w:p w:rsidR="009A0D97" w:rsidRDefault="009A0D97" w:rsidP="00BA5176">
      <w:pPr>
        <w:rPr>
          <w:rFonts w:eastAsia="Times New Roman" w:cstheme="minorHAnsi"/>
          <w:lang w:eastAsia="en-GB"/>
        </w:rPr>
      </w:pPr>
    </w:p>
    <w:p w:rsidR="009A0D97" w:rsidRDefault="009A0D97" w:rsidP="00BA5176">
      <w:pPr>
        <w:rPr>
          <w:rFonts w:eastAsia="Times New Roman" w:cstheme="minorHAnsi"/>
          <w:i/>
          <w:iCs/>
          <w:lang w:eastAsia="en-GB"/>
        </w:rPr>
      </w:pPr>
    </w:p>
    <w:p w:rsidR="00BA5176" w:rsidRPr="00073321" w:rsidRDefault="002C6470" w:rsidP="00BA5176">
      <w:pPr>
        <w:rPr>
          <w:rFonts w:eastAsia="Times New Roman" w:cstheme="minorHAnsi"/>
          <w:sz w:val="24"/>
          <w:szCs w:val="24"/>
          <w:lang w:eastAsia="en-GB"/>
        </w:rPr>
      </w:pPr>
      <w:r w:rsidRPr="00073321">
        <w:rPr>
          <w:rFonts w:eastAsia="Times New Roman" w:cstheme="minorHAnsi"/>
          <w:i/>
          <w:iCs/>
          <w:lang w:eastAsia="en-GB"/>
        </w:rPr>
        <w:lastRenderedPageBreak/>
        <w:t xml:space="preserve">Chapter 8 </w:t>
      </w:r>
      <w:r w:rsidR="00BA5176" w:rsidRPr="00073321">
        <w:rPr>
          <w:rFonts w:eastAsia="Times New Roman" w:cstheme="minorHAnsi"/>
          <w:i/>
          <w:iCs/>
          <w:lang w:eastAsia="en-GB"/>
        </w:rPr>
        <w:t>Results of the quantitative phase</w:t>
      </w:r>
    </w:p>
    <w:p w:rsidR="00BA5176" w:rsidRPr="00073321" w:rsidRDefault="00BA5176" w:rsidP="00BA5176">
      <w:pPr>
        <w:rPr>
          <w:rFonts w:eastAsia="Times New Roman" w:cstheme="minorHAnsi"/>
          <w:sz w:val="24"/>
          <w:szCs w:val="24"/>
          <w:lang w:eastAsia="en-GB"/>
        </w:rPr>
      </w:pPr>
    </w:p>
    <w:p w:rsidR="00BA5176" w:rsidRPr="00073321" w:rsidRDefault="00D86A56" w:rsidP="00BA5176">
      <w:pPr>
        <w:rPr>
          <w:rFonts w:eastAsia="Times New Roman" w:cstheme="minorHAnsi"/>
          <w:sz w:val="24"/>
          <w:szCs w:val="24"/>
          <w:lang w:eastAsia="en-GB"/>
        </w:rPr>
      </w:pPr>
      <w:r w:rsidRPr="00073321">
        <w:rPr>
          <w:rFonts w:eastAsia="Times New Roman" w:cstheme="minorHAnsi"/>
          <w:lang w:eastAsia="en-GB"/>
        </w:rPr>
        <w:t>Chapter eight</w:t>
      </w:r>
      <w:r w:rsidR="00BA5176" w:rsidRPr="00073321">
        <w:rPr>
          <w:rFonts w:eastAsia="Times New Roman" w:cstheme="minorHAnsi"/>
          <w:lang w:eastAsia="en-GB"/>
        </w:rPr>
        <w:t xml:space="preserve"> </w:t>
      </w:r>
      <w:r w:rsidRPr="00073321">
        <w:rPr>
          <w:rFonts w:eastAsia="Times New Roman" w:cstheme="minorHAnsi"/>
          <w:lang w:eastAsia="en-GB"/>
        </w:rPr>
        <w:t>describes</w:t>
      </w:r>
      <w:r w:rsidR="00BA5176" w:rsidRPr="00073321">
        <w:rPr>
          <w:rFonts w:eastAsia="Times New Roman" w:cstheme="minorHAnsi"/>
          <w:lang w:eastAsia="en-GB"/>
        </w:rPr>
        <w:t xml:space="preserve"> the results from the national survey of headteacher</w:t>
      </w:r>
      <w:r w:rsidR="009A0D97">
        <w:rPr>
          <w:rFonts w:eastAsia="Times New Roman" w:cstheme="minorHAnsi"/>
          <w:lang w:eastAsia="en-GB"/>
        </w:rPr>
        <w:t>s</w:t>
      </w:r>
      <w:r w:rsidR="00BA5176" w:rsidRPr="00073321">
        <w:rPr>
          <w:rFonts w:eastAsia="Times New Roman" w:cstheme="minorHAnsi"/>
          <w:lang w:eastAsia="en-GB"/>
        </w:rPr>
        <w:t xml:space="preserve"> and chairs of governors. It </w:t>
      </w:r>
      <w:r w:rsidRPr="00073321">
        <w:rPr>
          <w:rFonts w:eastAsia="Times New Roman" w:cstheme="minorHAnsi"/>
          <w:lang w:eastAsia="en-GB"/>
        </w:rPr>
        <w:t xml:space="preserve">begins </w:t>
      </w:r>
      <w:r w:rsidR="00BA5176" w:rsidRPr="00073321">
        <w:rPr>
          <w:rFonts w:eastAsia="Times New Roman" w:cstheme="minorHAnsi"/>
          <w:lang w:eastAsia="en-GB"/>
        </w:rPr>
        <w:t>with an overview of the key findings and then progress</w:t>
      </w:r>
      <w:r w:rsidRPr="00073321">
        <w:rPr>
          <w:rFonts w:eastAsia="Times New Roman" w:cstheme="minorHAnsi"/>
          <w:lang w:eastAsia="en-GB"/>
        </w:rPr>
        <w:t>es</w:t>
      </w:r>
      <w:r w:rsidR="00BA5176" w:rsidRPr="00073321">
        <w:rPr>
          <w:rFonts w:eastAsia="Times New Roman" w:cstheme="minorHAnsi"/>
          <w:lang w:eastAsia="en-GB"/>
        </w:rPr>
        <w:t xml:space="preserve"> through the main</w:t>
      </w:r>
      <w:r w:rsidRPr="00073321">
        <w:rPr>
          <w:rFonts w:eastAsia="Times New Roman" w:cstheme="minorHAnsi"/>
          <w:lang w:eastAsia="en-GB"/>
        </w:rPr>
        <w:t xml:space="preserve"> elements of the survey itself.  </w:t>
      </w:r>
      <w:r w:rsidR="00BA5176" w:rsidRPr="00073321">
        <w:rPr>
          <w:rFonts w:eastAsia="Times New Roman" w:cstheme="minorHAnsi"/>
          <w:lang w:eastAsia="en-GB"/>
        </w:rPr>
        <w:t xml:space="preserve">Content </w:t>
      </w:r>
      <w:r w:rsidRPr="00073321">
        <w:rPr>
          <w:rFonts w:eastAsia="Times New Roman" w:cstheme="minorHAnsi"/>
          <w:lang w:eastAsia="en-GB"/>
        </w:rPr>
        <w:t>is</w:t>
      </w:r>
      <w:r w:rsidR="00BA5176" w:rsidRPr="00073321">
        <w:rPr>
          <w:rFonts w:eastAsia="Times New Roman" w:cstheme="minorHAnsi"/>
          <w:lang w:eastAsia="en-GB"/>
        </w:rPr>
        <w:t xml:space="preserve"> based around descriptions of the analysed data (predominantly through frequency tables and associated tex</w:t>
      </w:r>
      <w:r w:rsidRPr="00073321">
        <w:rPr>
          <w:rFonts w:eastAsia="Times New Roman" w:cstheme="minorHAnsi"/>
          <w:lang w:eastAsia="en-GB"/>
        </w:rPr>
        <w:t xml:space="preserve">t), in addition to results from conducting statistical tests. </w:t>
      </w:r>
      <w:r w:rsidR="00BA5176" w:rsidRPr="00073321">
        <w:rPr>
          <w:rFonts w:eastAsia="Times New Roman" w:cstheme="minorHAnsi"/>
          <w:lang w:eastAsia="en-GB"/>
        </w:rPr>
        <w:t xml:space="preserve"> </w:t>
      </w:r>
    </w:p>
    <w:p w:rsidR="00073321" w:rsidRDefault="00073321" w:rsidP="00BA5176">
      <w:pPr>
        <w:rPr>
          <w:rFonts w:eastAsia="Times New Roman" w:cstheme="minorHAnsi"/>
          <w:i/>
          <w:iCs/>
          <w:lang w:eastAsia="en-GB"/>
        </w:rPr>
      </w:pPr>
    </w:p>
    <w:p w:rsidR="00BA5176" w:rsidRPr="00073321" w:rsidRDefault="002C6470" w:rsidP="00BA5176">
      <w:pPr>
        <w:rPr>
          <w:rFonts w:eastAsia="Times New Roman" w:cstheme="minorHAnsi"/>
          <w:sz w:val="24"/>
          <w:szCs w:val="24"/>
          <w:lang w:eastAsia="en-GB"/>
        </w:rPr>
      </w:pPr>
      <w:r w:rsidRPr="00073321">
        <w:rPr>
          <w:rFonts w:eastAsia="Times New Roman" w:cstheme="minorHAnsi"/>
          <w:i/>
          <w:iCs/>
          <w:lang w:eastAsia="en-GB"/>
        </w:rPr>
        <w:t xml:space="preserve">Chapter 9 </w:t>
      </w:r>
      <w:r w:rsidR="00D86A56" w:rsidRPr="00073321">
        <w:rPr>
          <w:rFonts w:eastAsia="Times New Roman" w:cstheme="minorHAnsi"/>
          <w:i/>
          <w:iCs/>
          <w:lang w:eastAsia="en-GB"/>
        </w:rPr>
        <w:t>Discussion</w:t>
      </w:r>
      <w:r w:rsidR="00D86A56" w:rsidRPr="00073321">
        <w:rPr>
          <w:rFonts w:eastAsia="Times New Roman" w:cstheme="minorHAnsi"/>
          <w:lang w:eastAsia="en-GB"/>
        </w:rPr>
        <w:br/>
      </w:r>
      <w:r w:rsidR="00D86A56" w:rsidRPr="00073321">
        <w:rPr>
          <w:rFonts w:eastAsia="Times New Roman" w:cstheme="minorHAnsi"/>
          <w:lang w:eastAsia="en-GB"/>
        </w:rPr>
        <w:br/>
        <w:t>Chapter nine provides</w:t>
      </w:r>
      <w:r w:rsidR="00BA5176" w:rsidRPr="00073321">
        <w:rPr>
          <w:rFonts w:eastAsia="Times New Roman" w:cstheme="minorHAnsi"/>
          <w:lang w:eastAsia="en-GB"/>
        </w:rPr>
        <w:t xml:space="preserve"> a discussion of the p</w:t>
      </w:r>
      <w:r w:rsidR="00D86A56" w:rsidRPr="00073321">
        <w:rPr>
          <w:rFonts w:eastAsia="Times New Roman" w:cstheme="minorHAnsi"/>
          <w:lang w:eastAsia="en-GB"/>
        </w:rPr>
        <w:t xml:space="preserve">receding </w:t>
      </w:r>
      <w:r w:rsidR="00071EBF">
        <w:rPr>
          <w:rFonts w:eastAsia="Times New Roman" w:cstheme="minorHAnsi"/>
          <w:lang w:eastAsia="en-GB"/>
        </w:rPr>
        <w:t>two chapters of the qualitative and quantitative studies,</w:t>
      </w:r>
      <w:r w:rsidR="00D86A56" w:rsidRPr="00073321">
        <w:rPr>
          <w:rFonts w:eastAsia="Times New Roman" w:cstheme="minorHAnsi"/>
          <w:lang w:eastAsia="en-GB"/>
        </w:rPr>
        <w:t xml:space="preserve"> beginning</w:t>
      </w:r>
      <w:r w:rsidR="00E43548" w:rsidRPr="00073321">
        <w:rPr>
          <w:rFonts w:eastAsia="Times New Roman" w:cstheme="minorHAnsi"/>
          <w:lang w:eastAsia="en-GB"/>
        </w:rPr>
        <w:t xml:space="preserve"> wit</w:t>
      </w:r>
      <w:r w:rsidR="005A0021" w:rsidRPr="00073321">
        <w:rPr>
          <w:rFonts w:eastAsia="Times New Roman" w:cstheme="minorHAnsi"/>
          <w:lang w:eastAsia="en-GB"/>
        </w:rPr>
        <w:t>h a summary of the main finding</w:t>
      </w:r>
      <w:r w:rsidR="00BA5176" w:rsidRPr="00073321">
        <w:rPr>
          <w:rFonts w:eastAsia="Times New Roman" w:cstheme="minorHAnsi"/>
          <w:lang w:eastAsia="en-GB"/>
        </w:rPr>
        <w:t xml:space="preserve">s </w:t>
      </w:r>
      <w:r w:rsidR="005A0021" w:rsidRPr="00073321">
        <w:rPr>
          <w:rFonts w:eastAsia="Times New Roman" w:cstheme="minorHAnsi"/>
          <w:lang w:eastAsia="en-GB"/>
        </w:rPr>
        <w:t>obtained</w:t>
      </w:r>
      <w:r w:rsidR="00D86A56" w:rsidRPr="00073321">
        <w:rPr>
          <w:rFonts w:eastAsia="Times New Roman" w:cstheme="minorHAnsi"/>
          <w:lang w:eastAsia="en-GB"/>
        </w:rPr>
        <w:t>.  The chapter t</w:t>
      </w:r>
      <w:r w:rsidR="00BA5176" w:rsidRPr="00073321">
        <w:rPr>
          <w:rFonts w:eastAsia="Times New Roman" w:cstheme="minorHAnsi"/>
          <w:lang w:eastAsia="en-GB"/>
        </w:rPr>
        <w:t>hen provide</w:t>
      </w:r>
      <w:r w:rsidR="00D86A56" w:rsidRPr="00073321">
        <w:rPr>
          <w:rFonts w:eastAsia="Times New Roman" w:cstheme="minorHAnsi"/>
          <w:lang w:eastAsia="en-GB"/>
        </w:rPr>
        <w:t>s</w:t>
      </w:r>
      <w:r w:rsidR="00BA5176" w:rsidRPr="00073321">
        <w:rPr>
          <w:rFonts w:eastAsia="Times New Roman" w:cstheme="minorHAnsi"/>
          <w:lang w:eastAsia="en-GB"/>
        </w:rPr>
        <w:t xml:space="preserve"> an integrated discussion of the main findings from across both phases, with reference made to </w:t>
      </w:r>
      <w:r w:rsidR="00073321">
        <w:rPr>
          <w:rFonts w:eastAsia="Times New Roman" w:cstheme="minorHAnsi"/>
          <w:lang w:eastAsia="en-GB"/>
        </w:rPr>
        <w:t xml:space="preserve">results identified from the systematic review and qualitative synthesis.  In addition, broader </w:t>
      </w:r>
      <w:r w:rsidR="00BA5176" w:rsidRPr="00073321">
        <w:rPr>
          <w:rFonts w:eastAsia="Times New Roman" w:cstheme="minorHAnsi"/>
          <w:lang w:eastAsia="en-GB"/>
        </w:rPr>
        <w:t>existing</w:t>
      </w:r>
      <w:r w:rsidR="00073321">
        <w:rPr>
          <w:rFonts w:eastAsia="Times New Roman" w:cstheme="minorHAnsi"/>
          <w:lang w:eastAsia="en-GB"/>
        </w:rPr>
        <w:t xml:space="preserve"> literature and academic th</w:t>
      </w:r>
      <w:bookmarkStart w:id="0" w:name="_GoBack"/>
      <w:bookmarkEnd w:id="0"/>
      <w:r w:rsidR="00073321">
        <w:rPr>
          <w:rFonts w:eastAsia="Times New Roman" w:cstheme="minorHAnsi"/>
          <w:lang w:eastAsia="en-GB"/>
        </w:rPr>
        <w:t>eory are discussed in relation to the findings obtained from both research phases.</w:t>
      </w:r>
      <w:r w:rsidR="00BA5176" w:rsidRPr="00073321">
        <w:rPr>
          <w:rFonts w:eastAsia="Times New Roman" w:cstheme="minorHAnsi"/>
          <w:lang w:eastAsia="en-GB"/>
        </w:rPr>
        <w:t xml:space="preserve">  An overarching critique of the research study </w:t>
      </w:r>
      <w:r w:rsidR="00D86A56" w:rsidRPr="00073321">
        <w:rPr>
          <w:rFonts w:eastAsia="Times New Roman" w:cstheme="minorHAnsi"/>
          <w:lang w:eastAsia="en-GB"/>
        </w:rPr>
        <w:t>is then</w:t>
      </w:r>
      <w:r w:rsidR="00BA5176" w:rsidRPr="00073321">
        <w:rPr>
          <w:rFonts w:eastAsia="Times New Roman" w:cstheme="minorHAnsi"/>
          <w:lang w:eastAsia="en-GB"/>
        </w:rPr>
        <w:t xml:space="preserve"> detailed, </w:t>
      </w:r>
      <w:r w:rsidR="005A0021" w:rsidRPr="00073321">
        <w:rPr>
          <w:rFonts w:eastAsia="Times New Roman" w:cstheme="minorHAnsi"/>
          <w:lang w:eastAsia="en-GB"/>
        </w:rPr>
        <w:t>where strengths and limitations are discussed.</w:t>
      </w:r>
    </w:p>
    <w:p w:rsidR="00BA5176" w:rsidRPr="009B3747" w:rsidRDefault="00BA5176" w:rsidP="00BA5176">
      <w:pPr>
        <w:rPr>
          <w:rFonts w:eastAsia="Times New Roman" w:cstheme="minorHAnsi"/>
          <w:i/>
          <w:sz w:val="24"/>
          <w:szCs w:val="24"/>
          <w:lang w:eastAsia="en-GB"/>
        </w:rPr>
      </w:pPr>
    </w:p>
    <w:p w:rsidR="00BA5176" w:rsidRPr="009B3747" w:rsidRDefault="002C6470" w:rsidP="00BA5176">
      <w:pPr>
        <w:rPr>
          <w:rFonts w:eastAsia="Times New Roman" w:cstheme="minorHAnsi"/>
          <w:sz w:val="24"/>
          <w:szCs w:val="24"/>
          <w:lang w:eastAsia="en-GB"/>
        </w:rPr>
      </w:pPr>
      <w:r w:rsidRPr="009B3747">
        <w:rPr>
          <w:rFonts w:eastAsia="Times New Roman" w:cstheme="minorHAnsi"/>
          <w:i/>
          <w:color w:val="000000"/>
          <w:lang w:eastAsia="en-GB"/>
        </w:rPr>
        <w:t xml:space="preserve">Chapter 10 </w:t>
      </w:r>
      <w:r w:rsidR="005A0021" w:rsidRPr="009B3747">
        <w:rPr>
          <w:rFonts w:eastAsia="Times New Roman" w:cstheme="minorHAnsi"/>
          <w:i/>
          <w:color w:val="000000"/>
          <w:lang w:eastAsia="en-GB"/>
        </w:rPr>
        <w:t>Conclusion, recommendations</w:t>
      </w:r>
      <w:r w:rsidR="00BA5176" w:rsidRPr="009B3747">
        <w:rPr>
          <w:rFonts w:eastAsia="Times New Roman" w:cstheme="minorHAnsi"/>
          <w:i/>
          <w:color w:val="000000"/>
          <w:lang w:eastAsia="en-GB"/>
        </w:rPr>
        <w:t xml:space="preserve"> and dissemination</w:t>
      </w:r>
      <w:r w:rsidR="00BA5176" w:rsidRPr="009B3747">
        <w:rPr>
          <w:rFonts w:eastAsia="Times New Roman" w:cstheme="minorHAnsi"/>
          <w:i/>
          <w:color w:val="000000"/>
          <w:lang w:eastAsia="en-GB"/>
        </w:rPr>
        <w:br/>
      </w:r>
      <w:r w:rsidR="00BA5176" w:rsidRPr="009B3747">
        <w:rPr>
          <w:rFonts w:eastAsia="Times New Roman" w:cstheme="minorHAnsi"/>
          <w:color w:val="000000"/>
          <w:lang w:eastAsia="en-GB"/>
        </w:rPr>
        <w:br/>
        <w:t xml:space="preserve">Chapter 10 </w:t>
      </w:r>
      <w:r w:rsidR="00D86A56" w:rsidRPr="009B3747">
        <w:rPr>
          <w:rFonts w:eastAsia="Times New Roman" w:cstheme="minorHAnsi"/>
          <w:color w:val="000000"/>
          <w:lang w:eastAsia="en-GB"/>
        </w:rPr>
        <w:t>provides</w:t>
      </w:r>
      <w:r w:rsidR="00BA5176" w:rsidRPr="009B3747">
        <w:rPr>
          <w:rFonts w:eastAsia="Times New Roman" w:cstheme="minorHAnsi"/>
          <w:color w:val="000000"/>
          <w:lang w:eastAsia="en-GB"/>
        </w:rPr>
        <w:t xml:space="preserve"> a brief conclusion, re-summarise</w:t>
      </w:r>
      <w:r w:rsidR="00D86A56" w:rsidRPr="009B3747">
        <w:rPr>
          <w:rFonts w:eastAsia="Times New Roman" w:cstheme="minorHAnsi"/>
          <w:color w:val="000000"/>
          <w:lang w:eastAsia="en-GB"/>
        </w:rPr>
        <w:t>s</w:t>
      </w:r>
      <w:r w:rsidR="00BA5176" w:rsidRPr="009B3747">
        <w:rPr>
          <w:rFonts w:eastAsia="Times New Roman" w:cstheme="minorHAnsi"/>
          <w:color w:val="000000"/>
          <w:lang w:eastAsia="en-GB"/>
        </w:rPr>
        <w:t xml:space="preserve"> the main findings and propose</w:t>
      </w:r>
      <w:r w:rsidR="00D86A56" w:rsidRPr="009B3747">
        <w:rPr>
          <w:rFonts w:eastAsia="Times New Roman" w:cstheme="minorHAnsi"/>
          <w:color w:val="000000"/>
          <w:lang w:eastAsia="en-GB"/>
        </w:rPr>
        <w:t>s</w:t>
      </w:r>
      <w:r w:rsidR="00BA5176" w:rsidRPr="009B3747">
        <w:rPr>
          <w:rFonts w:eastAsia="Times New Roman" w:cstheme="minorHAnsi"/>
          <w:color w:val="000000"/>
          <w:lang w:eastAsia="en-GB"/>
        </w:rPr>
        <w:t xml:space="preserve"> how the study makes a unique and significant contribution to the evidence base.  </w:t>
      </w:r>
      <w:r w:rsidR="005A0021" w:rsidRPr="009B3747">
        <w:rPr>
          <w:rFonts w:eastAsia="Times New Roman" w:cstheme="minorHAnsi"/>
          <w:color w:val="000000"/>
          <w:lang w:eastAsia="en-GB"/>
        </w:rPr>
        <w:t>Recommendations</w:t>
      </w:r>
      <w:r w:rsidR="00BA5176" w:rsidRPr="009B3747">
        <w:rPr>
          <w:rFonts w:eastAsia="Times New Roman" w:cstheme="minorHAnsi"/>
          <w:color w:val="000000"/>
          <w:lang w:eastAsia="en-GB"/>
        </w:rPr>
        <w:t xml:space="preserve"> for practice and policy </w:t>
      </w:r>
      <w:r w:rsidR="00D86A56" w:rsidRPr="009B3747">
        <w:rPr>
          <w:rFonts w:eastAsia="Times New Roman" w:cstheme="minorHAnsi"/>
          <w:color w:val="000000"/>
          <w:lang w:eastAsia="en-GB"/>
        </w:rPr>
        <w:t>are</w:t>
      </w:r>
      <w:r w:rsidR="00BA5176" w:rsidRPr="009B3747">
        <w:rPr>
          <w:rFonts w:eastAsia="Times New Roman" w:cstheme="minorHAnsi"/>
          <w:color w:val="000000"/>
          <w:lang w:eastAsia="en-GB"/>
        </w:rPr>
        <w:t xml:space="preserve"> discussed as well as possible areas of further research related to this study and its findings.  The approach utilised to disseminate the research and its findings </w:t>
      </w:r>
      <w:r w:rsidR="00D86A56" w:rsidRPr="009B3747">
        <w:rPr>
          <w:rFonts w:eastAsia="Times New Roman" w:cstheme="minorHAnsi"/>
          <w:color w:val="000000"/>
          <w:lang w:eastAsia="en-GB"/>
        </w:rPr>
        <w:t>are then</w:t>
      </w:r>
      <w:r w:rsidR="00BA5176" w:rsidRPr="009B3747">
        <w:rPr>
          <w:rFonts w:eastAsia="Times New Roman" w:cstheme="minorHAnsi"/>
          <w:color w:val="000000"/>
          <w:lang w:eastAsia="en-GB"/>
        </w:rPr>
        <w:t xml:space="preserve"> detailed.</w:t>
      </w:r>
    </w:p>
    <w:p w:rsidR="00037CBA" w:rsidRDefault="00037CBA" w:rsidP="00773382">
      <w:pPr>
        <w:jc w:val="center"/>
        <w:rPr>
          <w:rFonts w:eastAsia="Times New Roman" w:cstheme="minorHAnsi"/>
          <w:b/>
          <w:bCs/>
          <w:color w:val="000000"/>
          <w:sz w:val="36"/>
          <w:szCs w:val="36"/>
          <w:u w:val="single"/>
          <w:lang w:eastAsia="en-GB"/>
        </w:rPr>
      </w:pPr>
    </w:p>
    <w:p w:rsidR="00037CBA" w:rsidRDefault="00037CBA" w:rsidP="00773382">
      <w:pPr>
        <w:jc w:val="center"/>
        <w:rPr>
          <w:rFonts w:eastAsia="Times New Roman" w:cstheme="minorHAnsi"/>
          <w:b/>
          <w:bCs/>
          <w:color w:val="000000"/>
          <w:sz w:val="36"/>
          <w:szCs w:val="36"/>
          <w:u w:val="single"/>
          <w:lang w:eastAsia="en-GB"/>
        </w:rPr>
      </w:pPr>
    </w:p>
    <w:p w:rsidR="00037CBA" w:rsidRDefault="00037CBA" w:rsidP="00773382">
      <w:pPr>
        <w:jc w:val="center"/>
        <w:rPr>
          <w:rFonts w:eastAsia="Times New Roman" w:cstheme="minorHAnsi"/>
          <w:b/>
          <w:bCs/>
          <w:color w:val="000000"/>
          <w:sz w:val="36"/>
          <w:szCs w:val="36"/>
          <w:u w:val="single"/>
          <w:lang w:eastAsia="en-GB"/>
        </w:rPr>
      </w:pPr>
    </w:p>
    <w:p w:rsidR="009A0D97" w:rsidRDefault="009A0D97" w:rsidP="00773382">
      <w:pPr>
        <w:jc w:val="center"/>
        <w:rPr>
          <w:rFonts w:eastAsia="Times New Roman" w:cstheme="minorHAnsi"/>
          <w:b/>
          <w:bCs/>
          <w:color w:val="000000"/>
          <w:sz w:val="36"/>
          <w:szCs w:val="36"/>
          <w:u w:val="single"/>
          <w:lang w:eastAsia="en-GB"/>
        </w:rPr>
      </w:pPr>
    </w:p>
    <w:p w:rsidR="009A0D97" w:rsidRDefault="009A0D97" w:rsidP="00773382">
      <w:pPr>
        <w:jc w:val="center"/>
        <w:rPr>
          <w:rFonts w:eastAsia="Times New Roman" w:cstheme="minorHAnsi"/>
          <w:b/>
          <w:bCs/>
          <w:color w:val="000000"/>
          <w:sz w:val="36"/>
          <w:szCs w:val="36"/>
          <w:u w:val="single"/>
          <w:lang w:eastAsia="en-GB"/>
        </w:rPr>
      </w:pPr>
    </w:p>
    <w:p w:rsidR="009A0D97" w:rsidRDefault="009A0D97" w:rsidP="00773382">
      <w:pPr>
        <w:jc w:val="center"/>
        <w:rPr>
          <w:rFonts w:eastAsia="Times New Roman" w:cstheme="minorHAnsi"/>
          <w:b/>
          <w:bCs/>
          <w:color w:val="000000"/>
          <w:sz w:val="36"/>
          <w:szCs w:val="36"/>
          <w:u w:val="single"/>
          <w:lang w:eastAsia="en-GB"/>
        </w:rPr>
      </w:pPr>
    </w:p>
    <w:p w:rsidR="002C6470" w:rsidRPr="009B3747" w:rsidRDefault="00773382" w:rsidP="00773382">
      <w:pPr>
        <w:jc w:val="center"/>
        <w:rPr>
          <w:rFonts w:eastAsia="Times New Roman" w:cstheme="minorHAnsi"/>
          <w:b/>
          <w:bCs/>
          <w:color w:val="000000"/>
          <w:sz w:val="36"/>
          <w:szCs w:val="36"/>
          <w:u w:val="single"/>
          <w:lang w:eastAsia="en-GB"/>
        </w:rPr>
      </w:pPr>
      <w:r w:rsidRPr="009B3747">
        <w:rPr>
          <w:rFonts w:eastAsia="Times New Roman" w:cstheme="minorHAnsi"/>
          <w:b/>
          <w:bCs/>
          <w:color w:val="000000"/>
          <w:sz w:val="36"/>
          <w:szCs w:val="36"/>
          <w:u w:val="single"/>
          <w:lang w:eastAsia="en-GB"/>
        </w:rPr>
        <w:lastRenderedPageBreak/>
        <w:t>C</w:t>
      </w:r>
      <w:r w:rsidR="00A16FA3" w:rsidRPr="009B3747">
        <w:rPr>
          <w:rFonts w:eastAsia="Times New Roman" w:cstheme="minorHAnsi"/>
          <w:b/>
          <w:bCs/>
          <w:color w:val="000000"/>
          <w:sz w:val="36"/>
          <w:szCs w:val="36"/>
          <w:u w:val="single"/>
          <w:lang w:eastAsia="en-GB"/>
        </w:rPr>
        <w:t>hapter 2</w:t>
      </w:r>
    </w:p>
    <w:p w:rsidR="00410AD0" w:rsidRPr="009B3747" w:rsidRDefault="00410AD0" w:rsidP="00410AD0">
      <w:pPr>
        <w:rPr>
          <w:rFonts w:eastAsia="Times New Roman" w:cstheme="minorHAnsi"/>
          <w:b/>
          <w:bCs/>
          <w:color w:val="000000"/>
          <w:sz w:val="28"/>
          <w:szCs w:val="28"/>
          <w:u w:val="single"/>
          <w:lang w:eastAsia="en-GB"/>
        </w:rPr>
      </w:pPr>
    </w:p>
    <w:p w:rsidR="00A16FA3" w:rsidRPr="009B3747" w:rsidRDefault="0094762E" w:rsidP="00410AD0">
      <w:pPr>
        <w:rPr>
          <w:rFonts w:eastAsia="Times New Roman" w:cstheme="minorHAnsi"/>
          <w:b/>
          <w:bCs/>
          <w:color w:val="000000"/>
          <w:sz w:val="32"/>
          <w:szCs w:val="32"/>
          <w:u w:val="single"/>
          <w:lang w:eastAsia="en-GB"/>
        </w:rPr>
      </w:pPr>
      <w:r w:rsidRPr="009B3747">
        <w:rPr>
          <w:rFonts w:eastAsia="Times New Roman" w:cstheme="minorHAnsi"/>
          <w:b/>
          <w:bCs/>
          <w:color w:val="000000"/>
          <w:sz w:val="32"/>
          <w:szCs w:val="32"/>
          <w:u w:val="single"/>
          <w:lang w:eastAsia="en-GB"/>
        </w:rPr>
        <w:t>General r</w:t>
      </w:r>
      <w:r w:rsidR="00157ED8" w:rsidRPr="009B3747">
        <w:rPr>
          <w:rFonts w:eastAsia="Times New Roman" w:cstheme="minorHAnsi"/>
          <w:b/>
          <w:bCs/>
          <w:color w:val="000000"/>
          <w:sz w:val="32"/>
          <w:szCs w:val="32"/>
          <w:u w:val="single"/>
          <w:lang w:eastAsia="en-GB"/>
        </w:rPr>
        <w:t>eview of the l</w:t>
      </w:r>
      <w:r w:rsidR="00A16FA3" w:rsidRPr="009B3747">
        <w:rPr>
          <w:rFonts w:eastAsia="Times New Roman" w:cstheme="minorHAnsi"/>
          <w:b/>
          <w:bCs/>
          <w:color w:val="000000"/>
          <w:sz w:val="32"/>
          <w:szCs w:val="32"/>
          <w:u w:val="single"/>
          <w:lang w:eastAsia="en-GB"/>
        </w:rPr>
        <w:t>iterature and study setting</w:t>
      </w:r>
    </w:p>
    <w:p w:rsidR="00410AD0" w:rsidRPr="009B3747" w:rsidRDefault="00410AD0" w:rsidP="00410AD0">
      <w:pPr>
        <w:jc w:val="center"/>
        <w:rPr>
          <w:rFonts w:eastAsia="Times New Roman" w:cstheme="minorHAnsi"/>
          <w:b/>
          <w:bCs/>
          <w:color w:val="000000"/>
          <w:sz w:val="28"/>
          <w:szCs w:val="28"/>
          <w:u w:val="single"/>
          <w:lang w:eastAsia="en-GB"/>
        </w:rPr>
      </w:pPr>
    </w:p>
    <w:p w:rsidR="00410AD0" w:rsidRPr="009B3747" w:rsidRDefault="00410AD0" w:rsidP="00A16FA3">
      <w:pPr>
        <w:rPr>
          <w:rFonts w:eastAsia="Times New Roman" w:cstheme="minorHAnsi"/>
          <w:b/>
          <w:sz w:val="24"/>
          <w:szCs w:val="24"/>
          <w:lang w:eastAsia="en-GB"/>
        </w:rPr>
      </w:pPr>
      <w:r w:rsidRPr="009B3747">
        <w:rPr>
          <w:rFonts w:eastAsia="Times New Roman" w:cstheme="minorHAnsi"/>
          <w:b/>
          <w:bCs/>
          <w:color w:val="000000"/>
          <w:sz w:val="24"/>
          <w:szCs w:val="24"/>
          <w:u w:val="single"/>
          <w:lang w:eastAsia="en-GB"/>
        </w:rPr>
        <w:t>2.1 Introduction</w:t>
      </w:r>
    </w:p>
    <w:p w:rsidR="002C6470" w:rsidRPr="009B3747" w:rsidRDefault="002C6470" w:rsidP="00A16FA3">
      <w:pPr>
        <w:rPr>
          <w:rFonts w:eastAsia="Times New Roman" w:cstheme="minorHAnsi"/>
          <w:color w:val="000000"/>
          <w:lang w:eastAsia="en-GB"/>
        </w:rPr>
      </w:pPr>
    </w:p>
    <w:p w:rsidR="00A16FA3" w:rsidRPr="009B3747" w:rsidRDefault="009A0D97" w:rsidP="00A16FA3">
      <w:pPr>
        <w:rPr>
          <w:rFonts w:eastAsia="Times New Roman" w:cstheme="minorHAnsi"/>
          <w:color w:val="000000"/>
          <w:lang w:eastAsia="en-GB"/>
        </w:rPr>
      </w:pPr>
      <w:r>
        <w:rPr>
          <w:rFonts w:eastAsia="Times New Roman" w:cstheme="minorHAnsi"/>
          <w:color w:val="000000"/>
          <w:lang w:eastAsia="en-GB"/>
        </w:rPr>
        <w:t>T</w:t>
      </w:r>
      <w:r w:rsidR="00A16FA3" w:rsidRPr="009B3747">
        <w:rPr>
          <w:rFonts w:eastAsia="Times New Roman" w:cstheme="minorHAnsi"/>
          <w:color w:val="000000"/>
          <w:lang w:eastAsia="en-GB"/>
        </w:rPr>
        <w:t>his chapter seeks to achieve two key things</w:t>
      </w:r>
      <w:r w:rsidR="00443419" w:rsidRPr="009B3747">
        <w:rPr>
          <w:rFonts w:eastAsia="Times New Roman" w:cstheme="minorHAnsi"/>
          <w:color w:val="000000"/>
          <w:lang w:eastAsia="en-GB"/>
        </w:rPr>
        <w:t xml:space="preserve"> (1)</w:t>
      </w:r>
      <w:r w:rsidR="00A16FA3" w:rsidRPr="009B3747">
        <w:rPr>
          <w:rFonts w:eastAsia="Times New Roman" w:cstheme="minorHAnsi"/>
          <w:color w:val="000000"/>
          <w:lang w:eastAsia="en-GB"/>
        </w:rPr>
        <w:t xml:space="preserve">: </w:t>
      </w:r>
      <w:r w:rsidR="00443419" w:rsidRPr="009B3747">
        <w:rPr>
          <w:rFonts w:eastAsia="Times New Roman" w:cstheme="minorHAnsi"/>
          <w:color w:val="000000"/>
          <w:lang w:eastAsia="en-GB"/>
        </w:rPr>
        <w:t xml:space="preserve">to </w:t>
      </w:r>
      <w:r w:rsidR="00410AD0" w:rsidRPr="009B3747">
        <w:rPr>
          <w:rFonts w:eastAsia="Times New Roman" w:cstheme="minorHAnsi"/>
          <w:color w:val="000000"/>
          <w:lang w:eastAsia="en-GB"/>
        </w:rPr>
        <w:t>present a</w:t>
      </w:r>
      <w:r w:rsidR="00A16FA3" w:rsidRPr="009B3747">
        <w:rPr>
          <w:rFonts w:eastAsia="Times New Roman" w:cstheme="minorHAnsi"/>
          <w:color w:val="000000"/>
          <w:lang w:eastAsia="en-GB"/>
        </w:rPr>
        <w:t xml:space="preserve"> comprehensive and critical account of contextual literature and evidence in relatio</w:t>
      </w:r>
      <w:r w:rsidR="00443419" w:rsidRPr="009B3747">
        <w:rPr>
          <w:rFonts w:eastAsia="Times New Roman" w:cstheme="minorHAnsi"/>
          <w:color w:val="000000"/>
          <w:lang w:eastAsia="en-GB"/>
        </w:rPr>
        <w:t>n to this topic, and (2) to</w:t>
      </w:r>
      <w:r w:rsidR="00A16FA3" w:rsidRPr="009B3747">
        <w:rPr>
          <w:rFonts w:eastAsia="Times New Roman" w:cstheme="minorHAnsi"/>
          <w:color w:val="000000"/>
          <w:lang w:eastAsia="en-GB"/>
        </w:rPr>
        <w:t xml:space="preserve"> support the </w:t>
      </w:r>
      <w:r w:rsidR="00443419" w:rsidRPr="009B3747">
        <w:rPr>
          <w:rFonts w:eastAsia="Times New Roman" w:cstheme="minorHAnsi"/>
          <w:color w:val="000000"/>
          <w:lang w:eastAsia="en-GB"/>
        </w:rPr>
        <w:t>justification t</w:t>
      </w:r>
      <w:r w:rsidR="00A16FA3" w:rsidRPr="009B3747">
        <w:rPr>
          <w:rFonts w:eastAsia="Times New Roman" w:cstheme="minorHAnsi"/>
          <w:color w:val="000000"/>
          <w:lang w:eastAsia="en-GB"/>
        </w:rPr>
        <w:t>hat a focus upon secondary school headteachers</w:t>
      </w:r>
      <w:r w:rsidR="006E1936" w:rsidRPr="009B3747">
        <w:rPr>
          <w:rFonts w:eastAsia="Times New Roman" w:cstheme="minorHAnsi"/>
          <w:color w:val="000000"/>
          <w:lang w:eastAsia="en-GB"/>
        </w:rPr>
        <w:t>’</w:t>
      </w:r>
      <w:r w:rsidR="00A16FA3" w:rsidRPr="009B3747">
        <w:rPr>
          <w:rFonts w:eastAsia="Times New Roman" w:cstheme="minorHAnsi"/>
          <w:color w:val="000000"/>
          <w:lang w:eastAsia="en-GB"/>
        </w:rPr>
        <w:t xml:space="preserve"> and chairs of governors’ perspectives of ad</w:t>
      </w:r>
      <w:r w:rsidR="009D68EB" w:rsidRPr="009B3747">
        <w:rPr>
          <w:rFonts w:eastAsia="Times New Roman" w:cstheme="minorHAnsi"/>
          <w:color w:val="000000"/>
          <w:lang w:eastAsia="en-GB"/>
        </w:rPr>
        <w:t>olescent obesity is appropriate.  T</w:t>
      </w:r>
      <w:r w:rsidR="00A16FA3" w:rsidRPr="009B3747">
        <w:rPr>
          <w:rFonts w:eastAsia="Times New Roman" w:cstheme="minorHAnsi"/>
          <w:color w:val="000000"/>
          <w:lang w:eastAsia="en-GB"/>
        </w:rPr>
        <w:t>he chapter is split into</w:t>
      </w:r>
      <w:r w:rsidR="00410AD0" w:rsidRPr="009B3747">
        <w:rPr>
          <w:rFonts w:eastAsia="Times New Roman" w:cstheme="minorHAnsi"/>
          <w:color w:val="000000"/>
          <w:lang w:eastAsia="en-GB"/>
        </w:rPr>
        <w:t xml:space="preserve"> two </w:t>
      </w:r>
      <w:r w:rsidR="00FC272B" w:rsidRPr="009B3747">
        <w:rPr>
          <w:rFonts w:eastAsia="Times New Roman" w:cstheme="minorHAnsi"/>
          <w:color w:val="000000"/>
          <w:lang w:eastAsia="en-GB"/>
        </w:rPr>
        <w:t xml:space="preserve">overarching </w:t>
      </w:r>
      <w:r w:rsidR="00410AD0" w:rsidRPr="009B3747">
        <w:rPr>
          <w:rFonts w:eastAsia="Times New Roman" w:cstheme="minorHAnsi"/>
          <w:color w:val="000000"/>
          <w:lang w:eastAsia="en-GB"/>
        </w:rPr>
        <w:t xml:space="preserve">sections, with the first providing a </w:t>
      </w:r>
      <w:r w:rsidR="00443419" w:rsidRPr="009B3747">
        <w:rPr>
          <w:rFonts w:eastAsia="Times New Roman" w:cstheme="minorHAnsi"/>
          <w:color w:val="000000"/>
          <w:lang w:eastAsia="en-GB"/>
        </w:rPr>
        <w:t>detailed overview of</w:t>
      </w:r>
      <w:r w:rsidR="00A16FA3" w:rsidRPr="009B3747">
        <w:rPr>
          <w:rFonts w:eastAsia="Times New Roman" w:cstheme="minorHAnsi"/>
          <w:color w:val="000000"/>
          <w:lang w:eastAsia="en-GB"/>
        </w:rPr>
        <w:t xml:space="preserve"> background literature related to the research topic and </w:t>
      </w:r>
      <w:r w:rsidR="00410AD0" w:rsidRPr="009B3747">
        <w:rPr>
          <w:rFonts w:eastAsia="Times New Roman" w:cstheme="minorHAnsi"/>
          <w:color w:val="000000"/>
          <w:lang w:eastAsia="en-GB"/>
        </w:rPr>
        <w:t xml:space="preserve">the second broadly describing </w:t>
      </w:r>
      <w:r w:rsidR="00A16FA3" w:rsidRPr="009B3747">
        <w:rPr>
          <w:rFonts w:eastAsia="Times New Roman" w:cstheme="minorHAnsi"/>
          <w:color w:val="000000"/>
          <w:lang w:eastAsia="en-GB"/>
        </w:rPr>
        <w:t>the setting under study</w:t>
      </w:r>
      <w:r w:rsidR="00FE4357">
        <w:rPr>
          <w:rFonts w:eastAsia="Times New Roman" w:cstheme="minorHAnsi"/>
          <w:color w:val="000000"/>
          <w:lang w:eastAsia="en-GB"/>
        </w:rPr>
        <w:t>,</w:t>
      </w:r>
      <w:r w:rsidR="00A16FA3" w:rsidRPr="009B3747">
        <w:rPr>
          <w:rFonts w:eastAsia="Times New Roman" w:cstheme="minorHAnsi"/>
          <w:color w:val="000000"/>
          <w:lang w:eastAsia="en-GB"/>
        </w:rPr>
        <w:t xml:space="preserve"> i.e</w:t>
      </w:r>
      <w:r w:rsidR="00443419" w:rsidRPr="009B3747">
        <w:rPr>
          <w:rFonts w:eastAsia="Times New Roman" w:cstheme="minorHAnsi"/>
          <w:color w:val="000000"/>
          <w:lang w:eastAsia="en-GB"/>
        </w:rPr>
        <w:t>. secondary schools in England.</w:t>
      </w:r>
      <w:r w:rsidR="009D68EB" w:rsidRPr="009B3747">
        <w:rPr>
          <w:rFonts w:eastAsia="Times New Roman" w:cstheme="minorHAnsi"/>
          <w:color w:val="000000"/>
          <w:lang w:eastAsia="en-GB"/>
        </w:rPr>
        <w:t xml:space="preserve"> </w:t>
      </w:r>
    </w:p>
    <w:p w:rsidR="00A16FA3" w:rsidRPr="009B3747" w:rsidRDefault="00A16FA3" w:rsidP="00A16FA3">
      <w:pPr>
        <w:rPr>
          <w:rFonts w:eastAsia="Times New Roman" w:cstheme="minorHAnsi"/>
          <w:sz w:val="24"/>
          <w:szCs w:val="24"/>
          <w:lang w:eastAsia="en-GB"/>
        </w:rPr>
      </w:pPr>
    </w:p>
    <w:p w:rsidR="00A16FA3" w:rsidRPr="009B3747" w:rsidRDefault="00443419" w:rsidP="00A16FA3">
      <w:pPr>
        <w:rPr>
          <w:rFonts w:eastAsia="Times New Roman" w:cstheme="minorHAnsi"/>
          <w:color w:val="000000"/>
          <w:lang w:eastAsia="en-GB"/>
        </w:rPr>
      </w:pPr>
      <w:r w:rsidRPr="009B3747">
        <w:rPr>
          <w:rFonts w:eastAsia="Times New Roman" w:cstheme="minorHAnsi"/>
          <w:color w:val="000000"/>
          <w:lang w:eastAsia="en-GB"/>
        </w:rPr>
        <w:t>A</w:t>
      </w:r>
      <w:r w:rsidR="00A16FA3" w:rsidRPr="009B3747">
        <w:rPr>
          <w:rFonts w:eastAsia="Times New Roman" w:cstheme="minorHAnsi"/>
          <w:color w:val="000000"/>
          <w:lang w:eastAsia="en-GB"/>
        </w:rPr>
        <w:t>fter b</w:t>
      </w:r>
      <w:r w:rsidR="00FC272B" w:rsidRPr="009B3747">
        <w:rPr>
          <w:rFonts w:eastAsia="Times New Roman" w:cstheme="minorHAnsi"/>
          <w:color w:val="000000"/>
          <w:lang w:eastAsia="en-GB"/>
        </w:rPr>
        <w:t>riefly defining key terms (</w:t>
      </w:r>
      <w:r w:rsidR="00A16FA3" w:rsidRPr="009B3747">
        <w:rPr>
          <w:rFonts w:eastAsia="Times New Roman" w:cstheme="minorHAnsi"/>
          <w:color w:val="000000"/>
          <w:lang w:eastAsia="en-GB"/>
        </w:rPr>
        <w:t>childhood, adolescence and obesity), section one summarises the global and national picture of obesity</w:t>
      </w:r>
      <w:r w:rsidR="009A0D97">
        <w:rPr>
          <w:rFonts w:eastAsia="Times New Roman" w:cstheme="minorHAnsi"/>
          <w:color w:val="000000"/>
          <w:lang w:eastAsia="en-GB"/>
        </w:rPr>
        <w:t>,</w:t>
      </w:r>
      <w:r w:rsidR="00A16FA3" w:rsidRPr="009B3747">
        <w:rPr>
          <w:rFonts w:eastAsia="Times New Roman" w:cstheme="minorHAnsi"/>
          <w:color w:val="000000"/>
          <w:lang w:eastAsia="en-GB"/>
        </w:rPr>
        <w:t xml:space="preserve"> and offers reflective discussions on the definitions, prevalence, causes and consequences of obesity.  This section then moves on to outlining national approaches utilised to address and prev</w:t>
      </w:r>
      <w:r w:rsidR="009A0D97">
        <w:rPr>
          <w:rFonts w:eastAsia="Times New Roman" w:cstheme="minorHAnsi"/>
          <w:color w:val="000000"/>
          <w:lang w:eastAsia="en-GB"/>
        </w:rPr>
        <w:t xml:space="preserve">ent this public health problem.  This includes </w:t>
      </w:r>
      <w:r w:rsidR="00A16FA3" w:rsidRPr="009B3747">
        <w:rPr>
          <w:rFonts w:eastAsia="Times New Roman" w:cstheme="minorHAnsi"/>
          <w:color w:val="000000"/>
          <w:lang w:eastAsia="en-GB"/>
        </w:rPr>
        <w:t xml:space="preserve">the role of schools in promoting child and adolescent health and well-being and </w:t>
      </w:r>
      <w:r w:rsidR="00D86A56" w:rsidRPr="009B3747">
        <w:rPr>
          <w:rFonts w:eastAsia="Times New Roman" w:cstheme="minorHAnsi"/>
          <w:color w:val="000000"/>
          <w:lang w:eastAsia="en-GB"/>
        </w:rPr>
        <w:t>preventing obesity</w:t>
      </w:r>
      <w:r w:rsidR="00A16FA3" w:rsidRPr="009B3747">
        <w:rPr>
          <w:rFonts w:eastAsia="Times New Roman" w:cstheme="minorHAnsi"/>
          <w:color w:val="000000"/>
          <w:lang w:eastAsia="en-GB"/>
        </w:rPr>
        <w:t>.  Concluding this section is a critical review of the effectiveness of school-based prevention interventions (with an em</w:t>
      </w:r>
      <w:r w:rsidR="009A0D97">
        <w:rPr>
          <w:rFonts w:eastAsia="Times New Roman" w:cstheme="minorHAnsi"/>
          <w:color w:val="000000"/>
          <w:lang w:eastAsia="en-GB"/>
        </w:rPr>
        <w:t xml:space="preserve">phasis on secondary schools), </w:t>
      </w:r>
      <w:r w:rsidR="00A16FA3" w:rsidRPr="009B3747">
        <w:rPr>
          <w:rFonts w:eastAsia="Times New Roman" w:cstheme="minorHAnsi"/>
          <w:color w:val="000000"/>
          <w:lang w:eastAsia="en-GB"/>
        </w:rPr>
        <w:t>and how the study population</w:t>
      </w:r>
      <w:r w:rsidR="00FE4357">
        <w:rPr>
          <w:rFonts w:eastAsia="Times New Roman" w:cstheme="minorHAnsi"/>
          <w:color w:val="000000"/>
          <w:lang w:eastAsia="en-GB"/>
        </w:rPr>
        <w:t>,</w:t>
      </w:r>
      <w:r w:rsidR="00A16FA3" w:rsidRPr="009B3747">
        <w:rPr>
          <w:rFonts w:eastAsia="Times New Roman" w:cstheme="minorHAnsi"/>
          <w:color w:val="000000"/>
          <w:lang w:eastAsia="en-GB"/>
        </w:rPr>
        <w:t xml:space="preserve"> </w:t>
      </w:r>
      <w:r w:rsidR="009A0D97">
        <w:rPr>
          <w:rFonts w:eastAsia="Times New Roman" w:cstheme="minorHAnsi"/>
          <w:color w:val="000000"/>
          <w:lang w:eastAsia="en-GB"/>
        </w:rPr>
        <w:t>(</w:t>
      </w:r>
      <w:r w:rsidR="00A16FA3" w:rsidRPr="009B3747">
        <w:rPr>
          <w:rFonts w:eastAsia="Times New Roman" w:cstheme="minorHAnsi"/>
          <w:color w:val="000000"/>
          <w:lang w:eastAsia="en-GB"/>
        </w:rPr>
        <w:t>i.e. headteachers and chairs of governors</w:t>
      </w:r>
      <w:r w:rsidR="009A0D97">
        <w:rPr>
          <w:rFonts w:eastAsia="Times New Roman" w:cstheme="minorHAnsi"/>
          <w:color w:val="000000"/>
          <w:lang w:eastAsia="en-GB"/>
        </w:rPr>
        <w:t>)</w:t>
      </w:r>
      <w:r w:rsidR="00A16FA3" w:rsidRPr="009B3747">
        <w:rPr>
          <w:rFonts w:eastAsia="Times New Roman" w:cstheme="minorHAnsi"/>
          <w:color w:val="000000"/>
          <w:lang w:eastAsia="en-GB"/>
        </w:rPr>
        <w:t xml:space="preserve"> play a crucial ro</w:t>
      </w:r>
      <w:r w:rsidR="009A0D97">
        <w:rPr>
          <w:rFonts w:eastAsia="Times New Roman" w:cstheme="minorHAnsi"/>
          <w:color w:val="000000"/>
          <w:lang w:eastAsia="en-GB"/>
        </w:rPr>
        <w:t>le within preventative action – t</w:t>
      </w:r>
      <w:r w:rsidR="00A16FA3" w:rsidRPr="009B3747">
        <w:rPr>
          <w:rFonts w:eastAsia="Times New Roman" w:cstheme="minorHAnsi"/>
          <w:color w:val="000000"/>
          <w:lang w:eastAsia="en-GB"/>
        </w:rPr>
        <w:t xml:space="preserve">hereby justifying the research focus. </w:t>
      </w:r>
    </w:p>
    <w:p w:rsidR="00A16FA3" w:rsidRPr="009B3747" w:rsidRDefault="00A16FA3" w:rsidP="00A16FA3">
      <w:pPr>
        <w:rPr>
          <w:rFonts w:eastAsia="Times New Roman" w:cstheme="minorHAnsi"/>
          <w:sz w:val="24"/>
          <w:szCs w:val="24"/>
          <w:lang w:eastAsia="en-GB"/>
        </w:rPr>
      </w:pPr>
    </w:p>
    <w:p w:rsidR="00773382" w:rsidRPr="009B3747" w:rsidRDefault="00A16FA3" w:rsidP="00410AD0">
      <w:pPr>
        <w:rPr>
          <w:rFonts w:eastAsia="Times New Roman" w:cstheme="minorHAnsi"/>
          <w:color w:val="000000"/>
          <w:lang w:eastAsia="en-GB"/>
        </w:rPr>
      </w:pPr>
      <w:r w:rsidRPr="009B3747">
        <w:rPr>
          <w:rFonts w:eastAsia="Times New Roman" w:cstheme="minorHAnsi"/>
          <w:color w:val="000000"/>
          <w:lang w:eastAsia="en-GB"/>
        </w:rPr>
        <w:t xml:space="preserve">The second </w:t>
      </w:r>
      <w:r w:rsidR="00410AD0" w:rsidRPr="009B3747">
        <w:rPr>
          <w:rFonts w:eastAsia="Times New Roman" w:cstheme="minorHAnsi"/>
          <w:color w:val="000000"/>
          <w:lang w:eastAsia="en-GB"/>
        </w:rPr>
        <w:t xml:space="preserve">shorter </w:t>
      </w:r>
      <w:r w:rsidRPr="009B3747">
        <w:rPr>
          <w:rFonts w:eastAsia="Times New Roman" w:cstheme="minorHAnsi"/>
          <w:color w:val="000000"/>
          <w:lang w:eastAsia="en-GB"/>
        </w:rPr>
        <w:t>section of this chapter aims to provide an overarching descripti</w:t>
      </w:r>
      <w:r w:rsidR="00FC272B" w:rsidRPr="009B3747">
        <w:rPr>
          <w:rFonts w:eastAsia="Times New Roman" w:cstheme="minorHAnsi"/>
          <w:color w:val="000000"/>
          <w:lang w:eastAsia="en-GB"/>
        </w:rPr>
        <w:t xml:space="preserve">on of the setting under study, namely </w:t>
      </w:r>
      <w:r w:rsidR="009A0D97">
        <w:rPr>
          <w:rFonts w:eastAsia="Times New Roman" w:cstheme="minorHAnsi"/>
          <w:color w:val="000000"/>
          <w:lang w:eastAsia="en-GB"/>
        </w:rPr>
        <w:t xml:space="preserve">secondary schools in England.  This enables </w:t>
      </w:r>
      <w:r w:rsidRPr="009B3747">
        <w:rPr>
          <w:rFonts w:eastAsia="Times New Roman" w:cstheme="minorHAnsi"/>
          <w:color w:val="000000"/>
          <w:lang w:eastAsia="en-GB"/>
        </w:rPr>
        <w:t>the research findings to be understood within the wider educational and policy context.  Therefore included in this section is demographic information at a national level regarding secondary school pupils, secondary schools and a brief explanation of leadership and gove</w:t>
      </w:r>
      <w:r w:rsidR="00D86A56" w:rsidRPr="009B3747">
        <w:rPr>
          <w:rFonts w:eastAsia="Times New Roman" w:cstheme="minorHAnsi"/>
          <w:color w:val="000000"/>
          <w:lang w:eastAsia="en-GB"/>
        </w:rPr>
        <w:t>rnance arrangements within this setting</w:t>
      </w:r>
      <w:r w:rsidRPr="009B3747">
        <w:rPr>
          <w:rFonts w:eastAsia="Times New Roman" w:cstheme="minorHAnsi"/>
          <w:color w:val="000000"/>
          <w:lang w:eastAsia="en-GB"/>
        </w:rPr>
        <w:t>.  </w:t>
      </w:r>
    </w:p>
    <w:p w:rsidR="006E1936" w:rsidRPr="009B3747" w:rsidRDefault="006E1936" w:rsidP="00410AD0">
      <w:pPr>
        <w:rPr>
          <w:rFonts w:eastAsia="Times New Roman" w:cstheme="minorHAnsi"/>
          <w:color w:val="000000"/>
          <w:lang w:eastAsia="en-GB"/>
        </w:rPr>
      </w:pPr>
    </w:p>
    <w:p w:rsidR="006E1936" w:rsidRPr="009B3747" w:rsidRDefault="006E1936" w:rsidP="00410AD0">
      <w:pPr>
        <w:rPr>
          <w:rFonts w:eastAsia="Times New Roman" w:cstheme="minorHAnsi"/>
          <w:color w:val="000000"/>
          <w:lang w:eastAsia="en-GB"/>
        </w:rPr>
      </w:pPr>
    </w:p>
    <w:p w:rsidR="006E1936" w:rsidRPr="009B3747" w:rsidRDefault="006E1936" w:rsidP="00410AD0">
      <w:pPr>
        <w:rPr>
          <w:rFonts w:eastAsia="Times New Roman" w:cstheme="minorHAnsi"/>
          <w:color w:val="000000"/>
          <w:lang w:eastAsia="en-GB"/>
        </w:rPr>
      </w:pPr>
    </w:p>
    <w:p w:rsidR="006E1936" w:rsidRPr="009B3747" w:rsidRDefault="006E1936" w:rsidP="00410AD0">
      <w:pPr>
        <w:rPr>
          <w:rFonts w:eastAsia="Times New Roman" w:cstheme="minorHAnsi"/>
          <w:color w:val="000000"/>
          <w:lang w:eastAsia="en-GB"/>
        </w:rPr>
      </w:pPr>
    </w:p>
    <w:p w:rsidR="006E1936" w:rsidRPr="009B3747" w:rsidRDefault="006E1936" w:rsidP="00410AD0">
      <w:pPr>
        <w:rPr>
          <w:rFonts w:eastAsia="Times New Roman" w:cstheme="minorHAnsi"/>
          <w:color w:val="000000"/>
          <w:sz w:val="24"/>
          <w:szCs w:val="24"/>
          <w:u w:val="single"/>
          <w:lang w:eastAsia="en-GB"/>
        </w:rPr>
      </w:pPr>
    </w:p>
    <w:p w:rsidR="00410AD0" w:rsidRPr="009B3747" w:rsidRDefault="00410AD0" w:rsidP="00410AD0">
      <w:pPr>
        <w:rPr>
          <w:rFonts w:eastAsia="Times New Roman" w:cstheme="minorHAnsi"/>
          <w:color w:val="000000"/>
          <w:u w:val="single"/>
          <w:lang w:eastAsia="en-GB"/>
        </w:rPr>
      </w:pPr>
      <w:r w:rsidRPr="009B3747">
        <w:rPr>
          <w:rFonts w:eastAsia="Times New Roman" w:cstheme="minorHAnsi"/>
          <w:color w:val="000000"/>
          <w:u w:val="single"/>
          <w:lang w:eastAsia="en-GB"/>
        </w:rPr>
        <w:lastRenderedPageBreak/>
        <w:t xml:space="preserve">2.1.1 Defining key terms </w:t>
      </w:r>
    </w:p>
    <w:p w:rsidR="00773382" w:rsidRPr="009B3747" w:rsidRDefault="00773382" w:rsidP="00410AD0">
      <w:pPr>
        <w:rPr>
          <w:rFonts w:eastAsia="Times New Roman" w:cstheme="minorHAnsi"/>
          <w:i/>
          <w:iCs/>
          <w:color w:val="000000"/>
          <w:sz w:val="24"/>
          <w:szCs w:val="24"/>
          <w:lang w:eastAsia="en-GB"/>
        </w:rPr>
      </w:pPr>
    </w:p>
    <w:p w:rsidR="00410AD0" w:rsidRPr="009B3747" w:rsidRDefault="00410AD0" w:rsidP="00410AD0">
      <w:pPr>
        <w:rPr>
          <w:rFonts w:eastAsia="Times New Roman" w:cstheme="minorHAnsi"/>
          <w:sz w:val="24"/>
          <w:szCs w:val="24"/>
          <w:lang w:eastAsia="en-GB"/>
        </w:rPr>
      </w:pPr>
      <w:r w:rsidRPr="009B3747">
        <w:rPr>
          <w:rFonts w:eastAsia="Times New Roman" w:cstheme="minorHAnsi"/>
          <w:i/>
          <w:iCs/>
          <w:color w:val="000000"/>
          <w:sz w:val="24"/>
          <w:szCs w:val="24"/>
          <w:lang w:eastAsia="en-GB"/>
        </w:rPr>
        <w:t>Childhood and adolescence</w:t>
      </w:r>
    </w:p>
    <w:p w:rsidR="003F074B" w:rsidRPr="009B3747" w:rsidRDefault="003F074B" w:rsidP="00410AD0">
      <w:pPr>
        <w:rPr>
          <w:rFonts w:eastAsia="Times New Roman" w:cstheme="minorHAnsi"/>
          <w:color w:val="000000"/>
          <w:lang w:eastAsia="en-GB"/>
        </w:rPr>
      </w:pPr>
    </w:p>
    <w:p w:rsidR="00410AD0" w:rsidRPr="009B3747" w:rsidRDefault="00410AD0" w:rsidP="00410AD0">
      <w:pPr>
        <w:rPr>
          <w:rFonts w:eastAsia="Times New Roman" w:cstheme="minorHAnsi"/>
          <w:sz w:val="24"/>
          <w:szCs w:val="24"/>
          <w:lang w:eastAsia="en-GB"/>
        </w:rPr>
      </w:pPr>
      <w:r w:rsidRPr="009B3747">
        <w:rPr>
          <w:rFonts w:eastAsia="Times New Roman" w:cstheme="minorHAnsi"/>
          <w:color w:val="000000"/>
          <w:lang w:eastAsia="en-GB"/>
        </w:rPr>
        <w:t>Given the frequent reference to the age periods of ‘childhood’ and ‘adolescence’ both throughout this chapter and the thesis, before presenting the general review of the literature</w:t>
      </w:r>
      <w:r w:rsidR="009A0D97">
        <w:rPr>
          <w:rFonts w:eastAsia="Times New Roman" w:cstheme="minorHAnsi"/>
          <w:color w:val="000000"/>
          <w:lang w:eastAsia="en-GB"/>
        </w:rPr>
        <w:t>,</w:t>
      </w:r>
      <w:r w:rsidRPr="009B3747">
        <w:rPr>
          <w:rFonts w:eastAsia="Times New Roman" w:cstheme="minorHAnsi"/>
          <w:color w:val="000000"/>
          <w:lang w:eastAsia="en-GB"/>
        </w:rPr>
        <w:t xml:space="preserve"> it was deemed important to define what this study understands by these terms.  In adopting the WHO definition, adolescence is proposed to occur between the ages of 10-19 years (inclusively) and represents a critical transition period between childhood (under 10 years) and adulthood (over 19 years - unless national law defines a person to be an adult at an earlier age), </w:t>
      </w:r>
      <w:r w:rsidRPr="009B3747">
        <w:rPr>
          <w:rFonts w:eastAsia="Times New Roman" w:cstheme="minorHAnsi"/>
          <w:color w:val="000000"/>
          <w:lang w:eastAsia="en-GB"/>
        </w:rPr>
        <w:fldChar w:fldCharType="begin" w:fldLock="1"/>
      </w:r>
      <w:r w:rsidRPr="009B3747">
        <w:rPr>
          <w:rFonts w:eastAsia="Times New Roman" w:cstheme="minorHAnsi"/>
          <w:color w:val="000000"/>
          <w:lang w:eastAsia="en-GB"/>
        </w:rPr>
        <w:instrText>ADDIN CSL_CITATION { "citationItems" : [ { "id" : "ITEM-1", "itemData" : { "URL" : "http://www.who.int/mediacentre/factsheets/fs345/en/", "author" : [ { "dropping-particle" : "", "family" : "World Health Organization", "given" : "", "non-dropping-particle" : "", "parse-names" : false, "suffix" : "" } ], "id" : "ITEM-1", "issued" : { "date-parts" : [ [ "2016" ] ] }, "title" : "Adolescents: health risks and solutions (Fact sheet)", "type" : "webpage" }, "uris" : [ "http://www.mendeley.com/documents/?uuid=07edc945-92dd-46f1-9d40-c486c74c8c8d" ] } ], "mendeley" : { "formattedCitation" : "(World Health Organization, 2016a)", "plainTextFormattedCitation" : "(World Health Organization, 2016a)", "previouslyFormattedCitation" : "(World Health Organization, 2016a)" }, "properties" : { "noteIndex" : 0 }, "schema" : "https://github.com/citation-style-language/schema/raw/master/csl-citation.json" }</w:instrText>
      </w:r>
      <w:r w:rsidRPr="009B3747">
        <w:rPr>
          <w:rFonts w:eastAsia="Times New Roman" w:cstheme="minorHAnsi"/>
          <w:color w:val="000000"/>
          <w:lang w:eastAsia="en-GB"/>
        </w:rPr>
        <w:fldChar w:fldCharType="separate"/>
      </w:r>
      <w:r w:rsidRPr="009B3747">
        <w:rPr>
          <w:rFonts w:eastAsia="Times New Roman" w:cstheme="minorHAnsi"/>
          <w:noProof/>
          <w:color w:val="000000"/>
          <w:lang w:eastAsia="en-GB"/>
        </w:rPr>
        <w:t>(World Health Organization, 2016a)</w:t>
      </w:r>
      <w:r w:rsidRPr="009B3747">
        <w:rPr>
          <w:rFonts w:eastAsia="Times New Roman" w:cstheme="minorHAnsi"/>
          <w:color w:val="000000"/>
          <w:lang w:eastAsia="en-GB"/>
        </w:rPr>
        <w:fldChar w:fldCharType="end"/>
      </w:r>
      <w:r w:rsidRPr="009B3747">
        <w:rPr>
          <w:rFonts w:eastAsia="Times New Roman" w:cstheme="minorHAnsi"/>
          <w:color w:val="000000"/>
          <w:lang w:eastAsia="en-GB"/>
        </w:rPr>
        <w:t>.  Crucially for this study and the posed research question, this means that in relation to secondary school headteachers</w:t>
      </w:r>
      <w:r w:rsidR="006E1936" w:rsidRPr="009B3747">
        <w:rPr>
          <w:rFonts w:eastAsia="Times New Roman" w:cstheme="minorHAnsi"/>
          <w:color w:val="000000"/>
          <w:lang w:eastAsia="en-GB"/>
        </w:rPr>
        <w:t>’</w:t>
      </w:r>
      <w:r w:rsidRPr="009B3747">
        <w:rPr>
          <w:rFonts w:eastAsia="Times New Roman" w:cstheme="minorHAnsi"/>
          <w:color w:val="000000"/>
          <w:lang w:eastAsia="en-GB"/>
        </w:rPr>
        <w:t xml:space="preserve"> and chairs of governors</w:t>
      </w:r>
      <w:r w:rsidR="006E1936" w:rsidRPr="009B3747">
        <w:rPr>
          <w:rFonts w:eastAsia="Times New Roman" w:cstheme="minorHAnsi"/>
          <w:color w:val="000000"/>
          <w:lang w:eastAsia="en-GB"/>
        </w:rPr>
        <w:t>’</w:t>
      </w:r>
      <w:r w:rsidRPr="009B3747">
        <w:rPr>
          <w:rFonts w:eastAsia="Times New Roman" w:cstheme="minorHAnsi"/>
          <w:color w:val="000000"/>
          <w:lang w:eastAsia="en-GB"/>
        </w:rPr>
        <w:t xml:space="preserve"> perspectives on obesity, findings obtained will primarily although not exclusively relate to the period of adolescence (i.e. secon</w:t>
      </w:r>
      <w:r w:rsidR="006E1936" w:rsidRPr="009B3747">
        <w:rPr>
          <w:rFonts w:eastAsia="Times New Roman" w:cstheme="minorHAnsi"/>
          <w:color w:val="000000"/>
          <w:lang w:eastAsia="en-GB"/>
        </w:rPr>
        <w:t>dary school age is typically 11 to 16 years</w:t>
      </w:r>
      <w:r w:rsidRPr="009B3747">
        <w:rPr>
          <w:rFonts w:eastAsia="Times New Roman" w:cstheme="minorHAnsi"/>
          <w:color w:val="000000"/>
          <w:lang w:eastAsia="en-GB"/>
        </w:rPr>
        <w:t>).  However, for completeness and given the significant overlap between the two age periods within obesity literature, this chapter will provide comprehensive and relevant information related to both childhood and adolescence.</w:t>
      </w:r>
    </w:p>
    <w:p w:rsidR="00410AD0" w:rsidRPr="009B3747" w:rsidRDefault="00410AD0" w:rsidP="00410AD0">
      <w:pPr>
        <w:rPr>
          <w:rFonts w:eastAsia="Times New Roman" w:cstheme="minorHAnsi"/>
          <w:i/>
          <w:iCs/>
          <w:color w:val="000000"/>
          <w:lang w:eastAsia="en-GB"/>
        </w:rPr>
      </w:pPr>
    </w:p>
    <w:p w:rsidR="00410AD0" w:rsidRPr="009B3747" w:rsidRDefault="00410AD0" w:rsidP="00410AD0">
      <w:pPr>
        <w:rPr>
          <w:rFonts w:eastAsia="Times New Roman" w:cstheme="minorHAnsi"/>
          <w:i/>
          <w:iCs/>
          <w:color w:val="000000"/>
          <w:lang w:eastAsia="en-GB"/>
        </w:rPr>
      </w:pPr>
      <w:r w:rsidRPr="009B3747">
        <w:rPr>
          <w:rFonts w:eastAsia="Times New Roman" w:cstheme="minorHAnsi"/>
          <w:i/>
          <w:iCs/>
          <w:color w:val="000000"/>
          <w:lang w:eastAsia="en-GB"/>
        </w:rPr>
        <w:t>Obesity and lifestyle behaviours</w:t>
      </w:r>
    </w:p>
    <w:p w:rsidR="00410AD0" w:rsidRPr="009B3747" w:rsidRDefault="00410AD0" w:rsidP="00410AD0">
      <w:pPr>
        <w:rPr>
          <w:rFonts w:eastAsia="Times New Roman" w:cstheme="minorHAnsi"/>
          <w:sz w:val="24"/>
          <w:szCs w:val="24"/>
          <w:lang w:eastAsia="en-GB"/>
        </w:rPr>
      </w:pPr>
    </w:p>
    <w:p w:rsidR="00410AD0" w:rsidRPr="009B3747" w:rsidRDefault="00410AD0" w:rsidP="00410AD0">
      <w:pPr>
        <w:rPr>
          <w:rFonts w:eastAsia="Times New Roman" w:cstheme="minorHAnsi"/>
          <w:sz w:val="24"/>
          <w:szCs w:val="24"/>
          <w:lang w:eastAsia="en-GB"/>
        </w:rPr>
      </w:pPr>
      <w:r w:rsidRPr="009B3747">
        <w:rPr>
          <w:rFonts w:eastAsia="Times New Roman" w:cstheme="minorHAnsi"/>
          <w:color w:val="000000"/>
          <w:lang w:eastAsia="en-GB"/>
        </w:rPr>
        <w:t xml:space="preserve">In an attempt to reduce any complexity and inconsistency in the language this study uses to describe obesity </w:t>
      </w:r>
      <w:r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"Flegal", "given" : "KM", "non-dropping-particle" : "", "parse-names" : false, "suffix" : "" }, { "dropping-particle" : "", "family" : "Ogden", "given" : "CL", "non-dropping-particle" : "", "parse-names" : false, "suffix" : "" } ], "container-title" : "Advances in Nutrition: An International Review Journal", "id" : "ITEM-1", "issued" : { "date-parts" : [ [ "2011" ] ] }, "page" : "159S-166S", "title" : "Childhood obesity: are we all speaking the same language?", "type" : "article-journal", "volume" : "2" }, "uris" : [ "http://www.mendeley.com/documents/?uuid=3d7b9d20-bf79-40ae-b176-c31ea8e9206a" ] } ], "mendeley" : { "formattedCitation" : "(Flegal and Ogden, 2011)", "plainTextFormattedCitation" : "(Flegal and Ogden, 2011)", "previouslyFormattedCitation" : "(Flegal and Ogden, 2011)" }, "properties" : { "noteIndex" : 0 }, "schema" : "https://github.com/citation-style-language/schema/raw/master/csl-citation.json" }</w:instrText>
      </w:r>
      <w:r w:rsidRPr="009B3747">
        <w:rPr>
          <w:rFonts w:eastAsia="Times New Roman" w:cstheme="minorHAnsi"/>
          <w:color w:val="000000"/>
          <w:lang w:eastAsia="en-GB"/>
        </w:rPr>
        <w:fldChar w:fldCharType="separate"/>
      </w:r>
      <w:r w:rsidRPr="009B3747">
        <w:rPr>
          <w:rFonts w:eastAsia="Times New Roman" w:cstheme="minorHAnsi"/>
          <w:noProof/>
          <w:color w:val="000000"/>
          <w:lang w:eastAsia="en-GB"/>
        </w:rPr>
        <w:t>(Flegal and Ogden, 2011)</w:t>
      </w:r>
      <w:r w:rsidRPr="009B3747">
        <w:rPr>
          <w:rFonts w:eastAsia="Times New Roman" w:cstheme="minorHAnsi"/>
          <w:color w:val="000000"/>
          <w:lang w:eastAsia="en-GB"/>
        </w:rPr>
        <w:fldChar w:fldCharType="end"/>
      </w:r>
      <w:r w:rsidRPr="009B3747">
        <w:rPr>
          <w:rFonts w:eastAsia="Times New Roman" w:cstheme="minorHAnsi"/>
          <w:color w:val="000000"/>
          <w:lang w:eastAsia="en-GB"/>
        </w:rPr>
        <w:t>, the meanings underpinning the terminology employed will be articulated.  Throughout the thesis, two main overarching terms or phrases (‘obesity’ and ‘excess weight’) are utilised to reflect an excessive accumulation of body fa</w:t>
      </w:r>
      <w:r w:rsidR="001A49F5">
        <w:rPr>
          <w:rFonts w:eastAsia="Times New Roman" w:cstheme="minorHAnsi"/>
          <w:color w:val="000000"/>
          <w:lang w:eastAsia="en-GB"/>
        </w:rPr>
        <w:t xml:space="preserve">t, </w:t>
      </w:r>
      <w:r w:rsidRPr="009B3747">
        <w:rPr>
          <w:rFonts w:eastAsia="Times New Roman" w:cstheme="minorHAnsi"/>
          <w:color w:val="000000"/>
          <w:lang w:eastAsia="en-GB"/>
        </w:rPr>
        <w:t xml:space="preserve">which may put individuals at increasing risk of morbidity and premature mortality </w:t>
      </w:r>
      <w:r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"Reilly", "given" : "JJ", "non-dropping-particle" : "", "parse-names" : false, "suffix" : "" }, { "dropping-particle" : "", "family" : "Armstrong", "given" : "J", "non-dropping-particle" : "", "parse-names" : false, "suffix" : "" }, { "dropping-particle" : "", "family" : "Dorosty", "given" : "AR", "non-dropping-particle" : "", "parse-names" : false, "suffix" : "" }, { "dropping-particle" : "", "family" : "Emmett", "given" : "PM", "non-dropping-particle" : "", "parse-names" : false, "suffix" : "" } ], "container-title" : "BMJ", "id" : "ITEM-1", "issue" : "1357", "issued" : { "date-parts" : [ [ "2005" ] ] }, "title" : "Early life risk factors for obesity in childhood: cohort study", "type" : "article-journal", "volume" : "330" }, "uris" : [ "http://www.mendeley.com/documents/?uuid=395ff210-15f2-442c-9c15-dc100656f065" ] } ], "mendeley" : { "formattedCitation" : "(Reilly et al., 2005)", "plainTextFormattedCitation" : "(Reilly et al., 2005)", "previouslyFormattedCitation" : "(Reilly et al., 2005)" }, "properties" : { "noteIndex" : 0 }, "schema" : "https://github.com/citation-style-language/schema/raw/master/csl-citation.json" }</w:instrText>
      </w:r>
      <w:r w:rsidRPr="009B3747">
        <w:rPr>
          <w:rFonts w:eastAsia="Times New Roman" w:cstheme="minorHAnsi"/>
          <w:color w:val="000000"/>
          <w:lang w:eastAsia="en-GB"/>
        </w:rPr>
        <w:fldChar w:fldCharType="separate"/>
      </w:r>
      <w:r w:rsidRPr="009B3747">
        <w:rPr>
          <w:rFonts w:eastAsia="Times New Roman" w:cstheme="minorHAnsi"/>
          <w:noProof/>
          <w:color w:val="000000"/>
          <w:lang w:eastAsia="en-GB"/>
        </w:rPr>
        <w:t>(Reilly et al., 2005)</w:t>
      </w:r>
      <w:r w:rsidRPr="009B3747">
        <w:rPr>
          <w:rFonts w:eastAsia="Times New Roman" w:cstheme="minorHAnsi"/>
          <w:color w:val="000000"/>
          <w:lang w:eastAsia="en-GB"/>
        </w:rPr>
        <w:fldChar w:fldCharType="end"/>
      </w:r>
      <w:r w:rsidRPr="009B3747">
        <w:rPr>
          <w:rFonts w:eastAsia="Times New Roman" w:cstheme="minorHAnsi"/>
          <w:color w:val="000000"/>
          <w:lang w:eastAsia="en-GB"/>
        </w:rPr>
        <w:t>.  Both are intended to incorporate the often distinct categories of overwe</w:t>
      </w:r>
      <w:r w:rsidR="006E1936" w:rsidRPr="009B3747">
        <w:rPr>
          <w:rFonts w:eastAsia="Times New Roman" w:cstheme="minorHAnsi"/>
          <w:color w:val="000000"/>
          <w:lang w:eastAsia="en-GB"/>
        </w:rPr>
        <w:t>ight and obesity (see section 2.3</w:t>
      </w:r>
      <w:r w:rsidRPr="009B3747">
        <w:rPr>
          <w:rFonts w:eastAsia="Times New Roman" w:cstheme="minorHAnsi"/>
          <w:color w:val="000000"/>
          <w:lang w:eastAsia="en-GB"/>
        </w:rPr>
        <w:t xml:space="preserve"> for clinical definitions), unless explicitly stated otherwise.  The decision to adopt the terms ‘obesity’ and ‘excess weight’ to encompass all excess body fatness</w:t>
      </w:r>
      <w:r w:rsidR="00FE4357">
        <w:rPr>
          <w:rFonts w:eastAsia="Times New Roman" w:cstheme="minorHAnsi"/>
          <w:color w:val="000000"/>
          <w:lang w:eastAsia="en-GB"/>
        </w:rPr>
        <w:t>,</w:t>
      </w:r>
      <w:r w:rsidR="00F563E0">
        <w:rPr>
          <w:rFonts w:eastAsia="Times New Roman" w:cstheme="minorHAnsi"/>
          <w:color w:val="000000"/>
          <w:lang w:eastAsia="en-GB"/>
        </w:rPr>
        <w:t xml:space="preserve"> i.e. reflect both</w:t>
      </w:r>
      <w:r w:rsidRPr="009B3747">
        <w:rPr>
          <w:rFonts w:eastAsia="Times New Roman" w:cstheme="minorHAnsi"/>
          <w:color w:val="000000"/>
          <w:lang w:eastAsia="en-GB"/>
        </w:rPr>
        <w:t xml:space="preserve"> overweight and obese, was in support of literature advocating for the use of terminology that reflects more clearly the seriousness of the condition and associated risks </w:t>
      </w:r>
      <w:r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"DOI" : "10.1542/peds.2007-2329D", "ISSN" : "1098-4275", "PMID" : "18055652", "author" : [ { "dropping-particle" : "", "family" : "Krebs", "given" : "Nancy F", "non-dropping-particle" : "", "parse-names" : false, "suffix" : "" }, { "dropping-particle" : "", "family" : "Himes", "given" : "John H", "non-dropping-particle" : "", "parse-names" : false, "suffix" : "" }, { "dropping-particle" : "", "family" : "Jacobson", "given" : "Dawn", "non-dropping-particle" : "", "parse-names" : false, "suffix" : "" }, { "dropping-particle" : "", "family" : "Nicklas", "given" : "Theresa A", "non-dropping-particle" : "", "parse-names" : false, "suffix" : "" }, { "dropping-particle" : "", "family" : "Guilday", "given" : "Patricia", "non-dropping-particle" : "", "parse-names" : false, "suffix" : "" }, { "dropping-particle" : "", "family" : "Styne", "given" : "Dennis", "non-dropping-particle" : "", "parse-names" : false, "suffix" : "" } ], "container-title" : "Pediatrics", "id" : "ITEM-1", "issue" : "Supp4", "issued" : { "date-parts" : [ [ "2007", "12" ] ] }, "page" : "S193-S228", "title" : "Assessment of child and adolescent overweight and obesity.", "type" : "article-journal", "volume" : "120" }, "uris" : [ "http://www.mendeley.com/documents/?uuid=b6ea5359-cd6b-4d05-91a5-3479a33a0249" ] }, { "id" : "ITEM-2", "itemData" : { "DOI" : "10.1371/journal.pone.0003875", "ISSN" : "19326203", "PMID" : "19060953", "abstract" : "This study was designed to investigate the impact of medical terminology on perceptions of disease. Specifically, we look at the changing public perceptions of newly medicalized disorders with accompanying newly medicalized terms (e.g. impotence has become erectile dysfunction disorder). Does using \"medicalese\" to label a recently medicalized disorder lead to a change in the perception of that condition? Undergraduate students (n = 52) rated either the medical or lay label for recently medicalized disorders (such as erectile dysfunction disorder vs. impotence) and established medical conditions (such as a myocardial infarction vs. heart attack) for their perceived seriousness, disease representativeness and prevalence. Students considered the medical label of the recently medicalized disease to be more serious (mean = 4.95 (SE = .27) vs. mean = 3.77 (SE = .24) on a ten point scale), more representative of a disease (mean = 2.47 (SE = .09) vs. mean = 1.83 (SE = .09) on a four point scale), and have lower prevalence (mean = 68 (SE = 12.6) vs. mean = 122 (SE = 18.1) out of 1,000) than the same disease described using common language. A similar pattern was not seen in the established medical conditions, even when controlled for severity. This study demonstrates that the use of medical language in communication can induce bias in perception; a simple switch in terminology results in a disease being perceived as more serious, more likely to be a disease, and more likely to be a rare condition. These findings regarding the conceptualization of disease have implications for many areas, including medical communication with the public, advertising, and public policy.", "author" : [ { "dropping-particle" : "", "family" : "Young", "given" : "Meredith E.", "non-dropping-particle" : "", "parse-names" : false, "suffix" : "" }, { "dropping-particle" : "", "family" : "Norman", "given" : "Geoffrey R.", "non-dropping-particle" : "", "parse-names" : false, "suffix" : "" }, { "dropping-particle" : "", "family" : "Humphreys", "given" : "Karin R.", "non-dropping-particle" : "", "parse-names" : false, "suffix" : "" } ], "container-title" : "PLoS ONE", "id" : "ITEM-2", "issue" : "12", "issued" : { "date-parts" : [ [ "2008" ] ] }, "page" : "e3875", "title" : "The role of medical language in changing public perceptions of illness", "type" : "article-journal", "volume" : "3" }, "uris" : [ "http://www.mendeley.com/documents/?uuid=73b32477-b2e1-468a-af94-b7f35ea35f5d" ] } ], "mendeley" : { "formattedCitation" : "(Krebs et al., 2007; Young et al., 2008)", "plainTextFormattedCitation" : "(Krebs et al., 2007; Young et al., 2008)", "previouslyFormattedCitation" : "(Krebs et al., 2007; Young et al., 2008)" }, "properties" : { "noteIndex" : 0 }, "schema" : "https://github.com/citation-style-language/schema/raw/master/csl-citation.json" }</w:instrText>
      </w:r>
      <w:r w:rsidRPr="009B3747">
        <w:rPr>
          <w:rFonts w:eastAsia="Times New Roman" w:cstheme="minorHAnsi"/>
          <w:color w:val="000000"/>
          <w:lang w:eastAsia="en-GB"/>
        </w:rPr>
        <w:fldChar w:fldCharType="separate"/>
      </w:r>
      <w:r w:rsidRPr="009B3747">
        <w:rPr>
          <w:rFonts w:eastAsia="Times New Roman" w:cstheme="minorHAnsi"/>
          <w:noProof/>
          <w:color w:val="000000"/>
          <w:lang w:eastAsia="en-GB"/>
        </w:rPr>
        <w:t>(Krebs et al., 2007; Young et al., 2008)</w:t>
      </w:r>
      <w:r w:rsidRPr="009B3747">
        <w:rPr>
          <w:rFonts w:eastAsia="Times New Roman" w:cstheme="minorHAnsi"/>
          <w:color w:val="000000"/>
          <w:lang w:eastAsia="en-GB"/>
        </w:rPr>
        <w:fldChar w:fldCharType="end"/>
      </w:r>
      <w:r w:rsidRPr="009B3747">
        <w:rPr>
          <w:rFonts w:eastAsia="Times New Roman" w:cstheme="minorHAnsi"/>
          <w:color w:val="000000"/>
          <w:lang w:eastAsia="en-GB"/>
        </w:rPr>
        <w:t>.</w:t>
      </w:r>
    </w:p>
    <w:p w:rsidR="00410AD0" w:rsidRPr="009B3747" w:rsidRDefault="00410AD0" w:rsidP="00410AD0">
      <w:pPr>
        <w:rPr>
          <w:rFonts w:eastAsia="Times New Roman" w:cstheme="minorHAnsi"/>
          <w:b/>
          <w:bCs/>
          <w:color w:val="000000"/>
          <w:sz w:val="26"/>
          <w:szCs w:val="26"/>
          <w:u w:val="single"/>
          <w:lang w:eastAsia="en-GB"/>
        </w:rPr>
      </w:pPr>
    </w:p>
    <w:p w:rsidR="00410AD0" w:rsidRPr="009B3747" w:rsidRDefault="00410AD0" w:rsidP="00410AD0">
      <w:pPr>
        <w:rPr>
          <w:rFonts w:eastAsia="Times New Roman" w:cstheme="minorHAnsi"/>
          <w:bCs/>
          <w:color w:val="000000"/>
          <w:lang w:eastAsia="en-GB"/>
        </w:rPr>
      </w:pPr>
      <w:r w:rsidRPr="009B3747">
        <w:rPr>
          <w:rFonts w:eastAsia="Times New Roman" w:cstheme="minorHAnsi"/>
          <w:bCs/>
          <w:color w:val="000000"/>
          <w:lang w:eastAsia="en-GB"/>
        </w:rPr>
        <w:t xml:space="preserve">For the purpose of this research, when referring to ‘lifestyle behaviours’, collective reference is being made to two key behavioural factors deemed to influence an individual’s weight status, namely, dietary and physical activity habits (Butland and Jebb, 2007).  </w:t>
      </w:r>
    </w:p>
    <w:p w:rsidR="00410AD0" w:rsidRPr="009B3747" w:rsidRDefault="00410AD0" w:rsidP="00410AD0">
      <w:pPr>
        <w:rPr>
          <w:rFonts w:eastAsia="Times New Roman" w:cstheme="minorHAnsi"/>
          <w:b/>
          <w:bCs/>
          <w:color w:val="000000"/>
          <w:sz w:val="26"/>
          <w:szCs w:val="26"/>
          <w:u w:val="single"/>
          <w:lang w:eastAsia="en-GB"/>
        </w:rPr>
      </w:pPr>
    </w:p>
    <w:p w:rsidR="00A16FA3" w:rsidRPr="009B3747" w:rsidRDefault="0094762E" w:rsidP="00A16FA3">
      <w:pPr>
        <w:rPr>
          <w:rFonts w:eastAsia="Times New Roman" w:cstheme="minorHAnsi"/>
          <w:b/>
          <w:bCs/>
          <w:color w:val="000000"/>
          <w:sz w:val="28"/>
          <w:szCs w:val="28"/>
          <w:u w:val="single"/>
          <w:lang w:eastAsia="en-GB"/>
        </w:rPr>
      </w:pPr>
      <w:r w:rsidRPr="009B3747">
        <w:rPr>
          <w:rFonts w:eastAsia="Times New Roman" w:cstheme="minorHAnsi"/>
          <w:b/>
          <w:bCs/>
          <w:color w:val="000000"/>
          <w:sz w:val="28"/>
          <w:szCs w:val="28"/>
          <w:u w:val="single"/>
          <w:lang w:eastAsia="en-GB"/>
        </w:rPr>
        <w:lastRenderedPageBreak/>
        <w:t xml:space="preserve">Section one: </w:t>
      </w:r>
      <w:r w:rsidR="005A7786" w:rsidRPr="009B3747">
        <w:rPr>
          <w:rFonts w:eastAsia="Times New Roman" w:cstheme="minorHAnsi"/>
          <w:b/>
          <w:bCs/>
          <w:color w:val="000000"/>
          <w:sz w:val="28"/>
          <w:szCs w:val="28"/>
          <w:u w:val="single"/>
          <w:lang w:eastAsia="en-GB"/>
        </w:rPr>
        <w:t>General</w:t>
      </w:r>
      <w:r w:rsidR="00410AD0" w:rsidRPr="009B3747">
        <w:rPr>
          <w:rFonts w:eastAsia="Times New Roman" w:cstheme="minorHAnsi"/>
          <w:b/>
          <w:bCs/>
          <w:color w:val="000000"/>
          <w:sz w:val="28"/>
          <w:szCs w:val="28"/>
          <w:u w:val="single"/>
          <w:lang w:eastAsia="en-GB"/>
        </w:rPr>
        <w:t xml:space="preserve"> r</w:t>
      </w:r>
      <w:r w:rsidR="00A16FA3" w:rsidRPr="009B3747">
        <w:rPr>
          <w:rFonts w:eastAsia="Times New Roman" w:cstheme="minorHAnsi"/>
          <w:b/>
          <w:bCs/>
          <w:color w:val="000000"/>
          <w:sz w:val="28"/>
          <w:szCs w:val="28"/>
          <w:u w:val="single"/>
          <w:lang w:eastAsia="en-GB"/>
        </w:rPr>
        <w:t>eview of the literature</w:t>
      </w:r>
    </w:p>
    <w:p w:rsidR="00E379EE" w:rsidRPr="009B3747" w:rsidRDefault="00E379EE" w:rsidP="00A16FA3">
      <w:pPr>
        <w:rPr>
          <w:rFonts w:eastAsia="Times New Roman" w:cstheme="minorHAnsi"/>
          <w:bCs/>
          <w:color w:val="000000"/>
          <w:u w:val="single"/>
          <w:lang w:eastAsia="en-GB"/>
        </w:rPr>
      </w:pPr>
    </w:p>
    <w:p w:rsidR="00A16FA3" w:rsidRPr="009B3747" w:rsidRDefault="00B04FA7" w:rsidP="00A16FA3">
      <w:pPr>
        <w:rPr>
          <w:rFonts w:eastAsia="Times New Roman" w:cstheme="minorHAnsi"/>
          <w:b/>
          <w:sz w:val="24"/>
          <w:szCs w:val="24"/>
          <w:u w:val="single"/>
          <w:lang w:eastAsia="en-GB"/>
        </w:rPr>
      </w:pPr>
      <w:r w:rsidRPr="009B3747">
        <w:rPr>
          <w:rFonts w:eastAsia="Times New Roman" w:cstheme="minorHAnsi"/>
          <w:b/>
          <w:bCs/>
          <w:color w:val="000000"/>
          <w:sz w:val="24"/>
          <w:szCs w:val="24"/>
          <w:u w:val="single"/>
          <w:lang w:eastAsia="en-GB"/>
        </w:rPr>
        <w:t>2</w:t>
      </w:r>
      <w:r w:rsidR="002224C3" w:rsidRPr="009B3747">
        <w:rPr>
          <w:rFonts w:eastAsia="Times New Roman" w:cstheme="minorHAnsi"/>
          <w:b/>
          <w:bCs/>
          <w:color w:val="000000"/>
          <w:sz w:val="24"/>
          <w:szCs w:val="24"/>
          <w:u w:val="single"/>
          <w:lang w:eastAsia="en-GB"/>
        </w:rPr>
        <w:t xml:space="preserve">.2 </w:t>
      </w:r>
      <w:r w:rsidR="00A16FA3" w:rsidRPr="009B3747">
        <w:rPr>
          <w:rFonts w:eastAsia="Times New Roman" w:cstheme="minorHAnsi"/>
          <w:b/>
          <w:bCs/>
          <w:color w:val="000000"/>
          <w:sz w:val="24"/>
          <w:szCs w:val="24"/>
          <w:u w:val="single"/>
          <w:lang w:eastAsia="en-GB"/>
        </w:rPr>
        <w:t>Globesity</w:t>
      </w:r>
    </w:p>
    <w:p w:rsidR="00943E3E" w:rsidRPr="009B3747" w:rsidRDefault="00943E3E" w:rsidP="00A16FA3">
      <w:pPr>
        <w:rPr>
          <w:rFonts w:eastAsia="Times New Roman" w:cstheme="minorHAnsi"/>
          <w:color w:val="000000"/>
          <w:lang w:eastAsia="en-GB"/>
        </w:rPr>
      </w:pPr>
    </w:p>
    <w:p w:rsidR="00A16FA3" w:rsidRPr="009B3747" w:rsidRDefault="00A16FA3" w:rsidP="00A16FA3">
      <w:pPr>
        <w:rPr>
          <w:rFonts w:eastAsia="Times New Roman" w:cstheme="minorHAnsi"/>
          <w:sz w:val="24"/>
          <w:szCs w:val="24"/>
          <w:lang w:eastAsia="en-GB"/>
        </w:rPr>
      </w:pPr>
      <w:r w:rsidRPr="009B3747">
        <w:rPr>
          <w:rFonts w:eastAsia="Times New Roman" w:cstheme="minorHAnsi"/>
          <w:color w:val="000000"/>
          <w:lang w:eastAsia="en-GB"/>
        </w:rPr>
        <w:t>Over the last 30 years, the global prevalence of obesity in children, adolescents and adults has risen significantly</w:t>
      </w:r>
      <w:r w:rsidR="00C72206" w:rsidRPr="009B3747">
        <w:rPr>
          <w:rFonts w:eastAsia="Times New Roman" w:cstheme="minorHAnsi"/>
          <w:color w:val="000000"/>
          <w:lang w:eastAsia="en-GB"/>
        </w:rPr>
        <w:t xml:space="preserve"> </w:t>
      </w:r>
      <w:r w:rsidR="00C72206"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"Wang", "given" : "Y", "non-dropping-particle" : "", "parse-names" : false, "suffix" : "" }, { "dropping-particle" : "", "family" : "Lobstein", "given" : "TIM", "non-dropping-particle" : "", "parse-names" : false, "suffix" : "" } ], "container-title" : "International Journal of Pediatric Obesity", "id" : "ITEM-1", "issue" : "1", "issued" : { "date-parts" : [ [ "2006" ] ] }, "page" : "11-25", "title" : "Worldwide trends in childhood overweight and obesity", "type" : "article-journal", "volume" : "1" }, "uris" : [ "http://www.mendeley.com/documents/?uuid=d282e830-6420-4345-a6d1-d89707cc532a" ] }, { "id" : "ITEM-2", "itemData" : { "author" : [ { "dropping-particle" : "", "family" : "Finucane", "given" : "MM", "non-dropping-particle" : "", "parse-names" : false, "suffix" : "" }, { "dropping-particle" : "", "family" : "Stevens", "given" : "GA", "non-dropping-particle" : "", "parse-names" : false, "suffix" : "" }, { "dropping-particle" : "", "family" : "Cowan", "given" : "MJ", "non-dropping-particle" : "", "parse-names" : false, "suffix" : "" } ], "container-title" : "The Lancet", "id" : "ITEM-2", "issue" : "9765", "issued" : { "date-parts" : [ [ "2011" ] ] }, "page" : "557-567", "title" : "National, regional, and global trends in body-mass index since 1980: systematic analysis of health examination surveys and epidemiological studies with 960 country-", "type" : "article-journal", "volume" : "377" }, "uris" : [ "http://www.mendeley.com/documents/?uuid=3788d1d8-e365-477f-845b-c50d2495dba4" ] } ], "mendeley" : { "formattedCitation" : "(Wang and Lobstein, 2006; Finucane et al., 2011)", "plainTextFormattedCitation" : "(Wang and Lobstein, 2006; Finucane et al., 2011)", "previouslyFormattedCitation" : "(Wang and Lobstein, 2006; Finucane et al., 2011)" }, "properties" : { "noteIndex" : 0 }, "schema" : "https://github.com/citation-style-language/schema/raw/master/csl-citation.json" }</w:instrText>
      </w:r>
      <w:r w:rsidR="00C72206" w:rsidRPr="009B3747">
        <w:rPr>
          <w:rFonts w:eastAsia="Times New Roman" w:cstheme="minorHAnsi"/>
          <w:color w:val="000000"/>
          <w:lang w:eastAsia="en-GB"/>
        </w:rPr>
        <w:fldChar w:fldCharType="separate"/>
      </w:r>
      <w:r w:rsidR="00C72206" w:rsidRPr="009B3747">
        <w:rPr>
          <w:rFonts w:eastAsia="Times New Roman" w:cstheme="minorHAnsi"/>
          <w:noProof/>
          <w:color w:val="000000"/>
          <w:lang w:eastAsia="en-GB"/>
        </w:rPr>
        <w:t>(Wang and Lobstein, 2006; Finucane et al., 2011)</w:t>
      </w:r>
      <w:r w:rsidR="00C72206" w:rsidRPr="009B3747">
        <w:rPr>
          <w:rFonts w:eastAsia="Times New Roman" w:cstheme="minorHAnsi"/>
          <w:color w:val="000000"/>
          <w:lang w:eastAsia="en-GB"/>
        </w:rPr>
        <w:fldChar w:fldCharType="end"/>
      </w:r>
      <w:r w:rsidRPr="009B3747">
        <w:rPr>
          <w:rFonts w:eastAsia="Times New Roman" w:cstheme="minorHAnsi"/>
          <w:color w:val="000000"/>
          <w:lang w:eastAsia="en-GB"/>
        </w:rPr>
        <w:t>.  The term ‘Globesity’</w:t>
      </w:r>
      <w:r w:rsidR="00C72206" w:rsidRPr="009B3747">
        <w:rPr>
          <w:rFonts w:eastAsia="Times New Roman" w:cstheme="minorHAnsi"/>
          <w:color w:val="000000"/>
          <w:lang w:eastAsia="en-GB"/>
        </w:rPr>
        <w:t xml:space="preserve"> </w:t>
      </w:r>
      <w:r w:rsidR="00C72206" w:rsidRPr="009B3747">
        <w:rPr>
          <w:rFonts w:eastAsia="Times New Roman" w:cstheme="minorHAnsi"/>
          <w:color w:val="000000"/>
          <w:lang w:eastAsia="en-GB"/>
        </w:rPr>
        <w:fldChar w:fldCharType="begin" w:fldLock="1"/>
      </w:r>
      <w:r w:rsidR="00C72206" w:rsidRPr="009B3747">
        <w:rPr>
          <w:rFonts w:eastAsia="Times New Roman" w:cstheme="minorHAnsi"/>
          <w:color w:val="000000"/>
          <w:lang w:eastAsia="en-GB"/>
        </w:rPr>
        <w:instrText>ADDIN CSL_CITATION { "citationItems" : [ { "id" : "ITEM-1", "itemData" : { "URL" : "http://www.who.int/nutrition/topics/obesity/en/", "accessed" : { "date-parts" : [ [ "2015", "10", "12" ] ] }, "author" : [ { "dropping-particle" : "", "family" : "World Health Organization", "given" : "", "non-dropping-particle" : "", "parse-names" : false, "suffix" : "" } ], "id" : "ITEM-1", "issued" : { "date-parts" : [ [ "2003" ] ] }, "title" : "Controlling the global obesity epidemic", "type" : "webpage" }, "uris" : [ "http://www.mendeley.com/documents/?uuid=c174955f-7d5b-4114-8a37-ccf6a937f2f5" ] } ], "mendeley" : { "formattedCitation" : "(World Health Organization, 2003)", "plainTextFormattedCitation" : "(World Health Organization, 2003)", "previouslyFormattedCitation" : "(World Health Organization, 2003)" }, "properties" : { "noteIndex" : 0 }, "schema" : "https://github.com/citation-style-language/schema/raw/master/csl-citation.json" }</w:instrText>
      </w:r>
      <w:r w:rsidR="00C72206" w:rsidRPr="009B3747">
        <w:rPr>
          <w:rFonts w:eastAsia="Times New Roman" w:cstheme="minorHAnsi"/>
          <w:color w:val="000000"/>
          <w:lang w:eastAsia="en-GB"/>
        </w:rPr>
        <w:fldChar w:fldCharType="separate"/>
      </w:r>
      <w:r w:rsidR="00C72206" w:rsidRPr="009B3747">
        <w:rPr>
          <w:rFonts w:eastAsia="Times New Roman" w:cstheme="minorHAnsi"/>
          <w:noProof/>
          <w:color w:val="000000"/>
          <w:lang w:eastAsia="en-GB"/>
        </w:rPr>
        <w:t>(World Health Organization, 2003)</w:t>
      </w:r>
      <w:r w:rsidR="00C72206" w:rsidRPr="009B3747">
        <w:rPr>
          <w:rFonts w:eastAsia="Times New Roman" w:cstheme="minorHAnsi"/>
          <w:color w:val="000000"/>
          <w:lang w:eastAsia="en-GB"/>
        </w:rPr>
        <w:fldChar w:fldCharType="end"/>
      </w:r>
      <w:r w:rsidR="00C72206" w:rsidRPr="009B3747">
        <w:rPr>
          <w:rFonts w:eastAsia="Times New Roman" w:cstheme="minorHAnsi"/>
          <w:color w:val="000000"/>
          <w:lang w:eastAsia="en-GB"/>
        </w:rPr>
        <w:t xml:space="preserve">, </w:t>
      </w:r>
      <w:r w:rsidRPr="009B3747">
        <w:rPr>
          <w:rFonts w:eastAsia="Times New Roman" w:cstheme="minorHAnsi"/>
          <w:color w:val="000000"/>
          <w:lang w:eastAsia="en-GB"/>
        </w:rPr>
        <w:t>conceptualises the scale of obesity as an international public health challenge, with</w:t>
      </w:r>
      <w:r w:rsidR="00C72206" w:rsidRPr="009B3747">
        <w:rPr>
          <w:rFonts w:eastAsia="Times New Roman" w:cstheme="minorHAnsi"/>
          <w:color w:val="000000"/>
          <w:lang w:eastAsia="en-GB"/>
        </w:rPr>
        <w:t xml:space="preserve"> </w:t>
      </w:r>
      <w:r w:rsidR="00C72206"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"Gearhardt", "given" : "AN", "non-dropping-particle" : "", "parse-names" : false, "suffix" : "" }, { "dropping-particle" : "", "family" : "Bragg", "given" : "MA", "non-dropping-particle" : "", "parse-names" : false, "suffix" : "" } ], "container-title" : "Annual Review of Clinical Psychology", "id" : "ITEM-1", "issued" : { "date-parts" : [ [ "2012" ] ] }, "page" : "405-30", "title" : "Obesity and public policy", "type" : "article-journal", "volume" : "8" }, "uris" : [ "http://www.mendeley.com/documents/?uuid=b76ea3ce-81cf-4925-a407-6c5c713b2836" ] } ], "mendeley" : { "formattedCitation" : "(Gearhardt and Bragg, 2012)", "manualFormatting" : "(Gearhardt and Bragg, 2012)", "plainTextFormattedCitation" : "(Gearhardt and Bragg, 2012)", "previouslyFormattedCitation" : "(Gearhardt and Bragg, 2012)" }, "properties" : { "noteIndex" : 0 }, "schema" : "https://github.com/citation-style-language/schema/raw/master/csl-citation.json" }</w:instrText>
      </w:r>
      <w:r w:rsidR="00C72206" w:rsidRPr="009B3747">
        <w:rPr>
          <w:rFonts w:eastAsia="Times New Roman" w:cstheme="minorHAnsi"/>
          <w:color w:val="000000"/>
          <w:lang w:eastAsia="en-GB"/>
        </w:rPr>
        <w:fldChar w:fldCharType="separate"/>
      </w:r>
      <w:r w:rsidR="00C72206" w:rsidRPr="009B3747">
        <w:rPr>
          <w:rFonts w:eastAsia="Times New Roman" w:cstheme="minorHAnsi"/>
          <w:noProof/>
          <w:color w:val="000000"/>
          <w:lang w:eastAsia="en-GB"/>
        </w:rPr>
        <w:t>(Gearhardt and Bragg, 2012)</w:t>
      </w:r>
      <w:r w:rsidR="00C72206"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claiming </w:t>
      </w:r>
      <w:r w:rsidRPr="009B3747">
        <w:rPr>
          <w:rFonts w:eastAsia="Times New Roman" w:cstheme="minorHAnsi"/>
          <w:i/>
          <w:color w:val="000000"/>
          <w:lang w:eastAsia="en-GB"/>
        </w:rPr>
        <w:t xml:space="preserve">“no country </w:t>
      </w:r>
      <w:r w:rsidR="002D0099" w:rsidRPr="009B3747">
        <w:rPr>
          <w:rFonts w:eastAsia="Times New Roman" w:cstheme="minorHAnsi"/>
          <w:i/>
          <w:color w:val="000000"/>
          <w:lang w:eastAsia="en-GB"/>
        </w:rPr>
        <w:t>in the world is unaffected”</w:t>
      </w:r>
      <w:r w:rsidR="00AE6A9E" w:rsidRPr="009B3747">
        <w:rPr>
          <w:rFonts w:eastAsia="Times New Roman" w:cstheme="minorHAnsi"/>
          <w:color w:val="000000"/>
          <w:lang w:eastAsia="en-GB"/>
        </w:rPr>
        <w:t xml:space="preserve"> (p.406)</w:t>
      </w:r>
      <w:r w:rsidRPr="009B3747">
        <w:rPr>
          <w:rFonts w:eastAsia="Times New Roman" w:cstheme="minorHAnsi"/>
          <w:color w:val="000000"/>
          <w:lang w:eastAsia="en-GB"/>
        </w:rPr>
        <w:t>.  The Global Burden of Disease Study (2013) evidenced excess weight has risen by 28% in adults and 47% in children since 1980 and up to 2013, with 2.1 billion people estimated to be overweight or obese across the world</w:t>
      </w:r>
      <w:r w:rsidR="00C72206" w:rsidRPr="009B3747">
        <w:rPr>
          <w:rFonts w:eastAsia="Times New Roman" w:cstheme="minorHAnsi"/>
          <w:color w:val="000000"/>
          <w:lang w:eastAsia="en-GB"/>
        </w:rPr>
        <w:t xml:space="preserve"> </w:t>
      </w:r>
      <w:r w:rsidR="00C72206"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"Ng", "given" : "M", "non-dropping-particle" : "", "parse-names" : false, "suffix" : "" }, { "dropping-particle" : "", "family" : "Fleming", "given" : "T", "non-dropping-particle" : "", "parse-names" : false, "suffix" : "" }, { "dropping-particle" : "", "family" : "Robinson", "given" : "M", "non-dropping-particle" : "", "parse-names" : false, "suffix" : "" }, { "dropping-particle" : "", "family" : "Thomson", "given" : "B", "non-dropping-particle" : "", "parse-names" : false, "suffix" : "" } ], "container-title" : "The Lancet", "id" : "ITEM-1", "issue" : "9945", "issued" : { "date-parts" : [ [ "2014" ] ] }, "page" : "766\u2013781", "title" : "Global, regional, and national prevalence of overweight and obesity in children and adults during 1980\u20132013: a systematic analysis for the Global Burden of Disease", "type" : "article-journal", "volume" : "384" }, "uris" : [ "http://www.mendeley.com/documents/?uuid=b95f8d13-2451-49b7-9542-f84d44941706" ] } ], "mendeley" : { "formattedCitation" : "(Ng et al., 2014)", "plainTextFormattedCitation" : "(Ng et al., 2014)", "previouslyFormattedCitation" : "(Ng et al., 2014)" }, "properties" : { "noteIndex" : 0 }, "schema" : "https://github.com/citation-style-language/schema/raw/master/csl-citation.json" }</w:instrText>
      </w:r>
      <w:r w:rsidR="00C72206" w:rsidRPr="009B3747">
        <w:rPr>
          <w:rFonts w:eastAsia="Times New Roman" w:cstheme="minorHAnsi"/>
          <w:color w:val="000000"/>
          <w:lang w:eastAsia="en-GB"/>
        </w:rPr>
        <w:fldChar w:fldCharType="separate"/>
      </w:r>
      <w:r w:rsidR="00C72206" w:rsidRPr="009B3747">
        <w:rPr>
          <w:rFonts w:eastAsia="Times New Roman" w:cstheme="minorHAnsi"/>
          <w:noProof/>
          <w:color w:val="000000"/>
          <w:lang w:eastAsia="en-GB"/>
        </w:rPr>
        <w:t>(Ng et al., 2014)</w:t>
      </w:r>
      <w:r w:rsidR="00C72206" w:rsidRPr="009B3747">
        <w:rPr>
          <w:rFonts w:eastAsia="Times New Roman" w:cstheme="minorHAnsi"/>
          <w:color w:val="000000"/>
          <w:lang w:eastAsia="en-GB"/>
        </w:rPr>
        <w:fldChar w:fldCharType="end"/>
      </w:r>
      <w:r w:rsidR="00C72206" w:rsidRPr="009B3747">
        <w:rPr>
          <w:rFonts w:eastAsia="Times New Roman" w:cstheme="minorHAnsi"/>
          <w:color w:val="000000"/>
          <w:lang w:eastAsia="en-GB"/>
        </w:rPr>
        <w:t xml:space="preserve">.  </w:t>
      </w:r>
      <w:r w:rsidRPr="009B3747">
        <w:rPr>
          <w:rFonts w:eastAsia="Times New Roman" w:cstheme="minorHAnsi"/>
          <w:color w:val="000000"/>
          <w:lang w:eastAsia="en-GB"/>
        </w:rPr>
        <w:t>Obesity is now reported to be associated with more deaths globally than underweight</w:t>
      </w:r>
      <w:r w:rsidR="00C72206" w:rsidRPr="009B3747">
        <w:rPr>
          <w:rFonts w:eastAsia="Times New Roman" w:cstheme="minorHAnsi"/>
          <w:color w:val="000000"/>
          <w:lang w:eastAsia="en-GB"/>
        </w:rPr>
        <w:t xml:space="preserve"> </w:t>
      </w:r>
      <w:r w:rsidR="00C72206" w:rsidRPr="009B3747">
        <w:rPr>
          <w:rFonts w:eastAsia="Times New Roman" w:cstheme="minorHAnsi"/>
          <w:color w:val="000000"/>
          <w:lang w:eastAsia="en-GB"/>
        </w:rPr>
        <w:fldChar w:fldCharType="begin" w:fldLock="1"/>
      </w:r>
      <w:r w:rsidR="00C72206" w:rsidRPr="009B3747">
        <w:rPr>
          <w:rFonts w:eastAsia="Times New Roman" w:cstheme="minorHAnsi"/>
          <w:color w:val="000000"/>
          <w:lang w:eastAsia="en-GB"/>
        </w:rPr>
        <w:instrText>ADDIN CSL_CITATION { "citationItems" : [ { "id" : "ITEM-1", "itemData" : { "URL" : "http://www.who.int/mediacentre/factsheets/fs311/en/", "author" : [ { "dropping-particle" : "", "family" : "World Health Organization", "given" : "", "non-dropping-particle" : "", "parse-names" : false, "suffix" : "" } ], "id" : "ITEM-1", "issued" : { "date-parts" : [ [ "2016" ] ] }, "title" : "Obesity and Overweight (Fact sheet)", "type" : "webpage" }, "uris" : [ "http://www.mendeley.com/documents/?uuid=1efcd740-61c5-4ae9-9a7c-c9e40f6bddab" ] } ], "mendeley" : { "formattedCitation" : "(World Health Organization, 2016b)", "plainTextFormattedCitation" : "(World Health Organization, 2016b)", "previouslyFormattedCitation" : "(World Health Organization, 2016b)" }, "properties" : { "noteIndex" : 0 }, "schema" : "https://github.com/citation-style-language/schema/raw/master/csl-citation.json" }</w:instrText>
      </w:r>
      <w:r w:rsidR="00C72206" w:rsidRPr="009B3747">
        <w:rPr>
          <w:rFonts w:eastAsia="Times New Roman" w:cstheme="minorHAnsi"/>
          <w:color w:val="000000"/>
          <w:lang w:eastAsia="en-GB"/>
        </w:rPr>
        <w:fldChar w:fldCharType="separate"/>
      </w:r>
      <w:r w:rsidR="00C72206" w:rsidRPr="009B3747">
        <w:rPr>
          <w:rFonts w:eastAsia="Times New Roman" w:cstheme="minorHAnsi"/>
          <w:noProof/>
          <w:color w:val="000000"/>
          <w:lang w:eastAsia="en-GB"/>
        </w:rPr>
        <w:t>(World Health Organization, 2016b)</w:t>
      </w:r>
      <w:r w:rsidR="00C72206" w:rsidRPr="009B3747">
        <w:rPr>
          <w:rFonts w:eastAsia="Times New Roman" w:cstheme="minorHAnsi"/>
          <w:color w:val="000000"/>
          <w:lang w:eastAsia="en-GB"/>
        </w:rPr>
        <w:fldChar w:fldCharType="end"/>
      </w:r>
      <w:r w:rsidR="00C72206" w:rsidRPr="009B3747">
        <w:rPr>
          <w:rFonts w:eastAsia="Times New Roman" w:cstheme="minorHAnsi"/>
          <w:color w:val="000000"/>
          <w:lang w:eastAsia="en-GB"/>
        </w:rPr>
        <w:t xml:space="preserve">, </w:t>
      </w:r>
      <w:r w:rsidRPr="009B3747">
        <w:rPr>
          <w:rFonts w:eastAsia="Times New Roman" w:cstheme="minorHAnsi"/>
          <w:color w:val="000000"/>
          <w:lang w:eastAsia="en-GB"/>
        </w:rPr>
        <w:t>causing nearly 3 million annual deaths worldwide</w:t>
      </w:r>
      <w:r w:rsidR="00C72206" w:rsidRPr="009B3747">
        <w:rPr>
          <w:rFonts w:eastAsia="Times New Roman" w:cstheme="minorHAnsi"/>
          <w:color w:val="000000"/>
          <w:lang w:eastAsia="en-GB"/>
        </w:rPr>
        <w:t xml:space="preserve"> </w:t>
      </w:r>
      <w:r w:rsidR="00C72206"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"Finucane", "given" : "MM", "non-dropping-particle" : "", "parse-names" : false, "suffix" : "" }, { "dropping-particle" : "", "family" : "Stevens", "given" : "GA", "non-dropping-particle" : "", "parse-names" : false, "suffix" : "" }, { "dropping-particle" : "", "family" : "Cowan", "given" : "MJ", "non-dropping-particle" : "", "parse-names" : false, "suffix" : "" } ], "container-title" : "The Lancet", "id" : "ITEM-1", "issue" : "9765", "issued" : { "date-parts" : [ [ "2011" ] ] }, "page" : "557-567", "title" : "National, regional, and global trends in body-mass index since 1980: systematic analysis of health examination surveys and epidemiological studies with 960 country-", "type" : "article-journal", "volume" : "377" }, "uris" : [ "http://www.mendeley.com/documents/?uuid=3788d1d8-e365-477f-845b-c50d2495dba4" ] } ], "mendeley" : { "formattedCitation" : "(Finucane et al., 2011)", "plainTextFormattedCitation" : "(Finucane et al., 2011)", "previouslyFormattedCitation" : "(Finucane et al., 2011)" }, "properties" : { "noteIndex" : 0 }, "schema" : "https://github.com/citation-style-language/schema/raw/master/csl-citation.json" }</w:instrText>
      </w:r>
      <w:r w:rsidR="00C72206" w:rsidRPr="009B3747">
        <w:rPr>
          <w:rFonts w:eastAsia="Times New Roman" w:cstheme="minorHAnsi"/>
          <w:color w:val="000000"/>
          <w:lang w:eastAsia="en-GB"/>
        </w:rPr>
        <w:fldChar w:fldCharType="separate"/>
      </w:r>
      <w:r w:rsidR="00C72206" w:rsidRPr="009B3747">
        <w:rPr>
          <w:rFonts w:eastAsia="Times New Roman" w:cstheme="minorHAnsi"/>
          <w:noProof/>
          <w:color w:val="000000"/>
          <w:lang w:eastAsia="en-GB"/>
        </w:rPr>
        <w:t>(Finucane et al., 2011)</w:t>
      </w:r>
      <w:r w:rsidR="00C72206" w:rsidRPr="009B3747">
        <w:rPr>
          <w:rFonts w:eastAsia="Times New Roman" w:cstheme="minorHAnsi"/>
          <w:color w:val="000000"/>
          <w:lang w:eastAsia="en-GB"/>
        </w:rPr>
        <w:fldChar w:fldCharType="end"/>
      </w:r>
      <w:r w:rsidR="00C72206" w:rsidRPr="009B3747">
        <w:rPr>
          <w:rFonts w:eastAsia="Times New Roman" w:cstheme="minorHAnsi"/>
          <w:color w:val="000000"/>
          <w:lang w:eastAsia="en-GB"/>
        </w:rPr>
        <w:t>.</w:t>
      </w:r>
      <w:r w:rsidRPr="009B3747">
        <w:rPr>
          <w:rFonts w:eastAsia="Times New Roman" w:cstheme="minorHAnsi"/>
          <w:color w:val="000000"/>
          <w:lang w:eastAsia="en-GB"/>
        </w:rPr>
        <w:tab/>
      </w:r>
    </w:p>
    <w:p w:rsidR="00943E3E" w:rsidRPr="009B3747" w:rsidRDefault="00943E3E" w:rsidP="00A16FA3">
      <w:pPr>
        <w:rPr>
          <w:rFonts w:eastAsia="Times New Roman" w:cstheme="minorHAnsi"/>
          <w:color w:val="000000"/>
          <w:lang w:eastAsia="en-GB"/>
        </w:rPr>
      </w:pPr>
    </w:p>
    <w:p w:rsidR="00A16FA3" w:rsidRPr="009B3747" w:rsidRDefault="00A16FA3" w:rsidP="00A16FA3">
      <w:pPr>
        <w:rPr>
          <w:rFonts w:eastAsia="Times New Roman" w:cstheme="minorHAnsi"/>
          <w:sz w:val="24"/>
          <w:szCs w:val="24"/>
          <w:lang w:eastAsia="en-GB"/>
        </w:rPr>
      </w:pPr>
      <w:r w:rsidRPr="009B3747">
        <w:rPr>
          <w:rFonts w:eastAsia="Times New Roman" w:cstheme="minorHAnsi"/>
          <w:color w:val="000000"/>
          <w:lang w:eastAsia="en-GB"/>
        </w:rPr>
        <w:t>Whilst the rise in obesity prevalence across high-income countries appears to be plateauing</w:t>
      </w:r>
      <w:r w:rsidR="00BF2D53" w:rsidRPr="009B3747">
        <w:rPr>
          <w:rFonts w:eastAsia="Times New Roman" w:cstheme="minorHAnsi"/>
          <w:color w:val="000000"/>
          <w:lang w:eastAsia="en-GB"/>
        </w:rPr>
        <w:t xml:space="preserve"> </w:t>
      </w:r>
      <w:r w:rsidR="00BF2D53"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"Kleinert", "given" : "S", "non-dropping-particle" : "", "parse-names" : false, "suffix" : "" }, { "dropping-particle" : "", "family" : "Horton", "given" : "R", "non-dropping-particle" : "", "parse-names" : false, "suffix" : "" } ], "container-title" : "The Lancet", "id" : "ITEM-1", "issue" : "9985", "issued" : { "date-parts" : [ [ "2015" ] ] }, "page" : "2326\u20132328", "title" : "Rethinking and reframing obesity", "type" : "article-journal", "volume" : "385" }, "uris" : [ "http://www.mendeley.com/documents/?uuid=e0b9e430-0dbc-4dd6-b26a-dda5989b6adf" ] } ], "mendeley" : { "formattedCitation" : "(Kleinert and Horton, 2015)", "plainTextFormattedCitation" : "(Kleinert and Horton, 2015)", "previouslyFormattedCitation" : "(Kleinert and Horton, 2015)" }, "properties" : { "noteIndex" : 0 }, "schema" : "https://github.com/citation-style-language/schema/raw/master/csl-citation.json" }</w:instrText>
      </w:r>
      <w:r w:rsidR="00BF2D53" w:rsidRPr="009B3747">
        <w:rPr>
          <w:rFonts w:eastAsia="Times New Roman" w:cstheme="minorHAnsi"/>
          <w:color w:val="000000"/>
          <w:lang w:eastAsia="en-GB"/>
        </w:rPr>
        <w:fldChar w:fldCharType="separate"/>
      </w:r>
      <w:r w:rsidR="00BF2D53" w:rsidRPr="009B3747">
        <w:rPr>
          <w:rFonts w:eastAsia="Times New Roman" w:cstheme="minorHAnsi"/>
          <w:noProof/>
          <w:color w:val="000000"/>
          <w:lang w:eastAsia="en-GB"/>
        </w:rPr>
        <w:t>(Kleinert and Horton, 2015)</w:t>
      </w:r>
      <w:r w:rsidR="00BF2D53" w:rsidRPr="009B3747">
        <w:rPr>
          <w:rFonts w:eastAsia="Times New Roman" w:cstheme="minorHAnsi"/>
          <w:color w:val="000000"/>
          <w:lang w:eastAsia="en-GB"/>
        </w:rPr>
        <w:fldChar w:fldCharType="end"/>
      </w:r>
      <w:r w:rsidR="00BF2D53" w:rsidRPr="009B3747">
        <w:rPr>
          <w:rFonts w:eastAsia="Times New Roman" w:cstheme="minorHAnsi"/>
          <w:color w:val="000000"/>
          <w:lang w:eastAsia="en-GB"/>
        </w:rPr>
        <w:t xml:space="preserve">, </w:t>
      </w:r>
      <w:r w:rsidRPr="009B3747">
        <w:rPr>
          <w:rFonts w:eastAsia="Times New Roman" w:cstheme="minorHAnsi"/>
          <w:color w:val="000000"/>
          <w:lang w:eastAsia="en-GB"/>
        </w:rPr>
        <w:t>it's complex and intractable nature is reflected by the fact there isn’t a single nation that as yet has been able to reverse the epidemic</w:t>
      </w:r>
      <w:r w:rsidR="00BF2D53" w:rsidRPr="009B3747">
        <w:rPr>
          <w:rFonts w:eastAsia="Times New Roman" w:cstheme="minorHAnsi"/>
          <w:color w:val="000000"/>
          <w:lang w:eastAsia="en-GB"/>
        </w:rPr>
        <w:t xml:space="preserve"> </w:t>
      </w:r>
      <w:r w:rsidR="00BF2D53"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"Roberto", "given" : "CA", "non-dropping-particle" : "", "parse-names" : false, "suffix" : "" }, { "dropping-particle" : "", "family" : "Swinburn", "given" : "B", "non-dropping-particle" : "", "parse-names" : false, "suffix" : "" }, { "dropping-particle" : "", "family" : "Hawkes", "given" : "C", "non-dropping-particle" : "", "parse-names" : false, "suffix" : "" } ], "container-title" : "The Lancet", "id" : "ITEM-1", "issue" : "9985", "issued" : { "date-parts" : [ [ "2015" ] ] }, "page" : "2400\u20132409", "title" : "Patchy progress on obesity prevention: emerging examples, entrenched barriers, and new thinking", "type" : "article-journal", "volume" : "385" }, "uris" : [ "http://www.mendeley.com/documents/?uuid=6815ad69-33a9-48c6-8e24-5ea4f9900a6e" ] } ], "mendeley" : { "formattedCitation" : "(Roberto et al., 2015)", "plainTextFormattedCitation" : "(Roberto et al., 2015)", "previouslyFormattedCitation" : "(Roberto et al., 2015)" }, "properties" : { "noteIndex" : 0 }, "schema" : "https://github.com/citation-style-language/schema/raw/master/csl-citation.json" }</w:instrText>
      </w:r>
      <w:r w:rsidR="00BF2D53" w:rsidRPr="009B3747">
        <w:rPr>
          <w:rFonts w:eastAsia="Times New Roman" w:cstheme="minorHAnsi"/>
          <w:color w:val="000000"/>
          <w:lang w:eastAsia="en-GB"/>
        </w:rPr>
        <w:fldChar w:fldCharType="separate"/>
      </w:r>
      <w:r w:rsidR="00BF2D53" w:rsidRPr="009B3747">
        <w:rPr>
          <w:rFonts w:eastAsia="Times New Roman" w:cstheme="minorHAnsi"/>
          <w:noProof/>
          <w:color w:val="000000"/>
          <w:lang w:eastAsia="en-GB"/>
        </w:rPr>
        <w:t>(Roberto et al., 2015)</w:t>
      </w:r>
      <w:r w:rsidR="00BF2D53" w:rsidRPr="009B3747">
        <w:rPr>
          <w:rFonts w:eastAsia="Times New Roman" w:cstheme="minorHAnsi"/>
          <w:color w:val="000000"/>
          <w:lang w:eastAsia="en-GB"/>
        </w:rPr>
        <w:fldChar w:fldCharType="end"/>
      </w:r>
      <w:r w:rsidR="007F30EA" w:rsidRPr="009B3747">
        <w:rPr>
          <w:rFonts w:eastAsia="Times New Roman" w:cstheme="minorHAnsi"/>
          <w:color w:val="000000"/>
          <w:lang w:eastAsia="en-GB"/>
        </w:rPr>
        <w:t xml:space="preserve">.  </w:t>
      </w:r>
      <w:r w:rsidRPr="009B3747">
        <w:rPr>
          <w:rFonts w:eastAsia="Times New Roman" w:cstheme="minorHAnsi"/>
          <w:color w:val="000000"/>
          <w:lang w:eastAsia="en-GB"/>
        </w:rPr>
        <w:t>Furthermore, despite the scarcity of robust data, there are indic</w:t>
      </w:r>
      <w:r w:rsidR="001A49F5">
        <w:rPr>
          <w:rFonts w:eastAsia="Times New Roman" w:cstheme="minorHAnsi"/>
          <w:color w:val="000000"/>
          <w:lang w:eastAsia="en-GB"/>
        </w:rPr>
        <w:t xml:space="preserve">ations that rather than slowing, </w:t>
      </w:r>
      <w:r w:rsidRPr="009B3747">
        <w:rPr>
          <w:rFonts w:eastAsia="Times New Roman" w:cstheme="minorHAnsi"/>
          <w:color w:val="000000"/>
          <w:lang w:eastAsia="en-GB"/>
        </w:rPr>
        <w:t>obesity prevalence</w:t>
      </w:r>
      <w:r w:rsidR="001A49F5">
        <w:rPr>
          <w:rFonts w:eastAsia="Times New Roman" w:cstheme="minorHAnsi"/>
          <w:color w:val="000000"/>
          <w:lang w:eastAsia="en-GB"/>
        </w:rPr>
        <w:t xml:space="preserve"> </w:t>
      </w:r>
      <w:r w:rsidRPr="009B3747">
        <w:rPr>
          <w:rFonts w:eastAsia="Times New Roman" w:cstheme="minorHAnsi"/>
          <w:color w:val="000000"/>
          <w:lang w:eastAsia="en-GB"/>
        </w:rPr>
        <w:t>is in fact rapidly rising in low and middle-income countries</w:t>
      </w:r>
      <w:r w:rsidR="007F30EA" w:rsidRPr="009B3747">
        <w:rPr>
          <w:rFonts w:eastAsia="Times New Roman" w:cstheme="minorHAnsi"/>
          <w:color w:val="000000"/>
          <w:lang w:eastAsia="en-GB"/>
        </w:rPr>
        <w:t xml:space="preserve"> </w:t>
      </w:r>
      <w:r w:rsidR="007F30EA"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"Lobstein", "given" : "T", "non-dropping-particle" : "", "parse-names" : false, "suffix" : "" }, { "dropping-particle" : "", "family" : "Jackson-Leach", "given" : "R", "non-dropping-particle" : "", "parse-names" : false, "suffix" : "" }, { "dropping-particle" : "", "family" : "Moodie", "given" : "ML", "non-dropping-particle" : "", "parse-names" : false, "suffix" : "" } ], "container-title" : "The Lancet", "id" : "ITEM-1", "issue" : "9986", "issued" : { "date-parts" : [ [ "2015" ] ] }, "page" : "2510-2520", "title" : "Child and adolescent obesity: part of a bigger picture", "type" : "article-journal", "volume" : "385" }, "uris" : [ "http://www.mendeley.com/documents/?uuid=e072a246-f28d-4879-b95a-10b312372cee" ] } ], "mendeley" : { "formattedCitation" : "(Lobstein et al., 2015)", "plainTextFormattedCitation" : "(Lobstein et al., 2015)", "previouslyFormattedCitation" : "(Lobstein et al., 2015)" }, "properties" : { "noteIndex" : 0 }, "schema" : "https://github.com/citation-style-language/schema/raw/master/csl-citation.json" }</w:instrText>
      </w:r>
      <w:r w:rsidR="007F30EA" w:rsidRPr="009B3747">
        <w:rPr>
          <w:rFonts w:eastAsia="Times New Roman" w:cstheme="minorHAnsi"/>
          <w:color w:val="000000"/>
          <w:lang w:eastAsia="en-GB"/>
        </w:rPr>
        <w:fldChar w:fldCharType="separate"/>
      </w:r>
      <w:r w:rsidR="007F30EA" w:rsidRPr="009B3747">
        <w:rPr>
          <w:rFonts w:eastAsia="Times New Roman" w:cstheme="minorHAnsi"/>
          <w:noProof/>
          <w:color w:val="000000"/>
          <w:lang w:eastAsia="en-GB"/>
        </w:rPr>
        <w:t>(Lobstein et al., 2015)</w:t>
      </w:r>
      <w:r w:rsidR="007F30EA" w:rsidRPr="009B3747">
        <w:rPr>
          <w:rFonts w:eastAsia="Times New Roman" w:cstheme="minorHAnsi"/>
          <w:color w:val="000000"/>
          <w:lang w:eastAsia="en-GB"/>
        </w:rPr>
        <w:fldChar w:fldCharType="end"/>
      </w:r>
      <w:r w:rsidRPr="009B3747">
        <w:rPr>
          <w:rFonts w:eastAsia="Times New Roman" w:cstheme="minorHAnsi"/>
          <w:color w:val="000000"/>
          <w:lang w:eastAsia="en-GB"/>
        </w:rPr>
        <w:t>.  For th</w:t>
      </w:r>
      <w:r w:rsidR="006E1936" w:rsidRPr="009B3747">
        <w:rPr>
          <w:rFonts w:eastAsia="Times New Roman" w:cstheme="minorHAnsi"/>
          <w:color w:val="000000"/>
          <w:lang w:eastAsia="en-GB"/>
        </w:rPr>
        <w:t>ose countries, this presents a double burden</w:t>
      </w:r>
      <w:r w:rsidRPr="009B3747">
        <w:rPr>
          <w:rFonts w:eastAsia="Times New Roman" w:cstheme="minorHAnsi"/>
          <w:color w:val="000000"/>
          <w:lang w:eastAsia="en-GB"/>
        </w:rPr>
        <w:t xml:space="preserve"> of disease, where both communicable and non</w:t>
      </w:r>
      <w:r w:rsidR="00410AD0" w:rsidRPr="009B3747">
        <w:rPr>
          <w:rFonts w:eastAsia="Times New Roman" w:cstheme="minorHAnsi"/>
          <w:color w:val="000000"/>
          <w:lang w:eastAsia="en-GB"/>
        </w:rPr>
        <w:t>-</w:t>
      </w:r>
      <w:r w:rsidRPr="009B3747">
        <w:rPr>
          <w:rFonts w:eastAsia="Times New Roman" w:cstheme="minorHAnsi"/>
          <w:color w:val="000000"/>
          <w:lang w:eastAsia="en-GB"/>
        </w:rPr>
        <w:t>communicable diseases present significant public health challenges</w:t>
      </w:r>
      <w:r w:rsidR="007F30EA" w:rsidRPr="009B3747">
        <w:rPr>
          <w:rFonts w:eastAsia="Times New Roman" w:cstheme="minorHAnsi"/>
          <w:color w:val="000000"/>
          <w:lang w:eastAsia="en-GB"/>
        </w:rPr>
        <w:t xml:space="preserve"> </w:t>
      </w:r>
      <w:r w:rsidR="007F30EA" w:rsidRPr="009B3747">
        <w:rPr>
          <w:rFonts w:eastAsia="Times New Roman" w:cstheme="minorHAnsi"/>
          <w:color w:val="000000"/>
          <w:lang w:eastAsia="en-GB"/>
        </w:rPr>
        <w:fldChar w:fldCharType="begin" w:fldLock="1"/>
      </w:r>
      <w:r w:rsidR="007F30EA" w:rsidRPr="009B3747">
        <w:rPr>
          <w:rFonts w:eastAsia="Times New Roman" w:cstheme="minorHAnsi"/>
          <w:color w:val="000000"/>
          <w:lang w:eastAsia="en-GB"/>
        </w:rPr>
        <w:instrText>ADDIN CSL_CITATION { "citationItems" : [ { "id" : "ITEM-1", "itemData" : { "URL" : "http://www.who.int/mediacentre/factsheets/fs311/en/", "author" : [ { "dropping-particle" : "", "family" : "World Health Organization", "given" : "", "non-dropping-particle" : "", "parse-names" : false, "suffix" : "" } ], "id" : "ITEM-1", "issued" : { "date-parts" : [ [ "2016" ] ] }, "title" : "Obesity and Overweight (Fact sheet)", "type" : "webpage" }, "uris" : [ "http://www.mendeley.com/documents/?uuid=1efcd740-61c5-4ae9-9a7c-c9e40f6bddab" ] } ], "mendeley" : { "formattedCitation" : "(World Health Organization, 2016b)", "plainTextFormattedCitation" : "(World Health Organization, 2016b)", "previouslyFormattedCitation" : "(World Health Organization, 2016b)" }, "properties" : { "noteIndex" : 0 }, "schema" : "https://github.com/citation-style-language/schema/raw/master/csl-citation.json" }</w:instrText>
      </w:r>
      <w:r w:rsidR="007F30EA" w:rsidRPr="009B3747">
        <w:rPr>
          <w:rFonts w:eastAsia="Times New Roman" w:cstheme="minorHAnsi"/>
          <w:color w:val="000000"/>
          <w:lang w:eastAsia="en-GB"/>
        </w:rPr>
        <w:fldChar w:fldCharType="separate"/>
      </w:r>
      <w:r w:rsidR="007F30EA" w:rsidRPr="009B3747">
        <w:rPr>
          <w:rFonts w:eastAsia="Times New Roman" w:cstheme="minorHAnsi"/>
          <w:noProof/>
          <w:color w:val="000000"/>
          <w:lang w:eastAsia="en-GB"/>
        </w:rPr>
        <w:t>(World Health Organization, 2016b)</w:t>
      </w:r>
      <w:r w:rsidR="007F30EA" w:rsidRPr="009B3747">
        <w:rPr>
          <w:rFonts w:eastAsia="Times New Roman" w:cstheme="minorHAnsi"/>
          <w:color w:val="000000"/>
          <w:lang w:eastAsia="en-GB"/>
        </w:rPr>
        <w:fldChar w:fldCharType="end"/>
      </w:r>
      <w:r w:rsidR="007F30EA" w:rsidRPr="009B3747">
        <w:rPr>
          <w:rFonts w:eastAsia="Times New Roman" w:cstheme="minorHAnsi"/>
          <w:color w:val="000000"/>
          <w:lang w:eastAsia="en-GB"/>
        </w:rPr>
        <w:t>.</w:t>
      </w:r>
    </w:p>
    <w:p w:rsidR="002224C3" w:rsidRPr="009B3747" w:rsidRDefault="002224C3" w:rsidP="00A16FA3">
      <w:pPr>
        <w:rPr>
          <w:rFonts w:eastAsia="Times New Roman" w:cstheme="minorHAnsi"/>
          <w:color w:val="000000"/>
          <w:lang w:eastAsia="en-GB"/>
        </w:rPr>
      </w:pPr>
    </w:p>
    <w:p w:rsidR="00A16FA3" w:rsidRPr="009B3747" w:rsidRDefault="00A16FA3" w:rsidP="00A16FA3">
      <w:pPr>
        <w:rPr>
          <w:rFonts w:eastAsia="Times New Roman" w:cstheme="minorHAnsi"/>
          <w:sz w:val="24"/>
          <w:szCs w:val="24"/>
          <w:lang w:eastAsia="en-GB"/>
        </w:rPr>
      </w:pPr>
      <w:r w:rsidRPr="009B3747">
        <w:rPr>
          <w:rFonts w:eastAsia="Times New Roman" w:cstheme="minorHAnsi"/>
          <w:color w:val="000000"/>
          <w:lang w:eastAsia="en-GB"/>
        </w:rPr>
        <w:t>The recognition by the World Health Organisation (WHO) of the scale and severity of obesity across both developed and developing countries, resulted in the adoption of the WHO’s Global Action Plan for the Prevention and Control of Non-communicable Diseases 2013-2020 and associated monitoring framework</w:t>
      </w:r>
      <w:r w:rsidR="007F30EA" w:rsidRPr="009B3747">
        <w:rPr>
          <w:rFonts w:eastAsia="Times New Roman" w:cstheme="minorHAnsi"/>
          <w:color w:val="000000"/>
          <w:lang w:eastAsia="en-GB"/>
        </w:rPr>
        <w:t xml:space="preserve"> </w:t>
      </w:r>
      <w:r w:rsidR="007F30EA"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"DOI" : "978 92 4 1506236", "ISBN" : "978 92 4 150623 6", "ISSN" : "0003-990X", "abstract" : "Noncommunicable diseases -- mainly cardiovascular diseases, cancers, chronic respiratory diseases and diabetes \u2013 are the biggest cause of death worldwide. More than 36 million die annually from NCDs (63% of global deaths), including 9 million people who die too young before the age of 60. More than 90% of these premature deaths from NCDs occur in developing countries, and could have largely been prevented.", "author" : [ { "dropping-particle" : "", "family" : "World Health Organization", "given" : "", "non-dropping-particle" : "", "parse-names" : false, "suffix" : "" } ], "container-title" : "World Health Organization", "id" : "ITEM-1", "issued" : { "date-parts" : [ [ "2013" ] ] }, "number-of-pages" : "102", "publisher-place" : "Geneva", "title" : "Global action plan for the prevention and control of noncommunicable diseases 2013-2020.", "type" : "report" }, "uris" : [ "http://www.mendeley.com/documents/?uuid=6be25579-70ef-4655-9b53-b9b874f61f1c" ] } ], "mendeley" : { "formattedCitation" : "(World Health Organization, 2013)", "plainTextFormattedCitation" : "(World Health Organization, 2013)", "previouslyFormattedCitation" : "(World Health Organization, 2013)" }, "properties" : { "noteIndex" : 0 }, "schema" : "https://github.com/citation-style-language/schema/raw/master/csl-citation.json" }</w:instrText>
      </w:r>
      <w:r w:rsidR="007F30EA" w:rsidRPr="009B3747">
        <w:rPr>
          <w:rFonts w:eastAsia="Times New Roman" w:cstheme="minorHAnsi"/>
          <w:color w:val="000000"/>
          <w:lang w:eastAsia="en-GB"/>
        </w:rPr>
        <w:fldChar w:fldCharType="separate"/>
      </w:r>
      <w:r w:rsidR="007F30EA" w:rsidRPr="009B3747">
        <w:rPr>
          <w:rFonts w:eastAsia="Times New Roman" w:cstheme="minorHAnsi"/>
          <w:noProof/>
          <w:color w:val="000000"/>
          <w:lang w:eastAsia="en-GB"/>
        </w:rPr>
        <w:t>(World Health Organization, 2013)</w:t>
      </w:r>
      <w:r w:rsidR="007F30EA" w:rsidRPr="009B3747">
        <w:rPr>
          <w:rFonts w:eastAsia="Times New Roman" w:cstheme="minorHAnsi"/>
          <w:color w:val="000000"/>
          <w:lang w:eastAsia="en-GB"/>
        </w:rPr>
        <w:fldChar w:fldCharType="end"/>
      </w:r>
      <w:r w:rsidR="007F30EA" w:rsidRPr="009B3747">
        <w:rPr>
          <w:rFonts w:eastAsia="Times New Roman" w:cstheme="minorHAnsi"/>
          <w:color w:val="000000"/>
          <w:lang w:eastAsia="en-GB"/>
        </w:rPr>
        <w:t xml:space="preserve">.  </w:t>
      </w:r>
      <w:r w:rsidRPr="009B3747">
        <w:rPr>
          <w:rFonts w:eastAsia="Times New Roman" w:cstheme="minorHAnsi"/>
          <w:color w:val="000000"/>
          <w:lang w:eastAsia="en-GB"/>
        </w:rPr>
        <w:t>Achieving the seemingly modest target propo</w:t>
      </w:r>
      <w:r w:rsidR="002D0099" w:rsidRPr="009B3747">
        <w:rPr>
          <w:rFonts w:eastAsia="Times New Roman" w:cstheme="minorHAnsi"/>
          <w:color w:val="000000"/>
          <w:lang w:eastAsia="en-GB"/>
        </w:rPr>
        <w:t xml:space="preserve">sed within this documentation, </w:t>
      </w:r>
      <w:r w:rsidRPr="009B3747">
        <w:rPr>
          <w:rFonts w:eastAsia="Times New Roman" w:cstheme="minorHAnsi"/>
          <w:color w:val="000000"/>
          <w:lang w:eastAsia="en-GB"/>
        </w:rPr>
        <w:t>a zero increase in obesity in school-aged children, adolescents and adult</w:t>
      </w:r>
      <w:r w:rsidR="007F30EA" w:rsidRPr="009B3747">
        <w:rPr>
          <w:rFonts w:eastAsia="Times New Roman" w:cstheme="minorHAnsi"/>
          <w:color w:val="000000"/>
          <w:lang w:eastAsia="en-GB"/>
        </w:rPr>
        <w:t xml:space="preserve">s between 2010-2025, </w:t>
      </w:r>
      <w:r w:rsidR="002D0099" w:rsidRPr="009B3747">
        <w:rPr>
          <w:rFonts w:eastAsia="Times New Roman" w:cstheme="minorHAnsi"/>
          <w:color w:val="000000"/>
          <w:lang w:eastAsia="en-GB"/>
        </w:rPr>
        <w:t xml:space="preserve">is argued to be </w:t>
      </w:r>
      <w:r w:rsidR="002D0099" w:rsidRPr="009B3747">
        <w:rPr>
          <w:rFonts w:eastAsia="Times New Roman" w:cstheme="minorHAnsi"/>
          <w:i/>
          <w:color w:val="000000"/>
          <w:lang w:eastAsia="en-GB"/>
        </w:rPr>
        <w:t>“</w:t>
      </w:r>
      <w:r w:rsidRPr="009B3747">
        <w:rPr>
          <w:rFonts w:eastAsia="Times New Roman" w:cstheme="minorHAnsi"/>
          <w:i/>
          <w:color w:val="000000"/>
          <w:lang w:eastAsia="en-GB"/>
        </w:rPr>
        <w:t>one of the largest challenges of all the global n</w:t>
      </w:r>
      <w:r w:rsidR="002D0099" w:rsidRPr="009B3747">
        <w:rPr>
          <w:rFonts w:eastAsia="Times New Roman" w:cstheme="minorHAnsi"/>
          <w:i/>
          <w:color w:val="000000"/>
          <w:lang w:eastAsia="en-GB"/>
        </w:rPr>
        <w:t>on-communicable disease targets”</w:t>
      </w:r>
      <w:r w:rsidR="007F30EA" w:rsidRPr="009B3747">
        <w:rPr>
          <w:rFonts w:eastAsia="Times New Roman" w:cstheme="minorHAnsi"/>
          <w:i/>
          <w:color w:val="000000"/>
          <w:lang w:eastAsia="en-GB"/>
        </w:rPr>
        <w:t xml:space="preserve"> </w:t>
      </w:r>
      <w:r w:rsidR="007F30EA"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"Roberto", "given" : "CA", "non-dropping-particle" : "", "parse-names" : false, "suffix" : "" }, { "dropping-particle" : "", "family" : "Swinburn", "given" : "B", "non-dropping-particle" : "", "parse-names" : false, "suffix" : "" }, { "dropping-particle" : "", "family" : "Hawkes", "given" : "C", "non-dropping-particle" : "", "parse-names" : false, "suffix" : "" } ], "container-title" : "The Lancet", "id" : "ITEM-1", "issue" : "9985", "issued" : { "date-parts" : [ [ "2015" ] ] }, "page" : "2400\u20132409", "title" : "Patchy progress on obesity prevention: emerging examples, entrenched barriers, and new thinking", "type" : "article-journal", "volume" : "385" }, "uris" : [ "http://www.mendeley.com/documents/?uuid=6815ad69-33a9-48c6-8e24-5ea4f9900a6e" ] } ], "mendeley" : { "formattedCitation" : "(Roberto et al., 2015)", "manualFormatting" : "(Roberto et al., 2015, p.2400)", "plainTextFormattedCitation" : "(Roberto et al., 2015)", "previouslyFormattedCitation" : "(Roberto et al., 2015)" }, "properties" : { "noteIndex" : 0 }, "schema" : "https://github.com/citation-style-language/schema/raw/master/csl-citation.json" }</w:instrText>
      </w:r>
      <w:r w:rsidR="007F30EA" w:rsidRPr="009B3747">
        <w:rPr>
          <w:rFonts w:eastAsia="Times New Roman" w:cstheme="minorHAnsi"/>
          <w:color w:val="000000"/>
          <w:lang w:eastAsia="en-GB"/>
        </w:rPr>
        <w:fldChar w:fldCharType="separate"/>
      </w:r>
      <w:r w:rsidR="007F30EA" w:rsidRPr="009B3747">
        <w:rPr>
          <w:rFonts w:eastAsia="Times New Roman" w:cstheme="minorHAnsi"/>
          <w:noProof/>
          <w:color w:val="000000"/>
          <w:lang w:eastAsia="en-GB"/>
        </w:rPr>
        <w:t>(Roberto et al., 2015</w:t>
      </w:r>
      <w:r w:rsidR="00AE6A9E" w:rsidRPr="009B3747">
        <w:rPr>
          <w:rFonts w:eastAsia="Times New Roman" w:cstheme="minorHAnsi"/>
          <w:noProof/>
          <w:color w:val="000000"/>
          <w:lang w:eastAsia="en-GB"/>
        </w:rPr>
        <w:t>, p.</w:t>
      </w:r>
      <w:r w:rsidR="007F30EA" w:rsidRPr="009B3747">
        <w:rPr>
          <w:rFonts w:eastAsia="Times New Roman" w:cstheme="minorHAnsi"/>
          <w:noProof/>
          <w:color w:val="000000"/>
          <w:lang w:eastAsia="en-GB"/>
        </w:rPr>
        <w:t>2400)</w:t>
      </w:r>
      <w:r w:rsidR="007F30EA" w:rsidRPr="009B3747">
        <w:rPr>
          <w:rFonts w:eastAsia="Times New Roman" w:cstheme="minorHAnsi"/>
          <w:color w:val="000000"/>
          <w:lang w:eastAsia="en-GB"/>
        </w:rPr>
        <w:fldChar w:fldCharType="end"/>
      </w:r>
      <w:r w:rsidR="007F30EA" w:rsidRPr="009B3747">
        <w:rPr>
          <w:rFonts w:eastAsia="Times New Roman" w:cstheme="minorHAnsi"/>
          <w:color w:val="000000"/>
          <w:lang w:eastAsia="en-GB"/>
        </w:rPr>
        <w:t xml:space="preserve">.  </w:t>
      </w:r>
      <w:r w:rsidRPr="009B3747">
        <w:rPr>
          <w:rFonts w:eastAsia="Times New Roman" w:cstheme="minorHAnsi"/>
          <w:color w:val="000000"/>
          <w:lang w:eastAsia="en-GB"/>
        </w:rPr>
        <w:t>This is evidenced in the comparisons drawn between obesity and global climate change</w:t>
      </w:r>
      <w:r w:rsidR="001A49F5">
        <w:rPr>
          <w:rFonts w:eastAsia="Times New Roman" w:cstheme="minorHAnsi"/>
          <w:color w:val="000000"/>
          <w:lang w:eastAsia="en-GB"/>
        </w:rPr>
        <w:t>,</w:t>
      </w:r>
      <w:r w:rsidRPr="009B3747">
        <w:rPr>
          <w:rFonts w:eastAsia="Times New Roman" w:cstheme="minorHAnsi"/>
          <w:color w:val="000000"/>
          <w:lang w:eastAsia="en-GB"/>
        </w:rPr>
        <w:t xml:space="preserve"> by academics who aim to highlight the seriousness of the problem faced </w:t>
      </w:r>
      <w:r w:rsidR="007F30EA"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"Head", "given" : "BW", "non-dropping-particle" : "", "parse-names" : false, "suffix" : "" } ], "container-title" : "Public Policy", "id" : "ITEM-1", "issue" : "2", "issued" : { "date-parts" : [ [ "2008" ] ] }, "page" : "101-118", "title" : "Wicked problems in public policy", "type" : "article-journal", "volume" : "3" }, "uris" : [ "http://www.mendeley.com/documents/?uuid=993f70b2-cbd3-4c0d-8fbb-c05d637533d6" ] }, { "id" : "ITEM-2", "itemData" : { "author" : [ { "dropping-particle" : "", "family" : "Swinburn", "given" : "BA", "non-dropping-particle" : "", "parse-names" : false, "suffix" : "" }, { "dropping-particle" : "", "family" : "Sacks", "given" : "G", "non-dropping-particle" : "", "parse-names" : false, "suffix" : "" }, { "dropping-particle" : "", "family" : "Hall", "given" : "KD", "non-dropping-particle" : "", "parse-names" : false, "suffix" : "" } ], "container-title" : "The Lancet", "id" : "ITEM-2", "issue" : "9793", "issued" : { "date-parts" : [ [ "2011" ] ] }, "page" : "804\u2013814", "title" : "The global obesity pandemic: shaped by global drivers and local environments", "type" : "article-journal", "volume" : "378" }, "uris" : [ "http://www.mendeley.com/documents/?uuid=32e46483-72ce-4885-84e3-55563f5489ac" ] } ], "mendeley" : { "formattedCitation" : "(Head, 2008; Swinburn et al., 2011)", "plainTextFormattedCitation" : "(Head, 2008; Swinburn et al., 2011)", "previouslyFormattedCitation" : "(Head, 2008; Swinburn et al., 2011)" }, "properties" : { "noteIndex" : 0 }, "schema" : "https://github.com/citation-style-language/schema/raw/master/csl-citation.json" }</w:instrText>
      </w:r>
      <w:r w:rsidR="007F30EA" w:rsidRPr="009B3747">
        <w:rPr>
          <w:rFonts w:eastAsia="Times New Roman" w:cstheme="minorHAnsi"/>
          <w:color w:val="000000"/>
          <w:lang w:eastAsia="en-GB"/>
        </w:rPr>
        <w:fldChar w:fldCharType="separate"/>
      </w:r>
      <w:r w:rsidR="007F30EA" w:rsidRPr="009B3747">
        <w:rPr>
          <w:rFonts w:eastAsia="Times New Roman" w:cstheme="minorHAnsi"/>
          <w:noProof/>
          <w:color w:val="000000"/>
          <w:lang w:eastAsia="en-GB"/>
        </w:rPr>
        <w:t>(Head, 2008; Swinburn et al., 2011)</w:t>
      </w:r>
      <w:r w:rsidR="007F30EA" w:rsidRPr="009B3747">
        <w:rPr>
          <w:rFonts w:eastAsia="Times New Roman" w:cstheme="minorHAnsi"/>
          <w:color w:val="000000"/>
          <w:lang w:eastAsia="en-GB"/>
        </w:rPr>
        <w:fldChar w:fldCharType="end"/>
      </w:r>
      <w:r w:rsidR="007F30EA"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 </w:t>
      </w:r>
    </w:p>
    <w:p w:rsidR="002224C3" w:rsidRPr="009B3747" w:rsidRDefault="002224C3" w:rsidP="00A16FA3">
      <w:pPr>
        <w:rPr>
          <w:rFonts w:eastAsia="Times New Roman" w:cstheme="minorHAnsi"/>
          <w:color w:val="000000"/>
          <w:lang w:eastAsia="en-GB"/>
        </w:rPr>
      </w:pPr>
    </w:p>
    <w:p w:rsidR="00A16FA3" w:rsidRPr="009B3747" w:rsidRDefault="00A16FA3" w:rsidP="00A16FA3">
      <w:pPr>
        <w:rPr>
          <w:rFonts w:eastAsia="Times New Roman" w:cstheme="minorHAnsi"/>
          <w:sz w:val="24"/>
          <w:szCs w:val="24"/>
          <w:lang w:eastAsia="en-GB"/>
        </w:rPr>
      </w:pPr>
      <w:r w:rsidRPr="009B3747">
        <w:rPr>
          <w:rFonts w:eastAsia="Times New Roman" w:cstheme="minorHAnsi"/>
          <w:color w:val="000000"/>
          <w:lang w:eastAsia="en-GB"/>
        </w:rPr>
        <w:lastRenderedPageBreak/>
        <w:t xml:space="preserve">Across the world, country level action to prevent obesity and therefore achieve the target of halting the rise in obesity has been isolated, patchy and slow </w:t>
      </w:r>
      <w:r w:rsidR="007F30EA"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"Kleinert", "given" : "S", "non-dropping-particle" : "", "parse-names" : false, "suffix" : "" }, { "dropping-particle" : "", "family" : "Horton", "given" : "R", "non-dropping-particle" : "", "parse-names" : false, "suffix" : "" } ], "container-title" : "The Lancet", "id" : "ITEM-1", "issue" : "9985", "issued" : { "date-parts" : [ [ "2015" ] ] }, "page" : "2326\u20132328", "title" : "Rethinking and reframing obesity", "type" : "article-journal", "volume" : "385" }, "uris" : [ "http://www.mendeley.com/documents/?uuid=e0b9e430-0dbc-4dd6-b26a-dda5989b6adf" ] }, { "id" : "ITEM-2", "itemData" : { "author" : [ { "dropping-particle" : "", "family" : "Roberto", "given" : "CA", "non-dropping-particle" : "", "parse-names" : false, "suffix" : "" }, { "dropping-particle" : "", "family" : "Swinburn", "given" : "B", "non-dropping-particle" : "", "parse-names" : false, "suffix" : "" }, { "dropping-particle" : "", "family" : "Hawkes", "given" : "C", "non-dropping-particle" : "", "parse-names" : false, "suffix" : "" } ], "container-title" : "The Lancet", "id" : "ITEM-2", "issue" : "9985", "issued" : { "date-parts" : [ [ "2015" ] ] }, "page" : "2400\u20132409", "title" : "Patchy progress on obesity prevention: emerging examples, entrenched barriers, and new thinking", "type" : "article-journal", "volume" : "385" }, "uris" : [ "http://www.mendeley.com/documents/?uuid=6815ad69-33a9-48c6-8e24-5ea4f9900a6e" ] } ], "mendeley" : { "formattedCitation" : "(Kleinert and Horton, 2015; Roberto et al., 2015)", "plainTextFormattedCitation" : "(Kleinert and Horton, 2015; Roberto et al., 2015)", "previouslyFormattedCitation" : "(Kleinert and Horton, 2015; Roberto et al., 2015)" }, "properties" : { "noteIndex" : 0 }, "schema" : "https://github.com/citation-style-language/schema/raw/master/csl-citation.json" }</w:instrText>
      </w:r>
      <w:r w:rsidR="007F30EA" w:rsidRPr="009B3747">
        <w:rPr>
          <w:rFonts w:eastAsia="Times New Roman" w:cstheme="minorHAnsi"/>
          <w:color w:val="000000"/>
          <w:lang w:eastAsia="en-GB"/>
        </w:rPr>
        <w:fldChar w:fldCharType="separate"/>
      </w:r>
      <w:r w:rsidR="007F30EA" w:rsidRPr="009B3747">
        <w:rPr>
          <w:rFonts w:eastAsia="Times New Roman" w:cstheme="minorHAnsi"/>
          <w:noProof/>
          <w:color w:val="000000"/>
          <w:lang w:eastAsia="en-GB"/>
        </w:rPr>
        <w:t>(Kleinert and Horton, 2015; Roberto et al., 2015)</w:t>
      </w:r>
      <w:r w:rsidR="007F30EA" w:rsidRPr="009B3747">
        <w:rPr>
          <w:rFonts w:eastAsia="Times New Roman" w:cstheme="minorHAnsi"/>
          <w:color w:val="000000"/>
          <w:lang w:eastAsia="en-GB"/>
        </w:rPr>
        <w:fldChar w:fldCharType="end"/>
      </w:r>
      <w:r w:rsidR="006E1936"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Furthermore whilst many countries have significantly increased their localised preventative efforts and achieved a flattening of childhood </w:t>
      </w:r>
      <w:r w:rsidR="006E1936" w:rsidRPr="009B3747">
        <w:rPr>
          <w:rFonts w:eastAsia="Times New Roman" w:cstheme="minorHAnsi"/>
          <w:color w:val="000000"/>
          <w:lang w:eastAsia="en-GB"/>
        </w:rPr>
        <w:t xml:space="preserve">obesity rate rises, there is a </w:t>
      </w:r>
      <w:r w:rsidRPr="009B3747">
        <w:rPr>
          <w:rFonts w:eastAsia="Times New Roman" w:cstheme="minorHAnsi"/>
          <w:color w:val="000000"/>
          <w:lang w:eastAsia="en-GB"/>
        </w:rPr>
        <w:t>wideni</w:t>
      </w:r>
      <w:r w:rsidR="006E1936" w:rsidRPr="009B3747">
        <w:rPr>
          <w:rFonts w:eastAsia="Times New Roman" w:cstheme="minorHAnsi"/>
          <w:color w:val="000000"/>
          <w:lang w:eastAsia="en-GB"/>
        </w:rPr>
        <w:t>ng inequality</w:t>
      </w:r>
      <w:r w:rsidR="007F30EA" w:rsidRPr="009B3747">
        <w:rPr>
          <w:rFonts w:eastAsia="Times New Roman" w:cstheme="minorHAnsi"/>
          <w:color w:val="000000"/>
          <w:lang w:eastAsia="en-GB"/>
        </w:rPr>
        <w:t xml:space="preserve"> in prevalence </w:t>
      </w:r>
      <w:r w:rsidR="007F30EA"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"Roberto", "given" : "CA", "non-dropping-particle" : "", "parse-names" : false, "suffix" : "" }, { "dropping-particle" : "", "family" : "Swinburn", "given" : "B", "non-dropping-particle" : "", "parse-names" : false, "suffix" : "" }, { "dropping-particle" : "", "family" : "Hawkes", "given" : "C", "non-dropping-particle" : "", "parse-names" : false, "suffix" : "" } ], "container-title" : "The Lancet", "id" : "ITEM-1", "issue" : "9985", "issued" : { "date-parts" : [ [ "2015" ] ] }, "page" : "2400\u20132409", "title" : "Patchy progress on obesity prevention: emerging examples, entrenched barriers, and new thinking", "type" : "article-journal", "volume" : "385" }, "uris" : [ "http://www.mendeley.com/documents/?uuid=6815ad69-33a9-48c6-8e24-5ea4f9900a6e" ] } ], "mendeley" : { "formattedCitation" : "(Roberto et al., 2015)", "plainTextFormattedCitation" : "(Roberto et al., 2015)", "previouslyFormattedCitation" : "(Roberto et al., 2015)" }, "properties" : { "noteIndex" : 0 }, "schema" : "https://github.com/citation-style-language/schema/raw/master/csl-citation.json" }</w:instrText>
      </w:r>
      <w:r w:rsidR="007F30EA" w:rsidRPr="009B3747">
        <w:rPr>
          <w:rFonts w:eastAsia="Times New Roman" w:cstheme="minorHAnsi"/>
          <w:color w:val="000000"/>
          <w:lang w:eastAsia="en-GB"/>
        </w:rPr>
        <w:fldChar w:fldCharType="separate"/>
      </w:r>
      <w:r w:rsidR="007F30EA" w:rsidRPr="009B3747">
        <w:rPr>
          <w:rFonts w:eastAsia="Times New Roman" w:cstheme="minorHAnsi"/>
          <w:noProof/>
          <w:color w:val="000000"/>
          <w:lang w:eastAsia="en-GB"/>
        </w:rPr>
        <w:t>(Roberto et al., 2015)</w:t>
      </w:r>
      <w:r w:rsidR="007F30EA" w:rsidRPr="009B3747">
        <w:rPr>
          <w:rFonts w:eastAsia="Times New Roman" w:cstheme="minorHAnsi"/>
          <w:color w:val="000000"/>
          <w:lang w:eastAsia="en-GB"/>
        </w:rPr>
        <w:fldChar w:fldCharType="end"/>
      </w:r>
      <w:r w:rsidR="007F30EA"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For example in developed countries, childhood obesity prevalence is highest and still increasing within children from lower socioeconomic groups </w:t>
      </w:r>
      <w:r w:rsidR="007F30EA"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"NHS Digital", "given" : "", "non-dropping-particle" : "", "parse-names" : false, "suffix" : "" } ], "id" : "ITEM-1", "issued" : { "date-parts" : [ [ "2016" ] ] }, "publisher-place" : "London", "title" : "National Child Measurement Programme - England, 2015/2016 school year", "type" : "report" }, "uris" : [ "http://www.mendeley.com/documents/?uuid=c13c8b37-9c1a-4559-8550-5f5e414a2fe2" ] }, { "id" : "ITEM-2", "itemData" : { "DOI" : "ISBN 978 92 4 151006 6", "ISBN" : "978 92 4 151006 6 \u00a9", "ISSN" : "9241565330", "PMID" : "25246403", "abstract" : "1. Over the past decade, the World Health Assembly, the governing body of the World Health Organization (WHO), and the United Nations General Assembly have adopted a series of resolutions1 that acknowledge noncommunicable diseases (NCDs) as a major challenge for development in the 21st century and have identified prevention and control as a core priority. The proposed Sustainable Development Goals propose a target on reducing premature mortality from NCDs2. 2. Among the NCD risk factors, obesity is particularly concerning. In children (aged under 19 years) it is associated with a wide range of health complications and an increased risk of premature onset of illnesses, including diabetes and heart disease. Preventing childhood obesity is a key approach to the primary prevention of NCDs. 3. Childhood obesity has complex origins and progress in tackling the issue has to date been slow. It is clear that a combination of scientific research, government leadership and community partnerships is necessary in order to develop the best recommendations and implement them worldwide. 4. In order to develop a comprehensive response to childhood obesity, the WHO Director- General established a high-level Commission on Ending Childhood Obesity (ECHO), which comprises 15 accomplished and eminent individuals from a variety of relevant backgrounds. The Commission has reviewed, built upon and addressed gaps in existing mandates and strategies with the support of two ad hoc working groups, one on science and evidence for ending childhood obesity (WGSE), and one on implementation, monitoring and accountability for ending childhood obesity (WGIMA). An Interim Report was developed for feedback through a series of regional consultations and hearings with Member States and non-State actors, and an online process for the submission of comments from relevant stakeholders. The Commission has reviewed these inputs and developed this draft final report, which will form the basis for a final round of regional and global consultation.", "author" : [ { "dropping-particle" : "", "family" : "WHO", "given" : "", "non-dropping-particle" : "", "parse-names" : false, "suffix" : "" } ], "container-title" : "WHO", "id" : "ITEM-2", "issued" : { "date-parts" : [ [ "2016" ] ] }, "number-of-pages" : "30", "title" : "Report of the Commission on Ending Childhood Obesity", "type" : "report" }, "uris" : [ "http://www.mendeley.com/documents/?uuid=20d3b405-4ed7-49d8-bdda-fb0b4dc5bd10" ] } ], "mendeley" : { "formattedCitation" : "(NHS Digital, 2016b; WHO, 2016)", "plainTextFormattedCitation" : "(NHS Digital, 2016b; WHO, 2016)", "previouslyFormattedCitation" : "(NHS Digital, 2016b; WHO, 2016)" }, "properties" : { "noteIndex" : 0 }, "schema" : "https://github.com/citation-style-language/schema/raw/master/csl-citation.json" }</w:instrText>
      </w:r>
      <w:r w:rsidR="007F30EA" w:rsidRPr="009B3747">
        <w:rPr>
          <w:rFonts w:eastAsia="Times New Roman" w:cstheme="minorHAnsi"/>
          <w:color w:val="000000"/>
          <w:lang w:eastAsia="en-GB"/>
        </w:rPr>
        <w:fldChar w:fldCharType="separate"/>
      </w:r>
      <w:r w:rsidR="007F30EA" w:rsidRPr="009B3747">
        <w:rPr>
          <w:rFonts w:eastAsia="Times New Roman" w:cstheme="minorHAnsi"/>
          <w:noProof/>
          <w:color w:val="000000"/>
          <w:lang w:eastAsia="en-GB"/>
        </w:rPr>
        <w:t>(NHS Digital, 2016b; WHO, 2016)</w:t>
      </w:r>
      <w:r w:rsidR="007F30EA" w:rsidRPr="009B3747">
        <w:rPr>
          <w:rFonts w:eastAsia="Times New Roman" w:cstheme="minorHAnsi"/>
          <w:color w:val="000000"/>
          <w:lang w:eastAsia="en-GB"/>
        </w:rPr>
        <w:fldChar w:fldCharType="end"/>
      </w:r>
      <w:r w:rsidRPr="009B3747">
        <w:rPr>
          <w:rFonts w:eastAsia="Times New Roman" w:cstheme="minorHAnsi"/>
          <w:color w:val="000000"/>
          <w:lang w:eastAsia="en-GB"/>
        </w:rPr>
        <w:t>.  Despite this,</w:t>
      </w:r>
      <w:r w:rsidR="002D0099" w:rsidRPr="009B3747">
        <w:rPr>
          <w:rFonts w:eastAsia="Times New Roman" w:cstheme="minorHAnsi"/>
          <w:color w:val="000000"/>
          <w:lang w:eastAsia="en-GB"/>
        </w:rPr>
        <w:t xml:space="preserve"> academics have proposed</w:t>
      </w:r>
      <w:r w:rsidRPr="009B3747">
        <w:rPr>
          <w:rFonts w:eastAsia="Times New Roman" w:cstheme="minorHAnsi"/>
          <w:color w:val="000000"/>
          <w:lang w:eastAsia="en-GB"/>
        </w:rPr>
        <w:t xml:space="preserve"> </w:t>
      </w:r>
      <w:r w:rsidR="007F30EA"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"Roberto", "given" : "CA", "non-dropping-particle" : "", "parse-names" : false, "suffix" : "" }, { "dropping-particle" : "", "family" : "Swinburn", "given" : "B", "non-dropping-particle" : "", "parse-names" : false, "suffix" : "" }, { "dropping-particle" : "", "family" : "Hawkes", "given" : "C", "non-dropping-particle" : "", "parse-names" : false, "suffix" : "" } ], "container-title" : "The Lancet", "id" : "ITEM-1", "issue" : "9985", "issued" : { "date-parts" : [ [ "2015" ] ] }, "page" : "2400\u20132409", "title" : "Patchy progress on obesity prevention: emerging examples, entrenched barriers, and new thinking", "type" : "article-journal", "volume" : "385" }, "uris" : [ "http://www.mendeley.com/documents/?uuid=6815ad69-33a9-48c6-8e24-5ea4f9900a6e" ] } ], "mendeley" : { "formattedCitation" : "(Roberto et al., 2015)", "manualFormatting" : "(Roberto et al., 2015)", "plainTextFormattedCitation" : "(Roberto et al., 2015)", "previouslyFormattedCitation" : "(Roberto et al., 2015)" }, "properties" : { "noteIndex" : 0 }, "schema" : "https://github.com/citation-style-language/schema/raw/master/csl-citation.json" }</w:instrText>
      </w:r>
      <w:r w:rsidR="007F30EA" w:rsidRPr="009B3747">
        <w:rPr>
          <w:rFonts w:eastAsia="Times New Roman" w:cstheme="minorHAnsi"/>
          <w:color w:val="000000"/>
          <w:lang w:eastAsia="en-GB"/>
        </w:rPr>
        <w:fldChar w:fldCharType="separate"/>
      </w:r>
      <w:r w:rsidR="007F30EA" w:rsidRPr="009B3747">
        <w:rPr>
          <w:rFonts w:eastAsia="Times New Roman" w:cstheme="minorHAnsi"/>
          <w:noProof/>
          <w:color w:val="000000"/>
          <w:lang w:eastAsia="en-GB"/>
        </w:rPr>
        <w:t>(Roberto et al., 2015)</w:t>
      </w:r>
      <w:r w:rsidR="007F30EA" w:rsidRPr="009B3747">
        <w:rPr>
          <w:rFonts w:eastAsia="Times New Roman" w:cstheme="minorHAnsi"/>
          <w:color w:val="000000"/>
          <w:lang w:eastAsia="en-GB"/>
        </w:rPr>
        <w:fldChar w:fldCharType="end"/>
      </w:r>
      <w:r w:rsidR="007F30EA" w:rsidRPr="009B3747">
        <w:rPr>
          <w:rFonts w:eastAsia="Times New Roman" w:cstheme="minorHAnsi"/>
          <w:color w:val="000000"/>
          <w:lang w:eastAsia="en-GB"/>
        </w:rPr>
        <w:t>,</w:t>
      </w:r>
      <w:r w:rsidR="002D0099" w:rsidRPr="009B3747">
        <w:rPr>
          <w:rFonts w:eastAsia="Times New Roman" w:cstheme="minorHAnsi"/>
          <w:color w:val="000000"/>
          <w:lang w:eastAsia="en-GB"/>
        </w:rPr>
        <w:t xml:space="preserve"> </w:t>
      </w:r>
      <w:r w:rsidRPr="009B3747">
        <w:rPr>
          <w:rFonts w:eastAsia="Times New Roman" w:cstheme="minorHAnsi"/>
          <w:color w:val="000000"/>
          <w:lang w:eastAsia="en-GB"/>
        </w:rPr>
        <w:t>that given the many examples of national commitment and action to achieve the WHO’s Global He</w:t>
      </w:r>
      <w:r w:rsidR="002D0099" w:rsidRPr="009B3747">
        <w:rPr>
          <w:rFonts w:eastAsia="Times New Roman" w:cstheme="minorHAnsi"/>
          <w:color w:val="000000"/>
          <w:lang w:eastAsia="en-GB"/>
        </w:rPr>
        <w:t xml:space="preserve">alth target, there is a reason </w:t>
      </w:r>
      <w:r w:rsidR="002D0099" w:rsidRPr="009B3747">
        <w:rPr>
          <w:rFonts w:eastAsia="Times New Roman" w:cstheme="minorHAnsi"/>
          <w:i/>
          <w:color w:val="000000"/>
          <w:lang w:eastAsia="en-GB"/>
        </w:rPr>
        <w:t>“</w:t>
      </w:r>
      <w:r w:rsidRPr="009B3747">
        <w:rPr>
          <w:rFonts w:eastAsia="Times New Roman" w:cstheme="minorHAnsi"/>
          <w:i/>
          <w:color w:val="000000"/>
          <w:lang w:eastAsia="en-GB"/>
        </w:rPr>
        <w:t>to feel optimistic about the</w:t>
      </w:r>
      <w:r w:rsidR="002D0099" w:rsidRPr="009B3747">
        <w:rPr>
          <w:rFonts w:eastAsia="Times New Roman" w:cstheme="minorHAnsi"/>
          <w:i/>
          <w:color w:val="000000"/>
          <w:lang w:eastAsia="en-GB"/>
        </w:rPr>
        <w:t xml:space="preserve"> future of obesity prevention”</w:t>
      </w:r>
      <w:r w:rsidR="00AE6A9E" w:rsidRPr="009B3747">
        <w:rPr>
          <w:rFonts w:eastAsia="Times New Roman" w:cstheme="minorHAnsi"/>
          <w:color w:val="000000"/>
          <w:lang w:eastAsia="en-GB"/>
        </w:rPr>
        <w:t xml:space="preserve"> (</w:t>
      </w:r>
      <w:r w:rsidR="00AE6A9E" w:rsidRPr="009B3747">
        <w:rPr>
          <w:rFonts w:eastAsia="Times New Roman" w:cstheme="minorHAnsi"/>
          <w:noProof/>
          <w:color w:val="000000"/>
          <w:lang w:eastAsia="en-GB"/>
        </w:rPr>
        <w:t>p.2041)</w:t>
      </w:r>
      <w:r w:rsidRPr="009B3747">
        <w:rPr>
          <w:rFonts w:eastAsia="Times New Roman" w:cstheme="minorHAnsi"/>
          <w:color w:val="000000"/>
          <w:lang w:eastAsia="en-GB"/>
        </w:rPr>
        <w:t xml:space="preserve">.  This is crucial, given that failure to succeed in halting and ultimately reversing obesity prevalence will arguably impact on the sustainable future of our species </w:t>
      </w:r>
      <w:r w:rsidR="007F30EA"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"Kleinert", "given" : "S", "non-dropping-particle" : "", "parse-names" : false, "suffix" : "" }, { "dropping-particle" : "", "family" : "Horton", "given" : "R", "non-dropping-particle" : "", "parse-names" : false, "suffix" : "" } ], "container-title" : "The Lancet", "id" : "ITEM-1", "issue" : "9985", "issued" : { "date-parts" : [ [ "2015" ] ] }, "page" : "2326\u20132328", "title" : "Rethinking and reframing obesity", "type" : "article-journal", "volume" : "385" }, "uris" : [ "http://www.mendeley.com/documents/?uuid=e0b9e430-0dbc-4dd6-b26a-dda5989b6adf" ] } ], "mendeley" : { "formattedCitation" : "(Kleinert and Horton, 2015)", "plainTextFormattedCitation" : "(Kleinert and Horton, 2015)", "previouslyFormattedCitation" : "(Kleinert and Horton, 2015)" }, "properties" : { "noteIndex" : 0 }, "schema" : "https://github.com/citation-style-language/schema/raw/master/csl-citation.json" }</w:instrText>
      </w:r>
      <w:r w:rsidR="007F30EA" w:rsidRPr="009B3747">
        <w:rPr>
          <w:rFonts w:eastAsia="Times New Roman" w:cstheme="minorHAnsi"/>
          <w:color w:val="000000"/>
          <w:lang w:eastAsia="en-GB"/>
        </w:rPr>
        <w:fldChar w:fldCharType="separate"/>
      </w:r>
      <w:r w:rsidR="007F30EA" w:rsidRPr="009B3747">
        <w:rPr>
          <w:rFonts w:eastAsia="Times New Roman" w:cstheme="minorHAnsi"/>
          <w:noProof/>
          <w:color w:val="000000"/>
          <w:lang w:eastAsia="en-GB"/>
        </w:rPr>
        <w:t>(Kleinert and Horton, 2015)</w:t>
      </w:r>
      <w:r w:rsidR="007F30EA" w:rsidRPr="009B3747">
        <w:rPr>
          <w:rFonts w:eastAsia="Times New Roman" w:cstheme="minorHAnsi"/>
          <w:color w:val="000000"/>
          <w:lang w:eastAsia="en-GB"/>
        </w:rPr>
        <w:fldChar w:fldCharType="end"/>
      </w:r>
      <w:r w:rsidR="007F30EA" w:rsidRPr="009B3747">
        <w:rPr>
          <w:rFonts w:eastAsia="Times New Roman" w:cstheme="minorHAnsi"/>
          <w:color w:val="000000"/>
          <w:lang w:eastAsia="en-GB"/>
        </w:rPr>
        <w:t>.</w:t>
      </w:r>
      <w:r w:rsidRPr="009B3747">
        <w:rPr>
          <w:rFonts w:eastAsia="Times New Roman" w:cstheme="minorHAnsi"/>
          <w:color w:val="000000"/>
          <w:lang w:eastAsia="en-GB"/>
        </w:rPr>
        <w:t xml:space="preserve"> </w:t>
      </w:r>
    </w:p>
    <w:p w:rsidR="002224C3" w:rsidRPr="009B3747" w:rsidRDefault="002224C3" w:rsidP="00A16FA3">
      <w:pPr>
        <w:rPr>
          <w:rFonts w:eastAsia="Times New Roman" w:cstheme="minorHAnsi"/>
          <w:b/>
          <w:bCs/>
          <w:color w:val="000000"/>
          <w:sz w:val="26"/>
          <w:szCs w:val="26"/>
          <w:u w:val="single"/>
          <w:lang w:eastAsia="en-GB"/>
        </w:rPr>
      </w:pPr>
    </w:p>
    <w:p w:rsidR="00A16FA3" w:rsidRPr="009B3747" w:rsidRDefault="00B04FA7" w:rsidP="00A16FA3">
      <w:pPr>
        <w:rPr>
          <w:rFonts w:eastAsia="Times New Roman" w:cstheme="minorHAnsi"/>
          <w:b/>
          <w:sz w:val="24"/>
          <w:szCs w:val="24"/>
          <w:u w:val="single"/>
          <w:lang w:eastAsia="en-GB"/>
        </w:rPr>
      </w:pPr>
      <w:r w:rsidRPr="009B3747">
        <w:rPr>
          <w:rFonts w:eastAsia="Times New Roman" w:cstheme="minorHAnsi"/>
          <w:b/>
          <w:bCs/>
          <w:color w:val="000000"/>
          <w:sz w:val="24"/>
          <w:szCs w:val="24"/>
          <w:u w:val="single"/>
          <w:lang w:eastAsia="en-GB"/>
        </w:rPr>
        <w:t>2</w:t>
      </w:r>
      <w:r w:rsidR="00410AD0" w:rsidRPr="009B3747">
        <w:rPr>
          <w:rFonts w:eastAsia="Times New Roman" w:cstheme="minorHAnsi"/>
          <w:b/>
          <w:bCs/>
          <w:color w:val="000000"/>
          <w:sz w:val="24"/>
          <w:szCs w:val="24"/>
          <w:u w:val="single"/>
          <w:lang w:eastAsia="en-GB"/>
        </w:rPr>
        <w:t>.</w:t>
      </w:r>
      <w:r w:rsidR="005A7786" w:rsidRPr="009B3747">
        <w:rPr>
          <w:rFonts w:eastAsia="Times New Roman" w:cstheme="minorHAnsi"/>
          <w:b/>
          <w:bCs/>
          <w:color w:val="000000"/>
          <w:sz w:val="24"/>
          <w:szCs w:val="24"/>
          <w:u w:val="single"/>
          <w:lang w:eastAsia="en-GB"/>
        </w:rPr>
        <w:t>3</w:t>
      </w:r>
      <w:r w:rsidR="002224C3" w:rsidRPr="009B3747">
        <w:rPr>
          <w:rFonts w:eastAsia="Times New Roman" w:cstheme="minorHAnsi"/>
          <w:b/>
          <w:bCs/>
          <w:color w:val="000000"/>
          <w:sz w:val="24"/>
          <w:szCs w:val="24"/>
          <w:u w:val="single"/>
          <w:lang w:eastAsia="en-GB"/>
        </w:rPr>
        <w:t xml:space="preserve"> </w:t>
      </w:r>
      <w:r w:rsidR="00A16FA3" w:rsidRPr="009B3747">
        <w:rPr>
          <w:rFonts w:eastAsia="Times New Roman" w:cstheme="minorHAnsi"/>
          <w:b/>
          <w:bCs/>
          <w:color w:val="000000"/>
          <w:sz w:val="24"/>
          <w:szCs w:val="24"/>
          <w:u w:val="single"/>
          <w:lang w:eastAsia="en-GB"/>
        </w:rPr>
        <w:t>Defining obesity</w:t>
      </w:r>
    </w:p>
    <w:p w:rsidR="002224C3" w:rsidRPr="009B3747" w:rsidRDefault="002224C3" w:rsidP="00A16FA3">
      <w:pPr>
        <w:rPr>
          <w:rFonts w:eastAsia="Times New Roman" w:cstheme="minorHAnsi"/>
          <w:color w:val="000000"/>
          <w:lang w:eastAsia="en-GB"/>
        </w:rPr>
      </w:pPr>
    </w:p>
    <w:p w:rsidR="00A16FA3" w:rsidRPr="009B3747" w:rsidRDefault="00A16FA3" w:rsidP="00A16FA3">
      <w:pPr>
        <w:rPr>
          <w:rFonts w:eastAsia="Times New Roman" w:cstheme="minorHAnsi"/>
          <w:color w:val="000000"/>
          <w:lang w:eastAsia="en-GB"/>
        </w:rPr>
      </w:pPr>
      <w:r w:rsidRPr="009B3747">
        <w:rPr>
          <w:rFonts w:eastAsia="Times New Roman" w:cstheme="minorHAnsi"/>
          <w:color w:val="000000"/>
          <w:lang w:eastAsia="en-GB"/>
        </w:rPr>
        <w:t>The language and methods employed to define, frame and measure obesity are complex and contested</w:t>
      </w:r>
      <w:r w:rsidR="008A5C34" w:rsidRPr="009B3747">
        <w:rPr>
          <w:rFonts w:eastAsia="Times New Roman" w:cstheme="minorHAnsi"/>
          <w:color w:val="000000"/>
          <w:lang w:eastAsia="en-GB"/>
        </w:rPr>
        <w:t xml:space="preserve"> </w:t>
      </w:r>
      <w:r w:rsidR="008A5C34"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"Ebbeling", "given" : "CB", "non-dropping-particle" : "", "parse-names" : false, "suffix" : "" }, { "dropping-particle" : "", "family" : "Pawlak", "given" : "DB", "non-dropping-particle" : "", "parse-names" : false, "suffix" : "" }, { "dropping-particle" : "", "family" : "Ludwig", "given" : "DS", "non-dropping-particle" : "", "parse-names" : false, "suffix" : "" } ], "container-title" : "The lancet", "id" : "ITEM-1", "issue" : "9331", "issued" : { "date-parts" : [ [ "2002" ] ] }, "page" : "473-482", "title" : "Childhood obesity: public-health crisis, common sense cure", "type" : "article-journal", "volume" : "360" }, "uris" : [ "http://www.mendeley.com/documents/?uuid=170d16d6-47bb-497e-ad62-092f44b77542" ] }, { "id" : "ITEM-2", "itemData" : { "author" : [ { "dropping-particle" : "", "family" : "Flegal", "given" : "KM", "non-dropping-particle" : "", "parse-names" : false, "suffix" : "" }, { "dropping-particle" : "", "family" : "Ogden", "given" : "CL", "non-dropping-particle" : "", "parse-names" : false, "suffix" : "" } ], "container-title" : "Advances in Nutrition: An International Review Journal", "id" : "ITEM-2", "issued" : { "date-parts" : [ [ "2011" ] ] }, "page" : "159S-166S", "title" : "Childhood obesity: are we all speaking the same language?", "type" : "article-journal", "volume" : "2" }, "uris" : [ "http://www.mendeley.com/documents/?uuid=3d7b9d20-bf79-40ae-b176-c31ea8e9206a" ] } ], "mendeley" : { "formattedCitation" : "(Ebbeling et al., 2002; Flegal and Ogden, 2011)", "plainTextFormattedCitation" : "(Ebbeling et al., 2002; Flegal and Ogden, 2011)", "previouslyFormattedCitation" : "(Ebbeling et al., 2002; Flegal and Ogden, 2011)" }, "properties" : { "noteIndex" : 0 }, "schema" : "https://github.com/citation-style-language/schema/raw/master/csl-citation.json" }</w:instrText>
      </w:r>
      <w:r w:rsidR="008A5C34" w:rsidRPr="009B3747">
        <w:rPr>
          <w:rFonts w:eastAsia="Times New Roman" w:cstheme="minorHAnsi"/>
          <w:color w:val="000000"/>
          <w:lang w:eastAsia="en-GB"/>
        </w:rPr>
        <w:fldChar w:fldCharType="separate"/>
      </w:r>
      <w:r w:rsidR="008A5C34" w:rsidRPr="009B3747">
        <w:rPr>
          <w:rFonts w:eastAsia="Times New Roman" w:cstheme="minorHAnsi"/>
          <w:noProof/>
          <w:color w:val="000000"/>
          <w:lang w:eastAsia="en-GB"/>
        </w:rPr>
        <w:t>(Ebbeling et al., 2002; Flegal and Ogden, 2011)</w:t>
      </w:r>
      <w:r w:rsidR="008A5C34" w:rsidRPr="009B3747">
        <w:rPr>
          <w:rFonts w:eastAsia="Times New Roman" w:cstheme="minorHAnsi"/>
          <w:color w:val="000000"/>
          <w:lang w:eastAsia="en-GB"/>
        </w:rPr>
        <w:fldChar w:fldCharType="end"/>
      </w:r>
      <w:r w:rsidR="008A5C34" w:rsidRPr="009B3747">
        <w:rPr>
          <w:rFonts w:eastAsia="Times New Roman" w:cstheme="minorHAnsi"/>
          <w:color w:val="000000"/>
          <w:lang w:eastAsia="en-GB"/>
        </w:rPr>
        <w:t xml:space="preserve">.  </w:t>
      </w:r>
      <w:r w:rsidRPr="009B3747">
        <w:rPr>
          <w:rFonts w:eastAsia="Times New Roman" w:cstheme="minorHAnsi"/>
          <w:color w:val="000000"/>
          <w:lang w:eastAsia="en-GB"/>
        </w:rPr>
        <w:t>Different reports and epidemiological studies utilise a variety of metrics, reference values and definitions when referring to both adult and childhood obesity</w:t>
      </w:r>
      <w:r w:rsidR="008A5C34" w:rsidRPr="009B3747">
        <w:rPr>
          <w:rFonts w:eastAsia="Times New Roman" w:cstheme="minorHAnsi"/>
          <w:color w:val="000000"/>
          <w:lang w:eastAsia="en-GB"/>
        </w:rPr>
        <w:t xml:space="preserve"> </w:t>
      </w:r>
      <w:r w:rsidR="008A5C34"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"Cole", "given" : "TJ", "non-dropping-particle" : "", "parse-names" : false, "suffix" : "" }, { "dropping-particle" : "", "family" : "Bellizzi", "given" : "MC", "non-dropping-particle" : "", "parse-names" : false, "suffix" : "" }, { "dropping-particle" : "", "family" : "Flegal", "given" : "KM", "non-dropping-particle" : "", "parse-names" : false, "suffix" : "" }, { "dropping-particle" : "", "family" : "Dietz", "given" : "WH", "non-dropping-particle" : "", "parse-names" : false, "suffix" : "" } ], "container-title" : "Bmj", "id" : "ITEM-1", "issued" : { "date-parts" : [ [ "2000" ] ] }, "page" : "1240", "title" : "Establishing a standard definition for child overweight and obesity worldwide: international survey", "type" : "article-journal", "volume" : "320" }, "uris" : [ "http://www.mendeley.com/documents/?uuid=44d54f61-b97b-4c44-be03-59b8c8d84c5b" ] }, { "id" : "ITEM-2", "itemData" : { "author" : [ { "dropping-particle" : "", "family" : "Chinn", "given" : "S", "non-dropping-particle" : "", "parse-names" : false, "suffix" : "" }, { "dropping-particle" : "", "family" : "Rona", "given" : "RJ", "non-dropping-particle" : "", "parse-names" : false, "suffix" : "" } ], "container-title" : "Bmj", "id" : "ITEM-2", "issue" : "7277", "issued" : { "date-parts" : [ [ "2001" ] ] }, "page" : "24-26", "title" : "Prevalence and trends in overweight and obesity in three cross sectional studies of British children, 1974-94", "type" : "article-journal", "volume" : "322" }, "uris" : [ "http://www.mendeley.com/documents/?uuid=74e7eeee-70bf-4c5e-b0ca-1e95e4405006" ] }, { "id" : "ITEM-3", "itemData" : { "author" : [ { "dropping-particle" : "", "family" : "Reilly", "given" : "JJ", "non-dropping-particle" : "", "parse-names" : false, "suffix" : "" } ], "container-title" : "Obesity research", "id" : "ITEM-3", "issue" : "8", "issued" : { "date-parts" : [ [ "2002" ] ] }, "page" : "838-840", "title" : "Assessment of childhood obesity: national reference data or international approach?", "type" : "article-journal", "volume" : "10" }, "uris" : [ "http://www.mendeley.com/documents/?uuid=148902f1-2aa4-410e-8cf3-ab09a047c042" ] }, { "id" : "ITEM-4", "itemData" : { "author" : [ { "dropping-particle" : "", "family" : "Reilly", "given" : "JJ", "non-dropping-particle" : "", "parse-names" : false, "suffix" : "" } ], "container-title" : "Best Practice &amp; Research Clinical Endocrinology &amp; \u2026", "id" : "ITEM-4", "issue" : "3", "issued" : { "date-parts" : [ [ "2005" ] ] }, "page" : "327-341", "title" : "Descriptive epidemiology and health consequences of childhood obesity", "type" : "article-journal", "volume" : "19" }, "uris" : [ "http://www.mendeley.com/documents/?uuid=50e89351-9988-4ef0-8ba2-b3220ca1c780" ] } ], "mendeley" : { "formattedCitation" : "(Cole et al., 2000; Chinn and Rona, 2001; Reilly, 2002, 2005)", "plainTextFormattedCitation" : "(Cole et al., 2000; Chinn and Rona, 2001; Reilly, 2002, 2005)", "previouslyFormattedCitation" : "(Cole et al., 2000; Chinn and Rona, 2001; Reilly, 2002, 2005)" }, "properties" : { "noteIndex" : 0 }, "schema" : "https://github.com/citation-style-language/schema/raw/master/csl-citation.json" }</w:instrText>
      </w:r>
      <w:r w:rsidR="008A5C34" w:rsidRPr="009B3747">
        <w:rPr>
          <w:rFonts w:eastAsia="Times New Roman" w:cstheme="minorHAnsi"/>
          <w:color w:val="000000"/>
          <w:lang w:eastAsia="en-GB"/>
        </w:rPr>
        <w:fldChar w:fldCharType="separate"/>
      </w:r>
      <w:r w:rsidR="008A5C34" w:rsidRPr="009B3747">
        <w:rPr>
          <w:rFonts w:eastAsia="Times New Roman" w:cstheme="minorHAnsi"/>
          <w:noProof/>
          <w:color w:val="000000"/>
          <w:lang w:eastAsia="en-GB"/>
        </w:rPr>
        <w:t>(Cole et al., 2000; Chinn and Rona, 2001; Reilly, 2002, 2005)</w:t>
      </w:r>
      <w:r w:rsidR="008A5C34" w:rsidRPr="009B3747">
        <w:rPr>
          <w:rFonts w:eastAsia="Times New Roman" w:cstheme="minorHAnsi"/>
          <w:color w:val="000000"/>
          <w:lang w:eastAsia="en-GB"/>
        </w:rPr>
        <w:fldChar w:fldCharType="end"/>
      </w:r>
      <w:r w:rsidR="008A5C34" w:rsidRPr="009B3747">
        <w:rPr>
          <w:rFonts w:eastAsia="Times New Roman" w:cstheme="minorHAnsi"/>
          <w:color w:val="000000"/>
          <w:lang w:eastAsia="en-GB"/>
        </w:rPr>
        <w:t xml:space="preserve">.  </w:t>
      </w:r>
      <w:r w:rsidR="006E1936" w:rsidRPr="009B3747">
        <w:rPr>
          <w:rFonts w:eastAsia="Times New Roman" w:cstheme="minorHAnsi"/>
          <w:color w:val="000000"/>
          <w:lang w:eastAsia="en-GB"/>
        </w:rPr>
        <w:t>Despite the frequent categoris</w:t>
      </w:r>
      <w:r w:rsidRPr="009B3747">
        <w:rPr>
          <w:rFonts w:eastAsia="Times New Roman" w:cstheme="minorHAnsi"/>
          <w:color w:val="000000"/>
          <w:lang w:eastAsia="en-GB"/>
        </w:rPr>
        <w:t>ation of excess weight into overweight or obesity, adiposity is argued to be a continuous state</w:t>
      </w:r>
      <w:r w:rsidR="001A49F5">
        <w:rPr>
          <w:rFonts w:eastAsia="Times New Roman" w:cstheme="minorHAnsi"/>
          <w:color w:val="000000"/>
          <w:lang w:eastAsia="en-GB"/>
        </w:rPr>
        <w:t>,</w:t>
      </w:r>
      <w:r w:rsidRPr="009B3747">
        <w:rPr>
          <w:rFonts w:eastAsia="Times New Roman" w:cstheme="minorHAnsi"/>
          <w:color w:val="000000"/>
          <w:lang w:eastAsia="en-GB"/>
        </w:rPr>
        <w:t xml:space="preserve"> and identifying a specific point in which body fat becomes excessive and detrimental to health is challenging </w:t>
      </w:r>
      <w:r w:rsidR="008A5C34"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"Ogden", "given" : "CL", "non-dropping-particle" : "", "parse-names" : false, "suffix" : "" }, { "dropping-particle" : "", "family" : "Yanovski", "given" : "SZ", "non-dropping-particle" : "", "parse-names" : false, "suffix" : "" }, { "dropping-particle" : "", "family" : "Carroll", "given" : "MD", "non-dropping-particle" : "", "parse-names" : false, "suffix" : "" }, { "dropping-particle" : "", "family" : "Flegal", "given" : "KM", "non-dropping-particle" : "", "parse-names" : false, "suffix" : "" } ], "container-title" : "Gastroenterology", "id" : "ITEM-1", "issue" : "6", "issued" : { "date-parts" : [ [ "2007" ] ] }, "page" : "2087\u20132102", "title" : "The epidemiology of obesity", "type" : "article-journal", "volume" : "132" }, "uris" : [ "http://www.mendeley.com/documents/?uuid=5306e4c2-7f9d-4b18-a2f2-d2a90da2204f" ] } ], "mendeley" : { "formattedCitation" : "(Ogden et al., 2007)", "plainTextFormattedCitation" : "(Ogden et al., 2007)", "previouslyFormattedCitation" : "(Ogden et al., 2007)" }, "properties" : { "noteIndex" : 0 }, "schema" : "https://github.com/citation-style-language/schema/raw/master/csl-citation.json" }</w:instrText>
      </w:r>
      <w:r w:rsidR="008A5C34" w:rsidRPr="009B3747">
        <w:rPr>
          <w:rFonts w:eastAsia="Times New Roman" w:cstheme="minorHAnsi"/>
          <w:color w:val="000000"/>
          <w:lang w:eastAsia="en-GB"/>
        </w:rPr>
        <w:fldChar w:fldCharType="separate"/>
      </w:r>
      <w:r w:rsidR="008A5C34" w:rsidRPr="009B3747">
        <w:rPr>
          <w:rFonts w:eastAsia="Times New Roman" w:cstheme="minorHAnsi"/>
          <w:noProof/>
          <w:color w:val="000000"/>
          <w:lang w:eastAsia="en-GB"/>
        </w:rPr>
        <w:t>(Ogden et al., 2007)</w:t>
      </w:r>
      <w:r w:rsidR="008A5C34" w:rsidRPr="009B3747">
        <w:rPr>
          <w:rFonts w:eastAsia="Times New Roman" w:cstheme="minorHAnsi"/>
          <w:color w:val="000000"/>
          <w:lang w:eastAsia="en-GB"/>
        </w:rPr>
        <w:fldChar w:fldCharType="end"/>
      </w:r>
      <w:r w:rsidR="008A5C34"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Indirect measures of relative weight are frequently utilised as a proxy for assessing body fat, primarily due to the challenges of </w:t>
      </w:r>
      <w:r w:rsidR="008A5C34" w:rsidRPr="009B3747">
        <w:rPr>
          <w:rFonts w:eastAsia="Times New Roman" w:cstheme="minorHAnsi"/>
          <w:color w:val="000000"/>
          <w:lang w:eastAsia="en-GB"/>
        </w:rPr>
        <w:t xml:space="preserve">undertaking direct measurements </w:t>
      </w:r>
      <w:r w:rsidR="008A5C34"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"Ogden", "given" : "CL", "non-dropping-particle" : "", "parse-names" : false, "suffix" : "" }, { "dropping-particle" : "", "family" : "Yanovski", "given" : "SZ", "non-dropping-particle" : "", "parse-names" : false, "suffix" : "" }, { "dropping-particle" : "", "family" : "Carroll", "given" : "MD", "non-dropping-particle" : "", "parse-names" : false, "suffix" : "" }, { "dropping-particle" : "", "family" : "Flegal", "given" : "KM", "non-dropping-particle" : "", "parse-names" : false, "suffix" : "" } ], "container-title" : "Gastroenterology", "id" : "ITEM-1", "issue" : "6", "issued" : { "date-parts" : [ [ "2007" ] ] }, "page" : "2087\u20132102", "title" : "The epidemiology of obesity", "type" : "article-journal", "volume" : "132" }, "uris" : [ "http://www.mendeley.com/documents/?uuid=5306e4c2-7f9d-4b18-a2f2-d2a90da2204f" ] } ], "mendeley" : { "formattedCitation" : "(Ogden et al., 2007)", "plainTextFormattedCitation" : "(Ogden et al., 2007)", "previouslyFormattedCitation" : "(Ogden et al., 2007)" }, "properties" : { "noteIndex" : 0 }, "schema" : "https://github.com/citation-style-language/schema/raw/master/csl-citation.json" }</w:instrText>
      </w:r>
      <w:r w:rsidR="008A5C34" w:rsidRPr="009B3747">
        <w:rPr>
          <w:rFonts w:eastAsia="Times New Roman" w:cstheme="minorHAnsi"/>
          <w:color w:val="000000"/>
          <w:lang w:eastAsia="en-GB"/>
        </w:rPr>
        <w:fldChar w:fldCharType="separate"/>
      </w:r>
      <w:r w:rsidR="008A5C34" w:rsidRPr="009B3747">
        <w:rPr>
          <w:rFonts w:eastAsia="Times New Roman" w:cstheme="minorHAnsi"/>
          <w:noProof/>
          <w:color w:val="000000"/>
          <w:lang w:eastAsia="en-GB"/>
        </w:rPr>
        <w:t>(Ogden et al., 2007)</w:t>
      </w:r>
      <w:r w:rsidR="008A5C34" w:rsidRPr="009B3747">
        <w:rPr>
          <w:rFonts w:eastAsia="Times New Roman" w:cstheme="minorHAnsi"/>
          <w:color w:val="000000"/>
          <w:lang w:eastAsia="en-GB"/>
        </w:rPr>
        <w:fldChar w:fldCharType="end"/>
      </w:r>
      <w:r w:rsidR="008A5C34" w:rsidRPr="009B3747">
        <w:rPr>
          <w:rFonts w:eastAsia="Times New Roman" w:cstheme="minorHAnsi"/>
          <w:color w:val="000000"/>
          <w:lang w:eastAsia="en-GB"/>
        </w:rPr>
        <w:t xml:space="preserve">.  </w:t>
      </w:r>
      <w:r w:rsidR="002D0099" w:rsidRPr="009B3747">
        <w:rPr>
          <w:rFonts w:eastAsia="Times New Roman" w:cstheme="minorHAnsi"/>
          <w:color w:val="000000"/>
          <w:lang w:eastAsia="en-GB"/>
        </w:rPr>
        <w:t>Body mass i</w:t>
      </w:r>
      <w:r w:rsidRPr="009B3747">
        <w:rPr>
          <w:rFonts w:eastAsia="Times New Roman" w:cstheme="minorHAnsi"/>
          <w:color w:val="000000"/>
          <w:lang w:eastAsia="en-GB"/>
        </w:rPr>
        <w:t>ndex (BMI) is the most commonly used indirect measure</w:t>
      </w:r>
      <w:r w:rsidR="008A5C34" w:rsidRPr="009B3747">
        <w:rPr>
          <w:rFonts w:eastAsia="Times New Roman" w:cstheme="minorHAnsi"/>
          <w:color w:val="000000"/>
          <w:lang w:eastAsia="en-GB"/>
        </w:rPr>
        <w:t xml:space="preserve"> </w:t>
      </w:r>
      <w:r w:rsidR="008A5C34"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"Nguyen", "given" : "DM", "non-dropping-particle" : "", "parse-names" : false, "suffix" : "" }, { "dropping-particle" : "", "family" : "El-Serag", "given" : "HB", "non-dropping-particle" : "", "parse-names" : false, "suffix" : "" } ], "container-title" : "Gastroenterology Clinics of North America", "id" : "ITEM-1", "issue" : "1", "issued" : { "date-parts" : [ [ "2010" ] ] }, "page" : "1-7", "title" : "The epidemiology of obesity", "type" : "article-journal", "volume" : "39" }, "uris" : [ "http://www.mendeley.com/documents/?uuid=88f97b89-7397-49df-b3f6-3f60d1cf97c9" ] } ], "mendeley" : { "formattedCitation" : "(Nguyen and El-Serag, 2010)", "plainTextFormattedCitation" : "(Nguyen and El-Serag, 2010)", "previouslyFormattedCitation" : "(Nguyen and El-Serag, 2010)" }, "properties" : { "noteIndex" : 0 }, "schema" : "https://github.com/citation-style-language/schema/raw/master/csl-citation.json" }</w:instrText>
      </w:r>
      <w:r w:rsidR="008A5C34" w:rsidRPr="009B3747">
        <w:rPr>
          <w:rFonts w:eastAsia="Times New Roman" w:cstheme="minorHAnsi"/>
          <w:color w:val="000000"/>
          <w:lang w:eastAsia="en-GB"/>
        </w:rPr>
        <w:fldChar w:fldCharType="separate"/>
      </w:r>
      <w:r w:rsidR="008A5C34" w:rsidRPr="009B3747">
        <w:rPr>
          <w:rFonts w:eastAsia="Times New Roman" w:cstheme="minorHAnsi"/>
          <w:noProof/>
          <w:color w:val="000000"/>
          <w:lang w:eastAsia="en-GB"/>
        </w:rPr>
        <w:t>(Nguyen and El-Serag, 2010)</w:t>
      </w:r>
      <w:r w:rsidR="008A5C34" w:rsidRPr="009B3747">
        <w:rPr>
          <w:rFonts w:eastAsia="Times New Roman" w:cstheme="minorHAnsi"/>
          <w:color w:val="000000"/>
          <w:lang w:eastAsia="en-GB"/>
        </w:rPr>
        <w:fldChar w:fldCharType="end"/>
      </w:r>
      <w:r w:rsidR="001A49F5">
        <w:rPr>
          <w:rFonts w:eastAsia="Times New Roman" w:cstheme="minorHAnsi"/>
          <w:color w:val="000000"/>
          <w:lang w:eastAsia="en-GB"/>
        </w:rPr>
        <w:t>,</w:t>
      </w:r>
      <w:r w:rsidR="008A5C34"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representing an effort to derive an approximation of body fat by adjusting weight for height (weight in kilograms divided by the square of height in meters) </w:t>
      </w:r>
      <w:r w:rsidR="008A5C34"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"Gallagher", "given" : "D", "non-dropping-particle" : "", "parse-names" : false, "suffix" : "" }, { "dropping-particle" : "", "family" : "Visser", "given" : "M", "non-dropping-particle" : "", "parse-names" : false, "suffix" : "" } ], "container-title" : "American journal of \u2026", "id" : "ITEM-1", "issue" : "3", "issued" : { "date-parts" : [ [ "1996" ] ] }, "page" : "228-239", "title" : "How useful is body mass index for comparison of body fatness across age, sex, and ethnic groups?", "type" : "article-journal", "volume" : "143" }, "uris" : [ "http://www.mendeley.com/documents/?uuid=f5bd5b39-94fa-430e-ba93-2ce8a1b09532" ] } ], "mendeley" : { "formattedCitation" : "(Gallagher and Visser, 1996)", "plainTextFormattedCitation" : "(Gallagher and Visser, 1996)", "previouslyFormattedCitation" : "(Gallagher and Visser, 1996)" }, "properties" : { "noteIndex" : 0 }, "schema" : "https://github.com/citation-style-language/schema/raw/master/csl-citation.json" }</w:instrText>
      </w:r>
      <w:r w:rsidR="008A5C34" w:rsidRPr="009B3747">
        <w:rPr>
          <w:rFonts w:eastAsia="Times New Roman" w:cstheme="minorHAnsi"/>
          <w:color w:val="000000"/>
          <w:lang w:eastAsia="en-GB"/>
        </w:rPr>
        <w:fldChar w:fldCharType="separate"/>
      </w:r>
      <w:r w:rsidR="008A5C34" w:rsidRPr="009B3747">
        <w:rPr>
          <w:rFonts w:eastAsia="Times New Roman" w:cstheme="minorHAnsi"/>
          <w:noProof/>
          <w:color w:val="000000"/>
          <w:lang w:eastAsia="en-GB"/>
        </w:rPr>
        <w:t>(Gallagher and Visser, 1996)</w:t>
      </w:r>
      <w:r w:rsidR="008A5C34" w:rsidRPr="009B3747">
        <w:rPr>
          <w:rFonts w:eastAsia="Times New Roman" w:cstheme="minorHAnsi"/>
          <w:color w:val="000000"/>
          <w:lang w:eastAsia="en-GB"/>
        </w:rPr>
        <w:fldChar w:fldCharType="end"/>
      </w:r>
      <w:r w:rsidR="008A5C34" w:rsidRPr="009B3747">
        <w:rPr>
          <w:rFonts w:eastAsia="Times New Roman" w:cstheme="minorHAnsi"/>
          <w:color w:val="000000"/>
          <w:lang w:eastAsia="en-GB"/>
        </w:rPr>
        <w:t xml:space="preserve">.  </w:t>
      </w:r>
      <w:r w:rsidRPr="009B3747">
        <w:rPr>
          <w:rFonts w:eastAsia="Times New Roman" w:cstheme="minorHAnsi"/>
          <w:color w:val="000000"/>
          <w:lang w:eastAsia="en-GB"/>
        </w:rPr>
        <w:t>Originally devised for application with adults in the 18</w:t>
      </w:r>
      <w:r w:rsidRPr="009B3747">
        <w:rPr>
          <w:rFonts w:eastAsia="Times New Roman" w:cstheme="minorHAnsi"/>
          <w:color w:val="000000"/>
          <w:sz w:val="13"/>
          <w:szCs w:val="13"/>
          <w:vertAlign w:val="superscript"/>
          <w:lang w:eastAsia="en-GB"/>
        </w:rPr>
        <w:t>th</w:t>
      </w:r>
      <w:r w:rsidRPr="009B3747">
        <w:rPr>
          <w:rFonts w:eastAsia="Times New Roman" w:cstheme="minorHAnsi"/>
          <w:color w:val="000000"/>
          <w:lang w:eastAsia="en-GB"/>
        </w:rPr>
        <w:t xml:space="preserve"> century</w:t>
      </w:r>
      <w:r w:rsidR="008A5C34" w:rsidRPr="009B3747">
        <w:rPr>
          <w:rFonts w:eastAsia="Times New Roman" w:cstheme="minorHAnsi"/>
          <w:color w:val="000000"/>
          <w:lang w:eastAsia="en-GB"/>
        </w:rPr>
        <w:t xml:space="preserve"> </w:t>
      </w:r>
      <w:r w:rsidR="008A5C34" w:rsidRPr="009B3747">
        <w:rPr>
          <w:rFonts w:eastAsia="Times New Roman" w:cstheme="minorHAnsi"/>
          <w:color w:val="000000"/>
          <w:lang w:eastAsia="en-GB"/>
        </w:rPr>
        <w:fldChar w:fldCharType="begin" w:fldLock="1"/>
      </w:r>
      <w:r w:rsidR="008A5C34" w:rsidRPr="009B3747">
        <w:rPr>
          <w:rFonts w:eastAsia="Times New Roman" w:cstheme="minorHAnsi"/>
          <w:color w:val="000000"/>
          <w:lang w:eastAsia="en-GB"/>
        </w:rPr>
        <w:instrText>ADDIN CSL_CITATION { "citationItems" : [ { "id" : "ITEM-1", "itemData" : { "author" : [ { "dropping-particle" : "", "family" : "Weigley", "given" : "ES", "non-dropping-particle" : "", "parse-names" : false, "suffix" : "" } ], "container-title" : "The American journal of clinical nutrition", "id" : "ITEM-1", "issued" : { "date-parts" : [ [ "2000" ] ] }, "title" : "Adolphe Quetelet", "type" : "article-journal" }, "uris" : [ "http://www.mendeley.com/documents/?uuid=308831e9-8b16-44a5-8594-84a5d49ffdb1" ] } ], "mendeley" : { "formattedCitation" : "(Weigley, 2000)", "plainTextFormattedCitation" : "(Weigley, 2000)", "previouslyFormattedCitation" : "(Weigley, 2000)" }, "properties" : { "noteIndex" : 0 }, "schema" : "https://github.com/citation-style-language/schema/raw/master/csl-citation.json" }</w:instrText>
      </w:r>
      <w:r w:rsidR="008A5C34" w:rsidRPr="009B3747">
        <w:rPr>
          <w:rFonts w:eastAsia="Times New Roman" w:cstheme="minorHAnsi"/>
          <w:color w:val="000000"/>
          <w:lang w:eastAsia="en-GB"/>
        </w:rPr>
        <w:fldChar w:fldCharType="separate"/>
      </w:r>
      <w:r w:rsidR="008A5C34" w:rsidRPr="009B3747">
        <w:rPr>
          <w:rFonts w:eastAsia="Times New Roman" w:cstheme="minorHAnsi"/>
          <w:noProof/>
          <w:color w:val="000000"/>
          <w:lang w:eastAsia="en-GB"/>
        </w:rPr>
        <w:t>(Weigley, 2000)</w:t>
      </w:r>
      <w:r w:rsidR="008A5C34" w:rsidRPr="009B3747">
        <w:rPr>
          <w:rFonts w:eastAsia="Times New Roman" w:cstheme="minorHAnsi"/>
          <w:color w:val="000000"/>
          <w:lang w:eastAsia="en-GB"/>
        </w:rPr>
        <w:fldChar w:fldCharType="end"/>
      </w:r>
      <w:r w:rsidR="008A5C34" w:rsidRPr="009B3747">
        <w:rPr>
          <w:rFonts w:eastAsia="Times New Roman" w:cstheme="minorHAnsi"/>
          <w:color w:val="000000"/>
          <w:lang w:eastAsia="en-GB"/>
        </w:rPr>
        <w:t xml:space="preserve">, </w:t>
      </w:r>
      <w:r w:rsidRPr="009B3747">
        <w:rPr>
          <w:rFonts w:eastAsia="Times New Roman" w:cstheme="minorHAnsi"/>
          <w:color w:val="000000"/>
          <w:lang w:eastAsia="en-GB"/>
        </w:rPr>
        <w:t>a substantial evidence base over the last two decades has supported the routine application of BMI as a reasonable and appropriate measure for estimating excess fat</w:t>
      </w:r>
      <w:r w:rsidR="008A5C34" w:rsidRPr="009B3747">
        <w:rPr>
          <w:rFonts w:eastAsia="Times New Roman" w:cstheme="minorHAnsi"/>
          <w:color w:val="000000"/>
          <w:lang w:eastAsia="en-GB"/>
        </w:rPr>
        <w:t xml:space="preserve"> </w:t>
      </w:r>
      <w:r w:rsidR="008A5C34"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"Reilly", "given" : "JJ", "non-dropping-particle" : "", "parse-names" : false, "suffix" : "" }, { "dropping-particle" : "", "family" : "Wilson", "given" : "ML", "non-dropping-particle" : "", "parse-names" : false, "suffix" : "" } ], "container-title" : "Archives of Disease in \u2026", "id" : "ITEM-1", "issued" : { "date-parts" : [ [ "2002" ] ] }, "page" : "(392\u2013395)", "title" : "Obesity: diagnosis, prevention, and treatment; evidence based answers to common questions", "type" : "article-journal", "volume" : "86" }, "uris" : [ "http://www.mendeley.com/documents/?uuid=c77f3792-3200-4c13-b48e-3cab27cacc6c" ] }, { "id" : "ITEM-2", "itemData" : { "author" : [ { "dropping-particle" : "", "family" : "Reilly", "given" : "JJ", "non-dropping-particle" : "", "parse-names" : false, "suffix" : "" } ], "container-title" : "Obesity research", "id" : "ITEM-2", "issue" : "8", "issued" : { "date-parts" : [ [ "2002" ] ] }, "page" : "838-840", "title" : "Assessment of childhood obesity: national reference data or international approach?", "type" : "article-journal", "volume" : "10" }, "uris" : [ "http://www.mendeley.com/documents/?uuid=148902f1-2aa4-410e-8cf3-ab09a047c042" ] } ], "mendeley" : { "formattedCitation" : "(Reilly and Wilson, 2002; Reilly, 2002)", "plainTextFormattedCitation" : "(Reilly and Wilson, 2002; Reilly, 2002)", "previouslyFormattedCitation" : "(Reilly and Wilson, 2002; Reilly, 2002)" }, "properties" : { "noteIndex" : 0 }, "schema" : "https://github.com/citation-style-language/schema/raw/master/csl-citation.json" }</w:instrText>
      </w:r>
      <w:r w:rsidR="008A5C34" w:rsidRPr="009B3747">
        <w:rPr>
          <w:rFonts w:eastAsia="Times New Roman" w:cstheme="minorHAnsi"/>
          <w:color w:val="000000"/>
          <w:lang w:eastAsia="en-GB"/>
        </w:rPr>
        <w:fldChar w:fldCharType="separate"/>
      </w:r>
      <w:r w:rsidR="008A5C34" w:rsidRPr="009B3747">
        <w:rPr>
          <w:rFonts w:eastAsia="Times New Roman" w:cstheme="minorHAnsi"/>
          <w:noProof/>
          <w:color w:val="000000"/>
          <w:lang w:eastAsia="en-GB"/>
        </w:rPr>
        <w:t>(Reilly and Wilson, 2002; Reilly, 2002)</w:t>
      </w:r>
      <w:r w:rsidR="008A5C34" w:rsidRPr="009B3747">
        <w:rPr>
          <w:rFonts w:eastAsia="Times New Roman" w:cstheme="minorHAnsi"/>
          <w:color w:val="000000"/>
          <w:lang w:eastAsia="en-GB"/>
        </w:rPr>
        <w:fldChar w:fldCharType="end"/>
      </w:r>
      <w:r w:rsidR="008A5C34" w:rsidRPr="009B3747">
        <w:rPr>
          <w:rFonts w:eastAsia="Times New Roman" w:cstheme="minorHAnsi"/>
          <w:color w:val="000000"/>
          <w:lang w:eastAsia="en-GB"/>
        </w:rPr>
        <w:t xml:space="preserve">.  </w:t>
      </w:r>
    </w:p>
    <w:p w:rsidR="002224C3" w:rsidRPr="009B3747" w:rsidRDefault="002224C3" w:rsidP="00A16FA3">
      <w:pPr>
        <w:rPr>
          <w:rFonts w:eastAsia="Times New Roman" w:cstheme="minorHAnsi"/>
          <w:sz w:val="24"/>
          <w:szCs w:val="24"/>
          <w:lang w:eastAsia="en-GB"/>
        </w:rPr>
      </w:pPr>
    </w:p>
    <w:p w:rsidR="00A16FA3" w:rsidRPr="009B3747" w:rsidRDefault="00A16FA3" w:rsidP="00A16FA3">
      <w:pPr>
        <w:rPr>
          <w:rFonts w:eastAsia="Times New Roman" w:cstheme="minorHAnsi"/>
          <w:sz w:val="24"/>
          <w:szCs w:val="24"/>
          <w:lang w:eastAsia="en-GB"/>
        </w:rPr>
      </w:pPr>
      <w:r w:rsidRPr="009B3747">
        <w:rPr>
          <w:rFonts w:eastAsia="Times New Roman" w:cstheme="minorHAnsi"/>
          <w:color w:val="000000"/>
          <w:lang w:eastAsia="en-GB"/>
        </w:rPr>
        <w:t>The World Health Organization (WHO) developed an international classification of BMI, based on the relationship between increasing excess weight and elevated mortality; with overweight defined as 25 to 29.9 kg/m</w:t>
      </w:r>
      <w:r w:rsidRPr="009B3747">
        <w:rPr>
          <w:rFonts w:eastAsia="Times New Roman" w:cstheme="minorHAnsi"/>
          <w:color w:val="000000"/>
          <w:vertAlign w:val="superscript"/>
          <w:lang w:eastAsia="en-GB"/>
        </w:rPr>
        <w:t>2</w:t>
      </w:r>
      <w:r w:rsidRPr="009B3747">
        <w:rPr>
          <w:rFonts w:eastAsia="Times New Roman" w:cstheme="minorHAnsi"/>
          <w:color w:val="000000"/>
          <w:lang w:eastAsia="en-GB"/>
        </w:rPr>
        <w:t xml:space="preserve"> and obese </w:t>
      </w:r>
      <w:r w:rsidR="008A5C34" w:rsidRPr="009B3747">
        <w:rPr>
          <w:rFonts w:eastAsia="Times New Roman" w:cstheme="minorHAnsi"/>
          <w:color w:val="000000"/>
          <w:lang w:eastAsia="en-GB"/>
        </w:rPr>
        <w:t>as 30-39kg/m</w:t>
      </w:r>
      <w:r w:rsidR="008A5C34" w:rsidRPr="009B3747">
        <w:rPr>
          <w:rFonts w:eastAsia="Times New Roman" w:cstheme="minorHAnsi"/>
          <w:color w:val="000000"/>
          <w:vertAlign w:val="superscript"/>
          <w:lang w:eastAsia="en-GB"/>
        </w:rPr>
        <w:t>2</w:t>
      </w:r>
      <w:r w:rsidR="008A5C34" w:rsidRPr="009B3747">
        <w:rPr>
          <w:rFonts w:eastAsia="Times New Roman" w:cstheme="minorHAnsi"/>
          <w:color w:val="000000"/>
          <w:lang w:eastAsia="en-GB"/>
        </w:rPr>
        <w:t xml:space="preserve"> </w:t>
      </w:r>
      <w:r w:rsidR="008A5C34" w:rsidRPr="009B3747">
        <w:rPr>
          <w:rFonts w:eastAsia="Times New Roman" w:cstheme="minorHAnsi"/>
          <w:color w:val="000000"/>
          <w:lang w:eastAsia="en-GB"/>
        </w:rPr>
        <w:fldChar w:fldCharType="begin" w:fldLock="1"/>
      </w:r>
      <w:r w:rsidR="008D641E" w:rsidRPr="009B3747">
        <w:rPr>
          <w:rFonts w:eastAsia="Times New Roman" w:cstheme="minorHAnsi"/>
          <w:color w:val="000000"/>
          <w:lang w:eastAsia="en-GB"/>
        </w:rPr>
        <w:instrText>ADDIN CSL_CITATION { "citationItems" : [ { "id" : "ITEM-1", "itemData" : { "URL" : "http://apps.who.int/bmi/index.jsp?introPage=intro_3.html", "author" : [ { "dropping-particle" : "", "family" : "World Health Organization", "given" : "", "non-dropping-particle" : "", "parse-names" : false, "suffix" : "" } ], "id" : "ITEM-1", "issued" : { "date-parts" : [ [ "2017" ] ] }, "title" : "BMI Classification", "type" : "webpage" }, "uris" : [ "http://www.mendeley.com/documents/?uuid=70a240df-18f0-4204-aebb-1cf78126ac8c" ] } ], "mendeley" : { "formattedCitation" : "(World Health Organization, 2017)", "plainTextFormattedCitation" : "(World Health Organization, 2017)", "previouslyFormattedCitation" : "(World Health Organization, 2017)" }, "properties" : { "noteIndex" : 0 }, "schema" : "https://github.com/citation-style-language/schema/raw/master/csl-citation.json" }</w:instrText>
      </w:r>
      <w:r w:rsidR="008A5C34" w:rsidRPr="009B3747">
        <w:rPr>
          <w:rFonts w:eastAsia="Times New Roman" w:cstheme="minorHAnsi"/>
          <w:color w:val="000000"/>
          <w:lang w:eastAsia="en-GB"/>
        </w:rPr>
        <w:fldChar w:fldCharType="separate"/>
      </w:r>
      <w:r w:rsidR="008A5C34" w:rsidRPr="009B3747">
        <w:rPr>
          <w:rFonts w:eastAsia="Times New Roman" w:cstheme="minorHAnsi"/>
          <w:noProof/>
          <w:color w:val="000000"/>
          <w:lang w:eastAsia="en-GB"/>
        </w:rPr>
        <w:t>(World Health Organization, 2017)</w:t>
      </w:r>
      <w:r w:rsidR="008A5C34" w:rsidRPr="009B3747">
        <w:rPr>
          <w:rFonts w:eastAsia="Times New Roman" w:cstheme="minorHAnsi"/>
          <w:color w:val="000000"/>
          <w:lang w:eastAsia="en-GB"/>
        </w:rPr>
        <w:fldChar w:fldCharType="end"/>
      </w:r>
      <w:r w:rsidR="008A5C34"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There does however, remain inconsistency in how both the distinct terms overweight and obesity are applied </w:t>
      </w:r>
      <w:r w:rsidR="008D641E"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"DOI" : "10.1002/9781444318517.ch7", "ISBN" : "9781444318517", "author" : [ { "dropping-particle" : "", "family" : "Silva-Sanigorski", "given" : "Andrea M.", "non-dropping-particle" : "de", "parse-names" : false, "suffix" : "" }, { "dropping-particle" : "", "family" : "Economos", "given" : "Christina", "non-dropping-particle" : "", "parse-names" : false, "suffix" : "" } ], "container-title" : "Preventing Childhood Obesity: Evidence Policy and Practice", "editor" : [ { "dropping-particle" : "", "family" : "Waters", "given" : "E", "non-dropping-particle" : "", "parse-names" : false, "suffix" : "" }, { "dropping-particle" : "", "family" : "Swinburn", "given" : "B", "non-dropping-particle" : "", "parse-names" : false, "suffix" : "" }, { "dropping-particle" : "", "family" : "Seidell", "given" : "J", "non-dropping-particle" : "", "parse-names" : false, "suffix" : "" }, { "dropping-particle" : "", "family" : "Uauy", "given" : "R", "non-dropping-particle" : "", "parse-names" : false, "suffix" : "" } ], "id" : "ITEM-1", "issued" : { "date-parts" : [ [ "2010", "5", "5" ] ] }, "page" : "57-63", "publisher" : "Wiley-Blackwell", "publisher-place" : "Oxford, UK", "title" : "Evidence of Multi-Setting Approaches for Obesity Prevention: Translation to Best Practice", "type" : "chapter" }, "uris" : [ "http://www.mendeley.com/documents/?uuid=2174a37f-64dc-3fa0-9ecf-a1d359465b5a" ] } ], "mendeley" : { "formattedCitation" : "(de Silva-Sanigorski and Economos, 2010)", "plainTextFormattedCitation" : "(de Silva-Sanigorski and Economos, 2010)", "previouslyFormattedCitation" : "(de Silva-Sanigorski and Economos, 2010)" }, "properties" : { "noteIndex" : 0 }, "schema" : "https://github.com/citation-style-language/schema/raw/master/csl-citation.json" }</w:instrText>
      </w:r>
      <w:r w:rsidR="008D641E" w:rsidRPr="009B3747">
        <w:rPr>
          <w:rFonts w:eastAsia="Times New Roman" w:cstheme="minorHAnsi"/>
          <w:color w:val="000000"/>
          <w:lang w:eastAsia="en-GB"/>
        </w:rPr>
        <w:fldChar w:fldCharType="separate"/>
      </w:r>
      <w:r w:rsidR="008D641E" w:rsidRPr="009B3747">
        <w:rPr>
          <w:rFonts w:eastAsia="Times New Roman" w:cstheme="minorHAnsi"/>
          <w:noProof/>
          <w:color w:val="000000"/>
          <w:lang w:eastAsia="en-GB"/>
        </w:rPr>
        <w:t>(de Silva-</w:t>
      </w:r>
      <w:r w:rsidR="008D641E" w:rsidRPr="009B3747">
        <w:rPr>
          <w:rFonts w:eastAsia="Times New Roman" w:cstheme="minorHAnsi"/>
          <w:noProof/>
          <w:color w:val="000000"/>
          <w:lang w:eastAsia="en-GB"/>
        </w:rPr>
        <w:lastRenderedPageBreak/>
        <w:t>Sanigorski and Economos, 2010)</w:t>
      </w:r>
      <w:r w:rsidR="008D641E" w:rsidRPr="009B3747">
        <w:rPr>
          <w:rFonts w:eastAsia="Times New Roman" w:cstheme="minorHAnsi"/>
          <w:color w:val="000000"/>
          <w:lang w:eastAsia="en-GB"/>
        </w:rPr>
        <w:fldChar w:fldCharType="end"/>
      </w:r>
      <w:r w:rsidR="001A49F5">
        <w:rPr>
          <w:rFonts w:eastAsia="Times New Roman" w:cstheme="minorHAnsi"/>
          <w:color w:val="000000"/>
          <w:lang w:eastAsia="en-GB"/>
        </w:rPr>
        <w:t>.  The meaning of overweight and obesity vary</w:t>
      </w:r>
      <w:r w:rsidRPr="009B3747">
        <w:rPr>
          <w:rFonts w:eastAsia="Times New Roman" w:cstheme="minorHAnsi"/>
          <w:color w:val="000000"/>
          <w:lang w:eastAsia="en-GB"/>
        </w:rPr>
        <w:t xml:space="preserve"> between countries and across studies</w:t>
      </w:r>
      <w:r w:rsidR="008D641E" w:rsidRPr="009B3747">
        <w:rPr>
          <w:rFonts w:eastAsia="Times New Roman" w:cstheme="minorHAnsi"/>
          <w:color w:val="000000"/>
          <w:lang w:eastAsia="en-GB"/>
        </w:rPr>
        <w:t xml:space="preserve"> </w:t>
      </w:r>
      <w:r w:rsidR="008D641E"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"DOI" : "10.1093/acprof:oso/9780199572915.003.0001", "author" : [ { "dropping-particle" : "", "family" : "Flegal", "given" : "Katherine M.", "non-dropping-particle" : "", "parse-names" : false, "suffix" : "" }, { "dropping-particle" : "", "family" : "Ogden", "given" : "Cynthia L.", "non-dropping-particle" : "", "parse-names" : false, "suffix" : "" } ], "container-title" : "Childhood Obesity Prevention: International Research, Controversies and Interventions", "editor" : [ { "dropping-particle" : "", "family" : "O'Dea", "given" : "J", "non-dropping-particle" : "", "parse-names" : false, "suffix" : "" }, { "dropping-particle" : "", "family" : "Eriksen", "given" : "M", "non-dropping-particle" : "", "parse-names" : false, "suffix" : "" } ], "id" : "ITEM-1", "issued" : { "date-parts" : [ [ "2010", "9", "16" ] ] }, "page" : "3-16", "publisher" : "Oxford University Press", "publisher-place" : "Oxford", "title" : "High body mass index, overweight, and obesity in children: Definitions, terminology, and interpretation", "type" : "chapter" }, "uris" : [ "http://www.mendeley.com/documents/?uuid=c14bd9c9-2759-36c9-a6e1-ee2c38882c89" ] } ], "mendeley" : { "formattedCitation" : "(Flegal and Ogden, 2010)", "plainTextFormattedCitation" : "(Flegal and Ogden, 2010)", "previouslyFormattedCitation" : "(Flegal and Ogden, 2010)" }, "properties" : { "noteIndex" : 0 }, "schema" : "https://github.com/citation-style-language/schema/raw/master/csl-citation.json" }</w:instrText>
      </w:r>
      <w:r w:rsidR="008D641E" w:rsidRPr="009B3747">
        <w:rPr>
          <w:rFonts w:eastAsia="Times New Roman" w:cstheme="minorHAnsi"/>
          <w:color w:val="000000"/>
          <w:lang w:eastAsia="en-GB"/>
        </w:rPr>
        <w:fldChar w:fldCharType="separate"/>
      </w:r>
      <w:r w:rsidR="008D641E" w:rsidRPr="009B3747">
        <w:rPr>
          <w:rFonts w:eastAsia="Times New Roman" w:cstheme="minorHAnsi"/>
          <w:noProof/>
          <w:color w:val="000000"/>
          <w:lang w:eastAsia="en-GB"/>
        </w:rPr>
        <w:t>(Flegal and Ogden, 2010)</w:t>
      </w:r>
      <w:r w:rsidR="008D641E" w:rsidRPr="009B3747">
        <w:rPr>
          <w:rFonts w:eastAsia="Times New Roman" w:cstheme="minorHAnsi"/>
          <w:color w:val="000000"/>
          <w:lang w:eastAsia="en-GB"/>
        </w:rPr>
        <w:fldChar w:fldCharType="end"/>
      </w:r>
      <w:r w:rsidR="008D641E"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Despite this, given the practical, non-invasive and inexpensive nature of measuring height and weight, BMI and WHO classifications of overweight and obesity have been widely adopted in both clinical and epidemiological settings </w:t>
      </w:r>
      <w:r w:rsidR="008D641E"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"Ogden", "given" : "CL", "non-dropping-particle" : "", "parse-names" : false, "suffix" : "" }, { "dropping-particle" : "", "family" : "Yanovski", "given" : "SZ", "non-dropping-particle" : "", "parse-names" : false, "suffix" : "" }, { "dropping-particle" : "", "family" : "Carroll", "given" : "MD", "non-dropping-particle" : "", "parse-names" : false, "suffix" : "" }, { "dropping-particle" : "", "family" : "Flegal", "given" : "KM", "non-dropping-particle" : "", "parse-names" : false, "suffix" : "" } ], "container-title" : "Gastroenterology", "id" : "ITEM-1", "issue" : "6", "issued" : { "date-parts" : [ [ "2007" ] ] }, "page" : "2087\u20132102", "title" : "The epidemiology of obesity", "type" : "article-journal", "volume" : "132" }, "uris" : [ "http://www.mendeley.com/documents/?uuid=5306e4c2-7f9d-4b18-a2f2-d2a90da2204f" ] } ], "mendeley" : { "formattedCitation" : "(Ogden et al., 2007)", "plainTextFormattedCitation" : "(Ogden et al., 2007)", "previouslyFormattedCitation" : "(Ogden et al., 2007)" }, "properties" : { "noteIndex" : 0 }, "schema" : "https://github.com/citation-style-language/schema/raw/master/csl-citation.json" }</w:instrText>
      </w:r>
      <w:r w:rsidR="008D641E" w:rsidRPr="009B3747">
        <w:rPr>
          <w:rFonts w:eastAsia="Times New Roman" w:cstheme="minorHAnsi"/>
          <w:color w:val="000000"/>
          <w:lang w:eastAsia="en-GB"/>
        </w:rPr>
        <w:fldChar w:fldCharType="separate"/>
      </w:r>
      <w:r w:rsidR="008D641E" w:rsidRPr="009B3747">
        <w:rPr>
          <w:rFonts w:eastAsia="Times New Roman" w:cstheme="minorHAnsi"/>
          <w:noProof/>
          <w:color w:val="000000"/>
          <w:lang w:eastAsia="en-GB"/>
        </w:rPr>
        <w:t>(Ogden et al., 2007)</w:t>
      </w:r>
      <w:r w:rsidR="008D641E" w:rsidRPr="009B3747">
        <w:rPr>
          <w:rFonts w:eastAsia="Times New Roman" w:cstheme="minorHAnsi"/>
          <w:color w:val="000000"/>
          <w:lang w:eastAsia="en-GB"/>
        </w:rPr>
        <w:fldChar w:fldCharType="end"/>
      </w:r>
      <w:r w:rsidR="008D641E" w:rsidRPr="009B3747">
        <w:rPr>
          <w:rFonts w:eastAsia="Times New Roman" w:cstheme="minorHAnsi"/>
          <w:color w:val="000000"/>
          <w:lang w:eastAsia="en-GB"/>
        </w:rPr>
        <w:t>.</w:t>
      </w:r>
    </w:p>
    <w:p w:rsidR="002224C3" w:rsidRPr="009B3747" w:rsidRDefault="002224C3" w:rsidP="00A16FA3">
      <w:pPr>
        <w:rPr>
          <w:rFonts w:eastAsia="Times New Roman" w:cstheme="minorHAnsi"/>
          <w:color w:val="000000"/>
          <w:lang w:eastAsia="en-GB"/>
        </w:rPr>
      </w:pPr>
    </w:p>
    <w:p w:rsidR="002224C3" w:rsidRPr="009B3747" w:rsidRDefault="00A16FA3" w:rsidP="00A16FA3">
      <w:pPr>
        <w:rPr>
          <w:rFonts w:eastAsia="Times New Roman" w:cstheme="minorHAnsi"/>
          <w:color w:val="000000"/>
          <w:lang w:eastAsia="en-GB"/>
        </w:rPr>
      </w:pPr>
      <w:r w:rsidRPr="009B3747">
        <w:rPr>
          <w:rFonts w:eastAsia="Times New Roman" w:cstheme="minorHAnsi"/>
          <w:color w:val="000000"/>
          <w:lang w:eastAsia="en-GB"/>
        </w:rPr>
        <w:t xml:space="preserve">Whilst there is broad consensus of </w:t>
      </w:r>
      <w:r w:rsidR="0018582B" w:rsidRPr="009B3747">
        <w:rPr>
          <w:rFonts w:eastAsia="Times New Roman" w:cstheme="minorHAnsi"/>
          <w:color w:val="000000"/>
          <w:lang w:eastAsia="en-GB"/>
        </w:rPr>
        <w:t>its</w:t>
      </w:r>
      <w:r w:rsidRPr="009B3747">
        <w:rPr>
          <w:rFonts w:eastAsia="Times New Roman" w:cstheme="minorHAnsi"/>
          <w:color w:val="000000"/>
          <w:lang w:eastAsia="en-GB"/>
        </w:rPr>
        <w:t xml:space="preserve"> potential value, the application of BMI, both at a population and individual level is not without its limitations.  Caution and criticism has been directed towards its failure to consider an individual’s actual body composition (lean and fat mass;</w:t>
      </w:r>
      <w:r w:rsidR="001A49F5">
        <w:rPr>
          <w:rFonts w:eastAsia="Times New Roman" w:cstheme="minorHAnsi"/>
          <w:color w:val="000000"/>
          <w:lang w:eastAsia="en-GB"/>
        </w:rPr>
        <w:t xml:space="preserve"> muscle and bone ratios), </w:t>
      </w:r>
      <w:r w:rsidRPr="009B3747">
        <w:rPr>
          <w:rFonts w:eastAsia="Times New Roman" w:cstheme="minorHAnsi"/>
          <w:color w:val="000000"/>
          <w:lang w:eastAsia="en-GB"/>
        </w:rPr>
        <w:t>and the distribution of adipose tissue</w:t>
      </w:r>
      <w:r w:rsidR="008D641E" w:rsidRPr="009B3747">
        <w:rPr>
          <w:rFonts w:eastAsia="Times New Roman" w:cstheme="minorHAnsi"/>
          <w:color w:val="000000"/>
          <w:lang w:eastAsia="en-GB"/>
        </w:rPr>
        <w:t xml:space="preserve"> </w:t>
      </w:r>
      <w:r w:rsidR="008D641E"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"Saxena", "given" : "S", "non-dropping-particle" : "", "parse-names" : false, "suffix" : "" }, { "dropping-particle" : "", "family" : "Ambler", "given" : "G", "non-dropping-particle" : "", "parse-names" : false, "suffix" : "" }, { "dropping-particle" : "", "family" : "Cole", "given" : "TJ", "non-dropping-particle" : "", "parse-names" : false, "suffix" : "" }, { "dropping-particle" : "", "family" : "Majeed", "given" : "A", "non-dropping-particle" : "", "parse-names" : false, "suffix" : "" } ], "container-title" : "Archives of Disease in \u2026", "id" : "ITEM-1", "issue" : "1", "issued" : { "date-parts" : [ [ "2004" ] ] }, "page" : "30-36", "title" : "Ethnic group differences in overweight and obese children and young people in England: cross sectional survey", "type" : "article-journal", "volume" : "89" }, "uris" : [ "http://www.mendeley.com/documents/?uuid=8d96062b-c3c1-4566-80b1-fe5d8e6622a2" ] }, { "id" : "ITEM-2", "itemData" : { "author" : [ { "dropping-particle" : "", "family" : "Yajnik", "given" : "CS", "non-dropping-particle" : "", "parse-names" : false, "suffix" : "" }, { "dropping-particle" : "", "family" : "Yudkin", "given" : "JS", "non-dropping-particle" : "", "parse-names" : false, "suffix" : "" } ], "container-title" : "The Lancet", "id" : "ITEM-2", "issue" : "9403", "issued" : { "date-parts" : [ [ "2004" ] ] }, "page" : "163", "title" : "The YY paradox", "type" : "article-journal", "volume" : "363" }, "uris" : [ "http://www.mendeley.com/documents/?uuid=1b41f493-774f-404b-a607-4410ef6f156e" ] } ], "mendeley" : { "formattedCitation" : "(Saxena et al., 2004; Yajnik and Yudkin, 2004)", "plainTextFormattedCitation" : "(Saxena et al., 2004; Yajnik and Yudkin, 2004)", "previouslyFormattedCitation" : "(Saxena et al., 2004; Yajnik and Yudkin, 2004)" }, "properties" : { "noteIndex" : 0 }, "schema" : "https://github.com/citation-style-language/schema/raw/master/csl-citation.json" }</w:instrText>
      </w:r>
      <w:r w:rsidR="008D641E" w:rsidRPr="009B3747">
        <w:rPr>
          <w:rFonts w:eastAsia="Times New Roman" w:cstheme="minorHAnsi"/>
          <w:color w:val="000000"/>
          <w:lang w:eastAsia="en-GB"/>
        </w:rPr>
        <w:fldChar w:fldCharType="separate"/>
      </w:r>
      <w:r w:rsidR="008D641E" w:rsidRPr="009B3747">
        <w:rPr>
          <w:rFonts w:eastAsia="Times New Roman" w:cstheme="minorHAnsi"/>
          <w:noProof/>
          <w:color w:val="000000"/>
          <w:lang w:eastAsia="en-GB"/>
        </w:rPr>
        <w:t>(Saxena et al., 2004; Yajnik and Yudkin, 2004)</w:t>
      </w:r>
      <w:r w:rsidR="008D641E" w:rsidRPr="009B3747">
        <w:rPr>
          <w:rFonts w:eastAsia="Times New Roman" w:cstheme="minorHAnsi"/>
          <w:color w:val="000000"/>
          <w:lang w:eastAsia="en-GB"/>
        </w:rPr>
        <w:fldChar w:fldCharType="end"/>
      </w:r>
      <w:r w:rsidR="008D641E" w:rsidRPr="009B3747">
        <w:rPr>
          <w:rFonts w:eastAsia="Times New Roman" w:cstheme="minorHAnsi"/>
          <w:color w:val="000000"/>
          <w:lang w:eastAsia="en-GB"/>
        </w:rPr>
        <w:t xml:space="preserve">.  </w:t>
      </w:r>
      <w:r w:rsidR="002224C3" w:rsidRPr="009B3747">
        <w:rPr>
          <w:rFonts w:eastAsia="Times New Roman" w:cstheme="minorHAnsi"/>
          <w:color w:val="000000"/>
          <w:lang w:eastAsia="en-GB"/>
        </w:rPr>
        <w:t>In addition,</w:t>
      </w:r>
      <w:r w:rsidRPr="009B3747">
        <w:rPr>
          <w:rFonts w:eastAsia="Times New Roman" w:cstheme="minorHAnsi"/>
          <w:color w:val="000000"/>
          <w:lang w:eastAsia="en-GB"/>
        </w:rPr>
        <w:t xml:space="preserve"> </w:t>
      </w:r>
      <w:r w:rsidR="002D0099" w:rsidRPr="009B3747">
        <w:rPr>
          <w:rFonts w:eastAsia="Times New Roman" w:cstheme="minorHAnsi"/>
          <w:color w:val="000000"/>
          <w:lang w:eastAsia="en-GB"/>
        </w:rPr>
        <w:t>the inability of BMI</w:t>
      </w:r>
      <w:r w:rsidRPr="009B3747">
        <w:rPr>
          <w:rFonts w:eastAsia="Times New Roman" w:cstheme="minorHAnsi"/>
          <w:color w:val="000000"/>
          <w:lang w:eastAsia="en-GB"/>
        </w:rPr>
        <w:t xml:space="preserve"> to account for the relationship between demographic factor</w:t>
      </w:r>
      <w:r w:rsidR="001A49F5">
        <w:rPr>
          <w:rFonts w:eastAsia="Times New Roman" w:cstheme="minorHAnsi"/>
          <w:color w:val="000000"/>
          <w:lang w:eastAsia="en-GB"/>
        </w:rPr>
        <w:t xml:space="preserve">s and body fat (particularly </w:t>
      </w:r>
      <w:r w:rsidRPr="009B3747">
        <w:rPr>
          <w:rFonts w:eastAsia="Times New Roman" w:cstheme="minorHAnsi"/>
          <w:color w:val="000000"/>
          <w:lang w:eastAsia="en-GB"/>
        </w:rPr>
        <w:t>related to age and ethnicity</w:t>
      </w:r>
      <w:r w:rsidR="001A49F5">
        <w:rPr>
          <w:rFonts w:eastAsia="Times New Roman" w:cstheme="minorHAnsi"/>
          <w:color w:val="000000"/>
          <w:lang w:eastAsia="en-GB"/>
        </w:rPr>
        <w:t>),</w:t>
      </w:r>
      <w:r w:rsidRPr="009B3747">
        <w:rPr>
          <w:rFonts w:eastAsia="Times New Roman" w:cstheme="minorHAnsi"/>
          <w:color w:val="000000"/>
          <w:lang w:eastAsia="en-GB"/>
        </w:rPr>
        <w:t xml:space="preserve"> have resulted in questions being raised about the suitability of BMI to universally assess obesity across whole populations</w:t>
      </w:r>
      <w:r w:rsidR="008D641E" w:rsidRPr="009B3747">
        <w:rPr>
          <w:rFonts w:eastAsia="Times New Roman" w:cstheme="minorHAnsi"/>
          <w:color w:val="000000"/>
          <w:lang w:eastAsia="en-GB"/>
        </w:rPr>
        <w:t xml:space="preserve"> </w:t>
      </w:r>
      <w:r w:rsidR="008D641E"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"Jebb", "given" : "SA", "non-dropping-particle" : "", "parse-names" : false, "suffix" : "" }, { "dropping-particle" : "", "family" : "Prentice", "given" : "AM", "non-dropping-particle" : "", "parse-names" : false, "suffix" : "" } ], "container-title" : "BMJ: British Medical Journal", "id" : "ITEM-1", "issue" : "7319", "issued" : { "date-parts" : [ [ "2001" ] ] }, "page" : "999", "title" : "Single definition of overweight and obesity should be used", "type" : "article-journal", "volume" : "323" }, "uris" : [ "http://www.mendeley.com/documents/?uuid=d35231dd-958c-4e8f-a8b0-eed71379d9a0" ] }, { "id" : "ITEM-2", "itemData" : { "author" : [ { "dropping-particle" : "", "family" : "Klein", "given" : "S", "non-dropping-particle" : "", "parse-names" : false, "suffix" : "" } ], "container-title" : "Obesity research", "id" : "ITEM-2", "issued" : { "date-parts" : [ [ "2001" ] ] }, "title" : "Outcome success in obesity", "type" : "article-journal" }, "uris" : [ "http://www.mendeley.com/documents/?uuid=891ce017-37ba-4971-bb01-4c0829b6c780" ] } ], "mendeley" : { "formattedCitation" : "(Jebb and Prentice, 2001; Klein, 2001)", "plainTextFormattedCitation" : "(Jebb and Prentice, 2001; Klein, 2001)", "previouslyFormattedCitation" : "(Jebb and Prentice, 2001; Klein, 2001)" }, "properties" : { "noteIndex" : 0 }, "schema" : "https://github.com/citation-style-language/schema/raw/master/csl-citation.json" }</w:instrText>
      </w:r>
      <w:r w:rsidR="008D641E" w:rsidRPr="009B3747">
        <w:rPr>
          <w:rFonts w:eastAsia="Times New Roman" w:cstheme="minorHAnsi"/>
          <w:color w:val="000000"/>
          <w:lang w:eastAsia="en-GB"/>
        </w:rPr>
        <w:fldChar w:fldCharType="separate"/>
      </w:r>
      <w:r w:rsidR="008D641E" w:rsidRPr="009B3747">
        <w:rPr>
          <w:rFonts w:eastAsia="Times New Roman" w:cstheme="minorHAnsi"/>
          <w:noProof/>
          <w:color w:val="000000"/>
          <w:lang w:eastAsia="en-GB"/>
        </w:rPr>
        <w:t>(Jebb and Prentice, 2001; Klein, 2001)</w:t>
      </w:r>
      <w:r w:rsidR="008D641E" w:rsidRPr="009B3747">
        <w:rPr>
          <w:rFonts w:eastAsia="Times New Roman" w:cstheme="minorHAnsi"/>
          <w:color w:val="000000"/>
          <w:lang w:eastAsia="en-GB"/>
        </w:rPr>
        <w:fldChar w:fldCharType="end"/>
      </w:r>
      <w:r w:rsidR="008D641E" w:rsidRPr="009B3747">
        <w:rPr>
          <w:rFonts w:eastAsia="Times New Roman" w:cstheme="minorHAnsi"/>
          <w:color w:val="000000"/>
          <w:lang w:eastAsia="en-GB"/>
        </w:rPr>
        <w:t>.</w:t>
      </w:r>
    </w:p>
    <w:p w:rsidR="008D641E" w:rsidRPr="009B3747" w:rsidRDefault="008D641E" w:rsidP="00A16FA3">
      <w:pPr>
        <w:rPr>
          <w:rFonts w:eastAsia="Times New Roman" w:cstheme="minorHAnsi"/>
          <w:color w:val="000000"/>
          <w:lang w:eastAsia="en-GB"/>
        </w:rPr>
      </w:pPr>
    </w:p>
    <w:p w:rsidR="00A16FA3" w:rsidRPr="009B3747" w:rsidRDefault="002224C3" w:rsidP="00A16FA3">
      <w:pPr>
        <w:rPr>
          <w:rFonts w:eastAsia="Times New Roman" w:cstheme="minorHAnsi"/>
          <w:color w:val="000000"/>
          <w:lang w:eastAsia="en-GB"/>
        </w:rPr>
      </w:pPr>
      <w:r w:rsidRPr="009B3747">
        <w:rPr>
          <w:rFonts w:eastAsia="Times New Roman" w:cstheme="minorHAnsi"/>
          <w:color w:val="000000"/>
          <w:lang w:eastAsia="en-GB"/>
        </w:rPr>
        <w:t>C</w:t>
      </w:r>
      <w:r w:rsidR="00A16FA3" w:rsidRPr="009B3747">
        <w:rPr>
          <w:rFonts w:eastAsia="Times New Roman" w:cstheme="minorHAnsi"/>
          <w:color w:val="000000"/>
          <w:lang w:eastAsia="en-GB"/>
        </w:rPr>
        <w:t>ontroversially, the inte</w:t>
      </w:r>
      <w:r w:rsidR="002D0099" w:rsidRPr="009B3747">
        <w:rPr>
          <w:rFonts w:eastAsia="Times New Roman" w:cstheme="minorHAnsi"/>
          <w:color w:val="000000"/>
          <w:lang w:eastAsia="en-GB"/>
        </w:rPr>
        <w:t xml:space="preserve">rnational classification of BMI, </w:t>
      </w:r>
      <w:r w:rsidR="00A16FA3" w:rsidRPr="009B3747">
        <w:rPr>
          <w:rFonts w:eastAsia="Times New Roman" w:cstheme="minorHAnsi"/>
          <w:color w:val="000000"/>
          <w:lang w:eastAsia="en-GB"/>
        </w:rPr>
        <w:t>and the widely accepted correlation between increasing BMI and elevated morbidity and mortality</w:t>
      </w:r>
      <w:r w:rsidR="002D0099" w:rsidRPr="009B3747">
        <w:rPr>
          <w:rFonts w:eastAsia="Times New Roman" w:cstheme="minorHAnsi"/>
          <w:color w:val="000000"/>
          <w:lang w:eastAsia="en-GB"/>
        </w:rPr>
        <w:t>,</w:t>
      </w:r>
      <w:r w:rsidR="00A16FA3" w:rsidRPr="009B3747">
        <w:rPr>
          <w:rFonts w:eastAsia="Times New Roman" w:cstheme="minorHAnsi"/>
          <w:color w:val="000000"/>
          <w:lang w:eastAsia="en-GB"/>
        </w:rPr>
        <w:t xml:space="preserve"> has been rebuked by a body of academic research</w:t>
      </w:r>
      <w:r w:rsidR="008D641E" w:rsidRPr="009B3747">
        <w:rPr>
          <w:rFonts w:eastAsia="Times New Roman" w:cstheme="minorHAnsi"/>
          <w:color w:val="000000"/>
          <w:lang w:eastAsia="en-GB"/>
        </w:rPr>
        <w:t xml:space="preserve"> </w:t>
      </w:r>
      <w:r w:rsidR="008D641E"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"Flegal", "given" : "KM", "non-dropping-particle" : "", "parse-names" : false, "suffix" : "" }, { "dropping-particle" : "", "family" : "Kit", "given" : "BK", "non-dropping-particle" : "", "parse-names" : false, "suffix" : "" }, { "dropping-particle" : "", "family" : "Orpana", "given" : "H", "non-dropping-particle" : "", "parse-names" : false, "suffix" : "" }, { "dropping-particle" : "", "family" : "Graubard", "given" : "BI", "non-dropping-particle" : "", "parse-names" : false, "suffix" : "" } ], "container-title" : "Jama", "id" : "ITEM-1", "issue" : "1", "issued" : { "date-parts" : [ [ "2013" ] ] }, "page" : "71-82", "title" : "Association of all-cause mortality with overweight and obesity using standard body mass index categories: a systematic review and meta-analysis", "type" : "article-journal", "volume" : "309" }, "uris" : [ "http://www.mendeley.com/documents/?uuid=1fb67f47-775a-48ce-91e4-5d46a2fe3879" ] } ], "mendeley" : { "formattedCitation" : "(Flegal et al., 2013)", "plainTextFormattedCitation" : "(Flegal et al., 2013)", "previouslyFormattedCitation" : "(Flegal et al., 2013)" }, "properties" : { "noteIndex" : 0 }, "schema" : "https://github.com/citation-style-language/schema/raw/master/csl-citation.json" }</w:instrText>
      </w:r>
      <w:r w:rsidR="008D641E" w:rsidRPr="009B3747">
        <w:rPr>
          <w:rFonts w:eastAsia="Times New Roman" w:cstheme="minorHAnsi"/>
          <w:color w:val="000000"/>
          <w:lang w:eastAsia="en-GB"/>
        </w:rPr>
        <w:fldChar w:fldCharType="separate"/>
      </w:r>
      <w:r w:rsidR="008D641E" w:rsidRPr="009B3747">
        <w:rPr>
          <w:rFonts w:eastAsia="Times New Roman" w:cstheme="minorHAnsi"/>
          <w:noProof/>
          <w:color w:val="000000"/>
          <w:lang w:eastAsia="en-GB"/>
        </w:rPr>
        <w:t>(Flegal et al., 2013)</w:t>
      </w:r>
      <w:r w:rsidR="008D641E" w:rsidRPr="009B3747">
        <w:rPr>
          <w:rFonts w:eastAsia="Times New Roman" w:cstheme="minorHAnsi"/>
          <w:color w:val="000000"/>
          <w:lang w:eastAsia="en-GB"/>
        </w:rPr>
        <w:fldChar w:fldCharType="end"/>
      </w:r>
      <w:r w:rsidR="006E1936" w:rsidRPr="009B3747">
        <w:rPr>
          <w:rFonts w:eastAsia="Times New Roman" w:cstheme="minorHAnsi"/>
          <w:color w:val="000000"/>
          <w:lang w:eastAsia="en-GB"/>
        </w:rPr>
        <w:t xml:space="preserve">.  </w:t>
      </w:r>
      <w:r w:rsidR="00A16FA3" w:rsidRPr="009B3747">
        <w:rPr>
          <w:rFonts w:eastAsia="Times New Roman" w:cstheme="minorHAnsi"/>
          <w:color w:val="000000"/>
          <w:lang w:eastAsia="en-GB"/>
        </w:rPr>
        <w:t>A systematic review of cohort studies identified a J-shape relationship between BMI and cardiovascul</w:t>
      </w:r>
      <w:r w:rsidR="002D0099" w:rsidRPr="009B3747">
        <w:rPr>
          <w:rFonts w:eastAsia="Times New Roman" w:cstheme="minorHAnsi"/>
          <w:color w:val="000000"/>
          <w:lang w:eastAsia="en-GB"/>
        </w:rPr>
        <w:t xml:space="preserve">ar mortality, where a BMI of 25 to </w:t>
      </w:r>
      <w:r w:rsidR="00A16FA3" w:rsidRPr="009B3747">
        <w:rPr>
          <w:rFonts w:eastAsia="Times New Roman" w:cstheme="minorHAnsi"/>
          <w:color w:val="000000"/>
          <w:lang w:eastAsia="en-GB"/>
        </w:rPr>
        <w:t xml:space="preserve">29.9 </w:t>
      </w:r>
      <w:r w:rsidR="002D0099" w:rsidRPr="009B3747">
        <w:rPr>
          <w:rFonts w:eastAsia="Times New Roman" w:cstheme="minorHAnsi"/>
          <w:color w:val="000000"/>
          <w:lang w:eastAsia="en-GB"/>
        </w:rPr>
        <w:t xml:space="preserve">units </w:t>
      </w:r>
      <w:r w:rsidR="00A16FA3" w:rsidRPr="009B3747">
        <w:rPr>
          <w:rFonts w:eastAsia="Times New Roman" w:cstheme="minorHAnsi"/>
          <w:color w:val="000000"/>
          <w:lang w:eastAsia="en-GB"/>
        </w:rPr>
        <w:t>presented a lower risk than a normal range BMI</w:t>
      </w:r>
      <w:r w:rsidR="008D641E" w:rsidRPr="009B3747">
        <w:rPr>
          <w:rFonts w:eastAsia="Times New Roman" w:cstheme="minorHAnsi"/>
          <w:color w:val="000000"/>
          <w:lang w:eastAsia="en-GB"/>
        </w:rPr>
        <w:t xml:space="preserve"> </w:t>
      </w:r>
      <w:r w:rsidR="008D641E"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"Romero-Corral", "given" : "A", "non-dropping-particle" : "", "parse-names" : false, "suffix" : "" }, { "dropping-particle" : "", "family" : "Montori", "given" : "VM", "non-dropping-particle" : "", "parse-names" : false, "suffix" : "" }, { "dropping-particle" : "", "family" : "Somers", "given" : "VK", "non-dropping-particle" : "", "parse-names" : false, "suffix" : "" } ], "container-title" : "The Lancet", "id" : "ITEM-1", "issue" : "9536", "issued" : { "date-parts" : [ [ "2006" ] ] }, "page" : "666-678", "title" : "Association of bodyweight with total mortality and with cardiovascular events in coronary artery disease: a systematic review of cohort studies", "type" : "article-journal", "volume" : "368" }, "uris" : [ "http://www.mendeley.com/documents/?uuid=9b7d857c-28ec-4cd9-b6e3-b1196c1b75ad" ] } ], "mendeley" : { "formattedCitation" : "(Romero-Corral et al., 2006)", "plainTextFormattedCitation" : "(Romero-Corral et al., 2006)", "previouslyFormattedCitation" : "(Romero-Corral et al., 2006)" }, "properties" : { "noteIndex" : 0 }, "schema" : "https://github.com/citation-style-language/schema/raw/master/csl-citation.json" }</w:instrText>
      </w:r>
      <w:r w:rsidR="008D641E" w:rsidRPr="009B3747">
        <w:rPr>
          <w:rFonts w:eastAsia="Times New Roman" w:cstheme="minorHAnsi"/>
          <w:color w:val="000000"/>
          <w:lang w:eastAsia="en-GB"/>
        </w:rPr>
        <w:fldChar w:fldCharType="separate"/>
      </w:r>
      <w:r w:rsidR="008D641E" w:rsidRPr="009B3747">
        <w:rPr>
          <w:rFonts w:eastAsia="Times New Roman" w:cstheme="minorHAnsi"/>
          <w:noProof/>
          <w:color w:val="000000"/>
          <w:lang w:eastAsia="en-GB"/>
        </w:rPr>
        <w:t>(Romero-Corral et al., 2006)</w:t>
      </w:r>
      <w:r w:rsidR="008D641E" w:rsidRPr="009B3747">
        <w:rPr>
          <w:rFonts w:eastAsia="Times New Roman" w:cstheme="minorHAnsi"/>
          <w:color w:val="000000"/>
          <w:lang w:eastAsia="en-GB"/>
        </w:rPr>
        <w:fldChar w:fldCharType="end"/>
      </w:r>
      <w:r w:rsidR="008D641E" w:rsidRPr="009B3747">
        <w:rPr>
          <w:rFonts w:eastAsia="Times New Roman" w:cstheme="minorHAnsi"/>
          <w:color w:val="000000"/>
          <w:lang w:eastAsia="en-GB"/>
        </w:rPr>
        <w:t xml:space="preserve">.  </w:t>
      </w:r>
      <w:r w:rsidR="00A16FA3" w:rsidRPr="009B3747">
        <w:rPr>
          <w:rFonts w:eastAsia="Times New Roman" w:cstheme="minorHAnsi"/>
          <w:color w:val="000000"/>
          <w:lang w:eastAsia="en-GB"/>
        </w:rPr>
        <w:t>This was proposed to be due to BMI being unable to discriminate between fat and fat free mass.   In addition</w:t>
      </w:r>
      <w:r w:rsidR="008D641E" w:rsidRPr="009B3747">
        <w:rPr>
          <w:rFonts w:eastAsia="Times New Roman" w:cstheme="minorHAnsi"/>
          <w:color w:val="000000"/>
          <w:lang w:eastAsia="en-GB"/>
        </w:rPr>
        <w:t xml:space="preserve"> </w:t>
      </w:r>
      <w:r w:rsidR="008D641E"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"Flegal", "given" : "KM", "non-dropping-particle" : "", "parse-names" : false, "suffix" : "" }, { "dropping-particle" : "", "family" : "Kit", "given" : "BK", "non-dropping-particle" : "", "parse-names" : false, "suffix" : "" }, { "dropping-particle" : "", "family" : "Orpana", "given" : "H", "non-dropping-particle" : "", "parse-names" : false, "suffix" : "" }, { "dropping-particle" : "", "family" : "Graubard", "given" : "BI", "non-dropping-particle" : "", "parse-names" : false, "suffix" : "" } ], "container-title" : "Jama", "id" : "ITEM-1", "issue" : "1", "issued" : { "date-parts" : [ [ "2013" ] ] }, "page" : "71-82", "title" : "Association of all-cause mortality with overweight and obesity using standard body mass index categories: a systematic review and meta-analysis", "type" : "article-journal", "volume" : "309" }, "uris" : [ "http://www.mendeley.com/documents/?uuid=1fb67f47-775a-48ce-91e4-5d46a2fe3879" ] } ], "mendeley" : { "formattedCitation" : "(Flegal et al., 2013)", "manualFormatting" : "Flegal et al., (2013", "plainTextFormattedCitation" : "(Flegal et al., 2013)", "previouslyFormattedCitation" : "(Flegal et al., 2013)" }, "properties" : { "noteIndex" : 0 }, "schema" : "https://github.com/citation-style-language/schema/raw/master/csl-citation.json" }</w:instrText>
      </w:r>
      <w:r w:rsidR="008D641E" w:rsidRPr="009B3747">
        <w:rPr>
          <w:rFonts w:eastAsia="Times New Roman" w:cstheme="minorHAnsi"/>
          <w:color w:val="000000"/>
          <w:lang w:eastAsia="en-GB"/>
        </w:rPr>
        <w:fldChar w:fldCharType="separate"/>
      </w:r>
      <w:r w:rsidR="008D641E" w:rsidRPr="009B3747">
        <w:rPr>
          <w:rFonts w:eastAsia="Times New Roman" w:cstheme="minorHAnsi"/>
          <w:noProof/>
          <w:color w:val="000000"/>
          <w:lang w:eastAsia="en-GB"/>
        </w:rPr>
        <w:t>Flegal et al., (2013</w:t>
      </w:r>
      <w:r w:rsidR="008D641E" w:rsidRPr="009B3747">
        <w:rPr>
          <w:rFonts w:eastAsia="Times New Roman" w:cstheme="minorHAnsi"/>
          <w:color w:val="000000"/>
          <w:lang w:eastAsia="en-GB"/>
        </w:rPr>
        <w:fldChar w:fldCharType="end"/>
      </w:r>
      <w:r w:rsidR="008D641E" w:rsidRPr="009B3747">
        <w:rPr>
          <w:rFonts w:eastAsia="Times New Roman" w:cstheme="minorHAnsi"/>
          <w:color w:val="000000"/>
          <w:lang w:eastAsia="en-GB"/>
        </w:rPr>
        <w:t xml:space="preserve">) </w:t>
      </w:r>
      <w:r w:rsidR="00A16FA3" w:rsidRPr="009B3747">
        <w:rPr>
          <w:rFonts w:eastAsia="Times New Roman" w:cstheme="minorHAnsi"/>
          <w:color w:val="000000"/>
          <w:lang w:eastAsia="en-GB"/>
        </w:rPr>
        <w:t xml:space="preserve">proposed the existence of an ‘obesity paradox’, where being overweight (not obese), is associated with a longer life expectancy than being a healthy weight.  Whilst the methods utilised in this meta-analysis were widely criticised </w:t>
      </w:r>
      <w:r w:rsidR="008D641E" w:rsidRPr="009B3747">
        <w:rPr>
          <w:rFonts w:eastAsia="Times New Roman" w:cstheme="minorHAnsi"/>
          <w:color w:val="000000"/>
          <w:lang w:eastAsia="en-GB"/>
        </w:rPr>
        <w:fldChar w:fldCharType="begin" w:fldLock="1"/>
      </w:r>
      <w:r w:rsidR="008D641E" w:rsidRPr="009B3747">
        <w:rPr>
          <w:rFonts w:eastAsia="Times New Roman" w:cstheme="minorHAnsi"/>
          <w:color w:val="000000"/>
          <w:lang w:eastAsia="en-GB"/>
        </w:rPr>
        <w:instrText>ADDIN CSL_CITATION { "citationItems" : [ { "id" : "ITEM-1", "itemData" : { "DOI" : "10.1001/jama.2013.3080", "ISSN" : "1538-3598", "PMID" : "23613062", "author" : [ { "dropping-particle" : "", "family" : "Vi\u00f1a", "given" : "Jose", "non-dropping-particle" : "", "parse-names" : false, "suffix" : "" }, { "dropping-particle" : "", "family" : "Borras", "given" : "Consuelo", "non-dropping-particle" : "", "parse-names" : false, "suffix" : "" }, { "dropping-particle" : "", "family" : "Gomez-Cabrera", "given" : "Mari Carmen", "non-dropping-particle" : "", "parse-names" : false, "suffix" : "" } ], "container-title" : "JAMA", "id" : "ITEM-1", "issue" : "16", "issued" : { "date-parts" : [ [ "2013", "4", "24" ] ] }, "page" : "1679", "publisher" : "American Medical Association", "title" : "Overweight, obesity, and all-cause mortality.", "type" : "article-journal", "volume" : "309" }, "uris" : [ "http://www.mendeley.com/documents/?uuid=293fd436-043c-4c71-9bb2-c5bcb652c08e" ] } ], "mendeley" : { "formattedCitation" : "(Vi\u00f1a et al., 2013)", "plainTextFormattedCitation" : "(Vi\u00f1a et al., 2013)", "previouslyFormattedCitation" : "(Vi\u00f1a et al., 2013)" }, "properties" : { "noteIndex" : 0 }, "schema" : "https://github.com/citation-style-language/schema/raw/master/csl-citation.json" }</w:instrText>
      </w:r>
      <w:r w:rsidR="008D641E" w:rsidRPr="009B3747">
        <w:rPr>
          <w:rFonts w:eastAsia="Times New Roman" w:cstheme="minorHAnsi"/>
          <w:color w:val="000000"/>
          <w:lang w:eastAsia="en-GB"/>
        </w:rPr>
        <w:fldChar w:fldCharType="separate"/>
      </w:r>
      <w:r w:rsidR="008D641E" w:rsidRPr="009B3747">
        <w:rPr>
          <w:rFonts w:eastAsia="Times New Roman" w:cstheme="minorHAnsi"/>
          <w:noProof/>
          <w:color w:val="000000"/>
          <w:lang w:eastAsia="en-GB"/>
        </w:rPr>
        <w:t>(Viña et al., 2013)</w:t>
      </w:r>
      <w:r w:rsidR="008D641E" w:rsidRPr="009B3747">
        <w:rPr>
          <w:rFonts w:eastAsia="Times New Roman" w:cstheme="minorHAnsi"/>
          <w:color w:val="000000"/>
          <w:lang w:eastAsia="en-GB"/>
        </w:rPr>
        <w:fldChar w:fldCharType="end"/>
      </w:r>
      <w:r w:rsidR="00A16FA3" w:rsidRPr="009B3747">
        <w:rPr>
          <w:rFonts w:eastAsia="Times New Roman" w:cstheme="minorHAnsi"/>
          <w:color w:val="000000"/>
          <w:lang w:eastAsia="en-GB"/>
        </w:rPr>
        <w:t xml:space="preserve"> the study provided a critical opportunity for academics to debate the generally held perceptions about BMI, obesity and health. </w:t>
      </w:r>
    </w:p>
    <w:p w:rsidR="002224C3" w:rsidRPr="009B3747" w:rsidRDefault="002224C3" w:rsidP="00A16FA3">
      <w:pPr>
        <w:rPr>
          <w:rFonts w:eastAsia="Times New Roman" w:cstheme="minorHAnsi"/>
          <w:sz w:val="24"/>
          <w:szCs w:val="24"/>
          <w:lang w:eastAsia="en-GB"/>
        </w:rPr>
      </w:pPr>
    </w:p>
    <w:p w:rsidR="00A16FA3" w:rsidRPr="009B3747" w:rsidRDefault="00B04FA7" w:rsidP="00A16FA3">
      <w:pPr>
        <w:rPr>
          <w:rFonts w:eastAsia="Times New Roman" w:cstheme="minorHAnsi"/>
          <w:lang w:eastAsia="en-GB"/>
        </w:rPr>
      </w:pPr>
      <w:r w:rsidRPr="009B3747">
        <w:rPr>
          <w:rFonts w:eastAsia="Times New Roman" w:cstheme="minorHAnsi"/>
          <w:color w:val="000000"/>
          <w:u w:val="single"/>
          <w:lang w:eastAsia="en-GB"/>
        </w:rPr>
        <w:t>2</w:t>
      </w:r>
      <w:r w:rsidR="00410AD0" w:rsidRPr="009B3747">
        <w:rPr>
          <w:rFonts w:eastAsia="Times New Roman" w:cstheme="minorHAnsi"/>
          <w:color w:val="000000"/>
          <w:u w:val="single"/>
          <w:lang w:eastAsia="en-GB"/>
        </w:rPr>
        <w:t>.</w:t>
      </w:r>
      <w:r w:rsidR="005A7786" w:rsidRPr="009B3747">
        <w:rPr>
          <w:rFonts w:eastAsia="Times New Roman" w:cstheme="minorHAnsi"/>
          <w:color w:val="000000"/>
          <w:u w:val="single"/>
          <w:lang w:eastAsia="en-GB"/>
        </w:rPr>
        <w:t>3.1</w:t>
      </w:r>
      <w:r w:rsidR="002224C3" w:rsidRPr="009B3747">
        <w:rPr>
          <w:rFonts w:eastAsia="Times New Roman" w:cstheme="minorHAnsi"/>
          <w:color w:val="000000"/>
          <w:u w:val="single"/>
          <w:lang w:eastAsia="en-GB"/>
        </w:rPr>
        <w:t xml:space="preserve"> </w:t>
      </w:r>
      <w:r w:rsidR="00A16FA3" w:rsidRPr="009B3747">
        <w:rPr>
          <w:rFonts w:eastAsia="Times New Roman" w:cstheme="minorHAnsi"/>
          <w:color w:val="000000"/>
          <w:u w:val="single"/>
          <w:lang w:eastAsia="en-GB"/>
        </w:rPr>
        <w:t>BMI in children and adolescence</w:t>
      </w:r>
    </w:p>
    <w:p w:rsidR="002224C3" w:rsidRPr="009B3747" w:rsidRDefault="002224C3" w:rsidP="00A16FA3">
      <w:pPr>
        <w:rPr>
          <w:rFonts w:eastAsia="Times New Roman" w:cstheme="minorHAnsi"/>
          <w:color w:val="000000"/>
          <w:lang w:eastAsia="en-GB"/>
        </w:rPr>
      </w:pPr>
    </w:p>
    <w:p w:rsidR="00A16FA3" w:rsidRPr="009B3747" w:rsidRDefault="00A16FA3" w:rsidP="00A16FA3">
      <w:pPr>
        <w:rPr>
          <w:rFonts w:eastAsia="Times New Roman" w:cstheme="minorHAnsi"/>
          <w:color w:val="000000"/>
          <w:lang w:eastAsia="en-GB"/>
        </w:rPr>
      </w:pPr>
      <w:r w:rsidRPr="009B3747">
        <w:rPr>
          <w:rFonts w:eastAsia="Times New Roman" w:cstheme="minorHAnsi"/>
          <w:color w:val="000000"/>
          <w:lang w:eastAsia="en-GB"/>
        </w:rPr>
        <w:t xml:space="preserve">BMI has more recently been developed for use in childhood and adolescence </w:t>
      </w:r>
      <w:r w:rsidR="008D641E"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"Dietz", "given" : "WH", "non-dropping-particle" : "", "parse-names" : false, "suffix" : "" }, { "dropping-particle" : "", "family" : "Bellizzi", "given" : "MC", "non-dropping-particle" : "", "parse-names" : false, "suffix" : "" } ], "container-title" : "The American journal of clinical nutrition", "id" : "ITEM-1", "issue" : "1", "issued" : { "date-parts" : [ [ "1999" ] ] }, "page" : "123S-125S", "title" : "Introduction: the use of body mass index to assess obesity in children", "type" : "article-journal", "volume" : "70" }, "uris" : [ "http://www.mendeley.com/documents/?uuid=bda5ebce-9edb-4e07-85f7-5f98e3209617" ] } ], "mendeley" : { "formattedCitation" : "(Dietz and Bellizzi, 1999)", "plainTextFormattedCitation" : "(Dietz and Bellizzi, 1999)", "previouslyFormattedCitation" : "(Dietz and Bellizzi, 1999)" }, "properties" : { "noteIndex" : 0 }, "schema" : "https://github.com/citation-style-language/schema/raw/master/csl-citation.json" }</w:instrText>
      </w:r>
      <w:r w:rsidR="008D641E" w:rsidRPr="009B3747">
        <w:rPr>
          <w:rFonts w:eastAsia="Times New Roman" w:cstheme="minorHAnsi"/>
          <w:color w:val="000000"/>
          <w:lang w:eastAsia="en-GB"/>
        </w:rPr>
        <w:fldChar w:fldCharType="separate"/>
      </w:r>
      <w:r w:rsidR="008D641E" w:rsidRPr="009B3747">
        <w:rPr>
          <w:rFonts w:eastAsia="Times New Roman" w:cstheme="minorHAnsi"/>
          <w:noProof/>
          <w:color w:val="000000"/>
          <w:lang w:eastAsia="en-GB"/>
        </w:rPr>
        <w:t>(Dietz and Bellizzi, 1999)</w:t>
      </w:r>
      <w:r w:rsidR="008D641E" w:rsidRPr="009B3747">
        <w:rPr>
          <w:rFonts w:eastAsia="Times New Roman" w:cstheme="minorHAnsi"/>
          <w:color w:val="000000"/>
          <w:lang w:eastAsia="en-GB"/>
        </w:rPr>
        <w:fldChar w:fldCharType="end"/>
      </w:r>
      <w:r w:rsidR="008D641E" w:rsidRPr="009B3747">
        <w:rPr>
          <w:rFonts w:eastAsia="Times New Roman" w:cstheme="minorHAnsi"/>
          <w:color w:val="000000"/>
          <w:lang w:eastAsia="en-GB"/>
        </w:rPr>
        <w:t>,</w:t>
      </w:r>
      <w:r w:rsidRPr="009B3747">
        <w:rPr>
          <w:rFonts w:eastAsia="Times New Roman" w:cstheme="minorHAnsi"/>
          <w:color w:val="000000"/>
          <w:lang w:eastAsia="en-GB"/>
        </w:rPr>
        <w:t xml:space="preserve"> although its application is more complicated than adults due to the need to compare to population norms and account for a child’s age and gender </w:t>
      </w:r>
      <w:r w:rsidR="008D641E"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"Cole", "given" : "TJ", "non-dropping-particle" : "", "parse-names" : false, "suffix" : "" }, { "dropping-particle" : "", "family" : "Freeman", "given" : "JV", "non-dropping-particle" : "", "parse-names" : false, "suffix" : "" }, { "dropping-particle" : "", "family" : "Preece", "given" : "MA", "non-dropping-particle" : "", "parse-names" : false, "suffix" : "" } ], "container-title" : "Archives of disease in childhood", "id" : "ITEM-1", "issue" : "1", "issued" : { "date-parts" : [ [ "1995" ] ] }, "page" : "25-29", "title" : "Body mass index reference curves for the UK, 1990.", "type" : "article-journal", "volume" : "73" }, "uris" : [ "http://www.mendeley.com/documents/?uuid=bee629ee-9a57-49e5-a87d-474eace079e6" ] }, { "id" : "ITEM-2", "itemData" : { "author" : [ { "dropping-particle" : "", "family" : "Cole", "given" : "TJ", "non-dropping-particle" : "", "parse-names" : false, "suffix" : "" }, { "dropping-particle" : "", "family" : "Bellizzi", "given" : "MC", "non-dropping-particle" : "", "parse-names" : false, "suffix" : "" }, { "dropping-particle" : "", "family" : "Flegal", "given" : "KM", "non-dropping-particle" : "", "parse-names" : false, "suffix" : "" }, { "dropping-particle" : "", "family" : "Dietz", "given" : "WH", "non-dropping-particle" : "", "parse-names" : false, "suffix" : "" } ], "container-title" : "Bmj", "id" : "ITEM-2", "issued" : { "date-parts" : [ [ "2000" ] ] }, "page" : "1240", "title" : "Establishing a standard definition for child overweight and obesity worldwide: international survey", "type" : "article-journal", "volume" : "320" }, "uris" : [ "http://www.mendeley.com/documents/?uuid=44d54f61-b97b-4c44-be03-59b8c8d84c5b" ] } ], "mendeley" : { "formattedCitation" : "(Cole et al., 1995, 2000)", "plainTextFormattedCitation" : "(Cole et al., 1995, 2000)", "previouslyFormattedCitation" : "(Cole et al., 1995, 2000)" }, "properties" : { "noteIndex" : 0 }, "schema" : "https://github.com/citation-style-language/schema/raw/master/csl-citation.json" }</w:instrText>
      </w:r>
      <w:r w:rsidR="008D641E" w:rsidRPr="009B3747">
        <w:rPr>
          <w:rFonts w:eastAsia="Times New Roman" w:cstheme="minorHAnsi"/>
          <w:color w:val="000000"/>
          <w:lang w:eastAsia="en-GB"/>
        </w:rPr>
        <w:fldChar w:fldCharType="separate"/>
      </w:r>
      <w:r w:rsidR="008D641E" w:rsidRPr="009B3747">
        <w:rPr>
          <w:rFonts w:eastAsia="Times New Roman" w:cstheme="minorHAnsi"/>
          <w:noProof/>
          <w:color w:val="000000"/>
          <w:lang w:eastAsia="en-GB"/>
        </w:rPr>
        <w:t>(Cole et al., 1995, 2000)</w:t>
      </w:r>
      <w:r w:rsidR="008D641E" w:rsidRPr="009B3747">
        <w:rPr>
          <w:rFonts w:eastAsia="Times New Roman" w:cstheme="minorHAnsi"/>
          <w:color w:val="000000"/>
          <w:lang w:eastAsia="en-GB"/>
        </w:rPr>
        <w:fldChar w:fldCharType="end"/>
      </w:r>
      <w:r w:rsidR="008D641E" w:rsidRPr="009B3747">
        <w:rPr>
          <w:rFonts w:eastAsia="Times New Roman" w:cstheme="minorHAnsi"/>
          <w:color w:val="000000"/>
          <w:lang w:eastAsia="en-GB"/>
        </w:rPr>
        <w:t xml:space="preserve">.  </w:t>
      </w:r>
      <w:r w:rsidRPr="009B3747">
        <w:rPr>
          <w:rFonts w:eastAsia="Times New Roman" w:cstheme="minorHAnsi"/>
          <w:color w:val="000000"/>
          <w:lang w:eastAsia="en-GB"/>
        </w:rPr>
        <w:t>Across the world, national reference charts are used to routinely monitor children’s growth</w:t>
      </w:r>
      <w:r w:rsidR="008D641E" w:rsidRPr="009B3747">
        <w:rPr>
          <w:rFonts w:eastAsia="Times New Roman" w:cstheme="minorHAnsi"/>
          <w:color w:val="000000"/>
          <w:lang w:eastAsia="en-GB"/>
        </w:rPr>
        <w:t xml:space="preserve"> </w:t>
      </w:r>
      <w:r w:rsidR="008D641E"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"Rolland-Cachera", "given" : "MF", "non-dropping-particle" : "", "parse-names" : false, "suffix" : "" }, { "dropping-particle" : "", "family" : "Cole", "given" : "TJ", "non-dropping-particle" : "", "parse-names" : false, "suffix" : "" } ], "container-title" : "European journal of \u2026", "id" : "ITEM-1", "issue" : "1", "issued" : { "date-parts" : [ [ "1991" ] ] }, "page" : "13-21", "title" : "Body Mass Index variations: centiles from birth to 87 years.", "type" : "article-journal", "volume" : "45" }, "uris" : [ "http://www.mendeley.com/documents/?uuid=e0d8dc72-524b-4d94-9606-9f06783bb3e1" ] }, { "id" : "ITEM-2", "itemData" : { "author" : [ { "dropping-particle" : "", "family" : "Cole", "given" : "TJ", "non-dropping-particle" : "", "parse-names" : false, "suffix" : "" }, { "dropping-particle" : "", "family" : "Freeman", "given" : "JV", "non-dropping-particle" : "", "parse-names" : false, "suffix" : "" }, { "dropping-particle" : "", "family" : "Preece", "given" : "MA", "non-dropping-particle" : "", "parse-names" : false, "suffix" : "" } ], "container-title" : "Archives of disease in childhood", "id" : "ITEM-2", "issue" : "1", "issued" : { "date-parts" : [ [ "1995" ] ] }, "page" : "25-29", "title" : "Body mass index reference curves for the UK, 1990.", "type" : "article-journal", "volume" : "73" }, "uris" : [ "http://www.mendeley.com/documents/?uuid=bee629ee-9a57-49e5-a87d-474eace079e6" ] }, { "id" : "ITEM-3", "itemData" : { "author" : [ { "dropping-particle" : "", "family" : "Kuczmarski", "given" : "RJ", "non-dropping-particle" : "", "parse-names" : false, "suffix" : "" }, { "dropping-particle" : "", "family" : "Ogden", "given" : "CL", "non-dropping-particle" : "", "parse-names" : false, "suffix" : "" } ], "container-title" : "Advance data", "id" : "ITEM-3", "issue" : "314", "issued" : { "date-parts" : [ [ "2000" ] ] }, "page" : "1-27", "title" : "CDC growth charts: United States.", "type" : "article-journal", "volume" : "8" }, "uris" : [ "http://www.mendeley.com/documents/?uuid=3c1c8f4b-933c-4e21-8440-6caf2bd8eab2" ] }, { "id" : "ITEM-4", "itemData" : { "author" : [ { "dropping-particle" : "", "family" : "Chinn", "given" : "S", "non-dropping-particle" : "", "parse-names" : false, "suffix" : "" }, { "dropping-particle" : "", "family" : "Rona", "given" : "RJ", "non-dropping-particle" : "", "parse-names" : false, "suffix" : "" } ], "container-title" : "Bmj", "id" : "ITEM-4", "issue" : "7277", "issued" : { "date-parts" : [ [ "2001" ] ] }, "page" : "24-26", "title" : "Prevalence and trends in overweight and obesity in three cross sectional studies of British children, 1974-94", "type" : "article-journal", "volume" : "322" }, "uris" : [ "http://www.mendeley.com/documents/?uuid=74e7eeee-70bf-4c5e-b0ca-1e95e4405006" ] }, { "id" : "ITEM-5", "itemData" : { "author" : [ { "dropping-particle" : "", "family" : "Cacciari", "given" : "E", "non-dropping-particle" : "", "parse-names" : false, "suffix" : "" }, { "dropping-particle" : "", "family" : "Milani", "given" : "S", "non-dropping-particle" : "", "parse-names" : false, "suffix" : "" } ], "container-title" : "European Journal of Clinical Nutrition", "id" : "ITEM-5", "issue" : "2", "issued" : { "date-parts" : [ [ "2002" ] ] }, "page" : "171-180", "title" : "Italian cross-sectional growth charts for height, weight and BMI (6-20 y).", "type" : "article-journal", "volume" : "56" }, "uris" : [ "http://www.mendeley.com/documents/?uuid=dd5d1de0-1fec-4180-816d-582b96d4f779" ] }, { "id" : "ITEM-6", "itemData" : { "author" : [ { "dropping-particle" : "", "family" : "He", "given" : "Q", "non-dropping-particle" : "", "parse-names" : false, "suffix" : "" }, { "dropping-particle" : "", "family" : "Albertsson\u2010Wikland", "given" : "K", "non-dropping-particle" : "", "parse-names" : false, "suffix" : "" }, { "dropping-particle" : "", "family" : "Karlberg", "given" : "J", "non-dropping-particle" : "", "parse-names" : false, "suffix" : "" } ], "container-title" : "Acta Paediatrica", "id" : "ITEM-6", "issue" : "9", "issued" : { "date-parts" : [ [ "2000" ] ] }, "page" : "582-592", "title" : "Population\u2010based body mass index reference values from G\u00f6teborg, Sweden: birth to 18 years of age", "type" : "article-journal", "volume" : "85" }, "uris" : [ "http://www.mendeley.com/documents/?uuid=97d846de-70d7-479a-ad97-e498dd3a4e44" ] } ], "mendeley" : { "formattedCitation" : "(Rolland-Cachera and Cole, 1991; Cole et al., 1995; Kuczmarski and Ogden, 2000; Chinn and Rona, 2001; Cacciari and Milani, 2002; He et al., 2000)", "plainTextFormattedCitation" : "(Rolland-Cachera and Cole, 1991; Cole et al., 1995; Kuczmarski and Ogden, 2000; Chinn and Rona, 2001; Cacciari and Milani, 2002; He et al., 2000)", "previouslyFormattedCitation" : "(Rolland-Cachera and Cole, 1991; Cole et al., 1995; Kuczmarski and Ogden, 2000; Chinn and Rona, 2001; Cacciari and Milani, 2002; He et al., 2000)" }, "properties" : { "noteIndex" : 0 }, "schema" : "https://github.com/citation-style-language/schema/raw/master/csl-citation.json" }</w:instrText>
      </w:r>
      <w:r w:rsidR="008D641E" w:rsidRPr="009B3747">
        <w:rPr>
          <w:rFonts w:eastAsia="Times New Roman" w:cstheme="minorHAnsi"/>
          <w:color w:val="000000"/>
          <w:lang w:eastAsia="en-GB"/>
        </w:rPr>
        <w:fldChar w:fldCharType="separate"/>
      </w:r>
      <w:r w:rsidR="008D641E" w:rsidRPr="009B3747">
        <w:rPr>
          <w:rFonts w:eastAsia="Times New Roman" w:cstheme="minorHAnsi"/>
          <w:noProof/>
          <w:color w:val="000000"/>
          <w:lang w:eastAsia="en-GB"/>
        </w:rPr>
        <w:t>(Rolland-Cachera and Cole, 1991; Cole et al., 1995; Kuczmarski and Ogden, 2000; Chinn and Rona, 2001; Cacciari and Milani, 2002; He et al., 2000)</w:t>
      </w:r>
      <w:r w:rsidR="008D641E" w:rsidRPr="009B3747">
        <w:rPr>
          <w:rFonts w:eastAsia="Times New Roman" w:cstheme="minorHAnsi"/>
          <w:color w:val="000000"/>
          <w:lang w:eastAsia="en-GB"/>
        </w:rPr>
        <w:fldChar w:fldCharType="end"/>
      </w:r>
      <w:r w:rsidR="001A49F5">
        <w:rPr>
          <w:rFonts w:eastAsia="Times New Roman" w:cstheme="minorHAnsi"/>
          <w:color w:val="000000"/>
          <w:lang w:eastAsia="en-GB"/>
        </w:rPr>
        <w:t xml:space="preserve">.  Defining overweight and obesity through selected percentiles in national reference charts is undertaken </w:t>
      </w:r>
      <w:r w:rsidRPr="009B3747">
        <w:rPr>
          <w:rFonts w:eastAsia="Times New Roman" w:cstheme="minorHAnsi"/>
          <w:color w:val="000000"/>
          <w:lang w:eastAsia="en-GB"/>
        </w:rPr>
        <w:t>as a secondary purpose</w:t>
      </w:r>
      <w:r w:rsidR="008D641E" w:rsidRPr="009B3747">
        <w:rPr>
          <w:rFonts w:eastAsia="Times New Roman" w:cstheme="minorHAnsi"/>
          <w:color w:val="000000"/>
          <w:lang w:eastAsia="en-GB"/>
        </w:rPr>
        <w:t xml:space="preserve"> </w:t>
      </w:r>
      <w:r w:rsidR="008D641E"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"Flegal", "given" : "KM", "non-dropping-particle" : "", "parse-names" : false, "suffix" : "" }, { "dropping-particle" : "", "family" : "Ogden", "given" : "CL", "non-dropping-particle" : "", "parse-names" : false, "suffix" : "" } ], "container-title" : "Advances in Nutrition: An International Review Journal", "id" : "ITEM-1", "issued" : { "date-parts" : [ [ "2011" ] ] }, "page" : "159S-166S", "title" : "Childhood obesity: are we all speaking the same language?", "type" : "article-journal", "volume" : "2" }, "uris" : [ "http://www.mendeley.com/documents/?uuid=3d7b9d20-bf79-40ae-b176-c31ea8e9206a" ] } ], "mendeley" : { "formattedCitation" : "(Flegal and Ogden, 2011)", "plainTextFormattedCitation" : "(Flegal and Ogden, 2011)", "previouslyFormattedCitation" : "(Flegal and Ogden, 2011)" }, "properties" : { "noteIndex" : 0 }, "schema" : "https://github.com/citation-style-language/schema/raw/master/csl-citation.json" }</w:instrText>
      </w:r>
      <w:r w:rsidR="008D641E" w:rsidRPr="009B3747">
        <w:rPr>
          <w:rFonts w:eastAsia="Times New Roman" w:cstheme="minorHAnsi"/>
          <w:color w:val="000000"/>
          <w:lang w:eastAsia="en-GB"/>
        </w:rPr>
        <w:fldChar w:fldCharType="separate"/>
      </w:r>
      <w:r w:rsidR="008D641E" w:rsidRPr="009B3747">
        <w:rPr>
          <w:rFonts w:eastAsia="Times New Roman" w:cstheme="minorHAnsi"/>
          <w:noProof/>
          <w:color w:val="000000"/>
          <w:lang w:eastAsia="en-GB"/>
        </w:rPr>
        <w:t>(Flegal and Ogden, 2011)</w:t>
      </w:r>
      <w:r w:rsidR="008D641E"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In the UK, </w:t>
      </w:r>
      <w:r w:rsidRPr="009B3747">
        <w:rPr>
          <w:rFonts w:eastAsia="Times New Roman" w:cstheme="minorHAnsi"/>
          <w:color w:val="000000"/>
          <w:lang w:eastAsia="en-GB"/>
        </w:rPr>
        <w:lastRenderedPageBreak/>
        <w:t>the 1990 British growth reference chart was developed from a represent</w:t>
      </w:r>
      <w:r w:rsidR="001A49F5">
        <w:rPr>
          <w:rFonts w:eastAsia="Times New Roman" w:cstheme="minorHAnsi"/>
          <w:color w:val="000000"/>
          <w:lang w:eastAsia="en-GB"/>
        </w:rPr>
        <w:t xml:space="preserve">ative survey of 37,000 children, </w:t>
      </w:r>
      <w:r w:rsidRPr="009B3747">
        <w:rPr>
          <w:rFonts w:eastAsia="Times New Roman" w:cstheme="minorHAnsi"/>
          <w:color w:val="000000"/>
          <w:lang w:eastAsia="en-GB"/>
        </w:rPr>
        <w:t>aged from birth to 23 years across England, Scotland and Wales (including data on weight, height, BMI and head circumference)</w:t>
      </w:r>
      <w:r w:rsidR="008D641E" w:rsidRPr="009B3747">
        <w:rPr>
          <w:rFonts w:eastAsia="Times New Roman" w:cstheme="minorHAnsi"/>
          <w:color w:val="000000"/>
          <w:lang w:eastAsia="en-GB"/>
        </w:rPr>
        <w:t xml:space="preserve"> </w:t>
      </w:r>
      <w:r w:rsidR="008D641E"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"Cole", "given" : "TJ", "non-dropping-particle" : "", "parse-names" : false, "suffix" : "" }, { "dropping-particle" : "", "family" : "Freeman", "given" : "JV", "non-dropping-particle" : "", "parse-names" : false, "suffix" : "" }, { "dropping-particle" : "", "family" : "Preece", "given" : "MA", "non-dropping-particle" : "", "parse-names" : false, "suffix" : "" } ], "container-title" : "Archives of disease in childhood", "id" : "ITEM-1", "issue" : "1", "issued" : { "date-parts" : [ [ "1995" ] ] }, "page" : "25-29", "title" : "Body mass index reference curves for the UK, 1990.", "type" : "article-journal", "volume" : "73" }, "uris" : [ "http://www.mendeley.com/documents/?uuid=bee629ee-9a57-49e5-a87d-474eace079e6" ] } ], "mendeley" : { "formattedCitation" : "(Cole et al., 1995)", "plainTextFormattedCitation" : "(Cole et al., 1995)", "previouslyFormattedCitation" : "(Cole et al., 1995)" }, "properties" : { "noteIndex" : 0 }, "schema" : "https://github.com/citation-style-language/schema/raw/master/csl-citation.json" }</w:instrText>
      </w:r>
      <w:r w:rsidR="008D641E" w:rsidRPr="009B3747">
        <w:rPr>
          <w:rFonts w:eastAsia="Times New Roman" w:cstheme="minorHAnsi"/>
          <w:color w:val="000000"/>
          <w:lang w:eastAsia="en-GB"/>
        </w:rPr>
        <w:fldChar w:fldCharType="separate"/>
      </w:r>
      <w:r w:rsidR="008D641E" w:rsidRPr="009B3747">
        <w:rPr>
          <w:rFonts w:eastAsia="Times New Roman" w:cstheme="minorHAnsi"/>
          <w:noProof/>
          <w:color w:val="000000"/>
          <w:lang w:eastAsia="en-GB"/>
        </w:rPr>
        <w:t>(Cole et al., 1995)</w:t>
      </w:r>
      <w:r w:rsidR="008D641E" w:rsidRPr="009B3747">
        <w:rPr>
          <w:rFonts w:eastAsia="Times New Roman" w:cstheme="minorHAnsi"/>
          <w:color w:val="000000"/>
          <w:lang w:eastAsia="en-GB"/>
        </w:rPr>
        <w:fldChar w:fldCharType="end"/>
      </w:r>
      <w:r w:rsidR="008D641E" w:rsidRPr="009B3747">
        <w:rPr>
          <w:rFonts w:eastAsia="Times New Roman" w:cstheme="minorHAnsi"/>
          <w:color w:val="000000"/>
          <w:lang w:eastAsia="en-GB"/>
        </w:rPr>
        <w:t>.</w:t>
      </w:r>
    </w:p>
    <w:p w:rsidR="002224C3" w:rsidRPr="009B3747" w:rsidRDefault="002224C3" w:rsidP="00A16FA3">
      <w:pPr>
        <w:rPr>
          <w:rFonts w:eastAsia="Times New Roman" w:cstheme="minorHAnsi"/>
          <w:sz w:val="24"/>
          <w:szCs w:val="24"/>
          <w:lang w:eastAsia="en-GB"/>
        </w:rPr>
      </w:pPr>
    </w:p>
    <w:p w:rsidR="00A16FA3" w:rsidRPr="009B3747" w:rsidRDefault="002D0099" w:rsidP="00A16FA3">
      <w:pPr>
        <w:rPr>
          <w:rFonts w:eastAsia="Times New Roman" w:cstheme="minorHAnsi"/>
          <w:sz w:val="24"/>
          <w:szCs w:val="24"/>
          <w:lang w:eastAsia="en-GB"/>
        </w:rPr>
      </w:pPr>
      <w:r w:rsidRPr="009B3747">
        <w:rPr>
          <w:rFonts w:eastAsia="Times New Roman" w:cstheme="minorHAnsi"/>
          <w:color w:val="000000"/>
          <w:lang w:eastAsia="en-GB"/>
        </w:rPr>
        <w:t>The use of n</w:t>
      </w:r>
      <w:r w:rsidR="00A16FA3" w:rsidRPr="009B3747">
        <w:rPr>
          <w:rFonts w:eastAsia="Times New Roman" w:cstheme="minorHAnsi"/>
          <w:color w:val="000000"/>
          <w:lang w:eastAsia="en-GB"/>
        </w:rPr>
        <w:t xml:space="preserve">ational reference charts for assessing excess weight in childhood and adolescence, requires BMI values in individual children to be converted to z-scores (the number of standard deviations from the mean BMI for the child’s age and sex), enabling comparison of BMI across age and sex </w:t>
      </w:r>
      <w:r w:rsidR="008D641E"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"Flegal", "given" : "KM", "non-dropping-particle" : "", "parse-names" : false, "suffix" : "" }, { "dropping-particle" : "", "family" : "Ogden", "given" : "CL", "non-dropping-particle" : "", "parse-names" : false, "suffix" : "" } ], "container-title" : "Advances in Nutrition: An International Review Journal", "id" : "ITEM-1", "issued" : { "date-parts" : [ [ "2011" ] ] }, "page" : "159S-166S", "title" : "Childhood obesity: are we all speaking the same language?", "type" : "article-journal", "volume" : "2" }, "uris" : [ "http://www.mendeley.com/documents/?uuid=3d7b9d20-bf79-40ae-b176-c31ea8e9206a" ] } ], "mendeley" : { "formattedCitation" : "(Flegal and Ogden, 2011)", "plainTextFormattedCitation" : "(Flegal and Ogden, 2011)", "previouslyFormattedCitation" : "(Flegal and Ogden, 2011)" }, "properties" : { "noteIndex" : 0 }, "schema" : "https://github.com/citation-style-language/schema/raw/master/csl-citation.json" }</w:instrText>
      </w:r>
      <w:r w:rsidR="008D641E" w:rsidRPr="009B3747">
        <w:rPr>
          <w:rFonts w:eastAsia="Times New Roman" w:cstheme="minorHAnsi"/>
          <w:color w:val="000000"/>
          <w:lang w:eastAsia="en-GB"/>
        </w:rPr>
        <w:fldChar w:fldCharType="separate"/>
      </w:r>
      <w:r w:rsidR="008D641E" w:rsidRPr="009B3747">
        <w:rPr>
          <w:rFonts w:eastAsia="Times New Roman" w:cstheme="minorHAnsi"/>
          <w:noProof/>
          <w:color w:val="000000"/>
          <w:lang w:eastAsia="en-GB"/>
        </w:rPr>
        <w:t>(Flegal and Ogden, 2011)</w:t>
      </w:r>
      <w:r w:rsidR="008D641E" w:rsidRPr="009B3747">
        <w:rPr>
          <w:rFonts w:eastAsia="Times New Roman" w:cstheme="minorHAnsi"/>
          <w:color w:val="000000"/>
          <w:lang w:eastAsia="en-GB"/>
        </w:rPr>
        <w:fldChar w:fldCharType="end"/>
      </w:r>
      <w:r w:rsidR="00550C67" w:rsidRPr="009B3747">
        <w:rPr>
          <w:rFonts w:eastAsia="Times New Roman" w:cstheme="minorHAnsi"/>
          <w:color w:val="000000"/>
          <w:lang w:eastAsia="en-GB"/>
        </w:rPr>
        <w:t xml:space="preserve">.  </w:t>
      </w:r>
      <w:r w:rsidR="00A16FA3" w:rsidRPr="009B3747">
        <w:rPr>
          <w:rFonts w:eastAsia="Times New Roman" w:cstheme="minorHAnsi"/>
          <w:color w:val="000000"/>
          <w:lang w:eastAsia="en-GB"/>
        </w:rPr>
        <w:t>Secondly, percentile cut offs are established to define the point in which overweight and obesity are assessed.  UK national guidelines recommend for epidemiological purposes</w:t>
      </w:r>
      <w:r w:rsidR="001A49F5">
        <w:rPr>
          <w:rFonts w:eastAsia="Times New Roman" w:cstheme="minorHAnsi"/>
          <w:color w:val="000000"/>
          <w:lang w:eastAsia="en-GB"/>
        </w:rPr>
        <w:t>,</w:t>
      </w:r>
      <w:r w:rsidR="00A16FA3" w:rsidRPr="009B3747">
        <w:rPr>
          <w:rFonts w:eastAsia="Times New Roman" w:cstheme="minorHAnsi"/>
          <w:color w:val="000000"/>
          <w:lang w:eastAsia="en-GB"/>
        </w:rPr>
        <w:t xml:space="preserve"> the 85</w:t>
      </w:r>
      <w:r w:rsidR="00A16FA3" w:rsidRPr="009B3747">
        <w:rPr>
          <w:rFonts w:eastAsia="Times New Roman" w:cstheme="minorHAnsi"/>
          <w:color w:val="000000"/>
          <w:vertAlign w:val="superscript"/>
          <w:lang w:eastAsia="en-GB"/>
        </w:rPr>
        <w:t>th</w:t>
      </w:r>
      <w:r w:rsidR="00A16FA3" w:rsidRPr="009B3747">
        <w:rPr>
          <w:rFonts w:eastAsia="Times New Roman" w:cstheme="minorHAnsi"/>
          <w:color w:val="000000"/>
          <w:lang w:eastAsia="en-GB"/>
        </w:rPr>
        <w:t xml:space="preserve"> and 95</w:t>
      </w:r>
      <w:r w:rsidR="00A16FA3" w:rsidRPr="009B3747">
        <w:rPr>
          <w:rFonts w:eastAsia="Times New Roman" w:cstheme="minorHAnsi"/>
          <w:color w:val="000000"/>
          <w:vertAlign w:val="superscript"/>
          <w:lang w:eastAsia="en-GB"/>
        </w:rPr>
        <w:t>th</w:t>
      </w:r>
      <w:r w:rsidR="00A16FA3" w:rsidRPr="009B3747">
        <w:rPr>
          <w:rFonts w:eastAsia="Times New Roman" w:cstheme="minorHAnsi"/>
          <w:color w:val="000000"/>
          <w:lang w:eastAsia="en-GB"/>
        </w:rPr>
        <w:t xml:space="preserve"> percentiles are used as cut offs for overweight and obesity respectively, whereas in clinical practice the 91</w:t>
      </w:r>
      <w:r w:rsidR="00A16FA3" w:rsidRPr="009B3747">
        <w:rPr>
          <w:rFonts w:eastAsia="Times New Roman" w:cstheme="minorHAnsi"/>
          <w:color w:val="000000"/>
          <w:vertAlign w:val="superscript"/>
          <w:lang w:eastAsia="en-GB"/>
        </w:rPr>
        <w:t>st</w:t>
      </w:r>
      <w:r w:rsidR="00A16FA3" w:rsidRPr="009B3747">
        <w:rPr>
          <w:rFonts w:eastAsia="Times New Roman" w:cstheme="minorHAnsi"/>
          <w:color w:val="000000"/>
          <w:lang w:eastAsia="en-GB"/>
        </w:rPr>
        <w:t xml:space="preserve"> and 98</w:t>
      </w:r>
      <w:r w:rsidR="00A16FA3" w:rsidRPr="009B3747">
        <w:rPr>
          <w:rFonts w:eastAsia="Times New Roman" w:cstheme="minorHAnsi"/>
          <w:color w:val="000000"/>
          <w:vertAlign w:val="superscript"/>
          <w:lang w:eastAsia="en-GB"/>
        </w:rPr>
        <w:t>th</w:t>
      </w:r>
      <w:r w:rsidR="00A16FA3" w:rsidRPr="009B3747">
        <w:rPr>
          <w:rFonts w:eastAsia="Times New Roman" w:cstheme="minorHAnsi"/>
          <w:color w:val="000000"/>
          <w:lang w:eastAsia="en-GB"/>
        </w:rPr>
        <w:t xml:space="preserve"> percentiles</w:t>
      </w:r>
      <w:r w:rsidR="00550C67" w:rsidRPr="009B3747">
        <w:rPr>
          <w:rFonts w:eastAsia="Times New Roman" w:cstheme="minorHAnsi"/>
          <w:color w:val="000000"/>
          <w:lang w:eastAsia="en-GB"/>
        </w:rPr>
        <w:t xml:space="preserve"> </w:t>
      </w:r>
      <w:r w:rsidR="00550C67"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"Public Health England", "given" : "", "non-dropping-particle" : "", "parse-names" : false, "suffix" : "" } ], "id" : "ITEM-1", "issued" : { "date-parts" : [ [ "2011" ] ] }, "publisher-place" : "Public Health England", "title" : "A simple guide to classifying body mass index in children", "type" : "report" }, "uris" : [ "http://www.mendeley.com/documents/?uuid=cae43b18-f595-4742-9fb0-3f0c2d83658d" ] } ], "mendeley" : { "formattedCitation" : "(Public Health England, 2011a)", "plainTextFormattedCitation" : "(Public Health England, 2011a)", "previouslyFormattedCitation" : "(Public Health England, 2011a)" }, "properties" : { "noteIndex" : 0 }, "schema" : "https://github.com/citation-style-language/schema/raw/master/csl-citation.json" }</w:instrText>
      </w:r>
      <w:r w:rsidR="00550C67" w:rsidRPr="009B3747">
        <w:rPr>
          <w:rFonts w:eastAsia="Times New Roman" w:cstheme="minorHAnsi"/>
          <w:color w:val="000000"/>
          <w:lang w:eastAsia="en-GB"/>
        </w:rPr>
        <w:fldChar w:fldCharType="separate"/>
      </w:r>
      <w:r w:rsidR="005E3FF4" w:rsidRPr="009B3747">
        <w:rPr>
          <w:rFonts w:eastAsia="Times New Roman" w:cstheme="minorHAnsi"/>
          <w:noProof/>
          <w:color w:val="000000"/>
          <w:lang w:eastAsia="en-GB"/>
        </w:rPr>
        <w:t>(Public Health England, 2011a)</w:t>
      </w:r>
      <w:r w:rsidR="00550C67" w:rsidRPr="009B3747">
        <w:rPr>
          <w:rFonts w:eastAsia="Times New Roman" w:cstheme="minorHAnsi"/>
          <w:color w:val="000000"/>
          <w:lang w:eastAsia="en-GB"/>
        </w:rPr>
        <w:fldChar w:fldCharType="end"/>
      </w:r>
      <w:r w:rsidR="00550C67" w:rsidRPr="009B3747">
        <w:rPr>
          <w:rFonts w:eastAsia="Times New Roman" w:cstheme="minorHAnsi"/>
          <w:color w:val="000000"/>
          <w:lang w:eastAsia="en-GB"/>
        </w:rPr>
        <w:t>.  T</w:t>
      </w:r>
      <w:r w:rsidR="00A16FA3" w:rsidRPr="009B3747">
        <w:rPr>
          <w:rFonts w:eastAsia="Times New Roman" w:cstheme="minorHAnsi"/>
          <w:color w:val="000000"/>
          <w:lang w:eastAsia="en-GB"/>
        </w:rPr>
        <w:t>he differences in cut offs, allows for high specificity in clinical practice and high sensitivity in epidemiological studies</w:t>
      </w:r>
      <w:r w:rsidR="00550C67" w:rsidRPr="009B3747">
        <w:rPr>
          <w:rFonts w:eastAsia="Times New Roman" w:cstheme="minorHAnsi"/>
          <w:color w:val="000000"/>
          <w:lang w:eastAsia="en-GB"/>
        </w:rPr>
        <w:t xml:space="preserve"> </w:t>
      </w:r>
      <w:r w:rsidR="00550C67"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"Reilly", "given" : "JJ", "non-dropping-particle" : "", "parse-names" : false, "suffix" : "" } ], "container-title" : "Obesity research", "id" : "ITEM-1", "issue" : "8", "issued" : { "date-parts" : [ [ "2002" ] ] }, "page" : "838-840", "title" : "Assessment of childhood obesity: national reference data or international approach?", "type" : "article-journal", "volume" : "10" }, "uris" : [ "http://www.mendeley.com/documents/?uuid=148902f1-2aa4-410e-8cf3-ab09a047c042" ] }, { "id" : "ITEM-2", "itemData" : { "author" : [ { "dropping-particle" : "", "family" : "Reilly", "given" : "JJ", "non-dropping-particle" : "", "parse-names" : false, "suffix" : "" } ], "container-title" : "Best Practice &amp; Research Clinical Endocrinology &amp; \u2026", "id" : "ITEM-2", "issue" : "3", "issued" : { "date-parts" : [ [ "2005" ] ] }, "page" : "327-341", "title" : "Descriptive epidemiology and health consequences of childhood obesity", "type" : "article-journal", "volume" : "19" }, "uris" : [ "http://www.mendeley.com/documents/?uuid=50e89351-9988-4ef0-8ba2-b3220ca1c780" ] } ], "mendeley" : { "formattedCitation" : "(Reilly, 2002, 2005)", "plainTextFormattedCitation" : "(Reilly, 2002, 2005)", "previouslyFormattedCitation" : "(Reilly, 2002, 2005)" }, "properties" : { "noteIndex" : 0 }, "schema" : "https://github.com/citation-style-language/schema/raw/master/csl-citation.json" }</w:instrText>
      </w:r>
      <w:r w:rsidR="00550C67" w:rsidRPr="009B3747">
        <w:rPr>
          <w:rFonts w:eastAsia="Times New Roman" w:cstheme="minorHAnsi"/>
          <w:color w:val="000000"/>
          <w:lang w:eastAsia="en-GB"/>
        </w:rPr>
        <w:fldChar w:fldCharType="separate"/>
      </w:r>
      <w:r w:rsidR="00550C67" w:rsidRPr="009B3747">
        <w:rPr>
          <w:rFonts w:eastAsia="Times New Roman" w:cstheme="minorHAnsi"/>
          <w:noProof/>
          <w:color w:val="000000"/>
          <w:lang w:eastAsia="en-GB"/>
        </w:rPr>
        <w:t>(Reilly, 2002, 2005)</w:t>
      </w:r>
      <w:r w:rsidR="00550C67" w:rsidRPr="009B3747">
        <w:rPr>
          <w:rFonts w:eastAsia="Times New Roman" w:cstheme="minorHAnsi"/>
          <w:color w:val="000000"/>
          <w:lang w:eastAsia="en-GB"/>
        </w:rPr>
        <w:fldChar w:fldCharType="end"/>
      </w:r>
      <w:r w:rsidR="00550C67" w:rsidRPr="009B3747">
        <w:rPr>
          <w:rFonts w:eastAsia="Times New Roman" w:cstheme="minorHAnsi"/>
          <w:color w:val="000000"/>
          <w:lang w:eastAsia="en-GB"/>
        </w:rPr>
        <w:t>.</w:t>
      </w:r>
    </w:p>
    <w:p w:rsidR="002224C3" w:rsidRPr="009B3747" w:rsidRDefault="002224C3" w:rsidP="00A16FA3">
      <w:pPr>
        <w:rPr>
          <w:rFonts w:eastAsia="Times New Roman" w:cstheme="minorHAnsi"/>
          <w:color w:val="000000"/>
          <w:lang w:eastAsia="en-GB"/>
        </w:rPr>
      </w:pPr>
    </w:p>
    <w:p w:rsidR="00A16FA3" w:rsidRPr="009B3747" w:rsidRDefault="00A16FA3" w:rsidP="00A16FA3">
      <w:pPr>
        <w:rPr>
          <w:rFonts w:eastAsia="Times New Roman" w:cstheme="minorHAnsi"/>
          <w:sz w:val="24"/>
          <w:szCs w:val="24"/>
          <w:lang w:eastAsia="en-GB"/>
        </w:rPr>
      </w:pPr>
      <w:r w:rsidRPr="009B3747">
        <w:rPr>
          <w:rFonts w:eastAsia="Times New Roman" w:cstheme="minorHAnsi"/>
          <w:color w:val="000000"/>
          <w:lang w:eastAsia="en-GB"/>
        </w:rPr>
        <w:t>Despite the routine use of national reference charts and BMI to monitor child growth and excess weight, it has been argued that there remains a lack of robust evidence linking the relationship between the defined cut off values for overweight and obesity in children and adolescents with later morbidity and mortality</w:t>
      </w:r>
      <w:r w:rsidR="004064F1" w:rsidRPr="009B3747">
        <w:rPr>
          <w:rFonts w:eastAsia="Times New Roman" w:cstheme="minorHAnsi"/>
          <w:color w:val="000000"/>
          <w:lang w:eastAsia="en-GB"/>
        </w:rPr>
        <w:t xml:space="preserve"> </w:t>
      </w:r>
      <w:r w:rsidR="004064F1"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"Wells", "given" : "JC", "non-dropping-particle" : "", "parse-names" : false, "suffix" : "" }, { "dropping-particle" : "", "family" : "Cole", "given" : "TJ", "non-dropping-particle" : "", "parse-names" : false, "suffix" : "" } ], "container-title" : "International Journal of Obesity and Metabolic disorders", "id" : "ITEM-1", "issue" : "7", "issued" : { "date-parts" : [ [ "2002" ] ] }, "page" : "947-952", "title" : "Adjustment of fat-free mass and fat mass for height in children aged 8 y.", "type" : "article-journal", "volume" : "26" }, "uris" : [ "http://www.mendeley.com/documents/?uuid=aaeb6628-b7a4-4543-9384-767d199d58c5" ] }, { "id" : "ITEM-2", "itemData" : { "DOI" : "10.1002/9781444318517.ch7", "ISBN" : "9781444318517", "author" : [ { "dropping-particle" : "", "family" : "Silva-Sanigorski", "given" : "Andrea M.", "non-dropping-particle" : "de", "parse-names" : false, "suffix" : "" }, { "dropping-particle" : "", "family" : "Economos", "given" : "Christina", "non-dropping-particle" : "", "parse-names" : false, "suffix" : "" } ], "container-title" : "Preventing Childhood Obesity: Evidence Policy and Practice", "editor" : [ { "dropping-particle" : "", "family" : "Waters", "given" : "E", "non-dropping-particle" : "", "parse-names" : false, "suffix" : "" }, { "dropping-particle" : "", "family" : "Swinburn", "given" : "B", "non-dropping-particle" : "", "parse-names" : false, "suffix" : "" }, { "dropping-particle" : "", "family" : "Seidell", "given" : "J", "non-dropping-particle" : "", "parse-names" : false, "suffix" : "" }, { "dropping-particle" : "", "family" : "Uauy", "given" : "R", "non-dropping-particle" : "", "parse-names" : false, "suffix" : "" } ], "id" : "ITEM-2", "issued" : { "date-parts" : [ [ "2010", "5", "5" ] ] }, "page" : "57-63", "publisher" : "Wiley-Blackwell", "publisher-place" : "Oxford, UK", "title" : "Evidence of Multi-Setting Approaches for Obesity Prevention: Translation to Best Practice", "type" : "chapter" }, "uris" : [ "http://www.mendeley.com/documents/?uuid=2174a37f-64dc-3fa0-9ecf-a1d359465b5a" ] } ], "mendeley" : { "formattedCitation" : "(Wells and Cole, 2002; de Silva-Sanigorski and Economos, 2010)", "plainTextFormattedCitation" : "(Wells and Cole, 2002; de Silva-Sanigorski and Economos, 2010)", "previouslyFormattedCitation" : "(Wells and Cole, 2002; de Silva-Sanigorski and Economos, 2010)" }, "properties" : { "noteIndex" : 0 }, "schema" : "https://github.com/citation-style-language/schema/raw/master/csl-citation.json" }</w:instrText>
      </w:r>
      <w:r w:rsidR="004064F1" w:rsidRPr="009B3747">
        <w:rPr>
          <w:rFonts w:eastAsia="Times New Roman" w:cstheme="minorHAnsi"/>
          <w:color w:val="000000"/>
          <w:lang w:eastAsia="en-GB"/>
        </w:rPr>
        <w:fldChar w:fldCharType="separate"/>
      </w:r>
      <w:r w:rsidR="004064F1" w:rsidRPr="009B3747">
        <w:rPr>
          <w:rFonts w:eastAsia="Times New Roman" w:cstheme="minorHAnsi"/>
          <w:noProof/>
          <w:color w:val="000000"/>
          <w:lang w:eastAsia="en-GB"/>
        </w:rPr>
        <w:t>(Wells and Cole, 2002; de Silva-Sanigorski and Economos, 2010)</w:t>
      </w:r>
      <w:r w:rsidR="004064F1" w:rsidRPr="009B3747">
        <w:rPr>
          <w:rFonts w:eastAsia="Times New Roman" w:cstheme="minorHAnsi"/>
          <w:color w:val="000000"/>
          <w:lang w:eastAsia="en-GB"/>
        </w:rPr>
        <w:fldChar w:fldCharType="end"/>
      </w:r>
      <w:r w:rsidR="004064F1" w:rsidRPr="009B3747">
        <w:rPr>
          <w:rFonts w:eastAsia="Times New Roman" w:cstheme="minorHAnsi"/>
          <w:color w:val="000000"/>
          <w:lang w:eastAsia="en-GB"/>
        </w:rPr>
        <w:t xml:space="preserve">.  </w:t>
      </w:r>
      <w:r w:rsidRPr="009B3747">
        <w:rPr>
          <w:rFonts w:eastAsia="Times New Roman" w:cstheme="minorHAnsi"/>
          <w:color w:val="000000"/>
          <w:lang w:eastAsia="en-GB"/>
        </w:rPr>
        <w:t>An additional complication of utilising BMI in childhood and adolescence, is the suggestion that the comparative contributions of fat and fat free mass to BMI in children have altered over time</w:t>
      </w:r>
      <w:r w:rsidR="004064F1" w:rsidRPr="009B3747">
        <w:rPr>
          <w:rFonts w:eastAsia="Times New Roman" w:cstheme="minorHAnsi"/>
          <w:color w:val="000000"/>
          <w:lang w:eastAsia="en-GB"/>
        </w:rPr>
        <w:t xml:space="preserve"> </w:t>
      </w:r>
      <w:r w:rsidR="004064F1"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"Wells", "given" : "JC", "non-dropping-particle" : "", "parse-names" : false, "suffix" : "" }, { "dropping-particle" : "", "family" : "Cole", "given" : "TJ", "non-dropping-particle" : "", "parse-names" : false, "suffix" : "" } ], "container-title" : "International Journal of Obesity and Metabolic disorders", "id" : "ITEM-1", "issue" : "7", "issued" : { "date-parts" : [ [ "2002" ] ] }, "page" : "947-952", "title" : "Adjustment of fat-free mass and fat mass for height in children aged 8 y.", "type" : "article-journal", "volume" : "26" }, "uris" : [ "http://www.mendeley.com/documents/?uuid=aaeb6628-b7a4-4543-9384-767d199d58c5" ] }, { "id" : "ITEM-2", "itemData" : { "author" : [ { "dropping-particle" : "", "family" : "Wells", "given" : "JC", "non-dropping-particle" : "", "parse-names" : false, "suffix" : "" }, { "dropping-particle" : "", "family" : "Coward", "given" : "WA", "non-dropping-particle" : "", "parse-names" : false, "suffix" : "" } ], "container-title" : "International Journal of Obesity and Metabolic disorders", "id" : "ITEM-2", "issue" : "10", "issued" : { "date-parts" : [ [ "2002" ] ] }, "page" : "1323-1328", "title" : "The contribution of fat and fat-free tissue to body mass index in contemporary children and the reference child.", "type" : "article-journal", "volume" : "26" }, "uris" : [ "http://www.mendeley.com/documents/?uuid=08add434-d14f-4c6e-bdba-6ba1deada002" ] } ], "mendeley" : { "formattedCitation" : "(Wells and Cole, 2002; Wells and Coward, 2002)", "plainTextFormattedCitation" : "(Wells and Cole, 2002; Wells and Coward, 2002)", "previouslyFormattedCitation" : "(Wells and Cole, 2002; Wells and Coward, 2002)" }, "properties" : { "noteIndex" : 0 }, "schema" : "https://github.com/citation-style-language/schema/raw/master/csl-citation.json" }</w:instrText>
      </w:r>
      <w:r w:rsidR="004064F1" w:rsidRPr="009B3747">
        <w:rPr>
          <w:rFonts w:eastAsia="Times New Roman" w:cstheme="minorHAnsi"/>
          <w:color w:val="000000"/>
          <w:lang w:eastAsia="en-GB"/>
        </w:rPr>
        <w:fldChar w:fldCharType="separate"/>
      </w:r>
      <w:r w:rsidR="004064F1" w:rsidRPr="009B3747">
        <w:rPr>
          <w:rFonts w:eastAsia="Times New Roman" w:cstheme="minorHAnsi"/>
          <w:noProof/>
          <w:color w:val="000000"/>
          <w:lang w:eastAsia="en-GB"/>
        </w:rPr>
        <w:t>(Wells and Cole, 2002; Wells and Coward, 2002)</w:t>
      </w:r>
      <w:r w:rsidR="004064F1" w:rsidRPr="009B3747">
        <w:rPr>
          <w:rFonts w:eastAsia="Times New Roman" w:cstheme="minorHAnsi"/>
          <w:color w:val="000000"/>
          <w:lang w:eastAsia="en-GB"/>
        </w:rPr>
        <w:fldChar w:fldCharType="end"/>
      </w:r>
      <w:r w:rsidRPr="009B3747">
        <w:rPr>
          <w:rFonts w:eastAsia="Times New Roman" w:cstheme="minorHAnsi"/>
          <w:color w:val="000000"/>
          <w:lang w:eastAsia="en-GB"/>
        </w:rPr>
        <w:t>.  If correct, this means that where BMI is utilised as an epidemiological measure for childhood and adolescence overweight and obesity, prevalence could be underestimated.</w:t>
      </w:r>
    </w:p>
    <w:p w:rsidR="002224C3" w:rsidRPr="009B3747" w:rsidRDefault="002224C3" w:rsidP="00A16FA3">
      <w:pPr>
        <w:rPr>
          <w:rFonts w:eastAsia="Times New Roman" w:cstheme="minorHAnsi"/>
          <w:color w:val="000000"/>
          <w:lang w:eastAsia="en-GB"/>
        </w:rPr>
      </w:pPr>
    </w:p>
    <w:p w:rsidR="002224C3" w:rsidRPr="009B3747" w:rsidRDefault="00A16FA3" w:rsidP="00A16FA3">
      <w:pPr>
        <w:rPr>
          <w:rFonts w:eastAsia="Times New Roman" w:cstheme="minorHAnsi"/>
          <w:color w:val="000000"/>
          <w:lang w:eastAsia="en-GB"/>
        </w:rPr>
      </w:pPr>
      <w:r w:rsidRPr="009B3747">
        <w:rPr>
          <w:rFonts w:eastAsia="Times New Roman" w:cstheme="minorHAnsi"/>
          <w:color w:val="000000"/>
          <w:lang w:eastAsia="en-GB"/>
        </w:rPr>
        <w:t>Although main data sources of childhood obesity prevalence in England are based on BMI definitions, trends assessed by waist circumference have also been explored.  Cr</w:t>
      </w:r>
      <w:r w:rsidR="002D0099" w:rsidRPr="009B3747">
        <w:rPr>
          <w:rFonts w:eastAsia="Times New Roman" w:cstheme="minorHAnsi"/>
          <w:color w:val="000000"/>
          <w:lang w:eastAsia="en-GB"/>
        </w:rPr>
        <w:t xml:space="preserve">oss-sectional surveys from 1977 to </w:t>
      </w:r>
      <w:r w:rsidRPr="009B3747">
        <w:rPr>
          <w:rFonts w:eastAsia="Times New Roman" w:cstheme="minorHAnsi"/>
          <w:color w:val="000000"/>
          <w:lang w:eastAsia="en-GB"/>
        </w:rPr>
        <w:t>1997 of waist circumfere</w:t>
      </w:r>
      <w:r w:rsidR="002D0099" w:rsidRPr="009B3747">
        <w:rPr>
          <w:rFonts w:eastAsia="Times New Roman" w:cstheme="minorHAnsi"/>
          <w:color w:val="000000"/>
          <w:lang w:eastAsia="en-GB"/>
        </w:rPr>
        <w:t xml:space="preserve">nces in British adolescents (11 to </w:t>
      </w:r>
      <w:r w:rsidRPr="009B3747">
        <w:rPr>
          <w:rFonts w:eastAsia="Times New Roman" w:cstheme="minorHAnsi"/>
          <w:color w:val="000000"/>
          <w:lang w:eastAsia="en-GB"/>
        </w:rPr>
        <w:t xml:space="preserve">16 year olds), identified that obesity assessed by waist circumference had increased at a higher percentage than that defined by BMI </w:t>
      </w:r>
      <w:r w:rsidR="004064F1"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"McCarthy", "given" : "HD", "non-dropping-particle" : "", "parse-names" : false, "suffix" : "" }, { "dropping-particle" : "", "family" : "Ellis", "given" : "SM", "non-dropping-particle" : "", "parse-names" : false, "suffix" : "" }, { "dropping-particle" : "", "family" : "Cole", "given" : "TJ", "non-dropping-particle" : "", "parse-names" : false, "suffix" : "" } ], "container-title" : "Bmj", "id" : "ITEM-1", "issue" : "(624)", "issued" : { "date-parts" : [ [ "2003" ] ] }, "title" : "Central overweight and obesity in British youth aged 11\u201316 years: cross sectional surveys of waist circumference", "type" : "article-journal", "volume" : "326" }, "uris" : [ "http://www.mendeley.com/documents/?uuid=f5f12eac-b6bb-464d-9c15-72490d68e0cd" ] } ], "mendeley" : { "formattedCitation" : "(McCarthy et al., 2003)", "plainTextFormattedCitation" : "(McCarthy et al., 2003)", "previouslyFormattedCitation" : "(McCarthy et al., 2003)" }, "properties" : { "noteIndex" : 0 }, "schema" : "https://github.com/citation-style-language/schema/raw/master/csl-citation.json" }</w:instrText>
      </w:r>
      <w:r w:rsidR="004064F1" w:rsidRPr="009B3747">
        <w:rPr>
          <w:rFonts w:eastAsia="Times New Roman" w:cstheme="minorHAnsi"/>
          <w:color w:val="000000"/>
          <w:lang w:eastAsia="en-GB"/>
        </w:rPr>
        <w:fldChar w:fldCharType="separate"/>
      </w:r>
      <w:r w:rsidR="004064F1" w:rsidRPr="009B3747">
        <w:rPr>
          <w:rFonts w:eastAsia="Times New Roman" w:cstheme="minorHAnsi"/>
          <w:noProof/>
          <w:color w:val="000000"/>
          <w:lang w:eastAsia="en-GB"/>
        </w:rPr>
        <w:t>(McCarthy et al., 2003)</w:t>
      </w:r>
      <w:r w:rsidR="004064F1" w:rsidRPr="009B3747">
        <w:rPr>
          <w:rFonts w:eastAsia="Times New Roman" w:cstheme="minorHAnsi"/>
          <w:color w:val="000000"/>
          <w:lang w:eastAsia="en-GB"/>
        </w:rPr>
        <w:fldChar w:fldCharType="end"/>
      </w:r>
      <w:r w:rsidR="004064F1" w:rsidRPr="009B3747">
        <w:rPr>
          <w:rFonts w:eastAsia="Times New Roman" w:cstheme="minorHAnsi"/>
          <w:color w:val="000000"/>
          <w:lang w:eastAsia="en-GB"/>
        </w:rPr>
        <w:t xml:space="preserve">.  </w:t>
      </w:r>
      <w:r w:rsidRPr="009B3747">
        <w:rPr>
          <w:rFonts w:eastAsia="Times New Roman" w:cstheme="minorHAnsi"/>
          <w:color w:val="000000"/>
          <w:lang w:eastAsia="en-GB"/>
        </w:rPr>
        <w:t>With suggestions that identifying ‘central obesity’ in children could provide a more meaningful indication of health outcomes than BMI</w:t>
      </w:r>
      <w:r w:rsidR="004064F1" w:rsidRPr="009B3747">
        <w:rPr>
          <w:rFonts w:eastAsia="Times New Roman" w:cstheme="minorHAnsi"/>
          <w:color w:val="000000"/>
          <w:lang w:eastAsia="en-GB"/>
        </w:rPr>
        <w:t xml:space="preserve">  </w:t>
      </w:r>
      <w:r w:rsidR="004064F1"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"Rodr\u00edguez-Rodr\u00edguez", "given" : "E", "non-dropping-particle" : "", "parse-names" : false, "suffix" : "" } ], "container-title" : "European journal of \u2026", "id" : "ITEM-1", "issue" : "1", "issued" : { "date-parts" : [ [ "2011" ] ] }, "page" : "35-43", "title" : "Preliminary data on the association between waist circumference and insulin resistance in children without a previous diagnosis", "type" : "article-journal", "volume" : "170" }, "uris" : [ "http://www.mendeley.com/documents/?uuid=a00217c4-c5d2-475f-a3e3-c7d3096660c0" ] } ], "mendeley" : { "formattedCitation" : "(Rodr\u00edguez-Rodr\u00edguez, 2011)", "plainTextFormattedCitation" : "(Rodr\u00edguez-Rodr\u00edguez, 2011)", "previouslyFormattedCitation" : "(Rodr\u00edguez-Rodr\u00edguez, 2011)" }, "properties" : { "noteIndex" : 0 }, "schema" : "https://github.com/citation-style-language/schema/raw/master/csl-citation.json" }</w:instrText>
      </w:r>
      <w:r w:rsidR="004064F1" w:rsidRPr="009B3747">
        <w:rPr>
          <w:rFonts w:eastAsia="Times New Roman" w:cstheme="minorHAnsi"/>
          <w:color w:val="000000"/>
          <w:lang w:eastAsia="en-GB"/>
        </w:rPr>
        <w:fldChar w:fldCharType="separate"/>
      </w:r>
      <w:r w:rsidR="004064F1" w:rsidRPr="009B3747">
        <w:rPr>
          <w:rFonts w:eastAsia="Times New Roman" w:cstheme="minorHAnsi"/>
          <w:noProof/>
          <w:color w:val="000000"/>
          <w:lang w:eastAsia="en-GB"/>
        </w:rPr>
        <w:t>(Rodríguez-Rodríguez, 2011)</w:t>
      </w:r>
      <w:r w:rsidR="004064F1" w:rsidRPr="009B3747">
        <w:rPr>
          <w:rFonts w:eastAsia="Times New Roman" w:cstheme="minorHAnsi"/>
          <w:color w:val="000000"/>
          <w:lang w:eastAsia="en-GB"/>
        </w:rPr>
        <w:fldChar w:fldCharType="end"/>
      </w:r>
      <w:r w:rsidR="001A49F5">
        <w:rPr>
          <w:rFonts w:eastAsia="Times New Roman" w:cstheme="minorHAnsi"/>
          <w:color w:val="000000"/>
          <w:lang w:eastAsia="en-GB"/>
        </w:rPr>
        <w:t>, c</w:t>
      </w:r>
      <w:r w:rsidRPr="009B3747">
        <w:rPr>
          <w:rFonts w:eastAsia="Times New Roman" w:cstheme="minorHAnsi"/>
          <w:color w:val="000000"/>
          <w:lang w:eastAsia="en-GB"/>
        </w:rPr>
        <w:t>urrent epidemiological approaches to monitoring childhood obesity could be failing to identify the true severity of the challenge posed</w:t>
      </w:r>
      <w:r w:rsidR="004064F1" w:rsidRPr="009B3747">
        <w:rPr>
          <w:rFonts w:eastAsia="Times New Roman" w:cstheme="minorHAnsi"/>
          <w:color w:val="000000"/>
          <w:lang w:eastAsia="en-GB"/>
        </w:rPr>
        <w:t xml:space="preserve"> </w:t>
      </w:r>
      <w:r w:rsidR="004064F1"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"Freedman", "given" : "DS", "non-dropping-particle" : "", "parse-names" : false, "suffix" : "" }, { "dropping-particle" : "", "family" : "Serdula", "given" : "MK", "non-dropping-particle" : "", "parse-names" : false, "suffix" : "" } ], "container-title" : "The American journal \u2026", "id" : "ITEM-1", "issue" : "2", "issued" : { "date-parts" : [ [ "1999" ] ] }, "page" : "308-317", "title" : "Relation of circumferences and skinfold thicknesses to lipid and insulin concentrations in children and adolescents: the Bogalusa Heart Study", "type" : "article-journal", "volume" : "69" }, "uris" : [ "http://www.mendeley.com/documents/?uuid=5dbcc8ce-24e9-41cf-85d8-1ace1bd4ef86" ] } ], "mendeley" : { "formattedCitation" : "(Freedman and Serdula, 1999)", "plainTextFormattedCitation" : "(Freedman and Serdula, 1999)", "previouslyFormattedCitation" : "(Freedman and Serdula, 1999)" }, "properties" : { "noteIndex" : 0 }, "schema" : "https://github.com/citation-style-language/schema/raw/master/csl-citation.json" }</w:instrText>
      </w:r>
      <w:r w:rsidR="004064F1" w:rsidRPr="009B3747">
        <w:rPr>
          <w:rFonts w:eastAsia="Times New Roman" w:cstheme="minorHAnsi"/>
          <w:color w:val="000000"/>
          <w:lang w:eastAsia="en-GB"/>
        </w:rPr>
        <w:fldChar w:fldCharType="separate"/>
      </w:r>
      <w:r w:rsidR="004064F1" w:rsidRPr="009B3747">
        <w:rPr>
          <w:rFonts w:eastAsia="Times New Roman" w:cstheme="minorHAnsi"/>
          <w:noProof/>
          <w:color w:val="000000"/>
          <w:lang w:eastAsia="en-GB"/>
        </w:rPr>
        <w:t>(Freedman and Serdula, 1999)</w:t>
      </w:r>
      <w:r w:rsidR="004064F1"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In spite of this, the adoption of new methodologies to identify those children and adolescents with abdominal </w:t>
      </w:r>
      <w:r w:rsidRPr="009B3747">
        <w:rPr>
          <w:rFonts w:eastAsia="Times New Roman" w:cstheme="minorHAnsi"/>
          <w:color w:val="000000"/>
          <w:lang w:eastAsia="en-GB"/>
        </w:rPr>
        <w:lastRenderedPageBreak/>
        <w:t>fat are currently beyond the scope of population level surveillance</w:t>
      </w:r>
      <w:r w:rsidR="004064F1" w:rsidRPr="009B3747">
        <w:rPr>
          <w:rFonts w:eastAsia="Times New Roman" w:cstheme="minorHAnsi"/>
          <w:color w:val="000000"/>
          <w:lang w:eastAsia="en-GB"/>
        </w:rPr>
        <w:t xml:space="preserve"> </w:t>
      </w:r>
      <w:r w:rsidR="004064F1"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"DOI" : "ISBN 978 92 4 151006 6", "ISBN" : "978 92 4 151006 6 \u00a9", "abstract" : "1. Over the past decade, the World Health Assembly, the governing body of the World Health Organization (WHO), and the United Nations General Assembly have adopted a series of resolutions1 that acknowledge noncommunicable diseases (NCDs) as a major challenge for development in the 21st century and have identified prevention and control as a core priority. The proposed Sustainable Development Goals propose a target on reducing premature mortality from NCDs2. 2. Among the NCD risk factors, obesity is particularly concerning. In children (aged under 19 years) it is associated with a wide range of health complications and an increased risk of premature onset of illnesses, including diabetes and heart disease. Preventing childhood obesity is a key approach to the primary prevention of NCDs. 3. Childhood obesity has complex origins and progress in tackling the issue has to date been slow. It is clear that a combination of scientific research, government leadership and community partnerships is necessary in order to develop the best recommendations and implement them worldwide. 4. In order to develop a comprehensive response to childhood obesity, the WHO Director- General established a high-level Commission on Ending Childhood Obesity (ECHO), which comprises 15 accomplished and eminent individuals from a variety of relevant backgrounds. The Commission has reviewed, built upon and addressed gaps in existing mandates and strategies with the support of two ad hoc working groups, one on science and evidence for ending childhood obesity (WGSE), and one on implementation, monitoring and accountability for ending childhood obesity (WGIMA). An Interim Report was developed for feedback through a series of regional consultations and hearings with Member States and non-State actors, and an online process for the submission of comments from relevant stakeholders. The Commission has reviewed these inputs and developed this draft final report, which will form the basis for a final round of regional and global consultation.", "author" : [ { "dropping-particle" : "", "family" : "World Health Organization", "given" : "", "non-dropping-particle" : "", "parse-names" : false, "suffix" : "" } ], "id" : "ITEM-1", "issued" : { "date-parts" : [ [ "2016" ] ] }, "publisher-place" : "Geneva", "title" : "Report of the Commission on Ending Childhood Obesity", "type" : "report" }, "uris" : [ "http://www.mendeley.com/documents/?uuid=fc7d72ef-f520-4e44-854a-cc82b135b368" ] } ], "mendeley" : { "formattedCitation" : "(World Health Organization, 2016c)", "plainTextFormattedCitation" : "(World Health Organization, 2016c)", "previouslyFormattedCitation" : "(World Health Organization, 2016c)" }, "properties" : { "noteIndex" : 0 }, "schema" : "https://github.com/citation-style-language/schema/raw/master/csl-citation.json" }</w:instrText>
      </w:r>
      <w:r w:rsidR="004064F1" w:rsidRPr="009B3747">
        <w:rPr>
          <w:rFonts w:eastAsia="Times New Roman" w:cstheme="minorHAnsi"/>
          <w:color w:val="000000"/>
          <w:lang w:eastAsia="en-GB"/>
        </w:rPr>
        <w:fldChar w:fldCharType="separate"/>
      </w:r>
      <w:r w:rsidR="004064F1" w:rsidRPr="009B3747">
        <w:rPr>
          <w:rFonts w:eastAsia="Times New Roman" w:cstheme="minorHAnsi"/>
          <w:noProof/>
          <w:color w:val="000000"/>
          <w:lang w:eastAsia="en-GB"/>
        </w:rPr>
        <w:t>(World Health Organization, 2016c)</w:t>
      </w:r>
      <w:r w:rsidR="004064F1" w:rsidRPr="009B3747">
        <w:rPr>
          <w:rFonts w:eastAsia="Times New Roman" w:cstheme="minorHAnsi"/>
          <w:color w:val="000000"/>
          <w:lang w:eastAsia="en-GB"/>
        </w:rPr>
        <w:fldChar w:fldCharType="end"/>
      </w:r>
      <w:r w:rsidR="004064F1" w:rsidRPr="009B3747">
        <w:rPr>
          <w:rFonts w:eastAsia="Times New Roman" w:cstheme="minorHAnsi"/>
          <w:color w:val="000000"/>
          <w:lang w:eastAsia="en-GB"/>
        </w:rPr>
        <w:t>.</w:t>
      </w:r>
    </w:p>
    <w:p w:rsidR="004064F1" w:rsidRPr="009B3747" w:rsidRDefault="004064F1" w:rsidP="00A16FA3">
      <w:pPr>
        <w:rPr>
          <w:rFonts w:eastAsia="Times New Roman" w:cstheme="minorHAnsi"/>
          <w:b/>
          <w:bCs/>
          <w:color w:val="000000"/>
          <w:sz w:val="26"/>
          <w:szCs w:val="26"/>
          <w:u w:val="single"/>
          <w:lang w:eastAsia="en-GB"/>
        </w:rPr>
      </w:pPr>
    </w:p>
    <w:p w:rsidR="00A16FA3" w:rsidRPr="009B3747" w:rsidRDefault="00410AD0" w:rsidP="00A16FA3">
      <w:pPr>
        <w:rPr>
          <w:rFonts w:eastAsia="Times New Roman" w:cstheme="minorHAnsi"/>
          <w:b/>
          <w:sz w:val="24"/>
          <w:szCs w:val="24"/>
          <w:lang w:eastAsia="en-GB"/>
        </w:rPr>
      </w:pPr>
      <w:r w:rsidRPr="009B3747">
        <w:rPr>
          <w:rFonts w:eastAsia="Times New Roman" w:cstheme="minorHAnsi"/>
          <w:b/>
          <w:bCs/>
          <w:color w:val="000000"/>
          <w:sz w:val="24"/>
          <w:szCs w:val="24"/>
          <w:u w:val="single"/>
          <w:lang w:eastAsia="en-GB"/>
        </w:rPr>
        <w:t>2.</w:t>
      </w:r>
      <w:r w:rsidR="005A7786" w:rsidRPr="009B3747">
        <w:rPr>
          <w:rFonts w:eastAsia="Times New Roman" w:cstheme="minorHAnsi"/>
          <w:b/>
          <w:bCs/>
          <w:color w:val="000000"/>
          <w:sz w:val="24"/>
          <w:szCs w:val="24"/>
          <w:u w:val="single"/>
          <w:lang w:eastAsia="en-GB"/>
        </w:rPr>
        <w:t>4</w:t>
      </w:r>
      <w:r w:rsidR="002224C3" w:rsidRPr="009B3747">
        <w:rPr>
          <w:rFonts w:eastAsia="Times New Roman" w:cstheme="minorHAnsi"/>
          <w:b/>
          <w:bCs/>
          <w:color w:val="000000"/>
          <w:sz w:val="24"/>
          <w:szCs w:val="24"/>
          <w:u w:val="single"/>
          <w:lang w:eastAsia="en-GB"/>
        </w:rPr>
        <w:t xml:space="preserve"> </w:t>
      </w:r>
      <w:r w:rsidR="00A16FA3" w:rsidRPr="009B3747">
        <w:rPr>
          <w:rFonts w:eastAsia="Times New Roman" w:cstheme="minorHAnsi"/>
          <w:b/>
          <w:bCs/>
          <w:color w:val="000000"/>
          <w:sz w:val="24"/>
          <w:szCs w:val="24"/>
          <w:u w:val="single"/>
          <w:lang w:eastAsia="en-GB"/>
        </w:rPr>
        <w:t>Childhood and adolescent obesity prevalence</w:t>
      </w:r>
    </w:p>
    <w:p w:rsidR="002224C3" w:rsidRPr="009B3747" w:rsidRDefault="002224C3" w:rsidP="00A16FA3">
      <w:pPr>
        <w:rPr>
          <w:rFonts w:eastAsia="Times New Roman" w:cstheme="minorHAnsi"/>
          <w:color w:val="000000"/>
          <w:lang w:eastAsia="en-GB"/>
        </w:rPr>
      </w:pPr>
    </w:p>
    <w:p w:rsidR="00A16FA3" w:rsidRPr="009B3747" w:rsidRDefault="00A16FA3" w:rsidP="00A16FA3">
      <w:pPr>
        <w:rPr>
          <w:rFonts w:eastAsia="Times New Roman" w:cstheme="minorHAnsi"/>
          <w:sz w:val="24"/>
          <w:szCs w:val="24"/>
          <w:lang w:eastAsia="en-GB"/>
        </w:rPr>
      </w:pPr>
      <w:r w:rsidRPr="009B3747">
        <w:rPr>
          <w:rFonts w:eastAsia="Times New Roman" w:cstheme="minorHAnsi"/>
          <w:color w:val="000000"/>
          <w:lang w:eastAsia="en-GB"/>
        </w:rPr>
        <w:t>Both internationally and nationally, childhood obesity prevalence since the 1980s has broadly followed the same trend as adult obe</w:t>
      </w:r>
      <w:r w:rsidR="001A49F5">
        <w:rPr>
          <w:rFonts w:eastAsia="Times New Roman" w:cstheme="minorHAnsi"/>
          <w:color w:val="000000"/>
          <w:lang w:eastAsia="en-GB"/>
        </w:rPr>
        <w:t xml:space="preserve">sity, </w:t>
      </w:r>
      <w:r w:rsidRPr="009B3747">
        <w:rPr>
          <w:rFonts w:eastAsia="Times New Roman" w:cstheme="minorHAnsi"/>
          <w:color w:val="000000"/>
          <w:lang w:eastAsia="en-GB"/>
        </w:rPr>
        <w:t>which is a significant upward increase</w:t>
      </w:r>
      <w:r w:rsidR="004064F1" w:rsidRPr="009B3747">
        <w:rPr>
          <w:rFonts w:eastAsia="Times New Roman" w:cstheme="minorHAnsi"/>
          <w:color w:val="000000"/>
          <w:lang w:eastAsia="en-GB"/>
        </w:rPr>
        <w:t xml:space="preserve"> </w:t>
      </w:r>
      <w:r w:rsidR="004064F1"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"ISSN" : "0040-6376", "PMID" : "11209102", "abstract" : "BACKGROUND There is evidence of a positive association between asthma and obesity in adults and in children. We investigated, in a large sample of English and Scottish primary school children, whether there is a consistent association between fatness and asthma symptoms in Britain. METHODS A cross sectional analysis was made of 18 218 children aged 4-11 years who participated in the 1993 or 1994 surveys of the National Study of Health and Growth (NSHG). Children belonged either to English or Scottish representative samples, or an English inner city sample. Asthma attacks in the previous year, occasional wheeze, or persistent wheeze were the symptoms used in the analysis. Body mass index (BMI) and the sum of triceps and subscapular skinfolds converted to standard deviation scores (SDS) were used to assess levels of fatness. RESULTS A total of 14 908 children (81.8%) were included in the analysis. In the multiple logistic analysis BMI and asthma (asthma attacks or wheeze) were associated in the representative sample (OR for the comparison of the 10th and 90th centiles of BMI 1.28, 95% CI 1.11 to 1.48), but sum of skinfolds was unrelated to asthma symptoms in most analyses. The association between asthma and BMI was stronger in girls than in boys in the inner city sample, but less convincingly in the representative sample. CONCLUSIONS Levels of obesity are associated with asthma symptoms regardless of ethnicity. The association is more consistent for BMI than for sum of skinfolds, partly because obese children are more advanced in their maturation than other children. There is some evidence that, as in adults, the association is stronger in girls than in boys, but only in the multiethnic inner city sample.", "author" : [ { "dropping-particle" : "", "family" : "Figueroa-Mu\u00f1oz", "given" : "J I", "non-dropping-particle" : "", "parse-names" : false, "suffix" : "" }, { "dropping-particle" : "", "family" : "Chinn", "given" : "S", "non-dropping-particle" : "", "parse-names" : false, "suffix" : "" }, { "dropping-particle" : "", "family" : "Rona", "given" : "R J", "non-dropping-particle" : "", "parse-names" : false, "suffix" : "" } ], "container-title" : "Thorax", "id" : "ITEM-1", "issue" : "2", "issued" : { "date-parts" : [ [ "2001", "2" ] ] }, "page" : "133-7", "title" : "Association between obesity and asthma in 4-11 year old children in the UK.", "type" : "article-journal", "volume" : "56" }, "uris" : [ "http://www.mendeley.com/documents/?uuid=292e6e84-81f5-30c0-b78b-441989f8184f" ] }, { "id" : "ITEM-2", "itemData" : { "author" : [ { "dropping-particle" : "", "family" : "Lobstein", "given" : "T", "non-dropping-particle" : "", "parse-names" : false, "suffix" : "" }, { "dropping-particle" : "", "family" : "Jackson-Leach", "given" : "R", "non-dropping-particle" : "", "parse-names" : false, "suffix" : "" }, { "dropping-particle" : "", "family" : "Moodie", "given" : "ML", "non-dropping-particle" : "", "parse-names" : false, "suffix" : "" } ], "container-title" : "The Lancet", "id" : "ITEM-2", "issue" : "9986", "issued" : { "date-parts" : [ [ "2015" ] ] }, "page" : "2510-2520", "title" : "Child and adolescent obesity: part of a bigger picture", "type" : "article-journal", "volume" : "385" }, "uris" : [ "http://www.mendeley.com/documents/?uuid=e072a246-f28d-4879-b95a-10b312372cee" ] } ], "mendeley" : { "formattedCitation" : "(Figueroa-Mu\u00f1oz et al., 2001; Lobstein et al., 2015)", "plainTextFormattedCitation" : "(Figueroa-Mu\u00f1oz et al., 2001; Lobstein et al., 2015)", "previouslyFormattedCitation" : "(Figueroa-Mu\u00f1oz et al., 2001; Lobstein et al., 2015)" }, "properties" : { "noteIndex" : 0 }, "schema" : "https://github.com/citation-style-language/schema/raw/master/csl-citation.json" }</w:instrText>
      </w:r>
      <w:r w:rsidR="004064F1" w:rsidRPr="009B3747">
        <w:rPr>
          <w:rFonts w:eastAsia="Times New Roman" w:cstheme="minorHAnsi"/>
          <w:color w:val="000000"/>
          <w:lang w:eastAsia="en-GB"/>
        </w:rPr>
        <w:fldChar w:fldCharType="separate"/>
      </w:r>
      <w:r w:rsidR="004064F1" w:rsidRPr="009B3747">
        <w:rPr>
          <w:rFonts w:eastAsia="Times New Roman" w:cstheme="minorHAnsi"/>
          <w:noProof/>
          <w:color w:val="000000"/>
          <w:lang w:eastAsia="en-GB"/>
        </w:rPr>
        <w:t>(Figueroa-Muñoz et al., 2001; Lobstein et al., 2015)</w:t>
      </w:r>
      <w:r w:rsidR="004064F1" w:rsidRPr="009B3747">
        <w:rPr>
          <w:rFonts w:eastAsia="Times New Roman" w:cstheme="minorHAnsi"/>
          <w:color w:val="000000"/>
          <w:lang w:eastAsia="en-GB"/>
        </w:rPr>
        <w:fldChar w:fldCharType="end"/>
      </w:r>
      <w:r w:rsidR="004064F1" w:rsidRPr="009B3747">
        <w:rPr>
          <w:rFonts w:eastAsia="Times New Roman" w:cstheme="minorHAnsi"/>
          <w:color w:val="000000"/>
          <w:lang w:eastAsia="en-GB"/>
        </w:rPr>
        <w:t xml:space="preserve">.  </w:t>
      </w:r>
      <w:r w:rsidRPr="009B3747">
        <w:rPr>
          <w:rFonts w:eastAsia="Times New Roman" w:cstheme="minorHAnsi"/>
          <w:color w:val="000000"/>
          <w:lang w:eastAsia="en-GB"/>
        </w:rPr>
        <w:t>The</w:t>
      </w:r>
      <w:r w:rsidR="00846B21" w:rsidRPr="009B3747">
        <w:rPr>
          <w:rFonts w:eastAsia="Times New Roman" w:cstheme="minorHAnsi"/>
          <w:color w:val="000000"/>
          <w:lang w:eastAsia="en-GB"/>
        </w:rPr>
        <w:t xml:space="preserve"> World Obesity Federation (WOF)</w:t>
      </w:r>
      <w:r w:rsidRPr="009B3747">
        <w:rPr>
          <w:rFonts w:eastAsia="Times New Roman" w:cstheme="minorHAnsi"/>
          <w:color w:val="000000"/>
          <w:lang w:eastAsia="en-GB"/>
        </w:rPr>
        <w:t xml:space="preserve"> estimated in 2004, that globally 10% of children (5 to 17 years) are overweight or obese, equating to 155 million children, of which 30-45 million are obese </w:t>
      </w:r>
      <w:r w:rsidR="004064F1"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"Lobstein", "given" : "T", "non-dropping-particle" : "", "parse-names" : false, "suffix" : "" }, { "dropping-particle" : "", "family" : "Baur", "given" : "L", "non-dropping-particle" : "", "parse-names" : false, "suffix" : "" }, { "dropping-particle" : "", "family" : "Uauy", "given" : "R", "non-dropping-particle" : "", "parse-names" : false, "suffix" : "" } ], "container-title" : "Obesity reviews", "id" : "ITEM-1", "issue" : "Supp 1", "issued" : { "date-parts" : [ [ "2004" ] ] }, "page" : "4-85", "title" : "Obesity in children and young people: a crisis in public health", "type" : "article-journal", "volume" : "5" }, "uris" : [ "http://www.mendeley.com/documents/?uuid=d8bb52cf-2746-4f08-95fa-b4388dcf0116" ] } ], "mendeley" : { "formattedCitation" : "(Lobstein et al., 2004)", "plainTextFormattedCitation" : "(Lobstein et al., 2004)", "previouslyFormattedCitation" : "(Lobstein et al., 2004)" }, "properties" : { "noteIndex" : 0 }, "schema" : "https://github.com/citation-style-language/schema/raw/master/csl-citation.json" }</w:instrText>
      </w:r>
      <w:r w:rsidR="004064F1" w:rsidRPr="009B3747">
        <w:rPr>
          <w:rFonts w:eastAsia="Times New Roman" w:cstheme="minorHAnsi"/>
          <w:color w:val="000000"/>
          <w:lang w:eastAsia="en-GB"/>
        </w:rPr>
        <w:fldChar w:fldCharType="separate"/>
      </w:r>
      <w:r w:rsidR="004064F1" w:rsidRPr="009B3747">
        <w:rPr>
          <w:rFonts w:eastAsia="Times New Roman" w:cstheme="minorHAnsi"/>
          <w:noProof/>
          <w:color w:val="000000"/>
          <w:lang w:eastAsia="en-GB"/>
        </w:rPr>
        <w:t>(Lobstein et al., 2004)</w:t>
      </w:r>
      <w:r w:rsidR="004064F1" w:rsidRPr="009B3747">
        <w:rPr>
          <w:rFonts w:eastAsia="Times New Roman" w:cstheme="minorHAnsi"/>
          <w:color w:val="000000"/>
          <w:lang w:eastAsia="en-GB"/>
        </w:rPr>
        <w:fldChar w:fldCharType="end"/>
      </w:r>
      <w:r w:rsidR="004064F1" w:rsidRPr="009B3747">
        <w:rPr>
          <w:rFonts w:eastAsia="Times New Roman" w:cstheme="minorHAnsi"/>
          <w:color w:val="000000"/>
          <w:lang w:eastAsia="en-GB"/>
        </w:rPr>
        <w:t>.</w:t>
      </w:r>
    </w:p>
    <w:p w:rsidR="002224C3" w:rsidRPr="009B3747" w:rsidRDefault="002224C3" w:rsidP="00A16FA3">
      <w:pPr>
        <w:rPr>
          <w:rFonts w:eastAsia="Times New Roman" w:cstheme="minorHAnsi"/>
          <w:color w:val="000000"/>
          <w:lang w:eastAsia="en-GB"/>
        </w:rPr>
      </w:pPr>
    </w:p>
    <w:p w:rsidR="00A16FA3" w:rsidRPr="009B3747" w:rsidRDefault="00A16FA3" w:rsidP="00A16FA3">
      <w:pPr>
        <w:rPr>
          <w:rFonts w:eastAsia="Times New Roman" w:cstheme="minorHAnsi"/>
          <w:sz w:val="24"/>
          <w:szCs w:val="24"/>
          <w:lang w:eastAsia="en-GB"/>
        </w:rPr>
      </w:pPr>
      <w:r w:rsidRPr="009B3747">
        <w:rPr>
          <w:rFonts w:eastAsia="Times New Roman" w:cstheme="minorHAnsi"/>
          <w:color w:val="000000"/>
          <w:lang w:eastAsia="en-GB"/>
        </w:rPr>
        <w:t>Whilst the prevalence of childhood overweight and obesity remains alarmingly high, recent research has indicated that the rate of increase has begun to plateau in many developed countries across the world</w:t>
      </w:r>
      <w:r w:rsidR="004064F1" w:rsidRPr="009B3747">
        <w:rPr>
          <w:rFonts w:eastAsia="Times New Roman" w:cstheme="minorHAnsi"/>
          <w:color w:val="000000"/>
          <w:lang w:eastAsia="en-GB"/>
        </w:rPr>
        <w:t xml:space="preserve"> </w:t>
      </w:r>
      <w:r w:rsidR="004064F1"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"Stamatakis", "given" : "E", "non-dropping-particle" : "", "parse-names" : false, "suffix" : "" }, { "dropping-particle" : "", "family" : "Wardle", "given" : "J", "non-dropping-particle" : "", "parse-names" : false, "suffix" : "" }, { "dropping-particle" : "", "family" : "Cole", "given" : "TJ", "non-dropping-particle" : "", "parse-names" : false, "suffix" : "" } ], "container-title" : "International journal of obesity", "id" : "ITEM-1", "issued" : { "date-parts" : [ [ "2010" ] ] }, "title" : "Childhood obesity and overweight prevalence trends in England: evidence for growing socioeconomic disparities", "type" : "article-journal" }, "uris" : [ "http://www.mendeley.com/documents/?uuid=6b68bf99-f040-4362-8367-93e8f0a86f97" ] }, { "id" : "ITEM-2", "itemData" : { "author" : [ { "dropping-particle" : "", "family" : "Lobstein", "given" : "T", "non-dropping-particle" : "", "parse-names" : false, "suffix" : "" }, { "dropping-particle" : "", "family" : "Jackson-Leach", "given" : "R", "non-dropping-particle" : "", "parse-names" : false, "suffix" : "" }, { "dropping-particle" : "", "family" : "Moodie", "given" : "ML", "non-dropping-particle" : "", "parse-names" : false, "suffix" : "" } ], "container-title" : "The Lancet", "id" : "ITEM-2", "issue" : "9986", "issued" : { "date-parts" : [ [ "2015" ] ] }, "page" : "2510-2520", "title" : "Child and adolescent obesity: part of a bigger picture", "type" : "article-journal", "volume" : "385" }, "uris" : [ "http://www.mendeley.com/documents/?uuid=e072a246-f28d-4879-b95a-10b312372cee" ] } ], "mendeley" : { "formattedCitation" : "(Stamatakis et al., 2010; Lobstein et al., 2015)", "plainTextFormattedCitation" : "(Stamatakis et al., 2010; Lobstein et al., 2015)", "previouslyFormattedCitation" : "(Stamatakis et al., 2010; Lobstein et al., 2015)" }, "properties" : { "noteIndex" : 0 }, "schema" : "https://github.com/citation-style-language/schema/raw/master/csl-citation.json" }</w:instrText>
      </w:r>
      <w:r w:rsidR="004064F1" w:rsidRPr="009B3747">
        <w:rPr>
          <w:rFonts w:eastAsia="Times New Roman" w:cstheme="minorHAnsi"/>
          <w:color w:val="000000"/>
          <w:lang w:eastAsia="en-GB"/>
        </w:rPr>
        <w:fldChar w:fldCharType="separate"/>
      </w:r>
      <w:r w:rsidR="004064F1" w:rsidRPr="009B3747">
        <w:rPr>
          <w:rFonts w:eastAsia="Times New Roman" w:cstheme="minorHAnsi"/>
          <w:noProof/>
          <w:color w:val="000000"/>
          <w:lang w:eastAsia="en-GB"/>
        </w:rPr>
        <w:t>(Stamatakis et al., 2010; Lobstein et al., 2015)</w:t>
      </w:r>
      <w:r w:rsidR="004064F1"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It is too early to say though whether the stabilisation in prevalence will continue, or the shocking prediction will be realised that for example in the UK </w:t>
      </w:r>
      <w:r w:rsidR="002D0099" w:rsidRPr="009B3747">
        <w:rPr>
          <w:rFonts w:eastAsia="Times New Roman" w:cstheme="minorHAnsi"/>
          <w:color w:val="000000"/>
          <w:lang w:eastAsia="en-GB"/>
        </w:rPr>
        <w:t>nine out of ten</w:t>
      </w:r>
      <w:r w:rsidRPr="009B3747">
        <w:rPr>
          <w:rFonts w:eastAsia="Times New Roman" w:cstheme="minorHAnsi"/>
          <w:color w:val="000000"/>
          <w:lang w:eastAsia="en-GB"/>
        </w:rPr>
        <w:t xml:space="preserve"> children could be overweight or obese by 2050</w:t>
      </w:r>
      <w:r w:rsidR="004064F1" w:rsidRPr="009B3747">
        <w:rPr>
          <w:rFonts w:eastAsia="Times New Roman" w:cstheme="minorHAnsi"/>
          <w:color w:val="000000"/>
          <w:lang w:eastAsia="en-GB"/>
        </w:rPr>
        <w:t xml:space="preserve"> </w:t>
      </w:r>
      <w:r w:rsidR="004064F1"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"Butland", "given" : "B", "non-dropping-particle" : "", "parse-names" : false, "suffix" : "" }, { "dropping-particle" : "", "family" : "Jebb", "given" : "S", "non-dropping-particle" : "", "parse-names" : false, "suffix" : "" } ], "id" : "ITEM-1", "issued" : { "date-parts" : [ [ "2007" ] ] }, "title" : "Foresight. Tackling obesities: future choices. Project report.", "type" : "report" }, "uris" : [ "http://www.mendeley.com/documents/?uuid=8ae0e880-41d4-4b61-b434-dc36711dd306" ] } ], "mendeley" : { "formattedCitation" : "(Butland and Jebb, 2007)", "plainTextFormattedCitation" : "(Butland and Jebb, 2007)", "previouslyFormattedCitation" : "(Butland and Jebb, 2007)" }, "properties" : { "noteIndex" : 0 }, "schema" : "https://github.com/citation-style-language/schema/raw/master/csl-citation.json" }</w:instrText>
      </w:r>
      <w:r w:rsidR="004064F1" w:rsidRPr="009B3747">
        <w:rPr>
          <w:rFonts w:eastAsia="Times New Roman" w:cstheme="minorHAnsi"/>
          <w:color w:val="000000"/>
          <w:lang w:eastAsia="en-GB"/>
        </w:rPr>
        <w:fldChar w:fldCharType="separate"/>
      </w:r>
      <w:r w:rsidR="004064F1" w:rsidRPr="009B3747">
        <w:rPr>
          <w:rFonts w:eastAsia="Times New Roman" w:cstheme="minorHAnsi"/>
          <w:noProof/>
          <w:color w:val="000000"/>
          <w:lang w:eastAsia="en-GB"/>
        </w:rPr>
        <w:t>(Butland and Jebb, 2007)</w:t>
      </w:r>
      <w:r w:rsidR="004064F1" w:rsidRPr="009B3747">
        <w:rPr>
          <w:rFonts w:eastAsia="Times New Roman" w:cstheme="minorHAnsi"/>
          <w:color w:val="000000"/>
          <w:lang w:eastAsia="en-GB"/>
        </w:rPr>
        <w:fldChar w:fldCharType="end"/>
      </w:r>
      <w:r w:rsidR="004064F1" w:rsidRPr="009B3747">
        <w:rPr>
          <w:rFonts w:eastAsia="Times New Roman" w:cstheme="minorHAnsi"/>
          <w:color w:val="000000"/>
          <w:lang w:eastAsia="en-GB"/>
        </w:rPr>
        <w:t>.</w:t>
      </w:r>
    </w:p>
    <w:p w:rsidR="002224C3" w:rsidRPr="009B3747" w:rsidRDefault="002224C3" w:rsidP="00A16FA3">
      <w:pPr>
        <w:rPr>
          <w:rFonts w:eastAsia="Times New Roman" w:cstheme="minorHAnsi"/>
          <w:color w:val="000000"/>
          <w:lang w:eastAsia="en-GB"/>
        </w:rPr>
      </w:pPr>
    </w:p>
    <w:p w:rsidR="00A16FA3" w:rsidRPr="009B3747" w:rsidRDefault="00A16FA3" w:rsidP="00A16FA3">
      <w:pPr>
        <w:rPr>
          <w:rFonts w:eastAsia="Times New Roman" w:cstheme="minorHAnsi"/>
          <w:sz w:val="24"/>
          <w:szCs w:val="24"/>
          <w:lang w:eastAsia="en-GB"/>
        </w:rPr>
      </w:pPr>
      <w:r w:rsidRPr="009B3747">
        <w:rPr>
          <w:rFonts w:eastAsia="Times New Roman" w:cstheme="minorHAnsi"/>
          <w:color w:val="000000"/>
          <w:lang w:eastAsia="en-GB"/>
        </w:rPr>
        <w:t>Childhood and adolescent obesity prevalence is routinely measured and published through two main data sources, the Health Survey for England (HSE) and The National Child Measurement Programme (NCMP).  The HSE, an annual survey designed to measure health and health related behaviours in adults and children living in England, has recorded the heigh</w:t>
      </w:r>
      <w:r w:rsidR="006E1936" w:rsidRPr="009B3747">
        <w:rPr>
          <w:rFonts w:eastAsia="Times New Roman" w:cstheme="minorHAnsi"/>
          <w:color w:val="000000"/>
          <w:lang w:eastAsia="en-GB"/>
        </w:rPr>
        <w:t xml:space="preserve">t and weight of children aged 2 to </w:t>
      </w:r>
      <w:r w:rsidRPr="009B3747">
        <w:rPr>
          <w:rFonts w:eastAsia="Times New Roman" w:cstheme="minorHAnsi"/>
          <w:color w:val="000000"/>
          <w:lang w:eastAsia="en-GB"/>
        </w:rPr>
        <w:t>15 years since 1995</w:t>
      </w:r>
      <w:r w:rsidR="004064F1" w:rsidRPr="009B3747">
        <w:rPr>
          <w:rFonts w:eastAsia="Times New Roman" w:cstheme="minorHAnsi"/>
          <w:color w:val="000000"/>
          <w:lang w:eastAsia="en-GB"/>
        </w:rPr>
        <w:t xml:space="preserve"> </w:t>
      </w:r>
      <w:r w:rsidR="004064F1"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"NHS Digital", "given" : "", "non-dropping-particle" : "", "parse-names" : false, "suffix" : "" } ], "id" : "ITEM-1", "issued" : { "date-parts" : [ [ "2016" ] ] }, "publisher-place" : "London", "title" : "Health Survey for England 2015 - Children\u2019s body mass index, overweight and obesity", "type" : "report" }, "uris" : [ "http://www.mendeley.com/documents/?uuid=5a7638ee-a87e-4bc0-a4b3-e4740e162d11" ] } ], "mendeley" : { "formattedCitation" : "(NHS Digital, 2016a)", "plainTextFormattedCitation" : "(NHS Digital, 2016a)", "previouslyFormattedCitation" : "(NHS Digital, 2016a)" }, "properties" : { "noteIndex" : 0 }, "schema" : "https://github.com/citation-style-language/schema/raw/master/csl-citation.json" }</w:instrText>
      </w:r>
      <w:r w:rsidR="004064F1" w:rsidRPr="009B3747">
        <w:rPr>
          <w:rFonts w:eastAsia="Times New Roman" w:cstheme="minorHAnsi"/>
          <w:color w:val="000000"/>
          <w:lang w:eastAsia="en-GB"/>
        </w:rPr>
        <w:fldChar w:fldCharType="separate"/>
      </w:r>
      <w:r w:rsidR="004064F1" w:rsidRPr="009B3747">
        <w:rPr>
          <w:rFonts w:eastAsia="Times New Roman" w:cstheme="minorHAnsi"/>
          <w:noProof/>
          <w:color w:val="000000"/>
          <w:lang w:eastAsia="en-GB"/>
        </w:rPr>
        <w:t>(NHS Digital, 2016a)</w:t>
      </w:r>
      <w:r w:rsidR="004064F1" w:rsidRPr="009B3747">
        <w:rPr>
          <w:rFonts w:eastAsia="Times New Roman" w:cstheme="minorHAnsi"/>
          <w:color w:val="000000"/>
          <w:lang w:eastAsia="en-GB"/>
        </w:rPr>
        <w:fldChar w:fldCharType="end"/>
      </w:r>
      <w:r w:rsidRPr="009B3747">
        <w:rPr>
          <w:rFonts w:eastAsia="Times New Roman" w:cstheme="minorHAnsi"/>
          <w:color w:val="000000"/>
          <w:lang w:eastAsia="en-GB"/>
        </w:rPr>
        <w:t>.  Whilst a nationally representative sample of high quality data, the, HSE is still relatively small in size and requires self-reported measurements. This fact, combined with an increasing governmental focus on tackling obesity</w:t>
      </w:r>
      <w:r w:rsidR="004064F1" w:rsidRPr="009B3747">
        <w:rPr>
          <w:rFonts w:eastAsia="Times New Roman" w:cstheme="minorHAnsi"/>
          <w:color w:val="000000"/>
          <w:lang w:eastAsia="en-GB"/>
        </w:rPr>
        <w:t xml:space="preserve"> </w:t>
      </w:r>
      <w:r w:rsidR="004064F1"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"Butland", "given" : "B", "non-dropping-particle" : "", "parse-names" : false, "suffix" : "" }, { "dropping-particle" : "", "family" : "Jebb", "given" : "S", "non-dropping-particle" : "", "parse-names" : false, "suffix" : "" } ], "id" : "ITEM-1", "issued" : { "date-parts" : [ [ "2007" ] ] }, "title" : "Foresight. Tackling obesities: future choices. Project report.", "type" : "report" }, "uris" : [ "http://www.mendeley.com/documents/?uuid=8ae0e880-41d4-4b61-b434-dc36711dd306" ] } ], "mendeley" : { "formattedCitation" : "(Butland and Jebb, 2007)", "plainTextFormattedCitation" : "(Butland and Jebb, 2007)", "previouslyFormattedCitation" : "(Butland and Jebb, 2007)" }, "properties" : { "noteIndex" : 0 }, "schema" : "https://github.com/citation-style-language/schema/raw/master/csl-citation.json" }</w:instrText>
      </w:r>
      <w:r w:rsidR="004064F1" w:rsidRPr="009B3747">
        <w:rPr>
          <w:rFonts w:eastAsia="Times New Roman" w:cstheme="minorHAnsi"/>
          <w:color w:val="000000"/>
          <w:lang w:eastAsia="en-GB"/>
        </w:rPr>
        <w:fldChar w:fldCharType="separate"/>
      </w:r>
      <w:r w:rsidR="004064F1" w:rsidRPr="009B3747">
        <w:rPr>
          <w:rFonts w:eastAsia="Times New Roman" w:cstheme="minorHAnsi"/>
          <w:noProof/>
          <w:color w:val="000000"/>
          <w:lang w:eastAsia="en-GB"/>
        </w:rPr>
        <w:t>(Butland and Jebb, 2007)</w:t>
      </w:r>
      <w:r w:rsidR="004064F1" w:rsidRPr="009B3747">
        <w:rPr>
          <w:rFonts w:eastAsia="Times New Roman" w:cstheme="minorHAnsi"/>
          <w:color w:val="000000"/>
          <w:lang w:eastAsia="en-GB"/>
        </w:rPr>
        <w:fldChar w:fldCharType="end"/>
      </w:r>
      <w:r w:rsidR="004064F1" w:rsidRPr="009B3747">
        <w:rPr>
          <w:rFonts w:eastAsia="Times New Roman" w:cstheme="minorHAnsi"/>
          <w:color w:val="000000"/>
          <w:lang w:eastAsia="en-GB"/>
        </w:rPr>
        <w:t xml:space="preserve">, </w:t>
      </w:r>
      <w:r w:rsidRPr="009B3747">
        <w:rPr>
          <w:rFonts w:eastAsia="Times New Roman" w:cstheme="minorHAnsi"/>
          <w:color w:val="000000"/>
          <w:lang w:eastAsia="en-GB"/>
        </w:rPr>
        <w:t>saw the launch of the NCMP in the 2006/2007 academic year.  </w:t>
      </w:r>
      <w:r w:rsidR="001A49F5">
        <w:rPr>
          <w:rFonts w:eastAsia="Times New Roman" w:cstheme="minorHAnsi"/>
          <w:color w:val="000000"/>
          <w:lang w:eastAsia="en-GB"/>
        </w:rPr>
        <w:t>The NCMP undertakes</w:t>
      </w:r>
      <w:r w:rsidRPr="009B3747">
        <w:rPr>
          <w:rFonts w:eastAsia="Times New Roman" w:cstheme="minorHAnsi"/>
          <w:color w:val="000000"/>
          <w:lang w:eastAsia="en-GB"/>
        </w:rPr>
        <w:t xml:space="preserve"> yearly BMI assessments of appro</w:t>
      </w:r>
      <w:r w:rsidR="006E1936" w:rsidRPr="009B3747">
        <w:rPr>
          <w:rFonts w:eastAsia="Times New Roman" w:cstheme="minorHAnsi"/>
          <w:color w:val="000000"/>
          <w:lang w:eastAsia="en-GB"/>
        </w:rPr>
        <w:t xml:space="preserve">ximately 94% of children aged 4 to 5 years and 10 to </w:t>
      </w:r>
      <w:r w:rsidRPr="009B3747">
        <w:rPr>
          <w:rFonts w:eastAsia="Times New Roman" w:cstheme="minorHAnsi"/>
          <w:color w:val="000000"/>
          <w:lang w:eastAsia="en-GB"/>
        </w:rPr>
        <w:t>11 years nationally within primarily state-maintained primary school settings</w:t>
      </w:r>
      <w:r w:rsidR="004064F1" w:rsidRPr="009B3747">
        <w:rPr>
          <w:rFonts w:eastAsia="Times New Roman" w:cstheme="minorHAnsi"/>
          <w:color w:val="000000"/>
          <w:lang w:eastAsia="en-GB"/>
        </w:rPr>
        <w:t xml:space="preserve"> </w:t>
      </w:r>
      <w:r w:rsidR="004064F1"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"NHS Digital", "given" : "", "non-dropping-particle" : "", "parse-names" : false, "suffix" : "" } ], "id" : "ITEM-1", "issued" : { "date-parts" : [ [ "2016" ] ] }, "publisher-place" : "London", "title" : "National Child Measurement Programme - England, 2015/2016 school year", "type" : "report" }, "uris" : [ "http://www.mendeley.com/documents/?uuid=c13c8b37-9c1a-4559-8550-5f5e414a2fe2" ] } ], "mendeley" : { "formattedCitation" : "(NHS Digital, 2016b)", "plainTextFormattedCitation" : "(NHS Digital, 2016b)", "previouslyFormattedCitation" : "(NHS Digital, 2016b)" }, "properties" : { "noteIndex" : 0 }, "schema" : "https://github.com/citation-style-language/schema/raw/master/csl-citation.json" }</w:instrText>
      </w:r>
      <w:r w:rsidR="004064F1" w:rsidRPr="009B3747">
        <w:rPr>
          <w:rFonts w:eastAsia="Times New Roman" w:cstheme="minorHAnsi"/>
          <w:color w:val="000000"/>
          <w:lang w:eastAsia="en-GB"/>
        </w:rPr>
        <w:fldChar w:fldCharType="separate"/>
      </w:r>
      <w:r w:rsidR="004064F1" w:rsidRPr="009B3747">
        <w:rPr>
          <w:rFonts w:eastAsia="Times New Roman" w:cstheme="minorHAnsi"/>
          <w:noProof/>
          <w:color w:val="000000"/>
          <w:lang w:eastAsia="en-GB"/>
        </w:rPr>
        <w:t>(NHS Digital, 2016b)</w:t>
      </w:r>
      <w:r w:rsidR="004064F1" w:rsidRPr="009B3747">
        <w:rPr>
          <w:rFonts w:eastAsia="Times New Roman" w:cstheme="minorHAnsi"/>
          <w:color w:val="000000"/>
          <w:lang w:eastAsia="en-GB"/>
        </w:rPr>
        <w:fldChar w:fldCharType="end"/>
      </w:r>
      <w:r w:rsidR="001A49F5">
        <w:rPr>
          <w:rFonts w:eastAsia="Times New Roman" w:cstheme="minorHAnsi"/>
          <w:color w:val="000000"/>
          <w:lang w:eastAsia="en-GB"/>
        </w:rPr>
        <w:t xml:space="preserve">.  This approach has </w:t>
      </w:r>
      <w:r w:rsidRPr="009B3747">
        <w:rPr>
          <w:rFonts w:eastAsia="Times New Roman" w:cstheme="minorHAnsi"/>
          <w:color w:val="000000"/>
          <w:lang w:eastAsia="en-GB"/>
        </w:rPr>
        <w:t xml:space="preserve">resulted in the NCMP becoming one of most robust data sets on childhood obesity prevalence in the world </w:t>
      </w:r>
      <w:r w:rsidR="004064F1"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"Jebb", "given" : "SA", "non-dropping-particle" : "", "parse-names" : false, "suffix" : "" }, { "dropping-particle" : "", "family" : "Aveyard", "given" : "PN", "non-dropping-particle" : "", "parse-names" : false, "suffix" : "" }, { "dropping-particle" : "", "family" : "Hawkes", "given" : "C", "non-dropping-particle" : "", "parse-names" : false, "suffix" : "" } ], "container-title" : "obesity reviews", "id" : "ITEM-1", "issue" : "S2", "issued" : { "date-parts" : [ [ "2013" ] ] }, "page" : "42-59", "title" : "The evolution of policy and actions to tackle obesity in England", "type" : "article-journal", "volume" : "14" }, "uris" : [ "http://www.mendeley.com/documents/?uuid=1a621344-3871-497d-9fef-f77922b7fa6b" ] } ], "mendeley" : { "formattedCitation" : "(Jebb et al., 2013)", "plainTextFormattedCitation" : "(Jebb et al., 2013)", "previouslyFormattedCitation" : "(Jebb et al., 2013)" }, "properties" : { "noteIndex" : 0 }, "schema" : "https://github.com/citation-style-language/schema/raw/master/csl-citation.json" }</w:instrText>
      </w:r>
      <w:r w:rsidR="004064F1" w:rsidRPr="009B3747">
        <w:rPr>
          <w:rFonts w:eastAsia="Times New Roman" w:cstheme="minorHAnsi"/>
          <w:color w:val="000000"/>
          <w:lang w:eastAsia="en-GB"/>
        </w:rPr>
        <w:fldChar w:fldCharType="separate"/>
      </w:r>
      <w:r w:rsidR="004064F1" w:rsidRPr="009B3747">
        <w:rPr>
          <w:rFonts w:eastAsia="Times New Roman" w:cstheme="minorHAnsi"/>
          <w:noProof/>
          <w:color w:val="000000"/>
          <w:lang w:eastAsia="en-GB"/>
        </w:rPr>
        <w:t>(Jebb et al., 2013)</w:t>
      </w:r>
      <w:r w:rsidR="004064F1" w:rsidRPr="009B3747">
        <w:rPr>
          <w:rFonts w:eastAsia="Times New Roman" w:cstheme="minorHAnsi"/>
          <w:color w:val="000000"/>
          <w:lang w:eastAsia="en-GB"/>
        </w:rPr>
        <w:fldChar w:fldCharType="end"/>
      </w:r>
      <w:r w:rsidR="004064F1" w:rsidRPr="009B3747">
        <w:rPr>
          <w:rFonts w:eastAsia="Times New Roman" w:cstheme="minorHAnsi"/>
          <w:color w:val="000000"/>
          <w:lang w:eastAsia="en-GB"/>
        </w:rPr>
        <w:t>.</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A16FA3" w:rsidRPr="009B3747" w:rsidRDefault="00A16FA3" w:rsidP="00A16FA3">
      <w:pPr>
        <w:rPr>
          <w:rFonts w:eastAsia="Times New Roman" w:cstheme="minorHAnsi"/>
          <w:color w:val="000000"/>
          <w:lang w:eastAsia="en-GB"/>
        </w:rPr>
      </w:pPr>
      <w:r w:rsidRPr="009B3747">
        <w:rPr>
          <w:rFonts w:eastAsia="Times New Roman" w:cstheme="minorHAnsi"/>
          <w:color w:val="000000"/>
          <w:lang w:eastAsia="en-GB"/>
        </w:rPr>
        <w:t>Given that the NCMP only undertakes annual hei</w:t>
      </w:r>
      <w:r w:rsidR="006E1936" w:rsidRPr="009B3747">
        <w:rPr>
          <w:rFonts w:eastAsia="Times New Roman" w:cstheme="minorHAnsi"/>
          <w:color w:val="000000"/>
          <w:lang w:eastAsia="en-GB"/>
        </w:rPr>
        <w:t xml:space="preserve">ght and weight assessments of 4 to 5 and 10 to </w:t>
      </w:r>
      <w:r w:rsidRPr="009B3747">
        <w:rPr>
          <w:rFonts w:eastAsia="Times New Roman" w:cstheme="minorHAnsi"/>
          <w:color w:val="000000"/>
          <w:lang w:eastAsia="en-GB"/>
        </w:rPr>
        <w:t>11 year olds, a significant gap exists in tracking obesity prevalence in adolescence</w:t>
      </w:r>
      <w:r w:rsidR="00FE4357">
        <w:rPr>
          <w:rFonts w:eastAsia="Times New Roman" w:cstheme="minorHAnsi"/>
          <w:color w:val="000000"/>
          <w:lang w:eastAsia="en-GB"/>
        </w:rPr>
        <w:t>,</w:t>
      </w:r>
      <w:r w:rsidRPr="009B3747">
        <w:rPr>
          <w:rFonts w:eastAsia="Times New Roman" w:cstheme="minorHAnsi"/>
          <w:color w:val="000000"/>
          <w:lang w:eastAsia="en-GB"/>
        </w:rPr>
        <w:t xml:space="preserve"> i.e. above the age of 11 years old.  Over a third of adolescents leaving their last year of primary school are entering into secondary school either overweight or obese</w:t>
      </w:r>
      <w:r w:rsidR="004064F1" w:rsidRPr="009B3747">
        <w:rPr>
          <w:rFonts w:eastAsia="Times New Roman" w:cstheme="minorHAnsi"/>
          <w:color w:val="000000"/>
          <w:lang w:eastAsia="en-GB"/>
        </w:rPr>
        <w:t xml:space="preserve"> </w:t>
      </w:r>
      <w:r w:rsidR="004064F1"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"NHS Digital", "given" : "", "non-dropping-particle" : "", "parse-names" : false, "suffix" : "" } ], "id" : "ITEM-1", "issued" : { "date-parts" : [ [ "2016" ] ] }, "publisher-place" : "London", "title" : "National Child Measurement Programme - England, 2015/2016 school year", "type" : "report" }, "uris" : [ "http://www.mendeley.com/documents/?uuid=c13c8b37-9c1a-4559-8550-5f5e414a2fe2" ] } ], "mendeley" : { "formattedCitation" : "(NHS Digital, 2016b)", "plainTextFormattedCitation" : "(NHS Digital, 2016b)", "previouslyFormattedCitation" : "(NHS Digital, 2016b)" }, "properties" : { "noteIndex" : 0 }, "schema" : "https://github.com/citation-style-language/schema/raw/master/csl-citation.json" }</w:instrText>
      </w:r>
      <w:r w:rsidR="004064F1" w:rsidRPr="009B3747">
        <w:rPr>
          <w:rFonts w:eastAsia="Times New Roman" w:cstheme="minorHAnsi"/>
          <w:color w:val="000000"/>
          <w:lang w:eastAsia="en-GB"/>
        </w:rPr>
        <w:fldChar w:fldCharType="separate"/>
      </w:r>
      <w:r w:rsidR="004064F1" w:rsidRPr="009B3747">
        <w:rPr>
          <w:rFonts w:eastAsia="Times New Roman" w:cstheme="minorHAnsi"/>
          <w:noProof/>
          <w:color w:val="000000"/>
          <w:lang w:eastAsia="en-GB"/>
        </w:rPr>
        <w:t>(NHS Digital, 2016b)</w:t>
      </w:r>
      <w:r w:rsidR="004064F1" w:rsidRPr="009B3747">
        <w:rPr>
          <w:rFonts w:eastAsia="Times New Roman" w:cstheme="minorHAnsi"/>
          <w:color w:val="000000"/>
          <w:lang w:eastAsia="en-GB"/>
        </w:rPr>
        <w:fldChar w:fldCharType="end"/>
      </w:r>
      <w:r w:rsidR="004064F1"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and the HSE is currently the only </w:t>
      </w:r>
      <w:r w:rsidRPr="009B3747">
        <w:rPr>
          <w:rFonts w:eastAsia="Times New Roman" w:cstheme="minorHAnsi"/>
          <w:color w:val="000000"/>
          <w:lang w:eastAsia="en-GB"/>
        </w:rPr>
        <w:lastRenderedPageBreak/>
        <w:t>source of prevalence estimates for adolescent exce</w:t>
      </w:r>
      <w:r w:rsidR="006E1936" w:rsidRPr="009B3747">
        <w:rPr>
          <w:rFonts w:eastAsia="Times New Roman" w:cstheme="minorHAnsi"/>
          <w:color w:val="000000"/>
          <w:lang w:eastAsia="en-GB"/>
        </w:rPr>
        <w:t xml:space="preserve">ss weight after this period (11 to </w:t>
      </w:r>
      <w:r w:rsidRPr="009B3747">
        <w:rPr>
          <w:rFonts w:eastAsia="Times New Roman" w:cstheme="minorHAnsi"/>
          <w:color w:val="000000"/>
          <w:lang w:eastAsia="en-GB"/>
        </w:rPr>
        <w:t>15 years).  In general, results from the HSE indicate that the proportion of adolescents who are obese generally increases as age increases</w:t>
      </w:r>
      <w:r w:rsidR="004064F1" w:rsidRPr="009B3747">
        <w:rPr>
          <w:rFonts w:eastAsia="Times New Roman" w:cstheme="minorHAnsi"/>
          <w:color w:val="000000"/>
          <w:lang w:eastAsia="en-GB"/>
        </w:rPr>
        <w:t xml:space="preserve"> </w:t>
      </w:r>
      <w:r w:rsidR="004064F1"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"NHS Digital", "given" : "", "non-dropping-particle" : "", "parse-names" : false, "suffix" : "" } ], "id" : "ITEM-1", "issued" : { "date-parts" : [ [ "2016" ] ] }, "publisher-place" : "London", "title" : "Health Survey for England 2015 - Children\u2019s body mass index, overweight and obesity", "type" : "report" }, "uris" : [ "http://www.mendeley.com/documents/?uuid=5a7638ee-a87e-4bc0-a4b3-e4740e162d11" ] } ], "mendeley" : { "formattedCitation" : "(NHS Digital, 2016a)", "plainTextFormattedCitation" : "(NHS Digital, 2016a)", "previouslyFormattedCitation" : "(NHS Digital, 2016a)" }, "properties" : { "noteIndex" : 0 }, "schema" : "https://github.com/citation-style-language/schema/raw/master/csl-citation.json" }</w:instrText>
      </w:r>
      <w:r w:rsidR="004064F1" w:rsidRPr="009B3747">
        <w:rPr>
          <w:rFonts w:eastAsia="Times New Roman" w:cstheme="minorHAnsi"/>
          <w:color w:val="000000"/>
          <w:lang w:eastAsia="en-GB"/>
        </w:rPr>
        <w:fldChar w:fldCharType="separate"/>
      </w:r>
      <w:r w:rsidR="004064F1" w:rsidRPr="009B3747">
        <w:rPr>
          <w:rFonts w:eastAsia="Times New Roman" w:cstheme="minorHAnsi"/>
          <w:noProof/>
          <w:color w:val="000000"/>
          <w:lang w:eastAsia="en-GB"/>
        </w:rPr>
        <w:t>(NHS Digital, 2016a)</w:t>
      </w:r>
      <w:r w:rsidR="004064F1" w:rsidRPr="009B3747">
        <w:rPr>
          <w:rFonts w:eastAsia="Times New Roman" w:cstheme="minorHAnsi"/>
          <w:color w:val="000000"/>
          <w:lang w:eastAsia="en-GB"/>
        </w:rPr>
        <w:fldChar w:fldCharType="end"/>
      </w:r>
      <w:r w:rsidR="00D7275C">
        <w:rPr>
          <w:rFonts w:eastAsia="Times New Roman" w:cstheme="minorHAnsi"/>
          <w:color w:val="000000"/>
          <w:lang w:eastAsia="en-GB"/>
        </w:rPr>
        <w:t xml:space="preserve">.  This confirms the </w:t>
      </w:r>
      <w:r w:rsidRPr="009B3747">
        <w:rPr>
          <w:rFonts w:eastAsia="Times New Roman" w:cstheme="minorHAnsi"/>
          <w:color w:val="000000"/>
          <w:lang w:eastAsia="en-GB"/>
        </w:rPr>
        <w:t xml:space="preserve">critical importance of maintaining an obesity prevention focus throughout the secondary school period </w:t>
      </w:r>
      <w:r w:rsidR="004064F1" w:rsidRPr="009B3747">
        <w:rPr>
          <w:rFonts w:eastAsia="Times New Roman" w:cstheme="minorHAnsi"/>
          <w:color w:val="000000"/>
          <w:lang w:eastAsia="en-GB"/>
        </w:rPr>
        <w:fldChar w:fldCharType="begin" w:fldLock="1"/>
      </w:r>
      <w:r w:rsidR="004064F1" w:rsidRPr="009B3747">
        <w:rPr>
          <w:rFonts w:eastAsia="Times New Roman" w:cstheme="minorHAnsi"/>
          <w:color w:val="000000"/>
          <w:lang w:eastAsia="en-GB"/>
        </w:rPr>
        <w:instrText>ADDIN CSL_CITATION { "citationItems" : [ { "id" : "ITEM-1", "itemData" : { "DOI" : "10.1016/j.jadohealth.2010.06.019", "ISSN" : "1879-1972", "PMID" : "21338899", "abstract" : "OBJECTIVES: To assess changes in overweight and obesity between adolescence and young adulthood.\n\nDESIGN: Prospective 8-wave cohort study in Victoria, Australia, with 1,520 adolescents tracked from the age of 14 for a period of 10 years.\n\nMAIN OUTCOME MEASURES: Participants aged &lt;18 years were classified as non-overweight, overweight, or obese according to International Obesity Taskforce cutoff points. In those aged &gt;18 years overweight was defined as a body mass index (BMI) \u2265 25; and obesity as a BMI \u2265 30.\n\nRESULTS: The proportion of overweight individuals increased from 20% in mid-adolescence to 33% at the age of 24 years. Obesity increased from 3.6% to 6.7%. Approximately 40% of young adults with a BMI \u2265 25 had been persistently at normal weights during adolescence and approximately 80% had been at a normal weight at some point. Around half of obese young adults had never been classified as obese as adolescents. No individual with persistent obesity in adolescence had a BMI &lt;25 at 24 years. A total of 31% of females and 59% of males who had been overweight for only one or two waves of adolescent data collection had a BMI \u2265 25 at 24 years.\n\nCONCLUSIONS: Substantial shifts in overweight and obesity occur between adolescence and young adulthood; the extent of continuity depends on both the severity and persistence of adiposity in adolescence. Few adolescents who peak into obesity or are persistently overweight achieve a normal weight in young adulthood. Resolution is more common in those who are less persistently overweight as teenagers, suggesting scope for lifestyle interventions in this subgroup.", "author" : [ { "dropping-particle" : "", "family" : "Patton", "given" : "George C", "non-dropping-particle" : "", "parse-names" : false, "suffix" : "" }, { "dropping-particle" : "", "family" : "Coffey", "given" : "Carolyn", "non-dropping-particle" : "", "parse-names" : false, "suffix" : "" }, { "dropping-particle" : "", "family" : "Carlin", "given" : "John B", "non-dropping-particle" : "", "parse-names" : false, "suffix" : "" }, { "dropping-particle" : "", "family" : "Sawyer", "given" : "Susan M", "non-dropping-particle" : "", "parse-names" : false, "suffix" : "" }, { "dropping-particle" : "", "family" : "Williams", "given" : "Joanne", "non-dropping-particle" : "", "parse-names" : false, "suffix" : "" }, { "dropping-particle" : "", "family" : "Olsson", "given" : "Craig A", "non-dropping-particle" : "", "parse-names" : false, "suffix" : "" }, { "dropping-particle" : "", "family" : "Wake", "given" : "Melissa", "non-dropping-particle" : "", "parse-names" : false, "suffix" : "" } ], "container-title" : "The Journal of adolescent health : official publication of the Society for Adolescent Medicine", "id" : "ITEM-1", "issue" : "3", "issued" : { "date-parts" : [ [ "2011", "3", "3" ] ] }, "language" : "English", "page" : "275-80", "publisher" : "Elsevier", "title" : "Overweight and obesity between adolescence and young adulthood: a 10-year prospective cohort study.", "type" : "article-journal", "volume" : "48" }, "uris" : [ "http://www.mendeley.com/documents/?uuid=d52337f9-1bc5-4f91-8711-fbb6ee9a9373" ] } ], "mendeley" : { "formattedCitation" : "(Patton et al., 2011)", "plainTextFormattedCitation" : "(Patton et al., 2011)", "previouslyFormattedCitation" : "(Patton et al., 2011)" }, "properties" : { "noteIndex" : 0 }, "schema" : "https://github.com/citation-style-language/schema/raw/master/csl-citation.json" }</w:instrText>
      </w:r>
      <w:r w:rsidR="004064F1" w:rsidRPr="009B3747">
        <w:rPr>
          <w:rFonts w:eastAsia="Times New Roman" w:cstheme="minorHAnsi"/>
          <w:color w:val="000000"/>
          <w:lang w:eastAsia="en-GB"/>
        </w:rPr>
        <w:fldChar w:fldCharType="separate"/>
      </w:r>
      <w:r w:rsidR="004064F1" w:rsidRPr="009B3747">
        <w:rPr>
          <w:rFonts w:eastAsia="Times New Roman" w:cstheme="minorHAnsi"/>
          <w:noProof/>
          <w:color w:val="000000"/>
          <w:lang w:eastAsia="en-GB"/>
        </w:rPr>
        <w:t>(Patton et al., 2011)</w:t>
      </w:r>
      <w:r w:rsidR="004064F1" w:rsidRPr="009B3747">
        <w:rPr>
          <w:rFonts w:eastAsia="Times New Roman" w:cstheme="minorHAnsi"/>
          <w:color w:val="000000"/>
          <w:lang w:eastAsia="en-GB"/>
        </w:rPr>
        <w:fldChar w:fldCharType="end"/>
      </w:r>
      <w:r w:rsidR="004064F1" w:rsidRPr="009B3747">
        <w:rPr>
          <w:rFonts w:eastAsia="Times New Roman" w:cstheme="minorHAnsi"/>
          <w:color w:val="000000"/>
          <w:lang w:eastAsia="en-GB"/>
        </w:rPr>
        <w:t>.</w:t>
      </w:r>
    </w:p>
    <w:p w:rsidR="004064F1" w:rsidRPr="009B3747" w:rsidRDefault="004064F1" w:rsidP="00A16FA3">
      <w:pPr>
        <w:rPr>
          <w:rFonts w:eastAsia="Times New Roman" w:cstheme="minorHAnsi"/>
          <w:sz w:val="24"/>
          <w:szCs w:val="24"/>
          <w:lang w:eastAsia="en-GB"/>
        </w:rPr>
      </w:pPr>
    </w:p>
    <w:p w:rsidR="00A16FA3" w:rsidRPr="009B3747" w:rsidRDefault="00A16FA3" w:rsidP="00A16FA3">
      <w:pPr>
        <w:rPr>
          <w:rFonts w:eastAsia="Times New Roman" w:cstheme="minorHAnsi"/>
          <w:sz w:val="24"/>
          <w:szCs w:val="24"/>
          <w:lang w:eastAsia="en-GB"/>
        </w:rPr>
      </w:pPr>
      <w:r w:rsidRPr="009B3747">
        <w:rPr>
          <w:rFonts w:eastAsia="Times New Roman" w:cstheme="minorHAnsi"/>
          <w:color w:val="000000"/>
          <w:lang w:eastAsia="en-GB"/>
        </w:rPr>
        <w:t xml:space="preserve">The most recent estimates of childhood obesity prevalence </w:t>
      </w:r>
      <w:r w:rsidR="00846B21" w:rsidRPr="009B3747">
        <w:rPr>
          <w:rFonts w:eastAsia="Times New Roman" w:cstheme="minorHAnsi"/>
          <w:color w:val="000000"/>
          <w:lang w:eastAsia="en-GB"/>
        </w:rPr>
        <w:t>in England are shown in table 2.1</w:t>
      </w:r>
      <w:r w:rsidRPr="009B3747">
        <w:rPr>
          <w:rFonts w:eastAsia="Times New Roman" w:cstheme="minorHAnsi"/>
          <w:color w:val="000000"/>
          <w:lang w:eastAsia="en-GB"/>
        </w:rPr>
        <w:t>.  </w:t>
      </w:r>
    </w:p>
    <w:p w:rsidR="002224C3" w:rsidRPr="009B3747" w:rsidRDefault="002224C3" w:rsidP="00A16FA3">
      <w:pPr>
        <w:rPr>
          <w:rFonts w:eastAsia="Times New Roman" w:cstheme="minorHAnsi"/>
          <w:b/>
          <w:bCs/>
          <w:i/>
          <w:iCs/>
          <w:color w:val="000000"/>
          <w:sz w:val="21"/>
          <w:szCs w:val="21"/>
          <w:lang w:eastAsia="en-GB"/>
        </w:rPr>
      </w:pPr>
    </w:p>
    <w:p w:rsidR="00A16FA3" w:rsidRPr="009B3747" w:rsidRDefault="00846B21" w:rsidP="00A16FA3">
      <w:pPr>
        <w:rPr>
          <w:rFonts w:eastAsia="Times New Roman" w:cstheme="minorHAnsi"/>
          <w:iCs/>
          <w:color w:val="000000"/>
          <w:sz w:val="21"/>
          <w:szCs w:val="21"/>
          <w:u w:val="single"/>
          <w:lang w:eastAsia="en-GB"/>
        </w:rPr>
      </w:pPr>
      <w:r w:rsidRPr="009B3747">
        <w:rPr>
          <w:rFonts w:eastAsia="Times New Roman" w:cstheme="minorHAnsi"/>
          <w:b/>
          <w:bCs/>
          <w:iCs/>
          <w:color w:val="000000"/>
          <w:sz w:val="21"/>
          <w:szCs w:val="21"/>
          <w:u w:val="single"/>
          <w:lang w:eastAsia="en-GB"/>
        </w:rPr>
        <w:t>Table 2.1</w:t>
      </w:r>
      <w:r w:rsidR="00A16FA3" w:rsidRPr="009B3747">
        <w:rPr>
          <w:rFonts w:eastAsia="Times New Roman" w:cstheme="minorHAnsi"/>
          <w:iCs/>
          <w:color w:val="000000"/>
          <w:sz w:val="21"/>
          <w:szCs w:val="21"/>
          <w:u w:val="single"/>
          <w:lang w:eastAsia="en-GB"/>
        </w:rPr>
        <w:t xml:space="preserve"> – Childhood and adolescent overweight and obesity prevalence for England in 2015/2016</w:t>
      </w:r>
    </w:p>
    <w:p w:rsidR="00413889" w:rsidRPr="009B3747" w:rsidRDefault="00413889" w:rsidP="00A16FA3">
      <w:pPr>
        <w:rPr>
          <w:rFonts w:eastAsia="Times New Roman" w:cstheme="minorHAnsi"/>
          <w:sz w:val="24"/>
          <w:szCs w:val="24"/>
          <w:u w:val="single"/>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1550"/>
        <w:gridCol w:w="779"/>
        <w:gridCol w:w="1063"/>
        <w:gridCol w:w="625"/>
        <w:gridCol w:w="1586"/>
        <w:gridCol w:w="1092"/>
        <w:gridCol w:w="625"/>
        <w:gridCol w:w="1686"/>
      </w:tblGrid>
      <w:tr w:rsidR="00A16FA3" w:rsidRPr="009B3747" w:rsidTr="00A16FA3">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2224C3">
            <w:pPr>
              <w:spacing w:line="276" w:lineRule="auto"/>
              <w:rPr>
                <w:rFonts w:eastAsia="Times New Roman" w:cstheme="minorHAnsi"/>
                <w:sz w:val="24"/>
                <w:szCs w:val="24"/>
                <w:lang w:eastAsia="en-GB"/>
              </w:rPr>
            </w:pP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2224C3">
            <w:pPr>
              <w:spacing w:line="276" w:lineRule="auto"/>
              <w:ind w:left="-120"/>
              <w:jc w:val="center"/>
              <w:rPr>
                <w:rFonts w:eastAsia="Times New Roman" w:cstheme="minorHAnsi"/>
                <w:sz w:val="24"/>
                <w:szCs w:val="24"/>
                <w:lang w:eastAsia="en-GB"/>
              </w:rPr>
            </w:pPr>
            <w:r w:rsidRPr="009B3747">
              <w:rPr>
                <w:rFonts w:eastAsia="Times New Roman" w:cstheme="minorHAnsi"/>
                <w:b/>
                <w:bCs/>
                <w:i/>
                <w:iCs/>
                <w:color w:val="000000"/>
                <w:lang w:eastAsia="en-GB"/>
              </w:rPr>
              <w:t>Boys</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2224C3">
            <w:pPr>
              <w:spacing w:line="276" w:lineRule="auto"/>
              <w:ind w:left="-120"/>
              <w:jc w:val="center"/>
              <w:rPr>
                <w:rFonts w:eastAsia="Times New Roman" w:cstheme="minorHAnsi"/>
                <w:sz w:val="24"/>
                <w:szCs w:val="24"/>
                <w:lang w:eastAsia="en-GB"/>
              </w:rPr>
            </w:pPr>
            <w:r w:rsidRPr="009B3747">
              <w:rPr>
                <w:rFonts w:eastAsia="Times New Roman" w:cstheme="minorHAnsi"/>
                <w:b/>
                <w:bCs/>
                <w:i/>
                <w:iCs/>
                <w:color w:val="000000"/>
                <w:lang w:eastAsia="en-GB"/>
              </w:rPr>
              <w:t>Girls</w:t>
            </w:r>
          </w:p>
        </w:tc>
      </w:tr>
      <w:tr w:rsidR="00A16FA3" w:rsidRPr="009B3747" w:rsidTr="00A16FA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2224C3">
            <w:pPr>
              <w:spacing w:line="276" w:lineRule="auto"/>
              <w:ind w:left="15"/>
              <w:rPr>
                <w:rFonts w:eastAsia="Times New Roman" w:cstheme="minorHAnsi"/>
                <w:sz w:val="24"/>
                <w:szCs w:val="24"/>
                <w:lang w:eastAsia="en-GB"/>
              </w:rPr>
            </w:pPr>
            <w:r w:rsidRPr="009B3747">
              <w:rPr>
                <w:rFonts w:eastAsia="Times New Roman" w:cstheme="minorHAnsi"/>
                <w:b/>
                <w:bCs/>
                <w:i/>
                <w:iCs/>
                <w:color w:val="000000"/>
                <w:lang w:eastAsia="en-GB"/>
              </w:rPr>
              <w:t>Source of data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2224C3">
            <w:pPr>
              <w:spacing w:line="276" w:lineRule="auto"/>
              <w:ind w:left="-120"/>
              <w:jc w:val="center"/>
              <w:rPr>
                <w:rFonts w:eastAsia="Times New Roman" w:cstheme="minorHAnsi"/>
                <w:sz w:val="24"/>
                <w:szCs w:val="24"/>
                <w:lang w:eastAsia="en-GB"/>
              </w:rPr>
            </w:pPr>
            <w:r w:rsidRPr="009B3747">
              <w:rPr>
                <w:rFonts w:eastAsia="Times New Roman" w:cstheme="minorHAnsi"/>
                <w:b/>
                <w:bCs/>
                <w:i/>
                <w:iCs/>
                <w:color w:val="000000"/>
                <w:lang w:eastAsia="en-GB"/>
              </w:rPr>
              <w:t>Age</w:t>
            </w:r>
          </w:p>
          <w:p w:rsidR="00A16FA3" w:rsidRPr="009B3747" w:rsidRDefault="00A16FA3" w:rsidP="002224C3">
            <w:pPr>
              <w:spacing w:line="276" w:lineRule="auto"/>
              <w:ind w:left="-120"/>
              <w:jc w:val="center"/>
              <w:rPr>
                <w:rFonts w:eastAsia="Times New Roman" w:cstheme="minorHAnsi"/>
                <w:sz w:val="24"/>
                <w:szCs w:val="24"/>
                <w:lang w:eastAsia="en-GB"/>
              </w:rPr>
            </w:pPr>
            <w:r w:rsidRPr="009B3747">
              <w:rPr>
                <w:rFonts w:eastAsia="Times New Roman" w:cstheme="minorHAnsi"/>
                <w:b/>
                <w:bCs/>
                <w:i/>
                <w:iCs/>
                <w:color w:val="000000"/>
                <w:lang w:eastAsia="en-GB"/>
              </w:rPr>
              <w:t>(years)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2224C3">
            <w:pPr>
              <w:spacing w:line="276" w:lineRule="auto"/>
              <w:ind w:left="-120"/>
              <w:jc w:val="center"/>
              <w:rPr>
                <w:rFonts w:eastAsia="Times New Roman" w:cstheme="minorHAnsi"/>
                <w:sz w:val="24"/>
                <w:szCs w:val="24"/>
                <w:lang w:eastAsia="en-GB"/>
              </w:rPr>
            </w:pPr>
            <w:r w:rsidRPr="009B3747">
              <w:rPr>
                <w:rFonts w:eastAsia="Times New Roman" w:cstheme="minorHAnsi"/>
                <w:i/>
                <w:iCs/>
                <w:color w:val="000000"/>
                <w:sz w:val="20"/>
                <w:szCs w:val="20"/>
                <w:lang w:eastAsia="en-GB"/>
              </w:rPr>
              <w:t>%</w:t>
            </w:r>
          </w:p>
          <w:p w:rsidR="00A16FA3" w:rsidRPr="009B3747" w:rsidRDefault="00A16FA3" w:rsidP="002224C3">
            <w:pPr>
              <w:spacing w:line="276" w:lineRule="auto"/>
              <w:ind w:left="-120"/>
              <w:jc w:val="center"/>
              <w:rPr>
                <w:rFonts w:eastAsia="Times New Roman" w:cstheme="minorHAnsi"/>
                <w:sz w:val="24"/>
                <w:szCs w:val="24"/>
                <w:lang w:eastAsia="en-GB"/>
              </w:rPr>
            </w:pPr>
            <w:r w:rsidRPr="009B3747">
              <w:rPr>
                <w:rFonts w:eastAsia="Times New Roman" w:cstheme="minorHAnsi"/>
                <w:i/>
                <w:iCs/>
                <w:color w:val="000000"/>
                <w:sz w:val="20"/>
                <w:szCs w:val="20"/>
                <w:lang w:eastAsia="en-GB"/>
              </w:rPr>
              <w:t>overweight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2224C3">
            <w:pPr>
              <w:spacing w:line="276" w:lineRule="auto"/>
              <w:ind w:left="-120"/>
              <w:jc w:val="center"/>
              <w:rPr>
                <w:rFonts w:eastAsia="Times New Roman" w:cstheme="minorHAnsi"/>
                <w:sz w:val="24"/>
                <w:szCs w:val="24"/>
                <w:lang w:eastAsia="en-GB"/>
              </w:rPr>
            </w:pPr>
            <w:r w:rsidRPr="009B3747">
              <w:rPr>
                <w:rFonts w:eastAsia="Times New Roman" w:cstheme="minorHAnsi"/>
                <w:i/>
                <w:iCs/>
                <w:color w:val="000000"/>
                <w:sz w:val="20"/>
                <w:szCs w:val="20"/>
                <w:lang w:eastAsia="en-GB"/>
              </w:rPr>
              <w:t>%</w:t>
            </w:r>
          </w:p>
          <w:p w:rsidR="00A16FA3" w:rsidRPr="009B3747" w:rsidRDefault="00A16FA3" w:rsidP="002224C3">
            <w:pPr>
              <w:spacing w:line="276" w:lineRule="auto"/>
              <w:ind w:left="-120"/>
              <w:jc w:val="center"/>
              <w:rPr>
                <w:rFonts w:eastAsia="Times New Roman" w:cstheme="minorHAnsi"/>
                <w:sz w:val="24"/>
                <w:szCs w:val="24"/>
                <w:lang w:eastAsia="en-GB"/>
              </w:rPr>
            </w:pPr>
            <w:r w:rsidRPr="009B3747">
              <w:rPr>
                <w:rFonts w:eastAsia="Times New Roman" w:cstheme="minorHAnsi"/>
                <w:i/>
                <w:iCs/>
                <w:color w:val="000000"/>
                <w:sz w:val="20"/>
                <w:szCs w:val="20"/>
                <w:lang w:eastAsia="en-GB"/>
              </w:rPr>
              <w:t>obese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2224C3">
            <w:pPr>
              <w:spacing w:line="276" w:lineRule="auto"/>
              <w:ind w:left="-30"/>
              <w:jc w:val="center"/>
              <w:rPr>
                <w:rFonts w:eastAsia="Times New Roman" w:cstheme="minorHAnsi"/>
                <w:sz w:val="24"/>
                <w:szCs w:val="24"/>
                <w:lang w:eastAsia="en-GB"/>
              </w:rPr>
            </w:pPr>
            <w:r w:rsidRPr="009B3747">
              <w:rPr>
                <w:rFonts w:eastAsia="Times New Roman" w:cstheme="minorHAnsi"/>
                <w:i/>
                <w:iCs/>
                <w:color w:val="000000"/>
                <w:sz w:val="20"/>
                <w:szCs w:val="20"/>
                <w:lang w:eastAsia="en-GB"/>
              </w:rPr>
              <w:t>%</w:t>
            </w:r>
          </w:p>
          <w:p w:rsidR="00A16FA3" w:rsidRPr="009B3747" w:rsidRDefault="00A16FA3" w:rsidP="002224C3">
            <w:pPr>
              <w:spacing w:line="276" w:lineRule="auto"/>
              <w:ind w:left="-30"/>
              <w:jc w:val="center"/>
              <w:rPr>
                <w:rFonts w:eastAsia="Times New Roman" w:cstheme="minorHAnsi"/>
                <w:sz w:val="24"/>
                <w:szCs w:val="24"/>
                <w:lang w:eastAsia="en-GB"/>
              </w:rPr>
            </w:pPr>
            <w:r w:rsidRPr="009B3747">
              <w:rPr>
                <w:rFonts w:eastAsia="Times New Roman" w:cstheme="minorHAnsi"/>
                <w:i/>
                <w:iCs/>
                <w:color w:val="000000"/>
                <w:sz w:val="20"/>
                <w:szCs w:val="20"/>
                <w:lang w:eastAsia="en-GB"/>
              </w:rPr>
              <w:t>overweight or obese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2224C3">
            <w:pPr>
              <w:spacing w:line="276" w:lineRule="auto"/>
              <w:ind w:left="-120"/>
              <w:jc w:val="center"/>
              <w:rPr>
                <w:rFonts w:eastAsia="Times New Roman" w:cstheme="minorHAnsi"/>
                <w:sz w:val="24"/>
                <w:szCs w:val="24"/>
                <w:lang w:eastAsia="en-GB"/>
              </w:rPr>
            </w:pPr>
            <w:r w:rsidRPr="009B3747">
              <w:rPr>
                <w:rFonts w:eastAsia="Times New Roman" w:cstheme="minorHAnsi"/>
                <w:i/>
                <w:iCs/>
                <w:color w:val="000000"/>
                <w:sz w:val="20"/>
                <w:szCs w:val="20"/>
                <w:lang w:eastAsia="en-GB"/>
              </w:rPr>
              <w:t>%</w:t>
            </w:r>
          </w:p>
          <w:p w:rsidR="00A16FA3" w:rsidRPr="009B3747" w:rsidRDefault="00A16FA3" w:rsidP="002224C3">
            <w:pPr>
              <w:spacing w:line="276" w:lineRule="auto"/>
              <w:ind w:left="-120"/>
              <w:jc w:val="center"/>
              <w:rPr>
                <w:rFonts w:eastAsia="Times New Roman" w:cstheme="minorHAnsi"/>
                <w:sz w:val="24"/>
                <w:szCs w:val="24"/>
                <w:lang w:eastAsia="en-GB"/>
              </w:rPr>
            </w:pPr>
            <w:r w:rsidRPr="009B3747">
              <w:rPr>
                <w:rFonts w:eastAsia="Times New Roman" w:cstheme="minorHAnsi"/>
                <w:i/>
                <w:iCs/>
                <w:color w:val="000000"/>
                <w:sz w:val="20"/>
                <w:szCs w:val="20"/>
                <w:lang w:eastAsia="en-GB"/>
              </w:rPr>
              <w:t>Overweight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2224C3">
            <w:pPr>
              <w:spacing w:line="276" w:lineRule="auto"/>
              <w:ind w:left="-120"/>
              <w:jc w:val="center"/>
              <w:rPr>
                <w:rFonts w:eastAsia="Times New Roman" w:cstheme="minorHAnsi"/>
                <w:sz w:val="24"/>
                <w:szCs w:val="24"/>
                <w:lang w:eastAsia="en-GB"/>
              </w:rPr>
            </w:pPr>
            <w:r w:rsidRPr="009B3747">
              <w:rPr>
                <w:rFonts w:eastAsia="Times New Roman" w:cstheme="minorHAnsi"/>
                <w:i/>
                <w:iCs/>
                <w:color w:val="000000"/>
                <w:sz w:val="20"/>
                <w:szCs w:val="20"/>
                <w:lang w:eastAsia="en-GB"/>
              </w:rPr>
              <w:t>%</w:t>
            </w:r>
          </w:p>
          <w:p w:rsidR="00A16FA3" w:rsidRPr="009B3747" w:rsidRDefault="00A16FA3" w:rsidP="002224C3">
            <w:pPr>
              <w:spacing w:line="276" w:lineRule="auto"/>
              <w:ind w:left="-120"/>
              <w:jc w:val="center"/>
              <w:rPr>
                <w:rFonts w:eastAsia="Times New Roman" w:cstheme="minorHAnsi"/>
                <w:sz w:val="24"/>
                <w:szCs w:val="24"/>
                <w:lang w:eastAsia="en-GB"/>
              </w:rPr>
            </w:pPr>
            <w:r w:rsidRPr="009B3747">
              <w:rPr>
                <w:rFonts w:eastAsia="Times New Roman" w:cstheme="minorHAnsi"/>
                <w:i/>
                <w:iCs/>
                <w:color w:val="000000"/>
                <w:sz w:val="20"/>
                <w:szCs w:val="20"/>
                <w:lang w:eastAsia="en-GB"/>
              </w:rPr>
              <w:t>obese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2224C3">
            <w:pPr>
              <w:spacing w:line="276" w:lineRule="auto"/>
              <w:ind w:left="30"/>
              <w:jc w:val="center"/>
              <w:rPr>
                <w:rFonts w:eastAsia="Times New Roman" w:cstheme="minorHAnsi"/>
                <w:sz w:val="24"/>
                <w:szCs w:val="24"/>
                <w:lang w:eastAsia="en-GB"/>
              </w:rPr>
            </w:pPr>
            <w:r w:rsidRPr="009B3747">
              <w:rPr>
                <w:rFonts w:eastAsia="Times New Roman" w:cstheme="minorHAnsi"/>
                <w:i/>
                <w:iCs/>
                <w:color w:val="000000"/>
                <w:sz w:val="20"/>
                <w:szCs w:val="20"/>
                <w:lang w:eastAsia="en-GB"/>
              </w:rPr>
              <w:t>% overweight or obese</w:t>
            </w:r>
          </w:p>
        </w:tc>
      </w:tr>
      <w:tr w:rsidR="00A16FA3" w:rsidRPr="009B3747" w:rsidTr="00A16FA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2224C3">
            <w:pPr>
              <w:spacing w:line="276" w:lineRule="auto"/>
              <w:ind w:left="15"/>
              <w:rPr>
                <w:rFonts w:eastAsia="Times New Roman" w:cstheme="minorHAnsi"/>
                <w:sz w:val="24"/>
                <w:szCs w:val="24"/>
                <w:lang w:eastAsia="en-GB"/>
              </w:rPr>
            </w:pPr>
            <w:r w:rsidRPr="009B3747">
              <w:rPr>
                <w:rFonts w:eastAsia="Times New Roman" w:cstheme="minorHAnsi"/>
                <w:i/>
                <w:iCs/>
                <w:color w:val="000000"/>
                <w:sz w:val="20"/>
                <w:szCs w:val="20"/>
                <w:lang w:eastAsia="en-GB"/>
              </w:rPr>
              <w:t>HSE (2015)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2224C3">
            <w:pPr>
              <w:spacing w:line="276" w:lineRule="auto"/>
              <w:ind w:left="-120"/>
              <w:jc w:val="center"/>
              <w:rPr>
                <w:rFonts w:eastAsia="Times New Roman" w:cstheme="minorHAnsi"/>
                <w:sz w:val="24"/>
                <w:szCs w:val="24"/>
                <w:lang w:eastAsia="en-GB"/>
              </w:rPr>
            </w:pPr>
            <w:r w:rsidRPr="009B3747">
              <w:rPr>
                <w:rFonts w:eastAsia="Times New Roman" w:cstheme="minorHAnsi"/>
                <w:i/>
                <w:iCs/>
                <w:color w:val="000000"/>
                <w:sz w:val="20"/>
                <w:szCs w:val="20"/>
                <w:lang w:eastAsia="en-GB"/>
              </w:rPr>
              <w:t>2-15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2224C3">
            <w:pPr>
              <w:spacing w:line="276" w:lineRule="auto"/>
              <w:ind w:left="-120"/>
              <w:jc w:val="center"/>
              <w:rPr>
                <w:rFonts w:eastAsia="Times New Roman" w:cstheme="minorHAnsi"/>
                <w:sz w:val="24"/>
                <w:szCs w:val="24"/>
                <w:lang w:eastAsia="en-GB"/>
              </w:rPr>
            </w:pPr>
            <w:r w:rsidRPr="009B3747">
              <w:rPr>
                <w:rFonts w:eastAsia="Times New Roman" w:cstheme="minorHAnsi"/>
                <w:i/>
                <w:iCs/>
                <w:color w:val="000000"/>
                <w:sz w:val="20"/>
                <w:szCs w:val="20"/>
                <w:lang w:eastAsia="en-GB"/>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2224C3">
            <w:pPr>
              <w:spacing w:line="276" w:lineRule="auto"/>
              <w:ind w:left="-120"/>
              <w:jc w:val="center"/>
              <w:rPr>
                <w:rFonts w:eastAsia="Times New Roman" w:cstheme="minorHAnsi"/>
                <w:sz w:val="24"/>
                <w:szCs w:val="24"/>
                <w:lang w:eastAsia="en-GB"/>
              </w:rPr>
            </w:pPr>
            <w:r w:rsidRPr="009B3747">
              <w:rPr>
                <w:rFonts w:eastAsia="Times New Roman" w:cstheme="minorHAnsi"/>
                <w:i/>
                <w:iCs/>
                <w:color w:val="000000"/>
                <w:sz w:val="20"/>
                <w:szCs w:val="20"/>
                <w:lang w:eastAsia="en-GB"/>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2224C3">
            <w:pPr>
              <w:spacing w:line="276" w:lineRule="auto"/>
              <w:ind w:left="-30"/>
              <w:jc w:val="center"/>
              <w:rPr>
                <w:rFonts w:eastAsia="Times New Roman" w:cstheme="minorHAnsi"/>
                <w:sz w:val="24"/>
                <w:szCs w:val="24"/>
                <w:lang w:eastAsia="en-GB"/>
              </w:rPr>
            </w:pPr>
            <w:r w:rsidRPr="009B3747">
              <w:rPr>
                <w:rFonts w:eastAsia="Times New Roman" w:cstheme="minorHAnsi"/>
                <w:i/>
                <w:iCs/>
                <w:color w:val="000000"/>
                <w:sz w:val="20"/>
                <w:szCs w:val="20"/>
                <w:lang w:eastAsia="en-GB"/>
              </w:rPr>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2224C3">
            <w:pPr>
              <w:spacing w:line="276" w:lineRule="auto"/>
              <w:ind w:left="-120"/>
              <w:jc w:val="center"/>
              <w:rPr>
                <w:rFonts w:eastAsia="Times New Roman" w:cstheme="minorHAnsi"/>
                <w:sz w:val="24"/>
                <w:szCs w:val="24"/>
                <w:lang w:eastAsia="en-GB"/>
              </w:rPr>
            </w:pPr>
            <w:r w:rsidRPr="009B3747">
              <w:rPr>
                <w:rFonts w:eastAsia="Times New Roman" w:cstheme="minorHAnsi"/>
                <w:i/>
                <w:iCs/>
                <w:color w:val="000000"/>
                <w:sz w:val="20"/>
                <w:szCs w:val="20"/>
                <w:lang w:eastAsia="en-GB"/>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2224C3">
            <w:pPr>
              <w:spacing w:line="276" w:lineRule="auto"/>
              <w:ind w:left="-120"/>
              <w:jc w:val="center"/>
              <w:rPr>
                <w:rFonts w:eastAsia="Times New Roman" w:cstheme="minorHAnsi"/>
                <w:sz w:val="24"/>
                <w:szCs w:val="24"/>
                <w:lang w:eastAsia="en-GB"/>
              </w:rPr>
            </w:pPr>
            <w:r w:rsidRPr="009B3747">
              <w:rPr>
                <w:rFonts w:eastAsia="Times New Roman" w:cstheme="minorHAnsi"/>
                <w:i/>
                <w:iCs/>
                <w:color w:val="000000"/>
                <w:sz w:val="20"/>
                <w:szCs w:val="20"/>
                <w:lang w:eastAsia="en-GB"/>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2224C3">
            <w:pPr>
              <w:spacing w:line="276" w:lineRule="auto"/>
              <w:ind w:left="30"/>
              <w:jc w:val="center"/>
              <w:rPr>
                <w:rFonts w:eastAsia="Times New Roman" w:cstheme="minorHAnsi"/>
                <w:sz w:val="24"/>
                <w:szCs w:val="24"/>
                <w:lang w:eastAsia="en-GB"/>
              </w:rPr>
            </w:pPr>
            <w:r w:rsidRPr="009B3747">
              <w:rPr>
                <w:rFonts w:eastAsia="Times New Roman" w:cstheme="minorHAnsi"/>
                <w:i/>
                <w:iCs/>
                <w:color w:val="000000"/>
                <w:sz w:val="20"/>
                <w:szCs w:val="20"/>
                <w:lang w:eastAsia="en-GB"/>
              </w:rPr>
              <w:t>29</w:t>
            </w:r>
          </w:p>
        </w:tc>
      </w:tr>
      <w:tr w:rsidR="00A16FA3" w:rsidRPr="009B3747" w:rsidTr="00A16FA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2224C3">
            <w:pPr>
              <w:spacing w:line="276" w:lineRule="auto"/>
              <w:ind w:left="15"/>
              <w:rPr>
                <w:rFonts w:eastAsia="Times New Roman" w:cstheme="minorHAnsi"/>
                <w:sz w:val="24"/>
                <w:szCs w:val="24"/>
                <w:lang w:eastAsia="en-GB"/>
              </w:rPr>
            </w:pPr>
            <w:r w:rsidRPr="009B3747">
              <w:rPr>
                <w:rFonts w:eastAsia="Times New Roman" w:cstheme="minorHAnsi"/>
                <w:i/>
                <w:iCs/>
                <w:color w:val="000000"/>
                <w:sz w:val="20"/>
                <w:szCs w:val="20"/>
                <w:lang w:eastAsia="en-GB"/>
              </w:rPr>
              <w:t>NCMP (2015/2016)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2224C3">
            <w:pPr>
              <w:spacing w:line="276" w:lineRule="auto"/>
              <w:ind w:left="-120"/>
              <w:jc w:val="center"/>
              <w:rPr>
                <w:rFonts w:eastAsia="Times New Roman" w:cstheme="minorHAnsi"/>
                <w:sz w:val="24"/>
                <w:szCs w:val="24"/>
                <w:lang w:eastAsia="en-GB"/>
              </w:rPr>
            </w:pPr>
            <w:r w:rsidRPr="009B3747">
              <w:rPr>
                <w:rFonts w:eastAsia="Times New Roman" w:cstheme="minorHAnsi"/>
                <w:i/>
                <w:iCs/>
                <w:color w:val="000000"/>
                <w:sz w:val="20"/>
                <w:szCs w:val="20"/>
                <w:lang w:eastAsia="en-GB"/>
              </w:rPr>
              <w:t>4-5</w:t>
            </w:r>
          </w:p>
          <w:p w:rsidR="00A16FA3" w:rsidRPr="009B3747" w:rsidRDefault="00A16FA3" w:rsidP="002224C3">
            <w:pPr>
              <w:spacing w:line="276" w:lineRule="auto"/>
              <w:ind w:left="-120"/>
              <w:jc w:val="center"/>
              <w:rPr>
                <w:rFonts w:eastAsia="Times New Roman" w:cstheme="minorHAnsi"/>
                <w:sz w:val="24"/>
                <w:szCs w:val="24"/>
                <w:lang w:eastAsia="en-GB"/>
              </w:rPr>
            </w:pPr>
            <w:r w:rsidRPr="009B3747">
              <w:rPr>
                <w:rFonts w:eastAsia="Times New Roman" w:cstheme="minorHAnsi"/>
                <w:i/>
                <w:iCs/>
                <w:color w:val="000000"/>
                <w:sz w:val="20"/>
                <w:szCs w:val="20"/>
                <w:lang w:eastAsia="en-GB"/>
              </w:rPr>
              <w:t>10-11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2224C3">
            <w:pPr>
              <w:spacing w:line="276" w:lineRule="auto"/>
              <w:ind w:left="-120"/>
              <w:jc w:val="center"/>
              <w:rPr>
                <w:rFonts w:eastAsia="Times New Roman" w:cstheme="minorHAnsi"/>
                <w:sz w:val="24"/>
                <w:szCs w:val="24"/>
                <w:lang w:eastAsia="en-GB"/>
              </w:rPr>
            </w:pPr>
            <w:r w:rsidRPr="009B3747">
              <w:rPr>
                <w:rFonts w:eastAsia="Times New Roman" w:cstheme="minorHAnsi"/>
                <w:i/>
                <w:iCs/>
                <w:color w:val="000000"/>
                <w:sz w:val="20"/>
                <w:szCs w:val="20"/>
                <w:lang w:eastAsia="en-GB"/>
              </w:rPr>
              <w:t>13.1</w:t>
            </w:r>
          </w:p>
          <w:p w:rsidR="00A16FA3" w:rsidRPr="009B3747" w:rsidRDefault="00A16FA3" w:rsidP="002224C3">
            <w:pPr>
              <w:spacing w:line="276" w:lineRule="auto"/>
              <w:ind w:left="-120"/>
              <w:jc w:val="center"/>
              <w:rPr>
                <w:rFonts w:eastAsia="Times New Roman" w:cstheme="minorHAnsi"/>
                <w:sz w:val="24"/>
                <w:szCs w:val="24"/>
                <w:lang w:eastAsia="en-GB"/>
              </w:rPr>
            </w:pPr>
            <w:r w:rsidRPr="009B3747">
              <w:rPr>
                <w:rFonts w:eastAsia="Times New Roman" w:cstheme="minorHAnsi"/>
                <w:i/>
                <w:iCs/>
                <w:color w:val="000000"/>
                <w:sz w:val="20"/>
                <w:szCs w:val="20"/>
                <w:lang w:eastAsia="en-GB"/>
              </w:rPr>
              <w:t>14.3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2224C3">
            <w:pPr>
              <w:spacing w:line="276" w:lineRule="auto"/>
              <w:ind w:left="-120"/>
              <w:jc w:val="center"/>
              <w:rPr>
                <w:rFonts w:eastAsia="Times New Roman" w:cstheme="minorHAnsi"/>
                <w:sz w:val="24"/>
                <w:szCs w:val="24"/>
                <w:lang w:eastAsia="en-GB"/>
              </w:rPr>
            </w:pPr>
            <w:r w:rsidRPr="009B3747">
              <w:rPr>
                <w:rFonts w:eastAsia="Times New Roman" w:cstheme="minorHAnsi"/>
                <w:i/>
                <w:iCs/>
                <w:color w:val="000000"/>
                <w:sz w:val="20"/>
                <w:szCs w:val="20"/>
                <w:lang w:eastAsia="en-GB"/>
              </w:rPr>
              <w:t>9.6</w:t>
            </w:r>
          </w:p>
          <w:p w:rsidR="00A16FA3" w:rsidRPr="009B3747" w:rsidRDefault="00A16FA3" w:rsidP="002224C3">
            <w:pPr>
              <w:spacing w:line="276" w:lineRule="auto"/>
              <w:ind w:left="-120"/>
              <w:jc w:val="center"/>
              <w:rPr>
                <w:rFonts w:eastAsia="Times New Roman" w:cstheme="minorHAnsi"/>
                <w:sz w:val="24"/>
                <w:szCs w:val="24"/>
                <w:lang w:eastAsia="en-GB"/>
              </w:rPr>
            </w:pPr>
            <w:r w:rsidRPr="009B3747">
              <w:rPr>
                <w:rFonts w:eastAsia="Times New Roman" w:cstheme="minorHAnsi"/>
                <w:i/>
                <w:iCs/>
                <w:color w:val="000000"/>
                <w:sz w:val="20"/>
                <w:szCs w:val="20"/>
                <w:lang w:eastAsia="en-GB"/>
              </w:rPr>
              <w:t>21.7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2224C3">
            <w:pPr>
              <w:spacing w:line="276" w:lineRule="auto"/>
              <w:ind w:left="-30"/>
              <w:jc w:val="center"/>
              <w:rPr>
                <w:rFonts w:eastAsia="Times New Roman" w:cstheme="minorHAnsi"/>
                <w:sz w:val="24"/>
                <w:szCs w:val="24"/>
                <w:lang w:eastAsia="en-GB"/>
              </w:rPr>
            </w:pPr>
            <w:r w:rsidRPr="009B3747">
              <w:rPr>
                <w:rFonts w:eastAsia="Times New Roman" w:cstheme="minorHAnsi"/>
                <w:i/>
                <w:iCs/>
                <w:color w:val="000000"/>
                <w:sz w:val="20"/>
                <w:szCs w:val="20"/>
                <w:lang w:eastAsia="en-GB"/>
              </w:rPr>
              <w:t>22.7</w:t>
            </w:r>
          </w:p>
          <w:p w:rsidR="00A16FA3" w:rsidRPr="009B3747" w:rsidRDefault="00A16FA3" w:rsidP="002224C3">
            <w:pPr>
              <w:spacing w:line="276" w:lineRule="auto"/>
              <w:ind w:left="-30"/>
              <w:jc w:val="center"/>
              <w:rPr>
                <w:rFonts w:eastAsia="Times New Roman" w:cstheme="minorHAnsi"/>
                <w:sz w:val="24"/>
                <w:szCs w:val="24"/>
                <w:lang w:eastAsia="en-GB"/>
              </w:rPr>
            </w:pPr>
            <w:r w:rsidRPr="009B3747">
              <w:rPr>
                <w:rFonts w:eastAsia="Times New Roman" w:cstheme="minorHAnsi"/>
                <w:i/>
                <w:iCs/>
                <w:color w:val="000000"/>
                <w:sz w:val="20"/>
                <w:szCs w:val="20"/>
                <w:lang w:eastAsia="en-GB"/>
              </w:rPr>
              <w:t>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2224C3">
            <w:pPr>
              <w:spacing w:line="276" w:lineRule="auto"/>
              <w:ind w:left="-120"/>
              <w:jc w:val="center"/>
              <w:rPr>
                <w:rFonts w:eastAsia="Times New Roman" w:cstheme="minorHAnsi"/>
                <w:sz w:val="24"/>
                <w:szCs w:val="24"/>
                <w:lang w:eastAsia="en-GB"/>
              </w:rPr>
            </w:pPr>
            <w:r w:rsidRPr="009B3747">
              <w:rPr>
                <w:rFonts w:eastAsia="Times New Roman" w:cstheme="minorHAnsi"/>
                <w:i/>
                <w:iCs/>
                <w:color w:val="000000"/>
                <w:sz w:val="20"/>
                <w:szCs w:val="20"/>
                <w:lang w:eastAsia="en-GB"/>
              </w:rPr>
              <w:t>12.6</w:t>
            </w:r>
          </w:p>
          <w:p w:rsidR="00A16FA3" w:rsidRPr="009B3747" w:rsidRDefault="00A16FA3" w:rsidP="002224C3">
            <w:pPr>
              <w:spacing w:line="276" w:lineRule="auto"/>
              <w:ind w:left="-120"/>
              <w:jc w:val="center"/>
              <w:rPr>
                <w:rFonts w:eastAsia="Times New Roman" w:cstheme="minorHAnsi"/>
                <w:sz w:val="24"/>
                <w:szCs w:val="24"/>
                <w:lang w:eastAsia="en-GB"/>
              </w:rPr>
            </w:pPr>
            <w:r w:rsidRPr="009B3747">
              <w:rPr>
                <w:rFonts w:eastAsia="Times New Roman" w:cstheme="minorHAnsi"/>
                <w:i/>
                <w:iCs/>
                <w:color w:val="000000"/>
                <w:sz w:val="20"/>
                <w:szCs w:val="20"/>
                <w:lang w:eastAsia="en-GB"/>
              </w:rPr>
              <w:t>14.3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2224C3">
            <w:pPr>
              <w:spacing w:line="276" w:lineRule="auto"/>
              <w:ind w:left="-120"/>
              <w:jc w:val="center"/>
              <w:rPr>
                <w:rFonts w:eastAsia="Times New Roman" w:cstheme="minorHAnsi"/>
                <w:sz w:val="24"/>
                <w:szCs w:val="24"/>
                <w:lang w:eastAsia="en-GB"/>
              </w:rPr>
            </w:pPr>
            <w:r w:rsidRPr="009B3747">
              <w:rPr>
                <w:rFonts w:eastAsia="Times New Roman" w:cstheme="minorHAnsi"/>
                <w:i/>
                <w:iCs/>
                <w:color w:val="000000"/>
                <w:sz w:val="20"/>
                <w:szCs w:val="20"/>
                <w:lang w:eastAsia="en-GB"/>
              </w:rPr>
              <w:t>9.0</w:t>
            </w:r>
          </w:p>
          <w:p w:rsidR="00A16FA3" w:rsidRPr="009B3747" w:rsidRDefault="00A16FA3" w:rsidP="002224C3">
            <w:pPr>
              <w:spacing w:line="276" w:lineRule="auto"/>
              <w:ind w:left="-120"/>
              <w:jc w:val="center"/>
              <w:rPr>
                <w:rFonts w:eastAsia="Times New Roman" w:cstheme="minorHAnsi"/>
                <w:sz w:val="24"/>
                <w:szCs w:val="24"/>
                <w:lang w:eastAsia="en-GB"/>
              </w:rPr>
            </w:pPr>
            <w:r w:rsidRPr="009B3747">
              <w:rPr>
                <w:rFonts w:eastAsia="Times New Roman" w:cstheme="minorHAnsi"/>
                <w:i/>
                <w:iCs/>
                <w:color w:val="000000"/>
                <w:sz w:val="20"/>
                <w:szCs w:val="20"/>
                <w:lang w:eastAsia="en-GB"/>
              </w:rPr>
              <w:t>17.9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2224C3">
            <w:pPr>
              <w:spacing w:line="276" w:lineRule="auto"/>
              <w:ind w:left="30"/>
              <w:jc w:val="center"/>
              <w:rPr>
                <w:rFonts w:eastAsia="Times New Roman" w:cstheme="minorHAnsi"/>
                <w:sz w:val="24"/>
                <w:szCs w:val="24"/>
                <w:lang w:eastAsia="en-GB"/>
              </w:rPr>
            </w:pPr>
            <w:r w:rsidRPr="009B3747">
              <w:rPr>
                <w:rFonts w:eastAsia="Times New Roman" w:cstheme="minorHAnsi"/>
                <w:i/>
                <w:iCs/>
                <w:color w:val="000000"/>
                <w:sz w:val="20"/>
                <w:szCs w:val="20"/>
                <w:lang w:eastAsia="en-GB"/>
              </w:rPr>
              <w:t>21.6</w:t>
            </w:r>
          </w:p>
          <w:p w:rsidR="00A16FA3" w:rsidRPr="009B3747" w:rsidRDefault="00A16FA3" w:rsidP="002224C3">
            <w:pPr>
              <w:spacing w:line="276" w:lineRule="auto"/>
              <w:ind w:left="30"/>
              <w:jc w:val="center"/>
              <w:rPr>
                <w:rFonts w:eastAsia="Times New Roman" w:cstheme="minorHAnsi"/>
                <w:sz w:val="24"/>
                <w:szCs w:val="24"/>
                <w:lang w:eastAsia="en-GB"/>
              </w:rPr>
            </w:pPr>
            <w:r w:rsidRPr="009B3747">
              <w:rPr>
                <w:rFonts w:eastAsia="Times New Roman" w:cstheme="minorHAnsi"/>
                <w:i/>
                <w:iCs/>
                <w:color w:val="000000"/>
                <w:sz w:val="20"/>
                <w:szCs w:val="20"/>
                <w:lang w:eastAsia="en-GB"/>
              </w:rPr>
              <w:t>32.3</w:t>
            </w:r>
          </w:p>
        </w:tc>
      </w:tr>
    </w:tbl>
    <w:p w:rsidR="00A16FA3" w:rsidRPr="009B3747" w:rsidRDefault="00A16FA3" w:rsidP="002224C3">
      <w:pPr>
        <w:spacing w:line="276" w:lineRule="auto"/>
        <w:rPr>
          <w:rFonts w:eastAsia="Times New Roman" w:cstheme="minorHAnsi"/>
          <w:iCs/>
          <w:color w:val="000000"/>
          <w:sz w:val="20"/>
          <w:szCs w:val="20"/>
          <w:lang w:eastAsia="en-GB"/>
        </w:rPr>
      </w:pPr>
      <w:r w:rsidRPr="009B3747">
        <w:rPr>
          <w:rFonts w:eastAsia="Times New Roman" w:cstheme="minorHAnsi"/>
          <w:iCs/>
          <w:color w:val="000000"/>
          <w:sz w:val="20"/>
          <w:szCs w:val="20"/>
          <w:lang w:eastAsia="en-GB"/>
        </w:rPr>
        <w:t xml:space="preserve"> </w:t>
      </w:r>
      <w:r w:rsidR="003F074B" w:rsidRPr="009B3747">
        <w:rPr>
          <w:rFonts w:eastAsia="Times New Roman" w:cstheme="minorHAnsi"/>
          <w:iCs/>
          <w:color w:val="000000"/>
          <w:sz w:val="20"/>
          <w:szCs w:val="20"/>
          <w:lang w:eastAsia="en-GB"/>
        </w:rPr>
        <w:tab/>
      </w:r>
      <w:r w:rsidR="003F074B" w:rsidRPr="009B3747">
        <w:rPr>
          <w:rFonts w:eastAsia="Times New Roman" w:cstheme="minorHAnsi"/>
          <w:iCs/>
          <w:color w:val="000000"/>
          <w:sz w:val="20"/>
          <w:szCs w:val="20"/>
          <w:lang w:eastAsia="en-GB"/>
        </w:rPr>
        <w:tab/>
      </w:r>
      <w:r w:rsidR="003F074B" w:rsidRPr="009B3747">
        <w:rPr>
          <w:rFonts w:eastAsia="Times New Roman" w:cstheme="minorHAnsi"/>
          <w:iCs/>
          <w:color w:val="000000"/>
          <w:sz w:val="20"/>
          <w:szCs w:val="20"/>
          <w:lang w:eastAsia="en-GB"/>
        </w:rPr>
        <w:tab/>
      </w:r>
      <w:r w:rsidR="003F074B" w:rsidRPr="009B3747">
        <w:rPr>
          <w:rFonts w:eastAsia="Times New Roman" w:cstheme="minorHAnsi"/>
          <w:iCs/>
          <w:color w:val="000000"/>
          <w:sz w:val="20"/>
          <w:szCs w:val="20"/>
          <w:lang w:eastAsia="en-GB"/>
        </w:rPr>
        <w:tab/>
      </w:r>
      <w:r w:rsidR="003F074B" w:rsidRPr="009B3747">
        <w:rPr>
          <w:rFonts w:eastAsia="Times New Roman" w:cstheme="minorHAnsi"/>
          <w:iCs/>
          <w:color w:val="000000"/>
          <w:sz w:val="20"/>
          <w:szCs w:val="20"/>
          <w:lang w:eastAsia="en-GB"/>
        </w:rPr>
        <w:tab/>
        <w:t xml:space="preserve">    </w:t>
      </w:r>
      <w:r w:rsidR="003F074B" w:rsidRPr="009B3747">
        <w:rPr>
          <w:rFonts w:eastAsia="Times New Roman" w:cstheme="minorHAnsi"/>
          <w:iCs/>
          <w:color w:val="000000"/>
          <w:sz w:val="20"/>
          <w:szCs w:val="20"/>
          <w:lang w:eastAsia="en-GB"/>
        </w:rPr>
        <w:tab/>
      </w:r>
      <w:r w:rsidR="003F074B" w:rsidRPr="009B3747">
        <w:rPr>
          <w:rFonts w:eastAsia="Times New Roman" w:cstheme="minorHAnsi"/>
          <w:iCs/>
          <w:color w:val="000000"/>
          <w:sz w:val="20"/>
          <w:szCs w:val="20"/>
          <w:lang w:eastAsia="en-GB"/>
        </w:rPr>
        <w:tab/>
      </w:r>
      <w:r w:rsidR="003F074B" w:rsidRPr="009B3747">
        <w:rPr>
          <w:rFonts w:eastAsia="Times New Roman" w:cstheme="minorHAnsi"/>
          <w:iCs/>
          <w:color w:val="000000"/>
          <w:sz w:val="20"/>
          <w:szCs w:val="20"/>
          <w:lang w:eastAsia="en-GB"/>
        </w:rPr>
        <w:tab/>
        <w:t xml:space="preserve">     </w:t>
      </w:r>
      <w:r w:rsidRPr="009B3747">
        <w:rPr>
          <w:rFonts w:eastAsia="Times New Roman" w:cstheme="minorHAnsi"/>
          <w:iCs/>
          <w:color w:val="000000"/>
          <w:sz w:val="20"/>
          <w:szCs w:val="20"/>
          <w:lang w:eastAsia="en-GB"/>
        </w:rPr>
        <w:t>(</w:t>
      </w:r>
      <w:r w:rsidR="003F074B" w:rsidRPr="009B3747">
        <w:rPr>
          <w:rFonts w:eastAsia="Times New Roman" w:cstheme="minorHAnsi"/>
          <w:iCs/>
          <w:color w:val="000000"/>
          <w:sz w:val="20"/>
          <w:szCs w:val="20"/>
          <w:lang w:eastAsia="en-GB"/>
        </w:rPr>
        <w:t xml:space="preserve">Source - </w:t>
      </w:r>
      <w:r w:rsidRPr="009B3747">
        <w:rPr>
          <w:rFonts w:eastAsia="Times New Roman" w:cstheme="minorHAnsi"/>
          <w:iCs/>
          <w:color w:val="000000"/>
          <w:sz w:val="20"/>
          <w:szCs w:val="20"/>
          <w:lang w:eastAsia="en-GB"/>
        </w:rPr>
        <w:t>NHS Digital, 2016</w:t>
      </w:r>
      <w:r w:rsidR="003F074B" w:rsidRPr="009B3747">
        <w:rPr>
          <w:rFonts w:eastAsia="Times New Roman" w:cstheme="minorHAnsi"/>
          <w:iCs/>
          <w:color w:val="000000"/>
          <w:sz w:val="20"/>
          <w:szCs w:val="20"/>
          <w:lang w:eastAsia="en-GB"/>
        </w:rPr>
        <w:t>a, 2016b)</w:t>
      </w:r>
    </w:p>
    <w:p w:rsidR="002224C3" w:rsidRPr="009B3747" w:rsidRDefault="002224C3" w:rsidP="00A16FA3">
      <w:pPr>
        <w:ind w:left="5760"/>
        <w:rPr>
          <w:rFonts w:eastAsia="Times New Roman" w:cstheme="minorHAnsi"/>
          <w:sz w:val="24"/>
          <w:szCs w:val="24"/>
          <w:lang w:eastAsia="en-GB"/>
        </w:rPr>
      </w:pPr>
    </w:p>
    <w:p w:rsidR="0043088C" w:rsidRPr="009B3747" w:rsidRDefault="00A16FA3" w:rsidP="00A16FA3">
      <w:pPr>
        <w:rPr>
          <w:rFonts w:eastAsia="Times New Roman" w:cstheme="minorHAnsi"/>
          <w:color w:val="000000"/>
          <w:lang w:eastAsia="en-GB"/>
        </w:rPr>
      </w:pPr>
      <w:r w:rsidRPr="009B3747">
        <w:rPr>
          <w:rFonts w:eastAsia="Times New Roman" w:cstheme="minorHAnsi"/>
          <w:color w:val="000000"/>
          <w:lang w:eastAsia="en-GB"/>
        </w:rPr>
        <w:t xml:space="preserve">The most recent NCMP report </w:t>
      </w:r>
      <w:r w:rsidR="004064F1"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"NHS Digital", "given" : "", "non-dropping-particle" : "", "parse-names" : false, "suffix" : "" } ], "id" : "ITEM-1", "issued" : { "date-parts" : [ [ "2016" ] ] }, "publisher-place" : "London", "title" : "National Child Measurement Programme - England, 2015/2016 school year", "type" : "report" }, "uris" : [ "http://www.mendeley.com/documents/?uuid=c13c8b37-9c1a-4559-8550-5f5e414a2fe2" ] } ], "mendeley" : { "formattedCitation" : "(NHS Digital, 2016b)", "plainTextFormattedCitation" : "(NHS Digital, 2016b)", "previouslyFormattedCitation" : "(NHS Digital, 2016b)" }, "properties" : { "noteIndex" : 0 }, "schema" : "https://github.com/citation-style-language/schema/raw/master/csl-citation.json" }</w:instrText>
      </w:r>
      <w:r w:rsidR="004064F1" w:rsidRPr="009B3747">
        <w:rPr>
          <w:rFonts w:eastAsia="Times New Roman" w:cstheme="minorHAnsi"/>
          <w:color w:val="000000"/>
          <w:lang w:eastAsia="en-GB"/>
        </w:rPr>
        <w:fldChar w:fldCharType="separate"/>
      </w:r>
      <w:r w:rsidR="004064F1" w:rsidRPr="009B3747">
        <w:rPr>
          <w:rFonts w:eastAsia="Times New Roman" w:cstheme="minorHAnsi"/>
          <w:noProof/>
          <w:color w:val="000000"/>
          <w:lang w:eastAsia="en-GB"/>
        </w:rPr>
        <w:t>(NHS Digital, 2016b)</w:t>
      </w:r>
      <w:r w:rsidR="004064F1" w:rsidRPr="009B3747">
        <w:rPr>
          <w:rFonts w:eastAsia="Times New Roman" w:cstheme="minorHAnsi"/>
          <w:color w:val="000000"/>
          <w:lang w:eastAsia="en-GB"/>
        </w:rPr>
        <w:fldChar w:fldCharType="end"/>
      </w:r>
      <w:r w:rsidRPr="009B3747">
        <w:rPr>
          <w:rFonts w:eastAsia="Times New Roman" w:cstheme="minorHAnsi"/>
          <w:color w:val="000000"/>
          <w:lang w:eastAsia="en-GB"/>
        </w:rPr>
        <w:t>, reported that the prevalence of obesity had increased in both age groups since 2014/2015.  In addition, obesity prevalence was higher for boys than girls across both age groups</w:t>
      </w:r>
      <w:r w:rsidR="00D7275C">
        <w:rPr>
          <w:rFonts w:eastAsia="Times New Roman" w:cstheme="minorHAnsi"/>
          <w:color w:val="000000"/>
          <w:lang w:eastAsia="en-GB"/>
        </w:rPr>
        <w:t>.  F</w:t>
      </w:r>
      <w:r w:rsidRPr="009B3747">
        <w:rPr>
          <w:rFonts w:eastAsia="Times New Roman" w:cstheme="minorHAnsi"/>
          <w:color w:val="000000"/>
          <w:lang w:eastAsia="en-GB"/>
        </w:rPr>
        <w:t>or those children li</w:t>
      </w:r>
      <w:r w:rsidR="00D7275C">
        <w:rPr>
          <w:rFonts w:eastAsia="Times New Roman" w:cstheme="minorHAnsi"/>
          <w:color w:val="000000"/>
          <w:lang w:eastAsia="en-GB"/>
        </w:rPr>
        <w:t xml:space="preserve">ving in the most deprived areas, prevalence </w:t>
      </w:r>
      <w:r w:rsidRPr="009B3747">
        <w:rPr>
          <w:rFonts w:eastAsia="Times New Roman" w:cstheme="minorHAnsi"/>
          <w:color w:val="000000"/>
          <w:lang w:eastAsia="en-GB"/>
        </w:rPr>
        <w:t xml:space="preserve">was more than double that of those living in the least deprived.  The associations identified between gender, deprivation and obesity prevalence in NCMP data were echoed in the findings from the latest HSE report </w:t>
      </w:r>
      <w:r w:rsidR="004064F1"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"NHS Digital", "given" : "", "non-dropping-particle" : "", "parse-names" : false, "suffix" : "" } ], "id" : "ITEM-1", "issued" : { "date-parts" : [ [ "2016" ] ] }, "publisher-place" : "London", "title" : "Health Survey for England 2015 - Children\u2019s body mass index, overweight and obesity", "type" : "report" }, "uris" : [ "http://www.mendeley.com/documents/?uuid=5a7638ee-a87e-4bc0-a4b3-e4740e162d11" ] } ], "mendeley" : { "formattedCitation" : "(NHS Digital, 2016a)", "plainTextFormattedCitation" : "(NHS Digital, 2016a)", "previouslyFormattedCitation" : "(NHS Digital, 2016a)" }, "properties" : { "noteIndex" : 0 }, "schema" : "https://github.com/citation-style-language/schema/raw/master/csl-citation.json" }</w:instrText>
      </w:r>
      <w:r w:rsidR="004064F1" w:rsidRPr="009B3747">
        <w:rPr>
          <w:rFonts w:eastAsia="Times New Roman" w:cstheme="minorHAnsi"/>
          <w:color w:val="000000"/>
          <w:lang w:eastAsia="en-GB"/>
        </w:rPr>
        <w:fldChar w:fldCharType="separate"/>
      </w:r>
      <w:r w:rsidR="004064F1" w:rsidRPr="009B3747">
        <w:rPr>
          <w:rFonts w:eastAsia="Times New Roman" w:cstheme="minorHAnsi"/>
          <w:noProof/>
          <w:color w:val="000000"/>
          <w:lang w:eastAsia="en-GB"/>
        </w:rPr>
        <w:t>(NHS Digital, 2016a)</w:t>
      </w:r>
      <w:r w:rsidR="004064F1" w:rsidRPr="009B3747">
        <w:rPr>
          <w:rFonts w:eastAsia="Times New Roman" w:cstheme="minorHAnsi"/>
          <w:color w:val="000000"/>
          <w:lang w:eastAsia="en-GB"/>
        </w:rPr>
        <w:fldChar w:fldCharType="end"/>
      </w:r>
      <w:r w:rsidR="004064F1" w:rsidRPr="009B3747">
        <w:rPr>
          <w:rFonts w:eastAsia="Times New Roman" w:cstheme="minorHAnsi"/>
          <w:color w:val="000000"/>
          <w:lang w:eastAsia="en-GB"/>
        </w:rPr>
        <w:t>.</w:t>
      </w:r>
    </w:p>
    <w:p w:rsidR="0043088C" w:rsidRPr="009B3747" w:rsidRDefault="0043088C" w:rsidP="00A16FA3">
      <w:pPr>
        <w:rPr>
          <w:rFonts w:eastAsia="Times New Roman" w:cstheme="minorHAnsi"/>
          <w:color w:val="000000" w:themeColor="text1"/>
          <w:lang w:eastAsia="en-GB"/>
        </w:rPr>
      </w:pPr>
    </w:p>
    <w:p w:rsidR="0018582B" w:rsidRPr="009B3747" w:rsidRDefault="0018582B" w:rsidP="00A16FA3">
      <w:pPr>
        <w:rPr>
          <w:rFonts w:cstheme="minorHAnsi"/>
        </w:rPr>
      </w:pPr>
      <w:r w:rsidRPr="009B3747">
        <w:rPr>
          <w:rFonts w:eastAsia="Times New Roman" w:cstheme="minorHAnsi"/>
          <w:color w:val="000000" w:themeColor="text1"/>
          <w:lang w:eastAsia="en-GB"/>
        </w:rPr>
        <w:t>An individual’s p</w:t>
      </w:r>
      <w:r w:rsidR="0043088C" w:rsidRPr="009B3747">
        <w:rPr>
          <w:rFonts w:eastAsia="Times New Roman" w:cstheme="minorHAnsi"/>
          <w:color w:val="000000" w:themeColor="text1"/>
          <w:lang w:eastAsia="en-GB"/>
        </w:rPr>
        <w:t xml:space="preserve">hysical activity and dietary </w:t>
      </w:r>
      <w:r w:rsidRPr="009B3747">
        <w:rPr>
          <w:rFonts w:eastAsia="Times New Roman" w:cstheme="minorHAnsi"/>
          <w:color w:val="000000" w:themeColor="text1"/>
          <w:lang w:eastAsia="en-GB"/>
        </w:rPr>
        <w:t>habits</w:t>
      </w:r>
      <w:r w:rsidR="0043088C" w:rsidRPr="009B3747">
        <w:rPr>
          <w:rFonts w:eastAsia="Times New Roman" w:cstheme="minorHAnsi"/>
          <w:color w:val="000000" w:themeColor="text1"/>
          <w:lang w:eastAsia="en-GB"/>
        </w:rPr>
        <w:t xml:space="preserve"> are both deemed to </w:t>
      </w:r>
      <w:r w:rsidRPr="009B3747">
        <w:rPr>
          <w:rFonts w:eastAsia="Times New Roman" w:cstheme="minorHAnsi"/>
          <w:color w:val="000000" w:themeColor="text1"/>
          <w:lang w:eastAsia="en-GB"/>
        </w:rPr>
        <w:t xml:space="preserve">be crucial behavioural factors contributing </w:t>
      </w:r>
      <w:r w:rsidR="0043088C" w:rsidRPr="009B3747">
        <w:rPr>
          <w:rFonts w:eastAsia="Times New Roman" w:cstheme="minorHAnsi"/>
          <w:color w:val="000000" w:themeColor="text1"/>
          <w:lang w:eastAsia="en-GB"/>
        </w:rPr>
        <w:t>to the determination of weight status</w:t>
      </w:r>
      <w:r w:rsidR="004064F1" w:rsidRPr="009B3747">
        <w:rPr>
          <w:rFonts w:eastAsia="Times New Roman" w:cstheme="minorHAnsi"/>
          <w:color w:val="000000" w:themeColor="text1"/>
          <w:lang w:eastAsia="en-GB"/>
        </w:rPr>
        <w:t xml:space="preserve"> </w:t>
      </w:r>
      <w:r w:rsidR="004064F1" w:rsidRPr="009B3747">
        <w:rPr>
          <w:rFonts w:eastAsia="Times New Roman" w:cstheme="minorHAnsi"/>
          <w:color w:val="000000" w:themeColor="text1"/>
          <w:lang w:eastAsia="en-GB"/>
        </w:rPr>
        <w:fldChar w:fldCharType="begin" w:fldLock="1"/>
      </w:r>
      <w:r w:rsidR="009C2ECF" w:rsidRPr="009B3747">
        <w:rPr>
          <w:rFonts w:eastAsia="Times New Roman" w:cstheme="minorHAnsi"/>
          <w:color w:val="000000" w:themeColor="text1"/>
          <w:lang w:eastAsia="en-GB"/>
        </w:rPr>
        <w:instrText>ADDIN CSL_CITATION { "citationItems" : [ { "id" : "ITEM-1", "itemData" : { "DOI" : "ISBN 978 92 4 151006 6", "ISBN" : "978 92 4 151006 6 \u00a9", "abstract" : "1. Over the past decade, the World Health Assembly, the governing body of the World Health Organization (WHO), and the United Nations General Assembly have adopted a series of resolutions1 that acknowledge noncommunicable diseases (NCDs) as a major challenge for development in the 21st century and have identified prevention and control as a core priority. The proposed Sustainable Development Goals propose a target on reducing premature mortality from NCDs2. 2. Among the NCD risk factors, obesity is particularly concerning. In children (aged under 19 years) it is associated with a wide range of health complications and an increased risk of premature onset of illnesses, including diabetes and heart disease. Preventing childhood obesity is a key approach to the primary prevention of NCDs. 3. Childhood obesity has complex origins and progress in tackling the issue has to date been slow. It is clear that a combination of scientific research, government leadership and community partnerships is necessary in order to develop the best recommendations and implement them worldwide. 4. In order to develop a comprehensive response to childhood obesity, the WHO Director- General established a high-level Commission on Ending Childhood Obesity (ECHO), which comprises 15 accomplished and eminent individuals from a variety of relevant backgrounds. The Commission has reviewed, built upon and addressed gaps in existing mandates and strategies with the support of two ad hoc working groups, one on science and evidence for ending childhood obesity (WGSE), and one on implementation, monitoring and accountability for ending childhood obesity (WGIMA). An Interim Report was developed for feedback through a series of regional consultations and hearings with Member States and non-State actors, and an online process for the submission of comments from relevant stakeholders. The Commission has reviewed these inputs and developed this draft final report, which will form the basis for a final round of regional and global consultation.", "author" : [ { "dropping-particle" : "", "family" : "World Health Organization", "given" : "", "non-dropping-particle" : "", "parse-names" : false, "suffix" : "" } ], "id" : "ITEM-1", "issued" : { "date-parts" : [ [ "2016" ] ] }, "publisher-place" : "Geneva", "title" : "Report of the Commission on Ending Childhood Obesity", "type" : "report" }, "uris" : [ "http://www.mendeley.com/documents/?uuid=fc7d72ef-f520-4e44-854a-cc82b135b368" ] } ], "mendeley" : { "formattedCitation" : "(World Health Organization, 2016c)", "plainTextFormattedCitation" : "(World Health Organization, 2016c)", "previouslyFormattedCitation" : "(World Health Organization, 2016c)" }, "properties" : { "noteIndex" : 0 }, "schema" : "https://github.com/citation-style-language/schema/raw/master/csl-citation.json" }</w:instrText>
      </w:r>
      <w:r w:rsidR="004064F1" w:rsidRPr="009B3747">
        <w:rPr>
          <w:rFonts w:eastAsia="Times New Roman" w:cstheme="minorHAnsi"/>
          <w:color w:val="000000" w:themeColor="text1"/>
          <w:lang w:eastAsia="en-GB"/>
        </w:rPr>
        <w:fldChar w:fldCharType="separate"/>
      </w:r>
      <w:r w:rsidR="008D0824" w:rsidRPr="009B3747">
        <w:rPr>
          <w:rFonts w:eastAsia="Times New Roman" w:cstheme="minorHAnsi"/>
          <w:noProof/>
          <w:color w:val="000000" w:themeColor="text1"/>
          <w:lang w:eastAsia="en-GB"/>
        </w:rPr>
        <w:t>(World Health Organization, 2016c)</w:t>
      </w:r>
      <w:r w:rsidR="004064F1" w:rsidRPr="009B3747">
        <w:rPr>
          <w:rFonts w:eastAsia="Times New Roman" w:cstheme="minorHAnsi"/>
          <w:color w:val="000000" w:themeColor="text1"/>
          <w:lang w:eastAsia="en-GB"/>
        </w:rPr>
        <w:fldChar w:fldCharType="end"/>
      </w:r>
      <w:r w:rsidR="004064F1" w:rsidRPr="009B3747">
        <w:rPr>
          <w:rFonts w:eastAsia="Times New Roman" w:cstheme="minorHAnsi"/>
          <w:color w:val="000000" w:themeColor="text1"/>
          <w:lang w:eastAsia="en-GB"/>
        </w:rPr>
        <w:t xml:space="preserve">.  </w:t>
      </w:r>
      <w:r w:rsidR="00EA1BF7" w:rsidRPr="009B3747">
        <w:rPr>
          <w:rFonts w:eastAsia="Times New Roman" w:cstheme="minorHAnsi"/>
          <w:color w:val="000000" w:themeColor="text1"/>
          <w:lang w:eastAsia="en-GB"/>
        </w:rPr>
        <w:t>N</w:t>
      </w:r>
      <w:r w:rsidR="005751F6" w:rsidRPr="009B3747">
        <w:rPr>
          <w:rFonts w:eastAsia="Times New Roman" w:cstheme="minorHAnsi"/>
          <w:color w:val="000000" w:themeColor="text1"/>
          <w:lang w:eastAsia="en-GB"/>
        </w:rPr>
        <w:t xml:space="preserve">HS Digital publishes </w:t>
      </w:r>
      <w:r w:rsidR="00EA1BF7" w:rsidRPr="009B3747">
        <w:rPr>
          <w:rFonts w:eastAsia="Times New Roman" w:cstheme="minorHAnsi"/>
          <w:color w:val="000000" w:themeColor="text1"/>
          <w:lang w:eastAsia="en-GB"/>
        </w:rPr>
        <w:t>national</w:t>
      </w:r>
      <w:r w:rsidR="00867B28" w:rsidRPr="009B3747">
        <w:rPr>
          <w:rFonts w:eastAsia="Times New Roman" w:cstheme="minorHAnsi"/>
          <w:color w:val="000000" w:themeColor="text1"/>
          <w:lang w:eastAsia="en-GB"/>
        </w:rPr>
        <w:t xml:space="preserve"> results from two surveys (Active lifestyle Survey and National Diet and Nutrition Survey)</w:t>
      </w:r>
      <w:r w:rsidR="00D7275C">
        <w:rPr>
          <w:rFonts w:eastAsia="Times New Roman" w:cstheme="minorHAnsi"/>
          <w:color w:val="000000" w:themeColor="text1"/>
          <w:lang w:eastAsia="en-GB"/>
        </w:rPr>
        <w:t>,</w:t>
      </w:r>
      <w:r w:rsidR="00867B28" w:rsidRPr="009B3747">
        <w:rPr>
          <w:rFonts w:eastAsia="Times New Roman" w:cstheme="minorHAnsi"/>
          <w:color w:val="000000" w:themeColor="text1"/>
          <w:lang w:eastAsia="en-GB"/>
        </w:rPr>
        <w:t xml:space="preserve"> </w:t>
      </w:r>
      <w:r w:rsidRPr="009B3747">
        <w:rPr>
          <w:rFonts w:eastAsia="Times New Roman" w:cstheme="minorHAnsi"/>
          <w:color w:val="000000" w:themeColor="text1"/>
          <w:lang w:eastAsia="en-GB"/>
        </w:rPr>
        <w:t>which aim to assess the</w:t>
      </w:r>
      <w:r w:rsidR="00BA0B2C" w:rsidRPr="009B3747">
        <w:rPr>
          <w:rFonts w:eastAsia="Times New Roman" w:cstheme="minorHAnsi"/>
          <w:color w:val="000000" w:themeColor="text1"/>
          <w:lang w:eastAsia="en-GB"/>
        </w:rPr>
        <w:t xml:space="preserve"> physical ac</w:t>
      </w:r>
      <w:r w:rsidRPr="009B3747">
        <w:rPr>
          <w:rFonts w:eastAsia="Times New Roman" w:cstheme="minorHAnsi"/>
          <w:color w:val="000000" w:themeColor="text1"/>
          <w:lang w:eastAsia="en-GB"/>
        </w:rPr>
        <w:t>tivity/</w:t>
      </w:r>
      <w:r w:rsidR="00867B28" w:rsidRPr="009B3747">
        <w:rPr>
          <w:rFonts w:eastAsia="Times New Roman" w:cstheme="minorHAnsi"/>
          <w:color w:val="000000" w:themeColor="text1"/>
          <w:lang w:eastAsia="en-GB"/>
        </w:rPr>
        <w:t xml:space="preserve">sedentary </w:t>
      </w:r>
      <w:r w:rsidR="00BA0B2C" w:rsidRPr="009B3747">
        <w:rPr>
          <w:rFonts w:eastAsia="Times New Roman" w:cstheme="minorHAnsi"/>
          <w:color w:val="000000" w:themeColor="text1"/>
          <w:lang w:eastAsia="en-GB"/>
        </w:rPr>
        <w:t>behaviour and</w:t>
      </w:r>
      <w:r w:rsidR="00867B28" w:rsidRPr="009B3747">
        <w:rPr>
          <w:rFonts w:eastAsia="Times New Roman" w:cstheme="minorHAnsi"/>
          <w:color w:val="000000" w:themeColor="text1"/>
          <w:lang w:eastAsia="en-GB"/>
        </w:rPr>
        <w:t xml:space="preserve"> dietary habits </w:t>
      </w:r>
      <w:r w:rsidR="00BA0B2C" w:rsidRPr="009B3747">
        <w:rPr>
          <w:rFonts w:eastAsia="Times New Roman" w:cstheme="minorHAnsi"/>
          <w:color w:val="000000" w:themeColor="text1"/>
          <w:lang w:eastAsia="en-GB"/>
        </w:rPr>
        <w:t>of adu</w:t>
      </w:r>
      <w:r w:rsidR="00714D7E" w:rsidRPr="009B3747">
        <w:rPr>
          <w:rFonts w:eastAsia="Times New Roman" w:cstheme="minorHAnsi"/>
          <w:color w:val="000000" w:themeColor="text1"/>
          <w:lang w:eastAsia="en-GB"/>
        </w:rPr>
        <w:t>lts, children and adolescents</w:t>
      </w:r>
      <w:r w:rsidRPr="009B3747">
        <w:rPr>
          <w:rFonts w:eastAsia="Times New Roman" w:cstheme="minorHAnsi"/>
          <w:color w:val="000000" w:themeColor="text1"/>
          <w:lang w:eastAsia="en-GB"/>
        </w:rPr>
        <w:t xml:space="preserve">.  </w:t>
      </w:r>
    </w:p>
    <w:p w:rsidR="0018582B" w:rsidRPr="009B3747" w:rsidRDefault="0018582B" w:rsidP="00A16FA3">
      <w:pPr>
        <w:rPr>
          <w:rFonts w:eastAsia="Times New Roman" w:cstheme="minorHAnsi"/>
          <w:color w:val="000000" w:themeColor="text1"/>
          <w:lang w:eastAsia="en-GB"/>
        </w:rPr>
      </w:pPr>
    </w:p>
    <w:p w:rsidR="00A200C7" w:rsidRPr="009B3747" w:rsidRDefault="0018582B" w:rsidP="00756B11">
      <w:pPr>
        <w:rPr>
          <w:rFonts w:eastAsia="Times New Roman" w:cstheme="minorHAnsi"/>
          <w:color w:val="000000" w:themeColor="text1"/>
          <w:lang w:eastAsia="en-GB"/>
        </w:rPr>
      </w:pPr>
      <w:r w:rsidRPr="009B3747">
        <w:rPr>
          <w:rFonts w:eastAsia="Times New Roman" w:cstheme="minorHAnsi"/>
          <w:color w:val="000000" w:themeColor="text1"/>
          <w:lang w:eastAsia="en-GB"/>
        </w:rPr>
        <w:t>In relation to physical activity, l</w:t>
      </w:r>
      <w:r w:rsidR="00714D7E" w:rsidRPr="009B3747">
        <w:rPr>
          <w:rFonts w:eastAsia="Times New Roman" w:cstheme="minorHAnsi"/>
          <w:color w:val="000000" w:themeColor="text1"/>
          <w:lang w:eastAsia="en-GB"/>
        </w:rPr>
        <w:t xml:space="preserve">atest data indicates that excluding activities during school, </w:t>
      </w:r>
      <w:r w:rsidRPr="009B3747">
        <w:rPr>
          <w:rFonts w:eastAsia="Times New Roman" w:cstheme="minorHAnsi"/>
          <w:color w:val="000000" w:themeColor="text1"/>
          <w:lang w:eastAsia="en-GB"/>
        </w:rPr>
        <w:t xml:space="preserve">only </w:t>
      </w:r>
      <w:r w:rsidR="00714D7E" w:rsidRPr="009B3747">
        <w:rPr>
          <w:rFonts w:eastAsia="Times New Roman" w:cstheme="minorHAnsi"/>
          <w:color w:val="000000" w:themeColor="text1"/>
          <w:lang w:eastAsia="en-GB"/>
        </w:rPr>
        <w:t xml:space="preserve">22% of children </w:t>
      </w:r>
      <w:r w:rsidR="00756B11" w:rsidRPr="009B3747">
        <w:rPr>
          <w:rFonts w:cstheme="minorHAnsi"/>
        </w:rPr>
        <w:t>(23% for boys and 20% girls)</w:t>
      </w:r>
      <w:r w:rsidR="00756B11" w:rsidRPr="009B3747">
        <w:rPr>
          <w:rFonts w:eastAsia="Times New Roman" w:cstheme="minorHAnsi"/>
          <w:color w:val="000000" w:themeColor="text1"/>
          <w:lang w:eastAsia="en-GB"/>
        </w:rPr>
        <w:t xml:space="preserve"> </w:t>
      </w:r>
      <w:r w:rsidR="00A17E69" w:rsidRPr="009B3747">
        <w:rPr>
          <w:rFonts w:eastAsia="Times New Roman" w:cstheme="minorHAnsi"/>
          <w:color w:val="000000" w:themeColor="text1"/>
          <w:lang w:eastAsia="en-GB"/>
        </w:rPr>
        <w:t xml:space="preserve">aged 5 to </w:t>
      </w:r>
      <w:r w:rsidR="00714D7E" w:rsidRPr="009B3747">
        <w:rPr>
          <w:rFonts w:eastAsia="Times New Roman" w:cstheme="minorHAnsi"/>
          <w:color w:val="000000" w:themeColor="text1"/>
          <w:lang w:eastAsia="en-GB"/>
        </w:rPr>
        <w:t xml:space="preserve">15 </w:t>
      </w:r>
      <w:r w:rsidR="00A17E69" w:rsidRPr="009B3747">
        <w:rPr>
          <w:rFonts w:eastAsia="Times New Roman" w:cstheme="minorHAnsi"/>
          <w:color w:val="000000" w:themeColor="text1"/>
          <w:lang w:eastAsia="en-GB"/>
        </w:rPr>
        <w:t xml:space="preserve">years </w:t>
      </w:r>
      <w:r w:rsidR="00714D7E" w:rsidRPr="009B3747">
        <w:rPr>
          <w:rFonts w:eastAsia="Times New Roman" w:cstheme="minorHAnsi"/>
          <w:color w:val="000000" w:themeColor="text1"/>
          <w:lang w:eastAsia="en-GB"/>
        </w:rPr>
        <w:t>met the physical activity guidelines (60 minute</w:t>
      </w:r>
      <w:r w:rsidR="00D7275C">
        <w:rPr>
          <w:rFonts w:eastAsia="Times New Roman" w:cstheme="minorHAnsi"/>
          <w:color w:val="000000" w:themeColor="text1"/>
          <w:lang w:eastAsia="en-GB"/>
        </w:rPr>
        <w:t>s or more on all seven days).  T</w:t>
      </w:r>
      <w:r w:rsidR="00364D0C" w:rsidRPr="009B3747">
        <w:rPr>
          <w:rFonts w:eastAsia="Times New Roman" w:cstheme="minorHAnsi"/>
          <w:color w:val="000000" w:themeColor="text1"/>
          <w:lang w:eastAsia="en-GB"/>
        </w:rPr>
        <w:t xml:space="preserve">his percentage </w:t>
      </w:r>
      <w:r w:rsidR="00D7275C">
        <w:rPr>
          <w:rFonts w:eastAsia="Times New Roman" w:cstheme="minorHAnsi"/>
          <w:color w:val="000000" w:themeColor="text1"/>
          <w:lang w:eastAsia="en-GB"/>
        </w:rPr>
        <w:t xml:space="preserve">was evidenced as </w:t>
      </w:r>
      <w:r w:rsidR="00364D0C" w:rsidRPr="009B3747">
        <w:rPr>
          <w:rFonts w:eastAsia="Times New Roman" w:cstheme="minorHAnsi"/>
          <w:color w:val="000000" w:themeColor="text1"/>
          <w:lang w:eastAsia="en-GB"/>
        </w:rPr>
        <w:t>decreasing</w:t>
      </w:r>
      <w:r w:rsidR="00CE0E2B" w:rsidRPr="009B3747">
        <w:rPr>
          <w:rFonts w:eastAsia="Times New Roman" w:cstheme="minorHAnsi"/>
          <w:color w:val="000000" w:themeColor="text1"/>
          <w:lang w:eastAsia="en-GB"/>
        </w:rPr>
        <w:t xml:space="preserve"> with age for both </w:t>
      </w:r>
      <w:r w:rsidR="00CE0E2B" w:rsidRPr="009B3747">
        <w:rPr>
          <w:rFonts w:eastAsia="Times New Roman" w:cstheme="minorHAnsi"/>
          <w:color w:val="000000" w:themeColor="text1"/>
          <w:lang w:eastAsia="en-GB"/>
        </w:rPr>
        <w:lastRenderedPageBreak/>
        <w:t>sexes</w:t>
      </w:r>
      <w:r w:rsidR="00A17E69" w:rsidRPr="009B3747">
        <w:rPr>
          <w:rFonts w:eastAsia="Times New Roman" w:cstheme="minorHAnsi"/>
          <w:color w:val="000000" w:themeColor="text1"/>
          <w:lang w:eastAsia="en-GB"/>
        </w:rPr>
        <w:t xml:space="preserve"> </w:t>
      </w:r>
      <w:r w:rsidR="00A17E69" w:rsidRPr="009B3747">
        <w:rPr>
          <w:rFonts w:eastAsia="Times New Roman" w:cstheme="minorHAnsi"/>
          <w:color w:val="000000" w:themeColor="text1"/>
          <w:lang w:eastAsia="en-GB"/>
        </w:rPr>
        <w:fldChar w:fldCharType="begin" w:fldLock="1"/>
      </w:r>
      <w:r w:rsidR="00A17E69" w:rsidRPr="009B3747">
        <w:rPr>
          <w:rFonts w:eastAsia="Times New Roman" w:cstheme="minorHAnsi"/>
          <w:color w:val="000000" w:themeColor="text1"/>
          <w:lang w:eastAsia="en-GB"/>
        </w:rPr>
        <w:instrText>ADDIN CSL_CITATION { "citationItems" : [ { "id" : "ITEM-1", "itemData" : { "author" : [ { "dropping-particle" : "", "family" : "NHS Digital", "given" : "", "non-dropping-particle" : "", "parse-names" : false, "suffix" : "" } ], "id" : "ITEM-1", "issued" : { "date-parts" : [ [ "2017" ] ] }, "publisher-place" : "London", "title" : "Statistics on Obesity, Physical Activity and Diet", "type" : "report" }, "uris" : [ "http://www.mendeley.com/documents/?uuid=035dc8f8-fb51-4f33-bfbe-de6a3fb3b259" ] } ], "mendeley" : { "formattedCitation" : "(NHS Digital, 2017)", "plainTextFormattedCitation" : "(NHS Digital, 2017)", "previouslyFormattedCitation" : "(NHS Digital, 2017)" }, "properties" : { "noteIndex" : 0 }, "schema" : "https://github.com/citation-style-language/schema/raw/master/csl-citation.json" }</w:instrText>
      </w:r>
      <w:r w:rsidR="00A17E69" w:rsidRPr="009B3747">
        <w:rPr>
          <w:rFonts w:eastAsia="Times New Roman" w:cstheme="minorHAnsi"/>
          <w:color w:val="000000" w:themeColor="text1"/>
          <w:lang w:eastAsia="en-GB"/>
        </w:rPr>
        <w:fldChar w:fldCharType="separate"/>
      </w:r>
      <w:r w:rsidR="00A17E69" w:rsidRPr="009B3747">
        <w:rPr>
          <w:rFonts w:eastAsia="Times New Roman" w:cstheme="minorHAnsi"/>
          <w:noProof/>
          <w:color w:val="000000" w:themeColor="text1"/>
          <w:lang w:eastAsia="en-GB"/>
        </w:rPr>
        <w:t>(NHS Digital, 2017)</w:t>
      </w:r>
      <w:r w:rsidR="00A17E69" w:rsidRPr="009B3747">
        <w:rPr>
          <w:rFonts w:eastAsia="Times New Roman" w:cstheme="minorHAnsi"/>
          <w:color w:val="000000" w:themeColor="text1"/>
          <w:lang w:eastAsia="en-GB"/>
        </w:rPr>
        <w:fldChar w:fldCharType="end"/>
      </w:r>
      <w:r w:rsidR="00A17E69" w:rsidRPr="009B3747">
        <w:rPr>
          <w:rFonts w:eastAsia="Times New Roman" w:cstheme="minorHAnsi"/>
          <w:color w:val="000000" w:themeColor="text1"/>
          <w:lang w:eastAsia="en-GB"/>
        </w:rPr>
        <w:t xml:space="preserve">.  </w:t>
      </w:r>
      <w:r w:rsidR="005A66E3" w:rsidRPr="009B3747">
        <w:rPr>
          <w:rFonts w:eastAsia="Times New Roman" w:cstheme="minorHAnsi"/>
          <w:color w:val="000000" w:themeColor="text1"/>
          <w:lang w:eastAsia="en-GB"/>
        </w:rPr>
        <w:t>Furthermore</w:t>
      </w:r>
      <w:r w:rsidRPr="009B3747">
        <w:rPr>
          <w:rFonts w:eastAsia="Times New Roman" w:cstheme="minorHAnsi"/>
          <w:color w:val="000000" w:themeColor="text1"/>
          <w:lang w:eastAsia="en-GB"/>
        </w:rPr>
        <w:t xml:space="preserve">, </w:t>
      </w:r>
      <w:r w:rsidR="005A66E3" w:rsidRPr="009B3747">
        <w:rPr>
          <w:rFonts w:eastAsia="Times New Roman" w:cstheme="minorHAnsi"/>
          <w:color w:val="000000" w:themeColor="text1"/>
          <w:lang w:eastAsia="en-GB"/>
        </w:rPr>
        <w:t>o</w:t>
      </w:r>
      <w:r w:rsidR="00A17E69" w:rsidRPr="009B3747">
        <w:rPr>
          <w:rFonts w:eastAsia="Times New Roman" w:cstheme="minorHAnsi"/>
          <w:color w:val="000000" w:themeColor="text1"/>
          <w:lang w:eastAsia="en-GB"/>
        </w:rPr>
        <w:t xml:space="preserve">ver a fifth of 11 to </w:t>
      </w:r>
      <w:r w:rsidR="005A66E3" w:rsidRPr="009B3747">
        <w:rPr>
          <w:rFonts w:eastAsia="Times New Roman" w:cstheme="minorHAnsi"/>
          <w:color w:val="000000" w:themeColor="text1"/>
          <w:lang w:eastAsia="en-GB"/>
        </w:rPr>
        <w:t>12 year olds and over a third of 13</w:t>
      </w:r>
      <w:r w:rsidR="00A17E69" w:rsidRPr="009B3747">
        <w:rPr>
          <w:rFonts w:eastAsia="Times New Roman" w:cstheme="minorHAnsi"/>
          <w:color w:val="000000" w:themeColor="text1"/>
          <w:lang w:eastAsia="en-GB"/>
        </w:rPr>
        <w:t xml:space="preserve"> to </w:t>
      </w:r>
      <w:r w:rsidR="005A66E3" w:rsidRPr="009B3747">
        <w:rPr>
          <w:rFonts w:eastAsia="Times New Roman" w:cstheme="minorHAnsi"/>
          <w:color w:val="000000" w:themeColor="text1"/>
          <w:lang w:eastAsia="en-GB"/>
        </w:rPr>
        <w:t>15 year olds</w:t>
      </w:r>
      <w:r w:rsidR="00D7275C">
        <w:rPr>
          <w:rFonts w:eastAsia="Times New Roman" w:cstheme="minorHAnsi"/>
          <w:color w:val="000000" w:themeColor="text1"/>
          <w:lang w:eastAsia="en-GB"/>
        </w:rPr>
        <w:t>,</w:t>
      </w:r>
      <w:r w:rsidR="005A66E3" w:rsidRPr="009B3747">
        <w:rPr>
          <w:rFonts w:eastAsia="Times New Roman" w:cstheme="minorHAnsi"/>
          <w:color w:val="000000" w:themeColor="text1"/>
          <w:lang w:eastAsia="en-GB"/>
        </w:rPr>
        <w:t xml:space="preserve"> were deemed to be sedentary during weekends (i.e. primarily sitting or lying down for six hours or more per day), (NHS Digital, 2017).  </w:t>
      </w:r>
    </w:p>
    <w:p w:rsidR="00413889" w:rsidRPr="009B3747" w:rsidRDefault="00413889" w:rsidP="00756B11">
      <w:pPr>
        <w:rPr>
          <w:rFonts w:eastAsia="Times New Roman" w:cstheme="minorHAnsi"/>
          <w:color w:val="000000" w:themeColor="text1"/>
          <w:lang w:eastAsia="en-GB"/>
        </w:rPr>
      </w:pPr>
    </w:p>
    <w:p w:rsidR="00AF3FC9" w:rsidRPr="009B3747" w:rsidRDefault="000F38B0" w:rsidP="00756B11">
      <w:pPr>
        <w:rPr>
          <w:rFonts w:eastAsia="Times New Roman" w:cstheme="minorHAnsi"/>
          <w:color w:val="000000" w:themeColor="text1"/>
          <w:lang w:eastAsia="en-GB"/>
        </w:rPr>
      </w:pPr>
      <w:r w:rsidRPr="009B3747">
        <w:rPr>
          <w:rFonts w:eastAsia="Times New Roman" w:cstheme="minorHAnsi"/>
          <w:color w:val="000000" w:themeColor="text1"/>
          <w:lang w:eastAsia="en-GB"/>
        </w:rPr>
        <w:t>When reflecting upon dietary habits of children and adolescents, i</w:t>
      </w:r>
      <w:r w:rsidR="00AF3FC9" w:rsidRPr="009B3747">
        <w:rPr>
          <w:rFonts w:eastAsia="Times New Roman" w:cstheme="minorHAnsi"/>
          <w:color w:val="000000" w:themeColor="text1"/>
          <w:lang w:eastAsia="en-GB"/>
        </w:rPr>
        <w:t>t is estimated</w:t>
      </w:r>
      <w:r w:rsidR="00A17E69" w:rsidRPr="009B3747">
        <w:rPr>
          <w:rFonts w:eastAsia="Times New Roman" w:cstheme="minorHAnsi"/>
          <w:color w:val="000000" w:themeColor="text1"/>
          <w:lang w:eastAsia="en-GB"/>
        </w:rPr>
        <w:t xml:space="preserve"> that 8% of adolescents aged 11 to </w:t>
      </w:r>
      <w:r w:rsidR="005F1170" w:rsidRPr="009B3747">
        <w:rPr>
          <w:rFonts w:eastAsia="Times New Roman" w:cstheme="minorHAnsi"/>
          <w:color w:val="000000" w:themeColor="text1"/>
          <w:lang w:eastAsia="en-GB"/>
        </w:rPr>
        <w:t xml:space="preserve">18 years </w:t>
      </w:r>
      <w:r w:rsidR="00AF3FC9" w:rsidRPr="009B3747">
        <w:rPr>
          <w:rFonts w:eastAsia="Times New Roman" w:cstheme="minorHAnsi"/>
          <w:color w:val="000000" w:themeColor="text1"/>
          <w:lang w:eastAsia="en-GB"/>
        </w:rPr>
        <w:t>meet the recommended five portion</w:t>
      </w:r>
      <w:r w:rsidR="00D7275C">
        <w:rPr>
          <w:rFonts w:eastAsia="Times New Roman" w:cstheme="minorHAnsi"/>
          <w:color w:val="000000" w:themeColor="text1"/>
          <w:lang w:eastAsia="en-GB"/>
        </w:rPr>
        <w:t xml:space="preserve">s of fruit and vegetables a day, </w:t>
      </w:r>
      <w:r w:rsidR="00AF3FC9" w:rsidRPr="009B3747">
        <w:rPr>
          <w:rFonts w:eastAsia="Times New Roman" w:cstheme="minorHAnsi"/>
          <w:color w:val="000000" w:themeColor="text1"/>
          <w:lang w:eastAsia="en-GB"/>
        </w:rPr>
        <w:t>with mean consumption reported to be 2.8 daily portions</w:t>
      </w:r>
      <w:r w:rsidR="00A17E69" w:rsidRPr="009B3747">
        <w:rPr>
          <w:rFonts w:eastAsia="Times New Roman" w:cstheme="minorHAnsi"/>
          <w:color w:val="000000" w:themeColor="text1"/>
          <w:lang w:eastAsia="en-GB"/>
        </w:rPr>
        <w:t xml:space="preserve"> </w:t>
      </w:r>
      <w:r w:rsidR="00A17E69" w:rsidRPr="009B3747">
        <w:rPr>
          <w:rFonts w:eastAsia="Times New Roman" w:cstheme="minorHAnsi"/>
          <w:color w:val="000000" w:themeColor="text1"/>
          <w:lang w:eastAsia="en-GB"/>
        </w:rPr>
        <w:fldChar w:fldCharType="begin" w:fldLock="1"/>
      </w:r>
      <w:r w:rsidR="00FA6BC1" w:rsidRPr="009B3747">
        <w:rPr>
          <w:rFonts w:eastAsia="Times New Roman" w:cstheme="minorHAnsi"/>
          <w:color w:val="000000" w:themeColor="text1"/>
          <w:lang w:eastAsia="en-GB"/>
        </w:rPr>
        <w:instrText>ADDIN CSL_CITATION { "citationItems" : [ { "id" : "ITEM-1", "itemData" : { "author" : [ { "dropping-particle" : "", "family" : "Public Health England", "given" : "", "non-dropping-particle" : "", "parse-names" : false, "suffix" : "" } ], "id" : "ITEM-1", "issued" : { "date-parts" : [ [ "2016" ] ] }, "publisher-place" : "London", "title" : "National Diet and Nutrition Survey Results from Years 5 and 6 (combined) of the Rolling Programme (2012/2013 \u2013 2013/2014)", "type" : "report" }, "uris" : [ "http://www.mendeley.com/documents/?uuid=82f714ce-b30a-4605-9043-b2d265dfdf19" ] } ], "mendeley" : { "formattedCitation" : "(Public Health England, 2016a)", "plainTextFormattedCitation" : "(Public Health England, 2016a)", "previouslyFormattedCitation" : "(Public Health England, 2016a)" }, "properties" : { "noteIndex" : 0 }, "schema" : "https://github.com/citation-style-language/schema/raw/master/csl-citation.json" }</w:instrText>
      </w:r>
      <w:r w:rsidR="00A17E69" w:rsidRPr="009B3747">
        <w:rPr>
          <w:rFonts w:eastAsia="Times New Roman" w:cstheme="minorHAnsi"/>
          <w:color w:val="000000" w:themeColor="text1"/>
          <w:lang w:eastAsia="en-GB"/>
        </w:rPr>
        <w:fldChar w:fldCharType="separate"/>
      </w:r>
      <w:r w:rsidR="00A17E69" w:rsidRPr="009B3747">
        <w:rPr>
          <w:rFonts w:eastAsia="Times New Roman" w:cstheme="minorHAnsi"/>
          <w:noProof/>
          <w:color w:val="000000" w:themeColor="text1"/>
          <w:lang w:eastAsia="en-GB"/>
        </w:rPr>
        <w:t>(Public Health England, 2016a)</w:t>
      </w:r>
      <w:r w:rsidR="00A17E69" w:rsidRPr="009B3747">
        <w:rPr>
          <w:rFonts w:eastAsia="Times New Roman" w:cstheme="minorHAnsi"/>
          <w:color w:val="000000" w:themeColor="text1"/>
          <w:lang w:eastAsia="en-GB"/>
        </w:rPr>
        <w:fldChar w:fldCharType="end"/>
      </w:r>
      <w:r w:rsidR="00AF3FC9" w:rsidRPr="009B3747">
        <w:rPr>
          <w:rFonts w:eastAsia="Times New Roman" w:cstheme="minorHAnsi"/>
          <w:color w:val="000000" w:themeColor="text1"/>
          <w:lang w:eastAsia="en-GB"/>
        </w:rPr>
        <w:t>.</w:t>
      </w:r>
      <w:r w:rsidR="002D0012">
        <w:rPr>
          <w:rFonts w:eastAsia="Times New Roman" w:cstheme="minorHAnsi"/>
          <w:color w:val="000000" w:themeColor="text1"/>
          <w:lang w:eastAsia="en-GB"/>
        </w:rPr>
        <w:t xml:space="preserve">  </w:t>
      </w:r>
      <w:r w:rsidR="00AF3FC9" w:rsidRPr="009B3747">
        <w:rPr>
          <w:rFonts w:eastAsia="Times New Roman" w:cstheme="minorHAnsi"/>
          <w:color w:val="000000" w:themeColor="text1"/>
          <w:lang w:eastAsia="en-GB"/>
        </w:rPr>
        <w:t xml:space="preserve">Furthermore, </w:t>
      </w:r>
      <w:r w:rsidR="00A17E69" w:rsidRPr="009B3747">
        <w:rPr>
          <w:rFonts w:eastAsia="Times New Roman" w:cstheme="minorHAnsi"/>
          <w:color w:val="000000" w:themeColor="text1"/>
          <w:lang w:eastAsia="en-GB"/>
        </w:rPr>
        <w:t xml:space="preserve">11 to </w:t>
      </w:r>
      <w:r w:rsidR="005223D1" w:rsidRPr="009B3747">
        <w:rPr>
          <w:rFonts w:eastAsia="Times New Roman" w:cstheme="minorHAnsi"/>
          <w:color w:val="000000" w:themeColor="text1"/>
          <w:lang w:eastAsia="en-GB"/>
        </w:rPr>
        <w:t>18 year olds are</w:t>
      </w:r>
      <w:r w:rsidR="00AF3FC9" w:rsidRPr="009B3747">
        <w:rPr>
          <w:rFonts w:eastAsia="Times New Roman" w:cstheme="minorHAnsi"/>
          <w:color w:val="000000" w:themeColor="text1"/>
          <w:lang w:eastAsia="en-GB"/>
        </w:rPr>
        <w:t xml:space="preserve"> deemed </w:t>
      </w:r>
      <w:r w:rsidR="002D0012">
        <w:rPr>
          <w:rFonts w:eastAsia="Times New Roman" w:cstheme="minorHAnsi"/>
          <w:color w:val="000000" w:themeColor="text1"/>
          <w:lang w:eastAsia="en-GB"/>
        </w:rPr>
        <w:t xml:space="preserve">to exceed the recommendation that </w:t>
      </w:r>
      <w:r w:rsidR="00F74DB9">
        <w:rPr>
          <w:rFonts w:eastAsia="Times New Roman" w:cstheme="minorHAnsi"/>
          <w:color w:val="000000" w:themeColor="text1"/>
          <w:lang w:eastAsia="en-GB"/>
        </w:rPr>
        <w:t xml:space="preserve">free sugars should provide no greater than 5% of total energy intake in </w:t>
      </w:r>
      <w:r w:rsidR="003C4342">
        <w:rPr>
          <w:rFonts w:eastAsia="Times New Roman" w:cstheme="minorHAnsi"/>
          <w:color w:val="000000" w:themeColor="text1"/>
          <w:lang w:eastAsia="en-GB"/>
        </w:rPr>
        <w:t>adu</w:t>
      </w:r>
      <w:r w:rsidR="00F74DB9">
        <w:rPr>
          <w:rFonts w:eastAsia="Times New Roman" w:cstheme="minorHAnsi"/>
          <w:color w:val="000000" w:themeColor="text1"/>
          <w:lang w:eastAsia="en-GB"/>
        </w:rPr>
        <w:t>lts and children over two years</w:t>
      </w:r>
      <w:r w:rsidR="002D0012">
        <w:rPr>
          <w:rFonts w:eastAsia="Times New Roman" w:cstheme="minorHAnsi"/>
          <w:color w:val="000000" w:themeColor="text1"/>
          <w:lang w:eastAsia="en-GB"/>
        </w:rPr>
        <w:t xml:space="preserve"> </w:t>
      </w:r>
      <w:r w:rsidR="002D0012">
        <w:rPr>
          <w:rFonts w:eastAsia="Times New Roman" w:cstheme="minorHAnsi"/>
          <w:color w:val="000000" w:themeColor="text1"/>
          <w:lang w:eastAsia="en-GB"/>
        </w:rPr>
        <w:fldChar w:fldCharType="begin" w:fldLock="1"/>
      </w:r>
      <w:r w:rsidR="00B73531">
        <w:rPr>
          <w:rFonts w:eastAsia="Times New Roman" w:cstheme="minorHAnsi"/>
          <w:color w:val="000000" w:themeColor="text1"/>
          <w:lang w:eastAsia="en-GB"/>
        </w:rPr>
        <w:instrText>ADDIN CSL_CITATION { "citationItems" : [ { "id" : "ITEM-1", "itemData" : { "author" : [ { "dropping-particle" : "", "family" : "Scientific Advisory Committee on Nutrition", "given" : "", "non-dropping-particle" : "", "parse-names" : false, "suffix" : "" } ], "id" : "ITEM-1", "issued" : { "date-parts" : [ [ "2015" ] ] }, "publisher-place" : "London", "title" : "Carbohydrates and Health", "type" : "report" }, "uris" : [ "http://www.mendeley.com/documents/?uuid=7e6d73b6-359d-4b93-b2f9-fb60b0b90b83" ] } ], "mendeley" : { "formattedCitation" : "(Scientific Advisory Committee on Nutrition, 2015)", "plainTextFormattedCitation" : "(Scientific Advisory Committee on Nutrition, 2015)", "previouslyFormattedCitation" : "(Scientific Advisory Committee on Nutrition, 2015)" }, "properties" : { "noteIndex" : 0 }, "schema" : "https://github.com/citation-style-language/schema/raw/master/csl-citation.json" }</w:instrText>
      </w:r>
      <w:r w:rsidR="002D0012">
        <w:rPr>
          <w:rFonts w:eastAsia="Times New Roman" w:cstheme="minorHAnsi"/>
          <w:color w:val="000000" w:themeColor="text1"/>
          <w:lang w:eastAsia="en-GB"/>
        </w:rPr>
        <w:fldChar w:fldCharType="separate"/>
      </w:r>
      <w:r w:rsidR="002D0012" w:rsidRPr="002D0012">
        <w:rPr>
          <w:rFonts w:eastAsia="Times New Roman" w:cstheme="minorHAnsi"/>
          <w:noProof/>
          <w:color w:val="000000" w:themeColor="text1"/>
          <w:lang w:eastAsia="en-GB"/>
        </w:rPr>
        <w:t>(Scientific Advisory Committee on Nutrition, 2015)</w:t>
      </w:r>
      <w:r w:rsidR="002D0012">
        <w:rPr>
          <w:rFonts w:eastAsia="Times New Roman" w:cstheme="minorHAnsi"/>
          <w:color w:val="000000" w:themeColor="text1"/>
          <w:lang w:eastAsia="en-GB"/>
        </w:rPr>
        <w:fldChar w:fldCharType="end"/>
      </w:r>
      <w:r w:rsidR="003C4342">
        <w:rPr>
          <w:rFonts w:eastAsia="Times New Roman" w:cstheme="minorHAnsi"/>
          <w:color w:val="000000" w:themeColor="text1"/>
          <w:lang w:eastAsia="en-GB"/>
        </w:rPr>
        <w:t xml:space="preserve">.  Estimated to be </w:t>
      </w:r>
      <w:r w:rsidR="00F74DB9">
        <w:rPr>
          <w:rFonts w:eastAsia="Times New Roman" w:cstheme="minorHAnsi"/>
          <w:color w:val="000000" w:themeColor="text1"/>
          <w:lang w:eastAsia="en-GB"/>
        </w:rPr>
        <w:t xml:space="preserve">over three times this recommendation (15.2%), </w:t>
      </w:r>
      <w:r w:rsidR="003C4342">
        <w:rPr>
          <w:rFonts w:eastAsia="Times New Roman" w:cstheme="minorHAnsi"/>
          <w:color w:val="000000" w:themeColor="text1"/>
          <w:lang w:eastAsia="en-GB"/>
        </w:rPr>
        <w:t>the</w:t>
      </w:r>
      <w:r w:rsidR="002D0012">
        <w:rPr>
          <w:rFonts w:eastAsia="Times New Roman" w:cstheme="minorHAnsi"/>
          <w:color w:val="000000" w:themeColor="text1"/>
          <w:lang w:eastAsia="en-GB"/>
        </w:rPr>
        <w:t xml:space="preserve"> main sources of free sugar </w:t>
      </w:r>
      <w:r w:rsidR="003C4342">
        <w:rPr>
          <w:rFonts w:eastAsia="Times New Roman" w:cstheme="minorHAnsi"/>
          <w:color w:val="000000" w:themeColor="text1"/>
          <w:lang w:eastAsia="en-GB"/>
        </w:rPr>
        <w:t>consumption</w:t>
      </w:r>
      <w:r w:rsidR="00F74DB9">
        <w:rPr>
          <w:rFonts w:eastAsia="Times New Roman" w:cstheme="minorHAnsi"/>
          <w:color w:val="000000" w:themeColor="text1"/>
          <w:lang w:eastAsia="en-GB"/>
        </w:rPr>
        <w:t xml:space="preserve"> in 11 to 18 year olds are </w:t>
      </w:r>
      <w:r w:rsidR="00611121" w:rsidRPr="009B3747">
        <w:rPr>
          <w:rFonts w:eastAsia="Times New Roman" w:cstheme="minorHAnsi"/>
          <w:color w:val="000000" w:themeColor="text1"/>
          <w:lang w:eastAsia="en-GB"/>
        </w:rPr>
        <w:t>‘</w:t>
      </w:r>
      <w:r w:rsidR="005223D1" w:rsidRPr="009B3747">
        <w:rPr>
          <w:rFonts w:eastAsia="Times New Roman" w:cstheme="minorHAnsi"/>
          <w:color w:val="000000" w:themeColor="text1"/>
          <w:lang w:eastAsia="en-GB"/>
        </w:rPr>
        <w:t>cereal and cereal products</w:t>
      </w:r>
      <w:r w:rsidR="00611121" w:rsidRPr="009B3747">
        <w:rPr>
          <w:rFonts w:eastAsia="Times New Roman" w:cstheme="minorHAnsi"/>
          <w:color w:val="000000" w:themeColor="text1"/>
          <w:lang w:eastAsia="en-GB"/>
        </w:rPr>
        <w:t>’</w:t>
      </w:r>
      <w:r w:rsidR="005223D1" w:rsidRPr="009B3747">
        <w:rPr>
          <w:rFonts w:eastAsia="Times New Roman" w:cstheme="minorHAnsi"/>
          <w:color w:val="000000" w:themeColor="text1"/>
          <w:lang w:eastAsia="en-GB"/>
        </w:rPr>
        <w:t xml:space="preserve">, </w:t>
      </w:r>
      <w:r w:rsidR="00611121" w:rsidRPr="009B3747">
        <w:rPr>
          <w:rFonts w:eastAsia="Times New Roman" w:cstheme="minorHAnsi"/>
          <w:color w:val="000000" w:themeColor="text1"/>
          <w:lang w:eastAsia="en-GB"/>
        </w:rPr>
        <w:t>‘</w:t>
      </w:r>
      <w:r w:rsidR="005223D1" w:rsidRPr="009B3747">
        <w:rPr>
          <w:rFonts w:eastAsia="Times New Roman" w:cstheme="minorHAnsi"/>
          <w:color w:val="000000" w:themeColor="text1"/>
          <w:lang w:eastAsia="en-GB"/>
        </w:rPr>
        <w:t xml:space="preserve">non-alcoholic </w:t>
      </w:r>
      <w:r w:rsidR="00611121" w:rsidRPr="009B3747">
        <w:rPr>
          <w:rFonts w:eastAsia="Times New Roman" w:cstheme="minorHAnsi"/>
          <w:color w:val="000000" w:themeColor="text1"/>
          <w:lang w:eastAsia="en-GB"/>
        </w:rPr>
        <w:t xml:space="preserve">beverages’ </w:t>
      </w:r>
      <w:r w:rsidR="005223D1" w:rsidRPr="009B3747">
        <w:rPr>
          <w:rFonts w:eastAsia="Times New Roman" w:cstheme="minorHAnsi"/>
          <w:color w:val="000000" w:themeColor="text1"/>
          <w:lang w:eastAsia="en-GB"/>
        </w:rPr>
        <w:t xml:space="preserve">and </w:t>
      </w:r>
      <w:r w:rsidR="00611121" w:rsidRPr="009B3747">
        <w:rPr>
          <w:rFonts w:eastAsia="Times New Roman" w:cstheme="minorHAnsi"/>
          <w:color w:val="000000" w:themeColor="text1"/>
          <w:lang w:eastAsia="en-GB"/>
        </w:rPr>
        <w:t>‘</w:t>
      </w:r>
      <w:r w:rsidR="005223D1" w:rsidRPr="009B3747">
        <w:rPr>
          <w:rFonts w:eastAsia="Times New Roman" w:cstheme="minorHAnsi"/>
          <w:color w:val="000000" w:themeColor="text1"/>
          <w:lang w:eastAsia="en-GB"/>
        </w:rPr>
        <w:t>sugar preserves and c</w:t>
      </w:r>
      <w:r w:rsidR="00A17E69" w:rsidRPr="009B3747">
        <w:rPr>
          <w:rFonts w:eastAsia="Times New Roman" w:cstheme="minorHAnsi"/>
          <w:color w:val="000000" w:themeColor="text1"/>
          <w:lang w:eastAsia="en-GB"/>
        </w:rPr>
        <w:t>onfectionery’ (NHS Digital, 2016a</w:t>
      </w:r>
      <w:r w:rsidR="005223D1" w:rsidRPr="009B3747">
        <w:rPr>
          <w:rFonts w:eastAsia="Times New Roman" w:cstheme="minorHAnsi"/>
          <w:color w:val="000000" w:themeColor="text1"/>
          <w:lang w:eastAsia="en-GB"/>
        </w:rPr>
        <w:t xml:space="preserve">).  </w:t>
      </w:r>
    </w:p>
    <w:p w:rsidR="002D0012" w:rsidRDefault="002D0012" w:rsidP="00A16FA3">
      <w:pPr>
        <w:rPr>
          <w:rFonts w:eastAsia="Times New Roman" w:cstheme="minorHAnsi"/>
          <w:sz w:val="24"/>
          <w:szCs w:val="24"/>
          <w:lang w:eastAsia="en-GB"/>
        </w:rPr>
      </w:pPr>
    </w:p>
    <w:p w:rsidR="002224C3" w:rsidRPr="009B3747" w:rsidRDefault="00C34D84" w:rsidP="00A16FA3">
      <w:pPr>
        <w:rPr>
          <w:rFonts w:eastAsia="Times New Roman" w:cstheme="minorHAnsi"/>
          <w:color w:val="000000"/>
          <w:u w:val="single"/>
          <w:lang w:eastAsia="en-GB"/>
        </w:rPr>
      </w:pPr>
      <w:r w:rsidRPr="009B3747">
        <w:rPr>
          <w:rFonts w:eastAsia="Times New Roman" w:cstheme="minorHAnsi"/>
          <w:color w:val="000000"/>
          <w:u w:val="single"/>
          <w:lang w:eastAsia="en-GB"/>
        </w:rPr>
        <w:t>2.</w:t>
      </w:r>
      <w:r w:rsidR="005A7786" w:rsidRPr="009B3747">
        <w:rPr>
          <w:rFonts w:eastAsia="Times New Roman" w:cstheme="minorHAnsi"/>
          <w:color w:val="000000"/>
          <w:u w:val="single"/>
          <w:lang w:eastAsia="en-GB"/>
        </w:rPr>
        <w:t>4.1</w:t>
      </w:r>
      <w:r w:rsidR="002D0099" w:rsidRPr="009B3747">
        <w:rPr>
          <w:rFonts w:eastAsia="Times New Roman" w:cstheme="minorHAnsi"/>
          <w:color w:val="000000"/>
          <w:u w:val="single"/>
          <w:lang w:eastAsia="en-GB"/>
        </w:rPr>
        <w:t xml:space="preserve"> </w:t>
      </w:r>
      <w:r w:rsidR="00A16FA3" w:rsidRPr="009B3747">
        <w:rPr>
          <w:rFonts w:eastAsia="Times New Roman" w:cstheme="minorHAnsi"/>
          <w:color w:val="000000"/>
          <w:u w:val="single"/>
          <w:lang w:eastAsia="en-GB"/>
        </w:rPr>
        <w:t>Childhood and adolescent obesity and inequalities</w:t>
      </w:r>
    </w:p>
    <w:p w:rsidR="000F38B0" w:rsidRPr="009B3747" w:rsidRDefault="000F38B0" w:rsidP="00A16FA3">
      <w:pPr>
        <w:rPr>
          <w:rFonts w:eastAsia="Times New Roman" w:cstheme="minorHAnsi"/>
          <w:color w:val="000000"/>
          <w:sz w:val="24"/>
          <w:szCs w:val="24"/>
          <w:u w:val="single"/>
          <w:lang w:eastAsia="en-GB"/>
        </w:rPr>
      </w:pPr>
    </w:p>
    <w:p w:rsidR="00A16FA3" w:rsidRPr="009B3747" w:rsidRDefault="002224C3" w:rsidP="00A16FA3">
      <w:pPr>
        <w:rPr>
          <w:rFonts w:eastAsia="Times New Roman" w:cstheme="minorHAnsi"/>
          <w:color w:val="000000"/>
          <w:shd w:val="clear" w:color="auto" w:fill="FFFFFF"/>
          <w:lang w:eastAsia="en-GB"/>
        </w:rPr>
      </w:pPr>
      <w:r w:rsidRPr="009B3747">
        <w:rPr>
          <w:rFonts w:eastAsia="Times New Roman" w:cstheme="minorHAnsi"/>
          <w:color w:val="000000"/>
          <w:shd w:val="clear" w:color="auto" w:fill="FFFFFF"/>
          <w:lang w:eastAsia="en-GB"/>
        </w:rPr>
        <w:t xml:space="preserve">A person’s position </w:t>
      </w:r>
      <w:r w:rsidR="00A16FA3" w:rsidRPr="009B3747">
        <w:rPr>
          <w:rFonts w:eastAsia="Times New Roman" w:cstheme="minorHAnsi"/>
          <w:color w:val="000000"/>
          <w:shd w:val="clear" w:color="auto" w:fill="FFFFFF"/>
          <w:lang w:eastAsia="en-GB"/>
        </w:rPr>
        <w:t>within a social hierarchy, affects the conditions in which they are born, grow, live, work, and age</w:t>
      </w:r>
      <w:r w:rsidR="005E3FF4" w:rsidRPr="009B3747">
        <w:rPr>
          <w:rFonts w:eastAsia="Times New Roman" w:cstheme="minorHAnsi"/>
          <w:color w:val="000000"/>
          <w:shd w:val="clear" w:color="auto" w:fill="FFFFFF"/>
          <w:lang w:eastAsia="en-GB"/>
        </w:rPr>
        <w:t xml:space="preserve"> </w:t>
      </w:r>
      <w:r w:rsidR="005E3FF4" w:rsidRPr="009B3747">
        <w:rPr>
          <w:rFonts w:eastAsia="Times New Roman" w:cstheme="minorHAnsi"/>
          <w:color w:val="000000"/>
          <w:shd w:val="clear" w:color="auto" w:fill="FFFFFF"/>
          <w:lang w:eastAsia="en-GB"/>
        </w:rPr>
        <w:fldChar w:fldCharType="begin" w:fldLock="1"/>
      </w:r>
      <w:r w:rsidR="00395650" w:rsidRPr="009B3747">
        <w:rPr>
          <w:rFonts w:eastAsia="Times New Roman" w:cstheme="minorHAnsi"/>
          <w:color w:val="000000"/>
          <w:shd w:val="clear" w:color="auto" w:fill="FFFFFF"/>
          <w:lang w:eastAsia="en-GB"/>
        </w:rPr>
        <w:instrText>ADDIN CSL_CITATION { "citationItems" : [ { "id" : "ITEM-1", "itemData" : { "author" : [ { "dropping-particle" : "", "family" : "Marmot", "given" : "M", "non-dropping-particle" : "", "parse-names" : false, "suffix" : "" } ], "id" : "ITEM-1", "issued" : { "date-parts" : [ [ "2010" ] ] }, "publisher-place" : "London", "title" : "Fair society, healthy lives", "type" : "report" }, "uris" : [ "http://www.mendeley.com/documents/?uuid=92d8b594-f348-414d-8048-778a3c9973da" ] } ], "mendeley" : { "formattedCitation" : "(Marmot, 2010)", "plainTextFormattedCitation" : "(Marmot, 2010)", "previouslyFormattedCitation" : "(Marmot, 2010)" }, "properties" : { "noteIndex" : 0 }, "schema" : "https://github.com/citation-style-language/schema/raw/master/csl-citation.json" }</w:instrText>
      </w:r>
      <w:r w:rsidR="005E3FF4" w:rsidRPr="009B3747">
        <w:rPr>
          <w:rFonts w:eastAsia="Times New Roman" w:cstheme="minorHAnsi"/>
          <w:color w:val="000000"/>
          <w:shd w:val="clear" w:color="auto" w:fill="FFFFFF"/>
          <w:lang w:eastAsia="en-GB"/>
        </w:rPr>
        <w:fldChar w:fldCharType="separate"/>
      </w:r>
      <w:r w:rsidR="005E3FF4" w:rsidRPr="009B3747">
        <w:rPr>
          <w:rFonts w:eastAsia="Times New Roman" w:cstheme="minorHAnsi"/>
          <w:noProof/>
          <w:color w:val="000000"/>
          <w:shd w:val="clear" w:color="auto" w:fill="FFFFFF"/>
          <w:lang w:eastAsia="en-GB"/>
        </w:rPr>
        <w:t>(Marmot, 2010)</w:t>
      </w:r>
      <w:r w:rsidR="005E3FF4" w:rsidRPr="009B3747">
        <w:rPr>
          <w:rFonts w:eastAsia="Times New Roman" w:cstheme="minorHAnsi"/>
          <w:color w:val="000000"/>
          <w:shd w:val="clear" w:color="auto" w:fill="FFFFFF"/>
          <w:lang w:eastAsia="en-GB"/>
        </w:rPr>
        <w:fldChar w:fldCharType="end"/>
      </w:r>
      <w:r w:rsidR="005E3FF4" w:rsidRPr="009B3747">
        <w:rPr>
          <w:rFonts w:eastAsia="Times New Roman" w:cstheme="minorHAnsi"/>
          <w:color w:val="000000"/>
          <w:shd w:val="clear" w:color="auto" w:fill="FFFFFF"/>
          <w:lang w:eastAsia="en-GB"/>
        </w:rPr>
        <w:t xml:space="preserve">.  </w:t>
      </w:r>
      <w:r w:rsidR="00A16FA3" w:rsidRPr="009B3747">
        <w:rPr>
          <w:rFonts w:eastAsia="Times New Roman" w:cstheme="minorHAnsi"/>
          <w:color w:val="000000"/>
          <w:shd w:val="clear" w:color="auto" w:fill="FFFFFF"/>
          <w:lang w:eastAsia="en-GB"/>
        </w:rPr>
        <w:t xml:space="preserve">In the UK and across the world, a social gradient of health is evidenced, where the lower an individual’s position within a society, the worse their health will be </w:t>
      </w:r>
      <w:r w:rsidR="005E3FF4" w:rsidRPr="009B3747">
        <w:rPr>
          <w:rFonts w:eastAsia="Times New Roman" w:cstheme="minorHAnsi"/>
          <w:color w:val="000000"/>
          <w:shd w:val="clear" w:color="auto" w:fill="FFFFFF"/>
          <w:lang w:eastAsia="en-GB"/>
        </w:rPr>
        <w:fldChar w:fldCharType="begin" w:fldLock="1"/>
      </w:r>
      <w:r w:rsidR="009C2ECF" w:rsidRPr="009B3747">
        <w:rPr>
          <w:rFonts w:eastAsia="Times New Roman" w:cstheme="minorHAnsi"/>
          <w:color w:val="000000"/>
          <w:shd w:val="clear" w:color="auto" w:fill="FFFFFF"/>
          <w:lang w:eastAsia="en-GB"/>
        </w:rPr>
        <w:instrText>ADDIN CSL_CITATION { "citationItems" : [ { "id" : "ITEM-1", "itemData" : { "author" : [ { "dropping-particle" : "", "family" : "Health", "given" : "Commission on Social Determinants of", "non-dropping-particle" : "", "parse-names" : false, "suffix" : "" } ], "id" : "ITEM-1", "issued" : { "date-parts" : [ [ "2008" ] ] }, "publisher-place" : "Geneva", "title" : "Closing the gap in a generation: health equity through action on the social determinants of health. Final Report of the Commission on Social Determinants of Health", "type" : "report" }, "uris" : [ "http://www.mendeley.com/documents/?uuid=7ed3f29e-461f-45b0-b5e5-c3b401bdac23" ] }, { "id" : "ITEM-2", "itemData" : { "author" : [ { "dropping-particle" : "", "family" : "Public Health England", "given" : "", "non-dropping-particle" : "", "parse-names" : false, "suffix" : "" } ], "id" : "ITEM-2", "issued" : { "date-parts" : [ [ "2014" ] ] }, "publisher-place" : "London", "title" : "Child obesity and socioeconomic status data factsheet", "type" : "report" }, "uris" : [ "http://www.mendeley.com/documents/?uuid=d125807c-9801-4728-bdd4-397a9af6dfcc" ] } ], "mendeley" : { "formattedCitation" : "(Health, 2008; Public Health England, 2014a)", "plainTextFormattedCitation" : "(Health, 2008; Public Health England, 2014a)", "previouslyFormattedCitation" : "(Health, 2008; Public Health England, 2014a)" }, "properties" : { "noteIndex" : 0 }, "schema" : "https://github.com/citation-style-language/schema/raw/master/csl-citation.json" }</w:instrText>
      </w:r>
      <w:r w:rsidR="005E3FF4" w:rsidRPr="009B3747">
        <w:rPr>
          <w:rFonts w:eastAsia="Times New Roman" w:cstheme="minorHAnsi"/>
          <w:color w:val="000000"/>
          <w:shd w:val="clear" w:color="auto" w:fill="FFFFFF"/>
          <w:lang w:eastAsia="en-GB"/>
        </w:rPr>
        <w:fldChar w:fldCharType="separate"/>
      </w:r>
      <w:r w:rsidR="009C2ECF" w:rsidRPr="009B3747">
        <w:rPr>
          <w:rFonts w:eastAsia="Times New Roman" w:cstheme="minorHAnsi"/>
          <w:noProof/>
          <w:color w:val="000000"/>
          <w:shd w:val="clear" w:color="auto" w:fill="FFFFFF"/>
          <w:lang w:eastAsia="en-GB"/>
        </w:rPr>
        <w:t>(Health, 2008; Public Health England, 2014a)</w:t>
      </w:r>
      <w:r w:rsidR="005E3FF4" w:rsidRPr="009B3747">
        <w:rPr>
          <w:rFonts w:eastAsia="Times New Roman" w:cstheme="minorHAnsi"/>
          <w:color w:val="000000"/>
          <w:shd w:val="clear" w:color="auto" w:fill="FFFFFF"/>
          <w:lang w:eastAsia="en-GB"/>
        </w:rPr>
        <w:fldChar w:fldCharType="end"/>
      </w:r>
      <w:r w:rsidR="005E3FF4" w:rsidRPr="009B3747">
        <w:rPr>
          <w:rFonts w:eastAsia="Times New Roman" w:cstheme="minorHAnsi"/>
          <w:color w:val="000000"/>
          <w:shd w:val="clear" w:color="auto" w:fill="FFFFFF"/>
          <w:lang w:eastAsia="en-GB"/>
        </w:rPr>
        <w:t xml:space="preserve">.  </w:t>
      </w:r>
      <w:r w:rsidR="00A16FA3" w:rsidRPr="009B3747">
        <w:rPr>
          <w:rFonts w:eastAsia="Times New Roman" w:cstheme="minorHAnsi"/>
          <w:color w:val="000000"/>
          <w:lang w:eastAsia="en-GB"/>
        </w:rPr>
        <w:t xml:space="preserve">A crucial consideration therefore, when examining childhood </w:t>
      </w:r>
      <w:r w:rsidR="00A17E69" w:rsidRPr="009B3747">
        <w:rPr>
          <w:rFonts w:eastAsia="Times New Roman" w:cstheme="minorHAnsi"/>
          <w:color w:val="000000"/>
          <w:lang w:eastAsia="en-GB"/>
        </w:rPr>
        <w:t xml:space="preserve">and adolescent </w:t>
      </w:r>
      <w:r w:rsidR="00A16FA3" w:rsidRPr="009B3747">
        <w:rPr>
          <w:rFonts w:eastAsia="Times New Roman" w:cstheme="minorHAnsi"/>
          <w:color w:val="000000"/>
          <w:lang w:eastAsia="en-GB"/>
        </w:rPr>
        <w:t xml:space="preserve">obesity prevalence and the recent plateauing of rates, is to identify and understand the substantial inequalities that exist related to age, gender, socioeconomic status and ethnicity </w:t>
      </w:r>
      <w:r w:rsidR="005E3FF4"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"Wang", "given" : "Y", "non-dropping-particle" : "", "parse-names" : false, "suffix" : "" }, { "dropping-particle" : "", "family" : "Beydoun", "given" : "MA", "non-dropping-particle" : "", "parse-names" : false, "suffix" : "" } ], "container-title" : "Epidemiologic reviews", "id" : "ITEM-1", "issue" : "1", "issued" : { "date-parts" : [ [ "2007" ] ] }, "page" : "6-28", "title" : "The obesity epidemic in the United States\u2014gender, age, socioeconomic, racial/ethnic, and geographic characteristics: a systematic review and meta-regression", "type" : "article-journal", "volume" : "29" }, "uris" : [ "http://www.mendeley.com/documents/?uuid=1df7e03b-1f9e-49bc-8385-8e704e0a625e" ] } ], "mendeley" : { "formattedCitation" : "(Wang and Beydoun, 2007)", "plainTextFormattedCitation" : "(Wang and Beydoun, 2007)", "previouslyFormattedCitation" : "(Wang and Beydoun, 2007)" }, "properties" : { "noteIndex" : 0 }, "schema" : "https://github.com/citation-style-language/schema/raw/master/csl-citation.json" }</w:instrText>
      </w:r>
      <w:r w:rsidR="005E3FF4" w:rsidRPr="009B3747">
        <w:rPr>
          <w:rFonts w:eastAsia="Times New Roman" w:cstheme="minorHAnsi"/>
          <w:color w:val="000000"/>
          <w:lang w:eastAsia="en-GB"/>
        </w:rPr>
        <w:fldChar w:fldCharType="separate"/>
      </w:r>
      <w:r w:rsidR="005E3FF4" w:rsidRPr="009B3747">
        <w:rPr>
          <w:rFonts w:eastAsia="Times New Roman" w:cstheme="minorHAnsi"/>
          <w:noProof/>
          <w:color w:val="000000"/>
          <w:lang w:eastAsia="en-GB"/>
        </w:rPr>
        <w:t>(Wang and Beydoun, 2007)</w:t>
      </w:r>
      <w:r w:rsidR="005E3FF4" w:rsidRPr="009B3747">
        <w:rPr>
          <w:rFonts w:eastAsia="Times New Roman" w:cstheme="minorHAnsi"/>
          <w:color w:val="000000"/>
          <w:lang w:eastAsia="en-GB"/>
        </w:rPr>
        <w:fldChar w:fldCharType="end"/>
      </w:r>
      <w:r w:rsidR="005E3FF4" w:rsidRPr="009B3747">
        <w:rPr>
          <w:rFonts w:eastAsia="Times New Roman" w:cstheme="minorHAnsi"/>
          <w:color w:val="000000"/>
          <w:lang w:eastAsia="en-GB"/>
        </w:rPr>
        <w:t>.</w:t>
      </w:r>
    </w:p>
    <w:p w:rsidR="002224C3" w:rsidRPr="009B3747" w:rsidRDefault="002224C3" w:rsidP="00A16FA3">
      <w:pPr>
        <w:rPr>
          <w:rFonts w:eastAsia="Times New Roman" w:cstheme="minorHAnsi"/>
          <w:sz w:val="24"/>
          <w:szCs w:val="24"/>
          <w:lang w:eastAsia="en-GB"/>
        </w:rPr>
      </w:pPr>
    </w:p>
    <w:p w:rsidR="00A16FA3" w:rsidRPr="009B3747" w:rsidRDefault="00A16FA3" w:rsidP="00A16FA3">
      <w:pPr>
        <w:rPr>
          <w:rFonts w:eastAsia="Times New Roman" w:cstheme="minorHAnsi"/>
          <w:color w:val="000000"/>
          <w:lang w:eastAsia="en-GB"/>
        </w:rPr>
      </w:pPr>
      <w:r w:rsidRPr="009B3747">
        <w:rPr>
          <w:rFonts w:eastAsia="Times New Roman" w:cstheme="minorHAnsi"/>
          <w:color w:val="000000"/>
          <w:lang w:eastAsia="en-GB"/>
        </w:rPr>
        <w:t>Particularly pronounced and extensively evidenced</w:t>
      </w:r>
      <w:r w:rsidR="005E3FF4" w:rsidRPr="009B3747">
        <w:rPr>
          <w:rFonts w:eastAsia="Times New Roman" w:cstheme="minorHAnsi"/>
          <w:color w:val="000000"/>
          <w:lang w:eastAsia="en-GB"/>
        </w:rPr>
        <w:t xml:space="preserve"> </w:t>
      </w:r>
      <w:r w:rsidR="005E3FF4"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"Public Health England", "given" : "", "non-dropping-particle" : "", "parse-names" : false, "suffix" : "" } ], "id" : "ITEM-1", "issued" : { "date-parts" : [ [ "2014" ] ] }, "publisher-place" : "London", "title" : "Child obesity and socioeconomic status data factsheet", "type" : "report" }, "uris" : [ "http://www.mendeley.com/documents/?uuid=d125807c-9801-4728-bdd4-397a9af6dfcc" ] }, { "id" : "ITEM-2", "itemData" : { "author" : [ { "dropping-particle" : "", "family" : "Lobstein", "given" : "T", "non-dropping-particle" : "", "parse-names" : false, "suffix" : "" }, { "dropping-particle" : "", "family" : "Jackson-Leach", "given" : "R", "non-dropping-particle" : "", "parse-names" : false, "suffix" : "" }, { "dropping-particle" : "", "family" : "Moodie", "given" : "ML", "non-dropping-particle" : "", "parse-names" : false, "suffix" : "" } ], "container-title" : "The Lancet", "id" : "ITEM-2", "issue" : "9986", "issued" : { "date-parts" : [ [ "2015" ] ] }, "page" : "2510-2520", "title" : "Child and adolescent obesity: part of a bigger picture", "type" : "article-journal", "volume" : "385" }, "uris" : [ "http://www.mendeley.com/documents/?uuid=e072a246-f28d-4879-b95a-10b312372cee" ] }, { "id" : "ITEM-3", "itemData" : { "DOI" : "ISBN 978 92 4 151006 6", "ISBN" : "978 92 4 151006 6 \u00a9", "abstract" : "1. Over the past decade, the World Health Assembly, the governing body of the World Health Organization (WHO), and the United Nations General Assembly have adopted a series of resolutions1 that acknowledge noncommunicable diseases (NCDs) as a major challenge for development in the 21st century and have identified prevention and control as a core priority. The proposed Sustainable Development Goals propose a target on reducing premature mortality from NCDs2. 2. Among the NCD risk factors, obesity is particularly concerning. In children (aged under 19 years) it is associated with a wide range of health complications and an increased risk of premature onset of illnesses, including diabetes and heart disease. Preventing childhood obesity is a key approach to the primary prevention of NCDs. 3. Childhood obesity has complex origins and progress in tackling the issue has to date been slow. It is clear that a combination of scientific research, government leadership and community partnerships is necessary in order to develop the best recommendations and implement them worldwide. 4. In order to develop a comprehensive response to childhood obesity, the WHO Director- General established a high-level Commission on Ending Childhood Obesity (ECHO), which comprises 15 accomplished and eminent individuals from a variety of relevant backgrounds. The Commission has reviewed, built upon and addressed gaps in existing mandates and strategies with the support of two ad hoc working groups, one on science and evidence for ending childhood obesity (WGSE), and one on implementation, monitoring and accountability for ending childhood obesity (WGIMA). An Interim Report was developed for feedback through a series of regional consultations and hearings with Member States and non-State actors, and an online process for the submission of comments from relevant stakeholders. The Commission has reviewed these inputs and developed this draft final report, which will form the basis for a final round of regional and global consultation.", "author" : [ { "dropping-particle" : "", "family" : "World Health Organization", "given" : "", "non-dropping-particle" : "", "parse-names" : false, "suffix" : "" } ], "id" : "ITEM-3", "issued" : { "date-parts" : [ [ "2016" ] ] }, "publisher-place" : "Geneva", "title" : "Report of the Commission on Ending Childhood Obesity", "type" : "report" }, "uris" : [ "http://www.mendeley.com/documents/?uuid=fc7d72ef-f520-4e44-854a-cc82b135b368" ] } ], "mendeley" : { "formattedCitation" : "(Public Health England, 2014a; Lobstein et al., 2015; World Health Organization, 2016c)", "plainTextFormattedCitation" : "(Public Health England, 2014a; Lobstein et al., 2015; World Health Organization, 2016c)", "previouslyFormattedCitation" : "(Public Health England, 2014a; Lobstein et al., 2015; World Health Organization, 2016c)" }, "properties" : { "noteIndex" : 0 }, "schema" : "https://github.com/citation-style-language/schema/raw/master/csl-citation.json" }</w:instrText>
      </w:r>
      <w:r w:rsidR="005E3FF4" w:rsidRPr="009B3747">
        <w:rPr>
          <w:rFonts w:eastAsia="Times New Roman" w:cstheme="minorHAnsi"/>
          <w:color w:val="000000"/>
          <w:lang w:eastAsia="en-GB"/>
        </w:rPr>
        <w:fldChar w:fldCharType="separate"/>
      </w:r>
      <w:r w:rsidR="00981B68" w:rsidRPr="009B3747">
        <w:rPr>
          <w:rFonts w:eastAsia="Times New Roman" w:cstheme="minorHAnsi"/>
          <w:noProof/>
          <w:color w:val="000000"/>
          <w:lang w:eastAsia="en-GB"/>
        </w:rPr>
        <w:t>(Public Health England, 2014a; Lobstein et al., 2015; World Health Organization, 2016c)</w:t>
      </w:r>
      <w:r w:rsidR="005E3FF4" w:rsidRPr="009B3747">
        <w:rPr>
          <w:rFonts w:eastAsia="Times New Roman" w:cstheme="minorHAnsi"/>
          <w:color w:val="000000"/>
          <w:lang w:eastAsia="en-GB"/>
        </w:rPr>
        <w:fldChar w:fldCharType="end"/>
      </w:r>
      <w:r w:rsidR="00D7275C">
        <w:rPr>
          <w:rFonts w:eastAsia="Times New Roman" w:cstheme="minorHAnsi"/>
          <w:color w:val="000000"/>
          <w:lang w:eastAsia="en-GB"/>
        </w:rPr>
        <w:t xml:space="preserve">, </w:t>
      </w:r>
      <w:r w:rsidRPr="009B3747">
        <w:rPr>
          <w:rFonts w:eastAsia="Times New Roman" w:cstheme="minorHAnsi"/>
          <w:color w:val="000000"/>
          <w:lang w:eastAsia="en-GB"/>
        </w:rPr>
        <w:t>is the relationship between obesity prevalence</w:t>
      </w:r>
      <w:r w:rsidR="00611121" w:rsidRPr="009B3747">
        <w:rPr>
          <w:rFonts w:eastAsia="Times New Roman" w:cstheme="minorHAnsi"/>
          <w:color w:val="000000"/>
          <w:lang w:eastAsia="en-GB"/>
        </w:rPr>
        <w:t>, unhealthy lifestyle behaviours</w:t>
      </w:r>
      <w:r w:rsidRPr="009B3747">
        <w:rPr>
          <w:rFonts w:eastAsia="Times New Roman" w:cstheme="minorHAnsi"/>
          <w:color w:val="000000"/>
          <w:lang w:eastAsia="en-GB"/>
        </w:rPr>
        <w:t xml:space="preserve"> in childhood and adolescence and socio economic status.  </w:t>
      </w:r>
      <w:r w:rsidR="000F38B0" w:rsidRPr="009B3747">
        <w:rPr>
          <w:rFonts w:eastAsia="Times New Roman" w:cstheme="minorHAnsi"/>
          <w:color w:val="000000"/>
          <w:lang w:eastAsia="en-GB"/>
        </w:rPr>
        <w:t xml:space="preserve">Within the UK, obesity prevalence in children </w:t>
      </w:r>
      <w:r w:rsidRPr="009B3747">
        <w:rPr>
          <w:rFonts w:eastAsia="Times New Roman" w:cstheme="minorHAnsi"/>
          <w:color w:val="000000"/>
          <w:lang w:eastAsia="en-GB"/>
        </w:rPr>
        <w:t xml:space="preserve">from the most deprived areas </w:t>
      </w:r>
      <w:r w:rsidR="000F38B0" w:rsidRPr="009B3747">
        <w:rPr>
          <w:rFonts w:eastAsia="Times New Roman" w:cstheme="minorHAnsi"/>
          <w:color w:val="000000"/>
          <w:lang w:eastAsia="en-GB"/>
        </w:rPr>
        <w:t>is double compared to children from the least deprived, with this ‘deprivation gap’ evidenced as increasing</w:t>
      </w:r>
      <w:r w:rsidRPr="009B3747">
        <w:rPr>
          <w:rFonts w:eastAsia="Times New Roman" w:cstheme="minorHAnsi"/>
          <w:color w:val="000000"/>
          <w:lang w:eastAsia="en-GB"/>
        </w:rPr>
        <w:t xml:space="preserve"> since 2007/2008 </w:t>
      </w:r>
      <w:r w:rsidR="005E3FF4"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"NHS Digital", "given" : "", "non-dropping-particle" : "", "parse-names" : false, "suffix" : "" } ], "id" : "ITEM-1", "issued" : { "date-parts" : [ [ "2016" ] ] }, "publisher-place" : "London", "title" : "National Child Measurement Programme - England, 2015/2016 school year", "type" : "report" }, "uris" : [ "http://www.mendeley.com/documents/?uuid=c13c8b37-9c1a-4559-8550-5f5e414a2fe2" ] } ], "mendeley" : { "formattedCitation" : "(NHS Digital, 2016b)", "plainTextFormattedCitation" : "(NHS Digital, 2016b)", "previouslyFormattedCitation" : "(NHS Digital, 2016b)" }, "properties" : { "noteIndex" : 0 }, "schema" : "https://github.com/citation-style-language/schema/raw/master/csl-citation.json" }</w:instrText>
      </w:r>
      <w:r w:rsidR="005E3FF4" w:rsidRPr="009B3747">
        <w:rPr>
          <w:rFonts w:eastAsia="Times New Roman" w:cstheme="minorHAnsi"/>
          <w:color w:val="000000"/>
          <w:lang w:eastAsia="en-GB"/>
        </w:rPr>
        <w:fldChar w:fldCharType="separate"/>
      </w:r>
      <w:r w:rsidR="005E3FF4" w:rsidRPr="009B3747">
        <w:rPr>
          <w:rFonts w:eastAsia="Times New Roman" w:cstheme="minorHAnsi"/>
          <w:noProof/>
          <w:color w:val="000000"/>
          <w:lang w:eastAsia="en-GB"/>
        </w:rPr>
        <w:t>(NHS Digital, 2016b)</w:t>
      </w:r>
      <w:r w:rsidR="005E3FF4" w:rsidRPr="009B3747">
        <w:rPr>
          <w:rFonts w:eastAsia="Times New Roman" w:cstheme="minorHAnsi"/>
          <w:color w:val="000000"/>
          <w:lang w:eastAsia="en-GB"/>
        </w:rPr>
        <w:fldChar w:fldCharType="end"/>
      </w:r>
      <w:r w:rsidR="005E3FF4"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In addition to the relationship between deprivation and obesity, national data indicates that a child </w:t>
      </w:r>
      <w:r w:rsidR="00D7275C">
        <w:rPr>
          <w:rFonts w:eastAsia="Times New Roman" w:cstheme="minorHAnsi"/>
          <w:color w:val="000000"/>
          <w:lang w:eastAsia="en-GB"/>
        </w:rPr>
        <w:t>or</w:t>
      </w:r>
      <w:r w:rsidRPr="009B3747">
        <w:rPr>
          <w:rFonts w:eastAsia="Times New Roman" w:cstheme="minorHAnsi"/>
          <w:color w:val="000000"/>
          <w:lang w:eastAsia="en-GB"/>
        </w:rPr>
        <w:t xml:space="preserve"> adolescent is at greater risk of experiencing obesity if they are older, a boy, are from a black and min</w:t>
      </w:r>
      <w:r w:rsidR="00A17E69" w:rsidRPr="009B3747">
        <w:rPr>
          <w:rFonts w:eastAsia="Times New Roman" w:cstheme="minorHAnsi"/>
          <w:color w:val="000000"/>
          <w:lang w:eastAsia="en-GB"/>
        </w:rPr>
        <w:t>ority ethnic</w:t>
      </w:r>
      <w:r w:rsidR="00611121" w:rsidRPr="009B3747">
        <w:rPr>
          <w:rFonts w:eastAsia="Times New Roman" w:cstheme="minorHAnsi"/>
          <w:color w:val="000000"/>
          <w:lang w:eastAsia="en-GB"/>
        </w:rPr>
        <w:t xml:space="preserve"> group or live in</w:t>
      </w:r>
      <w:r w:rsidRPr="009B3747">
        <w:rPr>
          <w:rFonts w:eastAsia="Times New Roman" w:cstheme="minorHAnsi"/>
          <w:color w:val="000000"/>
          <w:lang w:eastAsia="en-GB"/>
        </w:rPr>
        <w:t xml:space="preserve"> an urban area</w:t>
      </w:r>
      <w:r w:rsidR="005E3FF4" w:rsidRPr="009B3747">
        <w:rPr>
          <w:rFonts w:eastAsia="Times New Roman" w:cstheme="minorHAnsi"/>
          <w:color w:val="000000"/>
          <w:lang w:eastAsia="en-GB"/>
        </w:rPr>
        <w:t xml:space="preserve"> </w:t>
      </w:r>
      <w:r w:rsidR="005E3FF4"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"NHS Digital", "given" : "", "non-dropping-particle" : "", "parse-names" : false, "suffix" : "" } ], "id" : "ITEM-1", "issued" : { "date-parts" : [ [ "2016" ] ] }, "publisher-place" : "London", "title" : "National Child Measurement Programme - England, 2015/2016 school year", "type" : "report" }, "uris" : [ "http://www.mendeley.com/documents/?uuid=c13c8b37-9c1a-4559-8550-5f5e414a2fe2" ] } ], "mendeley" : { "formattedCitation" : "(NHS Digital, 2016b)", "plainTextFormattedCitation" : "(NHS Digital, 2016b)", "previouslyFormattedCitation" : "(NHS Digital, 2016b)" }, "properties" : { "noteIndex" : 0 }, "schema" : "https://github.com/citation-style-language/schema/raw/master/csl-citation.json" }</w:instrText>
      </w:r>
      <w:r w:rsidR="005E3FF4" w:rsidRPr="009B3747">
        <w:rPr>
          <w:rFonts w:eastAsia="Times New Roman" w:cstheme="minorHAnsi"/>
          <w:color w:val="000000"/>
          <w:lang w:eastAsia="en-GB"/>
        </w:rPr>
        <w:fldChar w:fldCharType="separate"/>
      </w:r>
      <w:r w:rsidR="005E3FF4" w:rsidRPr="009B3747">
        <w:rPr>
          <w:rFonts w:eastAsia="Times New Roman" w:cstheme="minorHAnsi"/>
          <w:noProof/>
          <w:color w:val="000000"/>
          <w:lang w:eastAsia="en-GB"/>
        </w:rPr>
        <w:t>(NHS Digital, 2016b)</w:t>
      </w:r>
      <w:r w:rsidR="005E3FF4" w:rsidRPr="009B3747">
        <w:rPr>
          <w:rFonts w:eastAsia="Times New Roman" w:cstheme="minorHAnsi"/>
          <w:color w:val="000000"/>
          <w:lang w:eastAsia="en-GB"/>
        </w:rPr>
        <w:fldChar w:fldCharType="end"/>
      </w:r>
      <w:r w:rsidR="005E3FF4" w:rsidRPr="009B3747">
        <w:rPr>
          <w:rFonts w:eastAsia="Times New Roman" w:cstheme="minorHAnsi"/>
          <w:color w:val="000000"/>
          <w:lang w:eastAsia="en-GB"/>
        </w:rPr>
        <w:t>.</w:t>
      </w:r>
      <w:r w:rsidR="00611121" w:rsidRPr="009B3747">
        <w:rPr>
          <w:rFonts w:eastAsia="Times New Roman" w:cstheme="minorHAnsi"/>
          <w:color w:val="000000"/>
          <w:lang w:eastAsia="en-GB"/>
        </w:rPr>
        <w:t xml:space="preserve">  </w:t>
      </w:r>
    </w:p>
    <w:p w:rsidR="002224C3" w:rsidRPr="009B3747" w:rsidRDefault="002224C3" w:rsidP="00A16FA3">
      <w:pPr>
        <w:rPr>
          <w:rFonts w:eastAsia="Times New Roman" w:cstheme="minorHAnsi"/>
          <w:sz w:val="24"/>
          <w:szCs w:val="24"/>
          <w:lang w:eastAsia="en-GB"/>
        </w:rPr>
      </w:pPr>
    </w:p>
    <w:p w:rsidR="00A16FA3" w:rsidRPr="009B3747" w:rsidRDefault="00A16FA3" w:rsidP="00A16FA3">
      <w:pPr>
        <w:rPr>
          <w:rFonts w:eastAsia="Times New Roman" w:cstheme="minorHAnsi"/>
          <w:color w:val="000000"/>
          <w:lang w:eastAsia="en-GB"/>
        </w:rPr>
      </w:pPr>
      <w:r w:rsidRPr="009B3747">
        <w:rPr>
          <w:rFonts w:eastAsia="Times New Roman" w:cstheme="minorHAnsi"/>
          <w:color w:val="000000"/>
          <w:lang w:eastAsia="en-GB"/>
        </w:rPr>
        <w:t>The trends however between childhood</w:t>
      </w:r>
      <w:r w:rsidR="00A17E69" w:rsidRPr="009B3747">
        <w:rPr>
          <w:rFonts w:eastAsia="Times New Roman" w:cstheme="minorHAnsi"/>
          <w:color w:val="000000"/>
          <w:lang w:eastAsia="en-GB"/>
        </w:rPr>
        <w:t xml:space="preserve"> and adolescent</w:t>
      </w:r>
      <w:r w:rsidRPr="009B3747">
        <w:rPr>
          <w:rFonts w:eastAsia="Times New Roman" w:cstheme="minorHAnsi"/>
          <w:color w:val="000000"/>
          <w:lang w:eastAsia="en-GB"/>
        </w:rPr>
        <w:t xml:space="preserve"> obesity and inequalities are not straightforward and subject to much exploration and debate</w:t>
      </w:r>
      <w:r w:rsidR="005E3FF4" w:rsidRPr="009B3747">
        <w:rPr>
          <w:rFonts w:eastAsia="Times New Roman" w:cstheme="minorHAnsi"/>
          <w:color w:val="000000"/>
          <w:lang w:eastAsia="en-GB"/>
        </w:rPr>
        <w:t xml:space="preserve"> </w:t>
      </w:r>
      <w:r w:rsidR="005E3FF4"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"Wardle", "given" : "J", "non-dropping-particle" : "", "parse-names" : false, "suffix" : "" }, { "dropping-particle" : "", "family" : "Brodersen", "given" : "NH", "non-dropping-particle" : "", "parse-names" : false, "suffix" : "" }, { "dropping-particle" : "", "family" : "Cole", "given" : "TJ", "non-dropping-particle" : "", "parse-names" : false, "suffix" : "" } ], "container-title" : "BMJ", "id" : "ITEM-1", "issue" : "7550", "issued" : { "date-parts" : [ [ "2006" ] ] }, "page" : "1130-5", "title" : "Development of adiposity in adolescence: five year longitudinal study of an ethnically and socioeconomically diverse sample of young people in Britain", "type" : "article-journal", "volume" : "332" }, "uris" : [ "http://www.mendeley.com/documents/?uuid=73deef8e-2c77-45e7-9d99-b21023a854d9" ] }, { "id" : "ITEM-2", "itemData" : { "author" : [ { "dropping-particle" : "", "family" : "Stamatakis", "given" : "E", "non-dropping-particle" : "", "parse-names" : false, "suffix" : "" }, { "dropping-particle" : "", "family" : "Wardle", "given" : "J", "non-dropping-particle" : "", "parse-names" : false, "suffix" : "" }, { "dropping-particle" : "", "family" : "Cole", "given" : "TJ", "non-dropping-particle" : "", "parse-names" : false, "suffix" : "" } ], "container-title" : "International journal of obesity", "id" : "ITEM-2", "issued" : { "date-parts" : [ [ "2010" ] ] }, "title" : "Childhood obesity and overweight prevalence trends in England: evidence for growing socioeconomic disparities", "type" : "article-journal" }, "uris" : [ "http://www.mendeley.com/documents/?uuid=6b68bf99-f040-4362-8367-93e8f0a86f97" ] }, { "id" : "ITEM-3", "itemData" : { "author" : [ { "dropping-particle" : "", "family" : "Fraser", "given" : "LK", "non-dropping-particle" : "", "parse-names" : false, "suffix" : "" }, { "dropping-particle" : "", "family" : "Edwards", "given" : "KL", "non-dropping-particle" : "", "parse-names" : false, "suffix" : "" }, { "dropping-particle" : "", "family" : "Cade", "given" : "J", "non-dropping-particle" : "", "parse-names" : false, "suffix" : "" }, { "dropping-particle" : "", "family" : "Clarke", "given" : "GP", "non-dropping-particle" : "", "parse-names" : false, "suffix" : "" } ], "container-title" : "International Journal of Environmental Research and Public Health", "id" : "ITEM-3", "issue" : "5", "issued" : { "date-parts" : [ [ "2010" ] ] }, "page" : "2290-2308", "title" : "The geography of fast food outlets: a review", "type" : "article-journal", "volume" : "7" }, "uris" : [ "http://www.mendeley.com/documents/?uuid=cd8d8a94-7cb7-4888-8676-519a52006259" ] } ], "mendeley" : { "formattedCitation" : "(Wardle et al., 2006; Stamatakis et al., 2010; Fraser et al., 2010)", "plainTextFormattedCitation" : "(Wardle et al., 2006; Stamatakis et al., 2010; Fraser et al., 2010)", "previouslyFormattedCitation" : "(Wardle et al., 2006; Stamatakis et al., 2010; Fraser et al., 2010)" }, "properties" : { "noteIndex" : 0 }, "schema" : "https://github.com/citation-style-language/schema/raw/master/csl-citation.json" }</w:instrText>
      </w:r>
      <w:r w:rsidR="005E3FF4" w:rsidRPr="009B3747">
        <w:rPr>
          <w:rFonts w:eastAsia="Times New Roman" w:cstheme="minorHAnsi"/>
          <w:color w:val="000000"/>
          <w:lang w:eastAsia="en-GB"/>
        </w:rPr>
        <w:fldChar w:fldCharType="separate"/>
      </w:r>
      <w:r w:rsidR="005E3FF4" w:rsidRPr="009B3747">
        <w:rPr>
          <w:rFonts w:eastAsia="Times New Roman" w:cstheme="minorHAnsi"/>
          <w:noProof/>
          <w:color w:val="000000"/>
          <w:lang w:eastAsia="en-GB"/>
        </w:rPr>
        <w:t xml:space="preserve">(Wardle et al., 2006; Stamatakis et al., </w:t>
      </w:r>
      <w:r w:rsidR="005E3FF4" w:rsidRPr="009B3747">
        <w:rPr>
          <w:rFonts w:eastAsia="Times New Roman" w:cstheme="minorHAnsi"/>
          <w:noProof/>
          <w:color w:val="000000"/>
          <w:lang w:eastAsia="en-GB"/>
        </w:rPr>
        <w:lastRenderedPageBreak/>
        <w:t>2010; Fraser et al., 2010)</w:t>
      </w:r>
      <w:r w:rsidR="005E3FF4" w:rsidRPr="009B3747">
        <w:rPr>
          <w:rFonts w:eastAsia="Times New Roman" w:cstheme="minorHAnsi"/>
          <w:color w:val="000000"/>
          <w:lang w:eastAsia="en-GB"/>
        </w:rPr>
        <w:fldChar w:fldCharType="end"/>
      </w:r>
      <w:r w:rsidRPr="009B3747">
        <w:rPr>
          <w:rFonts w:eastAsia="Times New Roman" w:cstheme="minorHAnsi"/>
          <w:color w:val="000000"/>
          <w:lang w:eastAsia="en-GB"/>
        </w:rPr>
        <w:t>.  It has been challenged for example whether higher prevalence of excess weight</w:t>
      </w:r>
      <w:r w:rsidR="000F38B0" w:rsidRPr="009B3747">
        <w:rPr>
          <w:rFonts w:eastAsia="Times New Roman" w:cstheme="minorHAnsi"/>
          <w:color w:val="000000"/>
          <w:lang w:eastAsia="en-GB"/>
        </w:rPr>
        <w:t>,</w:t>
      </w:r>
      <w:r w:rsidRPr="009B3747">
        <w:rPr>
          <w:rFonts w:eastAsia="Times New Roman" w:cstheme="minorHAnsi"/>
          <w:color w:val="000000"/>
          <w:lang w:eastAsia="en-GB"/>
        </w:rPr>
        <w:t xml:space="preserve"> evident in children </w:t>
      </w:r>
      <w:r w:rsidR="00A17E69" w:rsidRPr="009B3747">
        <w:rPr>
          <w:rFonts w:eastAsia="Times New Roman" w:cstheme="minorHAnsi"/>
          <w:color w:val="000000"/>
          <w:lang w:eastAsia="en-GB"/>
        </w:rPr>
        <w:t xml:space="preserve">and adolescents </w:t>
      </w:r>
      <w:r w:rsidRPr="009B3747">
        <w:rPr>
          <w:rFonts w:eastAsia="Times New Roman" w:cstheme="minorHAnsi"/>
          <w:color w:val="000000"/>
          <w:lang w:eastAsia="en-GB"/>
        </w:rPr>
        <w:t>from lower socio-economic groups in both developed and developing countries</w:t>
      </w:r>
      <w:r w:rsidR="000F38B0" w:rsidRPr="009B3747">
        <w:rPr>
          <w:rFonts w:eastAsia="Times New Roman" w:cstheme="minorHAnsi"/>
          <w:color w:val="000000"/>
          <w:lang w:eastAsia="en-GB"/>
        </w:rPr>
        <w:t>,</w:t>
      </w:r>
      <w:r w:rsidRPr="009B3747">
        <w:rPr>
          <w:rFonts w:eastAsia="Times New Roman" w:cstheme="minorHAnsi"/>
          <w:color w:val="000000"/>
          <w:lang w:eastAsia="en-GB"/>
        </w:rPr>
        <w:t xml:space="preserve"> is entirely due to excesses of body weight or is indeed confounded by low height for age</w:t>
      </w:r>
      <w:r w:rsidR="00FE4357">
        <w:rPr>
          <w:rFonts w:eastAsia="Times New Roman" w:cstheme="minorHAnsi"/>
          <w:color w:val="000000"/>
          <w:lang w:eastAsia="en-GB"/>
        </w:rPr>
        <w:t>,</w:t>
      </w:r>
      <w:r w:rsidRPr="009B3747">
        <w:rPr>
          <w:rFonts w:eastAsia="Times New Roman" w:cstheme="minorHAnsi"/>
          <w:color w:val="000000"/>
          <w:lang w:eastAsia="en-GB"/>
        </w:rPr>
        <w:t xml:space="preserve"> i.e. increased stunting </w:t>
      </w:r>
      <w:r w:rsidR="005E3FF4"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"Lobstein", "given" : "T", "non-dropping-particle" : "", "parse-names" : false, "suffix" : "" }, { "dropping-particle" : "", "family" : "Jackson-Leach", "given" : "R", "non-dropping-particle" : "", "parse-names" : false, "suffix" : "" }, { "dropping-particle" : "", "family" : "Moodie", "given" : "ML", "non-dropping-particle" : "", "parse-names" : false, "suffix" : "" } ], "container-title" : "The Lancet", "id" : "ITEM-1", "issue" : "9986", "issued" : { "date-parts" : [ [ "2015" ] ] }, "page" : "2510-2520", "title" : "Child and adolescent obesity: part of a bigger picture", "type" : "article-journal", "volume" : "385" }, "uris" : [ "http://www.mendeley.com/documents/?uuid=e072a246-f28d-4879-b95a-10b312372cee" ] } ], "mendeley" : { "formattedCitation" : "(Lobstein et al., 2015)", "plainTextFormattedCitation" : "(Lobstein et al., 2015)", "previouslyFormattedCitation" : "(Lobstein et al., 2015)" }, "properties" : { "noteIndex" : 0 }, "schema" : "https://github.com/citation-style-language/schema/raw/master/csl-citation.json" }</w:instrText>
      </w:r>
      <w:r w:rsidR="005E3FF4" w:rsidRPr="009B3747">
        <w:rPr>
          <w:rFonts w:eastAsia="Times New Roman" w:cstheme="minorHAnsi"/>
          <w:color w:val="000000"/>
          <w:lang w:eastAsia="en-GB"/>
        </w:rPr>
        <w:fldChar w:fldCharType="separate"/>
      </w:r>
      <w:r w:rsidR="005E3FF4" w:rsidRPr="009B3747">
        <w:rPr>
          <w:rFonts w:eastAsia="Times New Roman" w:cstheme="minorHAnsi"/>
          <w:noProof/>
          <w:color w:val="000000"/>
          <w:lang w:eastAsia="en-GB"/>
        </w:rPr>
        <w:t>(Lobstein et al., 2015)</w:t>
      </w:r>
      <w:r w:rsidR="005E3FF4" w:rsidRPr="009B3747">
        <w:rPr>
          <w:rFonts w:eastAsia="Times New Roman" w:cstheme="minorHAnsi"/>
          <w:color w:val="000000"/>
          <w:lang w:eastAsia="en-GB"/>
        </w:rPr>
        <w:fldChar w:fldCharType="end"/>
      </w:r>
      <w:r w:rsidR="005E3FF4" w:rsidRPr="009B3747">
        <w:rPr>
          <w:rFonts w:eastAsia="Times New Roman" w:cstheme="minorHAnsi"/>
          <w:color w:val="000000"/>
          <w:lang w:eastAsia="en-GB"/>
        </w:rPr>
        <w:t xml:space="preserve">.  </w:t>
      </w:r>
      <w:r w:rsidRPr="009B3747">
        <w:rPr>
          <w:rFonts w:eastAsia="Times New Roman" w:cstheme="minorHAnsi"/>
          <w:color w:val="000000"/>
          <w:lang w:eastAsia="en-GB"/>
        </w:rPr>
        <w:t>Furthermore, the evidenced ethnic variations across excess weight prevalence are argued to be complicated by social economic status</w:t>
      </w:r>
      <w:r w:rsidR="005E3FF4" w:rsidRPr="009B3747">
        <w:rPr>
          <w:rFonts w:eastAsia="Times New Roman" w:cstheme="minorHAnsi"/>
          <w:color w:val="000000"/>
          <w:lang w:eastAsia="en-GB"/>
        </w:rPr>
        <w:t xml:space="preserve"> </w:t>
      </w:r>
      <w:r w:rsidR="005E3FF4"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"abstract" : "Originally published by the National Obesity Observatory (NOO) This paper provides an overview of the current evidence on the relationship between obesity and ethnicity for adults and children in the UK - summarising evidence on: variations in obesity prevalence between and within minority ethnic groups; differences in obesity-related disease prevalence between minority ethnic groups, with particular reference to cardiovascular disease and type 2 diabetes; measures of obesity including the issue of central adiposity and the use of BMI; and the role of potential determinants of obesity for minority ethnic groups such as migration, cultural variations in diet, socioeconomic status, local area characteristics and physical activity levels", "author" : [ { "dropping-particle" : "", "family" : "Public Health England", "given" : "", "non-dropping-particle" : "", "parse-names" : false, "suffix" : "" } ], "id" : "ITEM-1", "issue" : "January", "issued" : { "date-parts" : [ [ "2011" ] ] }, "number-of-pages" : "1-34", "publisher-place" : "London", "title" : "Obesity and Ethnicity", "type" : "report" }, "uris" : [ "http://www.mendeley.com/documents/?uuid=5f2431a9-65c6-49b9-919c-68fb85eabb69" ] } ], "mendeley" : { "formattedCitation" : "(Public Health England, 2011b)", "plainTextFormattedCitation" : "(Public Health England, 2011b)", "previouslyFormattedCitation" : "(Public Health England, 2011b)" }, "properties" : { "noteIndex" : 0 }, "schema" : "https://github.com/citation-style-language/schema/raw/master/csl-citation.json" }</w:instrText>
      </w:r>
      <w:r w:rsidR="005E3FF4" w:rsidRPr="009B3747">
        <w:rPr>
          <w:rFonts w:eastAsia="Times New Roman" w:cstheme="minorHAnsi"/>
          <w:color w:val="000000"/>
          <w:lang w:eastAsia="en-GB"/>
        </w:rPr>
        <w:fldChar w:fldCharType="separate"/>
      </w:r>
      <w:r w:rsidR="005E3FF4" w:rsidRPr="009B3747">
        <w:rPr>
          <w:rFonts w:eastAsia="Times New Roman" w:cstheme="minorHAnsi"/>
          <w:noProof/>
          <w:color w:val="000000"/>
          <w:lang w:eastAsia="en-GB"/>
        </w:rPr>
        <w:t>(Public Health England, 2011b)</w:t>
      </w:r>
      <w:r w:rsidR="005E3FF4" w:rsidRPr="009B3747">
        <w:rPr>
          <w:rFonts w:eastAsia="Times New Roman" w:cstheme="minorHAnsi"/>
          <w:color w:val="000000"/>
          <w:lang w:eastAsia="en-GB"/>
        </w:rPr>
        <w:fldChar w:fldCharType="end"/>
      </w:r>
      <w:r w:rsidR="005E3FF4" w:rsidRPr="009B3747">
        <w:rPr>
          <w:rFonts w:eastAsia="Times New Roman" w:cstheme="minorHAnsi"/>
          <w:color w:val="000000"/>
          <w:lang w:eastAsia="en-GB"/>
        </w:rPr>
        <w:t xml:space="preserve">.  </w:t>
      </w:r>
      <w:r w:rsidRPr="009B3747">
        <w:rPr>
          <w:rFonts w:eastAsia="Times New Roman" w:cstheme="minorHAnsi"/>
          <w:color w:val="000000"/>
          <w:lang w:eastAsia="en-GB"/>
        </w:rPr>
        <w:t>However</w:t>
      </w:r>
      <w:r w:rsidR="000F38B0" w:rsidRPr="009B3747">
        <w:rPr>
          <w:rFonts w:eastAsia="Times New Roman" w:cstheme="minorHAnsi"/>
          <w:color w:val="000000"/>
          <w:lang w:eastAsia="en-GB"/>
        </w:rPr>
        <w:t>,</w:t>
      </w:r>
      <w:r w:rsidRPr="009B3747">
        <w:rPr>
          <w:rFonts w:eastAsia="Times New Roman" w:cstheme="minorHAnsi"/>
          <w:color w:val="000000"/>
          <w:lang w:eastAsia="en-GB"/>
        </w:rPr>
        <w:t xml:space="preserve"> what is clear is that obesity does not affect all groups equally</w:t>
      </w:r>
      <w:r w:rsidR="005E3FF4" w:rsidRPr="009B3747">
        <w:rPr>
          <w:rFonts w:eastAsia="Times New Roman" w:cstheme="minorHAnsi"/>
          <w:color w:val="000000"/>
          <w:lang w:eastAsia="en-GB"/>
        </w:rPr>
        <w:t xml:space="preserve"> </w:t>
      </w:r>
      <w:r w:rsidR="005E3FF4"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"Public Health England", "given" : "", "non-dropping-particle" : "", "parse-names" : false, "suffix" : "" } ], "id" : "ITEM-1", "issued" : { "date-parts" : [ [ "2016" ] ] }, "publisher-place" : "London", "title" : "Patterns and trends in child obesity", "type" : "report" }, "uris" : [ "http://www.mendeley.com/documents/?uuid=0ea2757b-4278-4d2d-8b18-a5a561c926aa" ] } ], "mendeley" : { "formattedCitation" : "(Public Health England, 2016b)", "plainTextFormattedCitation" : "(Public Health England, 2016b)", "previouslyFormattedCitation" : "(Public Health England, 2016b)" }, "properties" : { "noteIndex" : 0 }, "schema" : "https://github.com/citation-style-language/schema/raw/master/csl-citation.json" }</w:instrText>
      </w:r>
      <w:r w:rsidR="005E3FF4" w:rsidRPr="009B3747">
        <w:rPr>
          <w:rFonts w:eastAsia="Times New Roman" w:cstheme="minorHAnsi"/>
          <w:color w:val="000000"/>
          <w:lang w:eastAsia="en-GB"/>
        </w:rPr>
        <w:fldChar w:fldCharType="separate"/>
      </w:r>
      <w:r w:rsidR="00FE4B4E" w:rsidRPr="009B3747">
        <w:rPr>
          <w:rFonts w:eastAsia="Times New Roman" w:cstheme="minorHAnsi"/>
          <w:noProof/>
          <w:color w:val="000000"/>
          <w:lang w:eastAsia="en-GB"/>
        </w:rPr>
        <w:t>(Public Health England, 2016b)</w:t>
      </w:r>
      <w:r w:rsidR="005E3FF4" w:rsidRPr="009B3747">
        <w:rPr>
          <w:rFonts w:eastAsia="Times New Roman" w:cstheme="minorHAnsi"/>
          <w:color w:val="000000"/>
          <w:lang w:eastAsia="en-GB"/>
        </w:rPr>
        <w:fldChar w:fldCharType="end"/>
      </w:r>
      <w:r w:rsidR="005E3FF4" w:rsidRPr="009B3747">
        <w:rPr>
          <w:rFonts w:eastAsia="Times New Roman" w:cstheme="minorHAnsi"/>
          <w:color w:val="000000"/>
          <w:lang w:eastAsia="en-GB"/>
        </w:rPr>
        <w:t xml:space="preserve">.  </w:t>
      </w:r>
      <w:r w:rsidRPr="009B3747">
        <w:rPr>
          <w:rFonts w:eastAsia="Times New Roman" w:cstheme="minorHAnsi"/>
          <w:color w:val="000000"/>
          <w:lang w:eastAsia="en-GB"/>
        </w:rPr>
        <w:t>The intricacies in inequality within child and adolescent obesity prevalence, support the case that an individual’s life circumstances should be fully reflected upon</w:t>
      </w:r>
      <w:r w:rsidR="00D7275C">
        <w:rPr>
          <w:rFonts w:eastAsia="Times New Roman" w:cstheme="minorHAnsi"/>
          <w:color w:val="000000"/>
          <w:lang w:eastAsia="en-GB"/>
        </w:rPr>
        <w:t>, s</w:t>
      </w:r>
      <w:r w:rsidRPr="009B3747">
        <w:rPr>
          <w:rFonts w:eastAsia="Times New Roman" w:cstheme="minorHAnsi"/>
          <w:color w:val="000000"/>
          <w:lang w:eastAsia="en-GB"/>
        </w:rPr>
        <w:t>o that the actual underlying factors increasing a person’s risk of experiencing excess weight a</w:t>
      </w:r>
      <w:r w:rsidR="005E3FF4" w:rsidRPr="009B3747">
        <w:rPr>
          <w:rFonts w:eastAsia="Times New Roman" w:cstheme="minorHAnsi"/>
          <w:color w:val="000000"/>
          <w:lang w:eastAsia="en-GB"/>
        </w:rPr>
        <w:t xml:space="preserve">re understood and accounted for </w:t>
      </w:r>
      <w:r w:rsidR="005E3FF4"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"Marmot", "given" : "M", "non-dropping-particle" : "", "parse-names" : false, "suffix" : "" } ], "id" : "ITEM-1", "issued" : { "date-parts" : [ [ "2010" ] ] }, "publisher-place" : "London", "title" : "Fair society, healthy lives", "type" : "report" }, "uris" : [ "http://www.mendeley.com/documents/?uuid=92d8b594-f348-414d-8048-778a3c9973da" ] } ], "mendeley" : { "formattedCitation" : "(Marmot, 2010)", "plainTextFormattedCitation" : "(Marmot, 2010)", "previouslyFormattedCitation" : "(Marmot, 2010)" }, "properties" : { "noteIndex" : 0 }, "schema" : "https://github.com/citation-style-language/schema/raw/master/csl-citation.json" }</w:instrText>
      </w:r>
      <w:r w:rsidR="005E3FF4" w:rsidRPr="009B3747">
        <w:rPr>
          <w:rFonts w:eastAsia="Times New Roman" w:cstheme="minorHAnsi"/>
          <w:color w:val="000000"/>
          <w:lang w:eastAsia="en-GB"/>
        </w:rPr>
        <w:fldChar w:fldCharType="separate"/>
      </w:r>
      <w:r w:rsidR="005E3FF4" w:rsidRPr="009B3747">
        <w:rPr>
          <w:rFonts w:eastAsia="Times New Roman" w:cstheme="minorHAnsi"/>
          <w:noProof/>
          <w:color w:val="000000"/>
          <w:lang w:eastAsia="en-GB"/>
        </w:rPr>
        <w:t>(Marmot, 2010)</w:t>
      </w:r>
      <w:r w:rsidR="005E3FF4" w:rsidRPr="009B3747">
        <w:rPr>
          <w:rFonts w:eastAsia="Times New Roman" w:cstheme="minorHAnsi"/>
          <w:color w:val="000000"/>
          <w:lang w:eastAsia="en-GB"/>
        </w:rPr>
        <w:fldChar w:fldCharType="end"/>
      </w:r>
      <w:r w:rsidR="005E3FF4" w:rsidRPr="009B3747">
        <w:rPr>
          <w:rFonts w:eastAsia="Times New Roman" w:cstheme="minorHAnsi"/>
          <w:color w:val="000000"/>
          <w:lang w:eastAsia="en-GB"/>
        </w:rPr>
        <w:t>.</w:t>
      </w:r>
    </w:p>
    <w:p w:rsidR="002224C3" w:rsidRPr="009B3747" w:rsidRDefault="002224C3" w:rsidP="00A16FA3">
      <w:pPr>
        <w:rPr>
          <w:rFonts w:eastAsia="Times New Roman" w:cstheme="minorHAnsi"/>
          <w:color w:val="000000"/>
          <w:lang w:eastAsia="en-GB"/>
        </w:rPr>
      </w:pPr>
    </w:p>
    <w:p w:rsidR="00A16FA3" w:rsidRPr="009B3747" w:rsidRDefault="00A16FA3" w:rsidP="00A16FA3">
      <w:pPr>
        <w:rPr>
          <w:rFonts w:eastAsia="Times New Roman" w:cstheme="minorHAnsi"/>
          <w:sz w:val="24"/>
          <w:szCs w:val="24"/>
          <w:lang w:eastAsia="en-GB"/>
        </w:rPr>
      </w:pPr>
      <w:r w:rsidRPr="009B3747">
        <w:rPr>
          <w:rFonts w:eastAsia="Times New Roman" w:cstheme="minorHAnsi"/>
          <w:color w:val="000000"/>
          <w:lang w:eastAsia="en-GB"/>
        </w:rPr>
        <w:t>In relation to the proposed study, increasing obesity prevalence during childhood and particularly during adolesce</w:t>
      </w:r>
      <w:r w:rsidR="00996DC8">
        <w:rPr>
          <w:rFonts w:eastAsia="Times New Roman" w:cstheme="minorHAnsi"/>
          <w:color w:val="000000"/>
          <w:lang w:eastAsia="en-GB"/>
        </w:rPr>
        <w:t xml:space="preserve">nce, </w:t>
      </w:r>
      <w:r w:rsidRPr="009B3747">
        <w:rPr>
          <w:rFonts w:eastAsia="Times New Roman" w:cstheme="minorHAnsi"/>
          <w:color w:val="000000"/>
          <w:lang w:eastAsia="en-GB"/>
        </w:rPr>
        <w:t>coupled with the complex picture of inequalities means secondary level education becomes a vital setting for preventative action</w:t>
      </w:r>
      <w:r w:rsidR="005E3FF4" w:rsidRPr="009B3747">
        <w:rPr>
          <w:rFonts w:eastAsia="Times New Roman" w:cstheme="minorHAnsi"/>
          <w:color w:val="000000"/>
          <w:lang w:eastAsia="en-GB"/>
        </w:rPr>
        <w:t xml:space="preserve"> </w:t>
      </w:r>
      <w:r w:rsidR="005E3FF4" w:rsidRPr="009B3747">
        <w:rPr>
          <w:rFonts w:eastAsia="Times New Roman" w:cstheme="minorHAnsi"/>
          <w:color w:val="000000"/>
          <w:lang w:eastAsia="en-GB"/>
        </w:rPr>
        <w:fldChar w:fldCharType="begin" w:fldLock="1"/>
      </w:r>
      <w:r w:rsidR="00B41686" w:rsidRPr="009B3747">
        <w:rPr>
          <w:rFonts w:eastAsia="Times New Roman" w:cstheme="minorHAnsi"/>
          <w:color w:val="000000"/>
          <w:lang w:eastAsia="en-GB"/>
        </w:rPr>
        <w:instrText>ADDIN CSL_CITATION { "citationItems" : [ { "id" : "ITEM-1", "itemData" : { "DOI" : "10.1111/obr.12277", "ISSN" : "14677881", "PMID" : "25893796", "abstract" : "Previous reviews of childhood obesity prevention have focused largely on schools and findings have been inconsistent. Funded by the US Agency for Healthcare Research and Quality (AHRQ) and the National Institutes of Health, we systematically evaluated the effectiveness of childhood obesity prevention programmes conducted in high-income countries and implemented in various settings. We searched MEDLINE\u00ae, Embase, PsycINFO, CINAHL\u00ae, ClinicalTrials.gov and the Cochrane Library from inception through 22 April 2013 for relevant studies, including randomized controlled trials, quasi-experimental studies and natural experiments, targeting diet, physical activity or both, and conducted in children aged 2-18 in high-income countries. Two reviewers independently abstracted the data. The strength of evidence (SOE) supporting interventions was graded for each study setting (e.g. home, school). Meta-analyses were performed on studies judged sufficiently similar and appropriate to pool using random effect models. This paper reported our findings on various adiposity-related outcomes. We identified 147 articles (139 intervention studies) of which 115 studies were primarily school based, although\u2009other settings could have been involved. Most were conducted in the United States and within the past decade. SOE was high for physical activity-only interventions delivered in schools with home involvement or combined diet-physical activity interventions delivered in schools with both home and community components. SOE was moderate for school-based interventions targeting either diet or physical activity, combined interventions delivered in schools with home or community components or combined interventions delivered in the community with a school component. SOE was low for combined interventions in childcare or home settings. Evidence was insufficient for other interventions. In conclusion, at least moderately strong evidence supports the effectiveness of school-based interventions for preventing childhood obesity. More research is needed to evaluate programmes in other settings or of other design types, especially environmental, policy and consumer health informatics-oriented interventions.", "author" : [ { "dropping-particle" : "", "family" : "Wang", "given" : "Y.", "non-dropping-particle" : "", "parse-names" : false, "suffix" : "" }, { "dropping-particle" : "", "family" : "Cai", "given" : "L.", "non-dropping-particle" : "", "parse-names" : false, "suffix" : "" }, { "dropping-particle" : "", "family" : "Wu", "given" : "Y.", "non-dropping-particle" : "", "parse-names" : false, "suffix" : "" }, { "dropping-particle" : "", "family" : "Wilson", "given" : "R. F.", "non-dropping-particle" : "", "parse-names" : false, "suffix" : "" }, { "dropping-particle" : "", "family" : "Weston", "given" : "C.", "non-dropping-particle" : "", "parse-names" : false, "suffix" : "" }, { "dropping-particle" : "", "family" : "Fawole", "given" : "O.", "non-dropping-particle" : "", "parse-names" : false, "suffix" : "" }, { "dropping-particle" : "", "family" : "Bleich", "given" : "S. N.", "non-dropping-particle" : "", "parse-names" : false, "suffix" : "" }, { "dropping-particle" : "", "family" : "Cheskin", "given" : "L. J.", "non-dropping-particle" : "", "parse-names" : false, "suffix" : "" }, { "dropping-particle" : "", "family" : "Showell", "given" : "N. N.", "non-dropping-particle" : "", "parse-names" : false, "suffix" : "" }, { "dropping-particle" : "", "family" : "Lau", "given" : "B. D.", "non-dropping-particle" : "", "parse-names" : false, "suffix" : "" }, { "dropping-particle" : "", "family" : "Chiu", "given" : "D. T.", "non-dropping-particle" : "", "parse-names" : false, "suffix" : "" }, { "dropping-particle" : "", "family" : "Zhang", "given" : "A.", "non-dropping-particle" : "", "parse-names" : false, "suffix" : "" }, { "dropping-particle" : "", "family" : "Segal", "given" : "J.", "non-dropping-particle" : "", "parse-names" : false, "suffix" : "" } ], "container-title" : "Obesity Reviews", "id" : "ITEM-1", "issue" : "7", "issued" : { "date-parts" : [ [ "2015", "7", "20" ] ] }, "page" : "547-565", "title" : "What childhood obesity prevention programmes work? A systematic review and meta-analysis", "type" : "article-journal", "volume" : "16" }, "uris" : [ "http://www.mendeley.com/documents/?uuid=6062d135-073b-40bc-a5de-04435d42cd04" ] } ], "mendeley" : { "formattedCitation" : "(Wang et al., 2015)", "plainTextFormattedCitation" : "(Wang et al., 2015)", "previouslyFormattedCitation" : "(Wang et al., 2015)" }, "properties" : { "noteIndex" : 0 }, "schema" : "https://github.com/citation-style-language/schema/raw/master/csl-citation.json" }</w:instrText>
      </w:r>
      <w:r w:rsidR="005E3FF4" w:rsidRPr="009B3747">
        <w:rPr>
          <w:rFonts w:eastAsia="Times New Roman" w:cstheme="minorHAnsi"/>
          <w:color w:val="000000"/>
          <w:lang w:eastAsia="en-GB"/>
        </w:rPr>
        <w:fldChar w:fldCharType="separate"/>
      </w:r>
      <w:r w:rsidR="005E3FF4" w:rsidRPr="009B3747">
        <w:rPr>
          <w:rFonts w:eastAsia="Times New Roman" w:cstheme="minorHAnsi"/>
          <w:noProof/>
          <w:color w:val="000000"/>
          <w:lang w:eastAsia="en-GB"/>
        </w:rPr>
        <w:t>(Wang et al., 2015)</w:t>
      </w:r>
      <w:r w:rsidR="005E3FF4" w:rsidRPr="009B3747">
        <w:rPr>
          <w:rFonts w:eastAsia="Times New Roman" w:cstheme="minorHAnsi"/>
          <w:color w:val="000000"/>
          <w:lang w:eastAsia="en-GB"/>
        </w:rPr>
        <w:fldChar w:fldCharType="end"/>
      </w:r>
      <w:r w:rsidR="005E3FF4" w:rsidRPr="009B3747">
        <w:rPr>
          <w:rFonts w:eastAsia="Times New Roman" w:cstheme="minorHAnsi"/>
          <w:color w:val="000000"/>
          <w:lang w:eastAsia="en-GB"/>
        </w:rPr>
        <w:t>.  S</w:t>
      </w:r>
      <w:r w:rsidRPr="009B3747">
        <w:rPr>
          <w:rFonts w:eastAsia="Times New Roman" w:cstheme="minorHAnsi"/>
          <w:color w:val="000000"/>
          <w:lang w:eastAsia="en-GB"/>
        </w:rPr>
        <w:t xml:space="preserve">econdary schools are the only setting able to reach the </w:t>
      </w:r>
      <w:r w:rsidR="00A17E69" w:rsidRPr="009B3747">
        <w:rPr>
          <w:rFonts w:eastAsia="Times New Roman" w:cstheme="minorHAnsi"/>
          <w:color w:val="000000"/>
          <w:lang w:eastAsia="en-GB"/>
        </w:rPr>
        <w:t xml:space="preserve">majority of adolescents aged 11 to </w:t>
      </w:r>
      <w:r w:rsidRPr="009B3747">
        <w:rPr>
          <w:rFonts w:eastAsia="Times New Roman" w:cstheme="minorHAnsi"/>
          <w:color w:val="000000"/>
          <w:lang w:eastAsia="en-GB"/>
        </w:rPr>
        <w:t>16 years across t</w:t>
      </w:r>
      <w:r w:rsidR="00996DC8">
        <w:rPr>
          <w:rFonts w:eastAsia="Times New Roman" w:cstheme="minorHAnsi"/>
          <w:color w:val="000000"/>
          <w:lang w:eastAsia="en-GB"/>
        </w:rPr>
        <w:t xml:space="preserve">he social spectrum, </w:t>
      </w:r>
      <w:r w:rsidRPr="009B3747">
        <w:rPr>
          <w:rFonts w:eastAsia="Times New Roman" w:cstheme="minorHAnsi"/>
          <w:color w:val="000000"/>
          <w:lang w:eastAsia="en-GB"/>
        </w:rPr>
        <w:t>regardless of demographic variables (e.g. gender, socio-economic status, ethnicity),</w:t>
      </w:r>
      <w:r w:rsidR="00B41686" w:rsidRPr="009B3747">
        <w:rPr>
          <w:rFonts w:eastAsia="Times New Roman" w:cstheme="minorHAnsi"/>
          <w:color w:val="000000"/>
          <w:lang w:eastAsia="en-GB"/>
        </w:rPr>
        <w:t xml:space="preserve"> </w:t>
      </w:r>
      <w:r w:rsidR="00B41686"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"Hagell", "given" : "A", "non-dropping-particle" : "", "parse-names" : false, "suffix" : "" }, { "dropping-particle" : "", "family" : "Rigby", "given" : "E", "non-dropping-particle" : "", "parse-names" : false, "suffix" : "" }, { "dropping-particle" : "", "family" : "Perrow", "given" : "F", "non-dropping-particle" : "", "parse-names" : false, "suffix" : "" } ], "container-title" : "British Journal of School \u2026", "id" : "ITEM-1", "issue" : "2", "issued" : { "date-parts" : [ [ "2015" ] ] }, "page" : "82-87", "title" : "Promoting health literacy in secondary schools: A review", "type" : "article-journal", "volume" : "10" }, "uris" : [ "http://www.mendeley.com/documents/?uuid=851306bb-02a9-43d7-835d-f758ee6265eb" ] } ], "mendeley" : { "formattedCitation" : "(Hagell et al., 2015)", "plainTextFormattedCitation" : "(Hagell et al., 2015)", "previouslyFormattedCitation" : "(Hagell et al., 2015)" }, "properties" : { "noteIndex" : 0 }, "schema" : "https://github.com/citation-style-language/schema/raw/master/csl-citation.json" }</w:instrText>
      </w:r>
      <w:r w:rsidR="00B41686" w:rsidRPr="009B3747">
        <w:rPr>
          <w:rFonts w:eastAsia="Times New Roman" w:cstheme="minorHAnsi"/>
          <w:color w:val="000000"/>
          <w:lang w:eastAsia="en-GB"/>
        </w:rPr>
        <w:fldChar w:fldCharType="separate"/>
      </w:r>
      <w:r w:rsidR="00B41686" w:rsidRPr="009B3747">
        <w:rPr>
          <w:rFonts w:eastAsia="Times New Roman" w:cstheme="minorHAnsi"/>
          <w:noProof/>
          <w:color w:val="000000"/>
          <w:lang w:eastAsia="en-GB"/>
        </w:rPr>
        <w:t>(Hagell et al., 2015)</w:t>
      </w:r>
      <w:r w:rsidR="00B41686"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Consequently, universal approaches to address obesity in schools and </w:t>
      </w:r>
      <w:r w:rsidR="00A17E69" w:rsidRPr="009B3747">
        <w:rPr>
          <w:rFonts w:eastAsia="Times New Roman" w:cstheme="minorHAnsi"/>
          <w:color w:val="000000"/>
          <w:lang w:eastAsia="en-GB"/>
        </w:rPr>
        <w:t xml:space="preserve">targeted school-based action for </w:t>
      </w:r>
      <w:r w:rsidR="00996DC8">
        <w:rPr>
          <w:rFonts w:eastAsia="Times New Roman" w:cstheme="minorHAnsi"/>
          <w:color w:val="000000"/>
          <w:lang w:eastAsia="en-GB"/>
        </w:rPr>
        <w:t>lower socio-economic groups, h</w:t>
      </w:r>
      <w:r w:rsidRPr="009B3747">
        <w:rPr>
          <w:rFonts w:eastAsia="Times New Roman" w:cstheme="minorHAnsi"/>
          <w:color w:val="000000"/>
          <w:lang w:eastAsia="en-GB"/>
        </w:rPr>
        <w:t xml:space="preserve">ave both been advocated to reduce the gradient of inequalities in obesity </w:t>
      </w:r>
      <w:r w:rsidR="00B41686"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"PMID" : "25654155", "author" : [ { "dropping-particle" : "", "family" : "Bambra", "given" : "Clare L", "non-dropping-particle" : "", "parse-names" : false, "suffix" : "" }, { "dropping-particle" : "", "family" : "Hillier", "given" : "Frances C", "non-dropping-particle" : "", "parse-names" : false, "suffix" : "" }, { "dropping-particle" : "", "family" : "Cairns", "given" : "Joanne-Marie", "non-dropping-particle" : "", "parse-names" : false, "suffix" : "" }, { "dropping-particle" : "", "family" : "Kasim", "given" : "Adetayo", "non-dropping-particle" : "", "parse-names" : false, "suffix" : "" }, { "dropping-particle" : "", "family" : "Moore", "given" : "Helen J", "non-dropping-particle" : "", "parse-names" : false, "suffix" : "" }, { "dropping-particle" : "", "family" : "Summerbell", "given" : "Carolyn D", "non-dropping-particle" : "", "parse-names" : false, "suffix" : "" } ], "container-title" : "Public Health Research", "id" : "ITEM-1", "issue" : "1", "issued" : { "date-parts" : [ [ "2015" ] ] }, "language" : "en", "publisher" : "NIHR Journals Library", "title" : "How effective are interventions at reducing socioeconomic inequalities in obesity among children and adults? Two systematic reviews", "type" : "article-journal", "volume" : "3" }, "uris" : [ "http://www.mendeley.com/documents/?uuid=940561e9-6651-4099-ad1f-327db4e584fc" ] } ], "mendeley" : { "formattedCitation" : "(Bambra et al., 2015)", "plainTextFormattedCitation" : "(Bambra et al., 2015)", "previouslyFormattedCitation" : "(Bambra et al., 2015)" }, "properties" : { "noteIndex" : 0 }, "schema" : "https://github.com/citation-style-language/schema/raw/master/csl-citation.json" }</w:instrText>
      </w:r>
      <w:r w:rsidR="00B41686" w:rsidRPr="009B3747">
        <w:rPr>
          <w:rFonts w:eastAsia="Times New Roman" w:cstheme="minorHAnsi"/>
          <w:color w:val="000000"/>
          <w:lang w:eastAsia="en-GB"/>
        </w:rPr>
        <w:fldChar w:fldCharType="separate"/>
      </w:r>
      <w:r w:rsidR="00B41686" w:rsidRPr="009B3747">
        <w:rPr>
          <w:rFonts w:eastAsia="Times New Roman" w:cstheme="minorHAnsi"/>
          <w:noProof/>
          <w:color w:val="000000"/>
          <w:lang w:eastAsia="en-GB"/>
        </w:rPr>
        <w:t>(Bambra et al., 2015)</w:t>
      </w:r>
      <w:r w:rsidR="00B41686" w:rsidRPr="009B3747">
        <w:rPr>
          <w:rFonts w:eastAsia="Times New Roman" w:cstheme="minorHAnsi"/>
          <w:color w:val="000000"/>
          <w:lang w:eastAsia="en-GB"/>
        </w:rPr>
        <w:fldChar w:fldCharType="end"/>
      </w:r>
      <w:r w:rsidR="00B41686" w:rsidRPr="009B3747">
        <w:rPr>
          <w:rFonts w:eastAsia="Times New Roman" w:cstheme="minorHAnsi"/>
          <w:color w:val="000000"/>
          <w:lang w:eastAsia="en-GB"/>
        </w:rPr>
        <w:t>.</w:t>
      </w:r>
    </w:p>
    <w:p w:rsidR="002224C3" w:rsidRPr="009B3747" w:rsidRDefault="002224C3" w:rsidP="00A16FA3">
      <w:pPr>
        <w:rPr>
          <w:rFonts w:eastAsia="Times New Roman" w:cstheme="minorHAnsi"/>
          <w:b/>
          <w:bCs/>
          <w:color w:val="000000"/>
          <w:sz w:val="26"/>
          <w:szCs w:val="26"/>
          <w:u w:val="single"/>
          <w:lang w:eastAsia="en-GB"/>
        </w:rPr>
      </w:pPr>
    </w:p>
    <w:p w:rsidR="00A16FA3" w:rsidRPr="009B3747" w:rsidRDefault="00C34D84" w:rsidP="00A16FA3">
      <w:pPr>
        <w:rPr>
          <w:rFonts w:eastAsia="Times New Roman" w:cstheme="minorHAnsi"/>
          <w:b/>
          <w:sz w:val="24"/>
          <w:szCs w:val="24"/>
          <w:lang w:eastAsia="en-GB"/>
        </w:rPr>
      </w:pPr>
      <w:r w:rsidRPr="009B3747">
        <w:rPr>
          <w:rFonts w:eastAsia="Times New Roman" w:cstheme="minorHAnsi"/>
          <w:b/>
          <w:bCs/>
          <w:color w:val="000000"/>
          <w:sz w:val="24"/>
          <w:szCs w:val="24"/>
          <w:u w:val="single"/>
          <w:lang w:eastAsia="en-GB"/>
        </w:rPr>
        <w:t>2</w:t>
      </w:r>
      <w:r w:rsidR="008818AD" w:rsidRPr="009B3747">
        <w:rPr>
          <w:rFonts w:eastAsia="Times New Roman" w:cstheme="minorHAnsi"/>
          <w:b/>
          <w:bCs/>
          <w:color w:val="000000"/>
          <w:sz w:val="24"/>
          <w:szCs w:val="24"/>
          <w:u w:val="single"/>
          <w:lang w:eastAsia="en-GB"/>
        </w:rPr>
        <w:t>.5</w:t>
      </w:r>
      <w:r w:rsidR="000F38B0" w:rsidRPr="009B3747">
        <w:rPr>
          <w:rFonts w:eastAsia="Times New Roman" w:cstheme="minorHAnsi"/>
          <w:b/>
          <w:bCs/>
          <w:color w:val="000000"/>
          <w:sz w:val="24"/>
          <w:szCs w:val="24"/>
          <w:u w:val="single"/>
          <w:lang w:eastAsia="en-GB"/>
        </w:rPr>
        <w:t xml:space="preserve"> </w:t>
      </w:r>
      <w:r w:rsidR="00A16FA3" w:rsidRPr="009B3747">
        <w:rPr>
          <w:rFonts w:eastAsia="Times New Roman" w:cstheme="minorHAnsi"/>
          <w:b/>
          <w:bCs/>
          <w:color w:val="000000"/>
          <w:sz w:val="24"/>
          <w:szCs w:val="24"/>
          <w:u w:val="single"/>
          <w:lang w:eastAsia="en-GB"/>
        </w:rPr>
        <w:t>Childhood obesity causation and consequences</w:t>
      </w:r>
    </w:p>
    <w:p w:rsidR="008D6B5D" w:rsidRPr="009B3747" w:rsidRDefault="008D6B5D" w:rsidP="00A16FA3">
      <w:pPr>
        <w:rPr>
          <w:rFonts w:eastAsia="Times New Roman" w:cstheme="minorHAnsi"/>
          <w:color w:val="000000"/>
          <w:lang w:eastAsia="en-GB"/>
        </w:rPr>
      </w:pPr>
    </w:p>
    <w:p w:rsidR="00A16FA3" w:rsidRPr="009B3747" w:rsidRDefault="00A16FA3" w:rsidP="00A16FA3">
      <w:pPr>
        <w:rPr>
          <w:rFonts w:eastAsia="Times New Roman" w:cstheme="minorHAnsi"/>
          <w:sz w:val="24"/>
          <w:szCs w:val="24"/>
          <w:lang w:eastAsia="en-GB"/>
        </w:rPr>
      </w:pPr>
      <w:r w:rsidRPr="009B3747">
        <w:rPr>
          <w:rFonts w:eastAsia="Times New Roman" w:cstheme="minorHAnsi"/>
          <w:color w:val="000000"/>
          <w:lang w:eastAsia="en-GB"/>
        </w:rPr>
        <w:t>Identifying and exploring the aetiology of childhood and adolescent obesity, and the health, social and financial outcomes that result is crucial so that action to address it is both meaningful and effective</w:t>
      </w:r>
      <w:r w:rsidR="00B41686" w:rsidRPr="009B3747">
        <w:rPr>
          <w:rFonts w:eastAsia="Times New Roman" w:cstheme="minorHAnsi"/>
          <w:color w:val="000000"/>
          <w:lang w:eastAsia="en-GB"/>
        </w:rPr>
        <w:t xml:space="preserve"> </w:t>
      </w:r>
      <w:r w:rsidR="00B41686"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"DOI" : "10.1016/S0140-6736(11)60814-3", "ISBN" : "1474-547X (Electronic)\\n0140-6736 (Linking)", "ISSN" : "01406736", "PMID" : "21872750", "abstract" : "Rising prevalence of obesity is a worldwide health concern because excess weight gain within populations forecasts an increased burden from several diseases, most notably cardiovascular diseases, diabetes, and cancers. In this report, we used a simulation model to project the probable health and economic consequences in the next two decades from a continued rise in obesity in two ageing populations - the USA and the UK. These trends project 65 million more obese adults in the USA and 11 million more obese adults in the UK by 2030, consequently accruing an additional 6-8\u00b75 million cases of diabetes, 5\u00b77-7\u00b73 million cases of heart disease and stroke, 492 000-669 000 additional cases of cancer, and 26-55 million quality-adjusted life years forgone for USA and UK combined. The combined medical costs associated with treatment of these preventable diseases are estimated to increase by $48-66 billion/year in the USA and by \u00a31\u00b79-2 billion/year in the UK by 2030. Hence, effective policies to promote healthier weight also have economic benefits. \u00a9 2011 Elsevier Ltd.", "author" : [ { "dropping-particle" : "", "family" : "Wang", "given" : "Y. Claire", "non-dropping-particle" : "", "parse-names" : false, "suffix" : "" }, { "dropping-particle" : "", "family" : "McPherson", "given" : "Klim", "non-dropping-particle" : "", "parse-names" : false, "suffix" : "" }, { "dropping-particle" : "", "family" : "Marsh", "given" : "Tim", "non-dropping-particle" : "", "parse-names" : false, "suffix" : "" }, { "dropping-particle" : "", "family" : "Gortmaker", "given" : "Steven L.", "non-dropping-particle" : "", "parse-names" : false, "suffix" : "" }, { "dropping-particle" : "", "family" : "Brown", "given" : "Martin", "non-dropping-particle" : "", "parse-names" : false, "suffix" : "" } ], "container-title" : "The Lancet", "id" : "ITEM-1", "issue" : "9793", "issued" : { "date-parts" : [ [ "2011" ] ] }, "page" : "815-825", "title" : "Health and economic burden of the projected obesity trends in the USA and the UK", "type" : "article-journal", "volume" : "378" }, "uris" : [ "http://www.mendeley.com/documents/?uuid=d847f100-977f-4bd7-8545-734bc0cf2667" ] } ], "mendeley" : { "formattedCitation" : "(Wang et al., 2011)", "manualFormatting" : "(Wang et al., 2011)", "plainTextFormattedCitation" : "(Wang et al., 2011)", "previouslyFormattedCitation" : "(Wang et al., 2011)" }, "properties" : { "noteIndex" : 0 }, "schema" : "https://github.com/citation-style-language/schema/raw/master/csl-citation.json" }</w:instrText>
      </w:r>
      <w:r w:rsidR="00B41686" w:rsidRPr="009B3747">
        <w:rPr>
          <w:rFonts w:eastAsia="Times New Roman" w:cstheme="minorHAnsi"/>
          <w:color w:val="000000"/>
          <w:lang w:eastAsia="en-GB"/>
        </w:rPr>
        <w:fldChar w:fldCharType="separate"/>
      </w:r>
      <w:r w:rsidR="00B41686" w:rsidRPr="009B3747">
        <w:rPr>
          <w:rFonts w:eastAsia="Times New Roman" w:cstheme="minorHAnsi"/>
          <w:noProof/>
          <w:color w:val="000000"/>
          <w:lang w:eastAsia="en-GB"/>
        </w:rPr>
        <w:t>(Wang et al., 2011)</w:t>
      </w:r>
      <w:r w:rsidR="00B41686"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w:t>
      </w:r>
    </w:p>
    <w:p w:rsidR="002224C3" w:rsidRPr="009B3747" w:rsidRDefault="002224C3" w:rsidP="00A16FA3">
      <w:pPr>
        <w:rPr>
          <w:rFonts w:eastAsia="Times New Roman" w:cstheme="minorHAnsi"/>
          <w:color w:val="000000"/>
          <w:sz w:val="24"/>
          <w:szCs w:val="24"/>
          <w:u w:val="single"/>
          <w:lang w:eastAsia="en-GB"/>
        </w:rPr>
      </w:pPr>
    </w:p>
    <w:p w:rsidR="00A16FA3" w:rsidRPr="009B3747" w:rsidRDefault="00C34D84" w:rsidP="00A16FA3">
      <w:pPr>
        <w:rPr>
          <w:rFonts w:eastAsia="Times New Roman" w:cstheme="minorHAnsi"/>
          <w:color w:val="000000"/>
          <w:u w:val="single"/>
          <w:lang w:eastAsia="en-GB"/>
        </w:rPr>
      </w:pPr>
      <w:r w:rsidRPr="009B3747">
        <w:rPr>
          <w:rFonts w:eastAsia="Times New Roman" w:cstheme="minorHAnsi"/>
          <w:color w:val="000000"/>
          <w:u w:val="single"/>
          <w:lang w:eastAsia="en-GB"/>
        </w:rPr>
        <w:t>2</w:t>
      </w:r>
      <w:r w:rsidR="000F38B0" w:rsidRPr="009B3747">
        <w:rPr>
          <w:rFonts w:eastAsia="Times New Roman" w:cstheme="minorHAnsi"/>
          <w:color w:val="000000"/>
          <w:u w:val="single"/>
          <w:lang w:eastAsia="en-GB"/>
        </w:rPr>
        <w:t>.</w:t>
      </w:r>
      <w:r w:rsidR="008818AD" w:rsidRPr="009B3747">
        <w:rPr>
          <w:rFonts w:eastAsia="Times New Roman" w:cstheme="minorHAnsi"/>
          <w:color w:val="000000"/>
          <w:u w:val="single"/>
          <w:lang w:eastAsia="en-GB"/>
        </w:rPr>
        <w:t>5.1</w:t>
      </w:r>
      <w:r w:rsidR="002224C3" w:rsidRPr="009B3747">
        <w:rPr>
          <w:rFonts w:eastAsia="Times New Roman" w:cstheme="minorHAnsi"/>
          <w:color w:val="000000"/>
          <w:u w:val="single"/>
          <w:lang w:eastAsia="en-GB"/>
        </w:rPr>
        <w:t xml:space="preserve"> </w:t>
      </w:r>
      <w:r w:rsidR="00A16FA3" w:rsidRPr="009B3747">
        <w:rPr>
          <w:rFonts w:eastAsia="Times New Roman" w:cstheme="minorHAnsi"/>
          <w:color w:val="000000"/>
          <w:u w:val="single"/>
          <w:lang w:eastAsia="en-GB"/>
        </w:rPr>
        <w:t>Causation</w:t>
      </w:r>
    </w:p>
    <w:p w:rsidR="00B41686" w:rsidRPr="009B3747" w:rsidRDefault="00B41686" w:rsidP="00A16FA3">
      <w:pPr>
        <w:rPr>
          <w:rFonts w:eastAsia="Times New Roman" w:cstheme="minorHAnsi"/>
          <w:sz w:val="24"/>
          <w:szCs w:val="24"/>
          <w:lang w:eastAsia="en-GB"/>
        </w:rPr>
      </w:pPr>
    </w:p>
    <w:p w:rsidR="00A16FA3" w:rsidRPr="009B3747" w:rsidRDefault="00A16FA3" w:rsidP="00A16FA3">
      <w:pPr>
        <w:rPr>
          <w:rFonts w:eastAsia="Times New Roman" w:cstheme="minorHAnsi"/>
          <w:color w:val="000000"/>
          <w:lang w:eastAsia="en-GB"/>
        </w:rPr>
      </w:pPr>
      <w:r w:rsidRPr="009B3747">
        <w:rPr>
          <w:rFonts w:eastAsia="Times New Roman" w:cstheme="minorHAnsi"/>
          <w:color w:val="000000"/>
          <w:lang w:eastAsia="en-GB"/>
        </w:rPr>
        <w:t>On a simplistic level, an accumulation of excess fat can be attributed to a person’s small</w:t>
      </w:r>
      <w:r w:rsidR="00281979">
        <w:rPr>
          <w:rFonts w:eastAsia="Times New Roman" w:cstheme="minorHAnsi"/>
          <w:color w:val="000000"/>
          <w:lang w:eastAsia="en-GB"/>
        </w:rPr>
        <w:t xml:space="preserve">, </w:t>
      </w:r>
      <w:r w:rsidRPr="009B3747">
        <w:rPr>
          <w:rFonts w:eastAsia="Times New Roman" w:cstheme="minorHAnsi"/>
          <w:color w:val="000000"/>
          <w:lang w:eastAsia="en-GB"/>
        </w:rPr>
        <w:t>but chronic daily energy imbalance</w:t>
      </w:r>
      <w:r w:rsidR="00B41686" w:rsidRPr="009B3747">
        <w:rPr>
          <w:rFonts w:eastAsia="Times New Roman" w:cstheme="minorHAnsi"/>
          <w:color w:val="000000"/>
          <w:lang w:eastAsia="en-GB"/>
        </w:rPr>
        <w:t xml:space="preserve"> </w:t>
      </w:r>
      <w:r w:rsidR="00B41686"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"Maffeis", "given" : "C", "non-dropping-particle" : "", "parse-names" : false, "suffix" : "" } ], "container-title" : "European journal of pediatrics", "id" : "ITEM-1", "issue" : "Suppl 1", "issued" : { "date-parts" : [ [ "2000" ] ] }, "page" : "S35-44", "title" : "Aetiology of overweight and obesity in children and adolescents", "type" : "article-journal", "volume" : "159" }, "uris" : [ "http://www.mendeley.com/documents/?uuid=888acfee-e94b-4d1e-83e6-87594d51308e" ] }, { "id" : "ITEM-2", "itemData" : { "author" : [ { "dropping-particle" : "", "family" : "Murray", "given" : "R", "non-dropping-particle" : "", "parse-names" : false, "suffix" : "" }, { "dropping-particle" : "", "family" : "Battista", "given" : "M", "non-dropping-particle" : "", "parse-names" : false, "suffix" : "" } ], "container-title" : "Current problems in pediatric and adolescent health care", "id" : "ITEM-2", "issue" : "6", "issued" : { "date-parts" : [ [ "2009" ] ] }, "page" : "146-165", "title" : "Managing the risk of childhood overweight and obesity in primary care practice", "type" : "article-journal", "volume" : "39" }, "uris" : [ "http://www.mendeley.com/documents/?uuid=73ad2113-e319-43bc-b64e-275c41a754ca" ] }, { "id" : "ITEM-3", "itemData" : { "author" : [ { "dropping-particle" : "", "family" : "Gortmaker", "given" : "SL", "non-dropping-particle" : "", "parse-names" : false, "suffix" : "" }, { "dropping-particle" : "", "family" : "Swinburn", "given" : "BA", "non-dropping-particle" : "", "parse-names" : false, "suffix" : "" }, { "dropping-particle" : "", "family" : "Levy", "given" : "D", "non-dropping-particle" : "", "parse-names" : false, "suffix" : "" } ], "container-title" : "The Lancet", "id" : "ITEM-3", "issue" : "9793", "issued" : { "date-parts" : [ [ "2011" ] ] }, "page" : "838-847", "title" : "Changing the future of obesity: science, policy, and action", "type" : "article-journal", "volume" : "378" }, "uris" : [ "http://www.mendeley.com/documents/?uuid=236e01ca-8cb6-4d32-a9e7-e3a21950dbc1" ] } ], "mendeley" : { "formattedCitation" : "(Maffeis, 2000; Murray and Battista, 2009; Gortmaker et al., 2011)", "plainTextFormattedCitation" : "(Maffeis, 2000; Murray and Battista, 2009; Gortmaker et al., 2011)", "previouslyFormattedCitation" : "(Maffeis, 2000; Murray and Battista, 2009; Gortmaker et al., 2011)" }, "properties" : { "noteIndex" : 0 }, "schema" : "https://github.com/citation-style-language/schema/raw/master/csl-citation.json" }</w:instrText>
      </w:r>
      <w:r w:rsidR="00B41686" w:rsidRPr="009B3747">
        <w:rPr>
          <w:rFonts w:eastAsia="Times New Roman" w:cstheme="minorHAnsi"/>
          <w:color w:val="000000"/>
          <w:lang w:eastAsia="en-GB"/>
        </w:rPr>
        <w:fldChar w:fldCharType="separate"/>
      </w:r>
      <w:r w:rsidR="00B41686" w:rsidRPr="009B3747">
        <w:rPr>
          <w:rFonts w:eastAsia="Times New Roman" w:cstheme="minorHAnsi"/>
          <w:noProof/>
          <w:color w:val="000000"/>
          <w:lang w:eastAsia="en-GB"/>
        </w:rPr>
        <w:t>(Maffeis, 2000; Murray and Battista, 2009; Gortmaker et al., 2011)</w:t>
      </w:r>
      <w:r w:rsidR="00B41686" w:rsidRPr="009B3747">
        <w:rPr>
          <w:rFonts w:eastAsia="Times New Roman" w:cstheme="minorHAnsi"/>
          <w:color w:val="000000"/>
          <w:lang w:eastAsia="en-GB"/>
        </w:rPr>
        <w:fldChar w:fldCharType="end"/>
      </w:r>
      <w:r w:rsidR="00996DC8">
        <w:rPr>
          <w:rFonts w:eastAsia="Times New Roman" w:cstheme="minorHAnsi"/>
          <w:color w:val="000000"/>
          <w:lang w:eastAsia="en-GB"/>
        </w:rPr>
        <w:t xml:space="preserve">.  Therefore </w:t>
      </w:r>
      <w:r w:rsidRPr="009B3747">
        <w:rPr>
          <w:rFonts w:eastAsia="Times New Roman" w:cstheme="minorHAnsi"/>
          <w:color w:val="000000"/>
          <w:lang w:eastAsia="en-GB"/>
        </w:rPr>
        <w:t>any factor that increases energy intake or decreases energy expenditure will result i</w:t>
      </w:r>
      <w:r w:rsidR="00B41686" w:rsidRPr="009B3747">
        <w:rPr>
          <w:rFonts w:eastAsia="Times New Roman" w:cstheme="minorHAnsi"/>
          <w:color w:val="000000"/>
          <w:lang w:eastAsia="en-GB"/>
        </w:rPr>
        <w:t xml:space="preserve">n an elevated risk for obesity </w:t>
      </w:r>
      <w:r w:rsidR="00B41686"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"Ebbeling", "given" : "CB", "non-dropping-particle" : "", "parse-names" : false, "suffix" : "" }, { "dropping-particle" : "", "family" : "Pawlak", "given" : "DB", "non-dropping-particle" : "", "parse-names" : false, "suffix" : "" }, { "dropping-particle" : "", "family" : "Ludwig", "given" : "DS", "non-dropping-particle" : "", "parse-names" : false, "suffix" : "" } ], "container-title" : "The lancet", "id" : "ITEM-1", "issue" : "9331", "issued" : { "date-parts" : [ [ "2002" ] ] }, "page" : "473-482", "title" : "Childhood obesity: public-health crisis, common sense cure", "type" : "article-journal", "volume" : "360" }, "uris" : [ "http://www.mendeley.com/documents/?uuid=170d16d6-47bb-497e-ad62-092f44b77542" ] } ], "mendeley" : { "formattedCitation" : "(Ebbeling et al., 2002)", "plainTextFormattedCitation" : "(Ebbeling et al., 2002)", "previouslyFormattedCitation" : "(Ebbeling et al., 2002)" }, "properties" : { "noteIndex" : 0 }, "schema" : "https://github.com/citation-style-language/schema/raw/master/csl-citation.json" }</w:instrText>
      </w:r>
      <w:r w:rsidR="00B41686" w:rsidRPr="009B3747">
        <w:rPr>
          <w:rFonts w:eastAsia="Times New Roman" w:cstheme="minorHAnsi"/>
          <w:color w:val="000000"/>
          <w:lang w:eastAsia="en-GB"/>
        </w:rPr>
        <w:fldChar w:fldCharType="separate"/>
      </w:r>
      <w:r w:rsidR="00B41686" w:rsidRPr="009B3747">
        <w:rPr>
          <w:rFonts w:eastAsia="Times New Roman" w:cstheme="minorHAnsi"/>
          <w:noProof/>
          <w:color w:val="000000"/>
          <w:lang w:eastAsia="en-GB"/>
        </w:rPr>
        <w:t>(Ebbeling et al., 2002)</w:t>
      </w:r>
      <w:r w:rsidR="00B41686" w:rsidRPr="009B3747">
        <w:rPr>
          <w:rFonts w:eastAsia="Times New Roman" w:cstheme="minorHAnsi"/>
          <w:color w:val="000000"/>
          <w:lang w:eastAsia="en-GB"/>
        </w:rPr>
        <w:fldChar w:fldCharType="end"/>
      </w:r>
      <w:r w:rsidR="0060708E" w:rsidRPr="009B3747">
        <w:rPr>
          <w:rFonts w:eastAsia="Times New Roman" w:cstheme="minorHAnsi"/>
          <w:color w:val="000000"/>
          <w:lang w:eastAsia="en-GB"/>
        </w:rPr>
        <w:t>.  </w:t>
      </w:r>
      <w:r w:rsidR="0060708E" w:rsidRPr="009B3747">
        <w:rPr>
          <w:rFonts w:eastAsia="Times New Roman" w:cstheme="minorHAnsi"/>
          <w:i/>
          <w:color w:val="000000"/>
          <w:lang w:eastAsia="en-GB"/>
        </w:rPr>
        <w:t>“</w:t>
      </w:r>
      <w:r w:rsidRPr="009B3747">
        <w:rPr>
          <w:rFonts w:eastAsia="Times New Roman" w:cstheme="minorHAnsi"/>
          <w:i/>
          <w:color w:val="000000"/>
          <w:lang w:eastAsia="en-GB"/>
        </w:rPr>
        <w:t>Divergent beliefs exist about w</w:t>
      </w:r>
      <w:r w:rsidR="0060708E" w:rsidRPr="009B3747">
        <w:rPr>
          <w:rFonts w:eastAsia="Times New Roman" w:cstheme="minorHAnsi"/>
          <w:i/>
          <w:color w:val="000000"/>
          <w:lang w:eastAsia="en-GB"/>
        </w:rPr>
        <w:t>hat drives and sustains obesity”</w:t>
      </w:r>
      <w:r w:rsidRPr="009B3747">
        <w:rPr>
          <w:rFonts w:eastAsia="Times New Roman" w:cstheme="minorHAnsi"/>
          <w:i/>
          <w:color w:val="000000"/>
          <w:lang w:eastAsia="en-GB"/>
        </w:rPr>
        <w:t xml:space="preserve"> </w:t>
      </w:r>
      <w:r w:rsidR="00B41686"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"Roberto", "given" : "CA", "non-dropping-particle" : "", "parse-names" : false, "suffix" : "" }, { "dropping-particle" : "", "family" : "Swinburn", "given" : "B", "non-dropping-particle" : "", "parse-names" : false, "suffix" : "" }, { "dropping-particle" : "", "family" : "Hawkes", "given" : "C", "non-dropping-particle" : "", "parse-names" : false, "suffix" : "" } ], "container-title" : "The Lancet", "id" : "ITEM-1", "issue" : "9985", "issued" : { "date-parts" : [ [ "2015" ] ] }, "page" : "2400\u20132409", "title" : "Patchy progress on obesity prevention: emerging examples, entrenched barriers, and new thinking", "type" : "article-journal", "volume" : "385" }, "uris" : [ "http://www.mendeley.com/documents/?uuid=6815ad69-33a9-48c6-8e24-5ea4f9900a6e" ] } ], "mendeley" : { "formattedCitation" : "(Roberto et al., 2015)", "manualFormatting" : "(Roberto et al., 2015, p.2401)", "plainTextFormattedCitation" : "(Roberto et al., 2015)", "previouslyFormattedCitation" : "(Roberto et al., 2015)" }, "properties" : { "noteIndex" : 0 }, "schema" : "https://github.com/citation-style-language/schema/raw/master/csl-citation.json" }</w:instrText>
      </w:r>
      <w:r w:rsidR="00B41686" w:rsidRPr="009B3747">
        <w:rPr>
          <w:rFonts w:eastAsia="Times New Roman" w:cstheme="minorHAnsi"/>
          <w:color w:val="000000"/>
          <w:lang w:eastAsia="en-GB"/>
        </w:rPr>
        <w:fldChar w:fldCharType="separate"/>
      </w:r>
      <w:r w:rsidR="00B41686" w:rsidRPr="009B3747">
        <w:rPr>
          <w:rFonts w:eastAsia="Times New Roman" w:cstheme="minorHAnsi"/>
          <w:noProof/>
          <w:color w:val="000000"/>
          <w:lang w:eastAsia="en-GB"/>
        </w:rPr>
        <w:t>(Roberto et al., 2015</w:t>
      </w:r>
      <w:r w:rsidR="00AE6A9E" w:rsidRPr="009B3747">
        <w:rPr>
          <w:rFonts w:eastAsia="Times New Roman" w:cstheme="minorHAnsi"/>
          <w:noProof/>
          <w:color w:val="000000"/>
          <w:lang w:eastAsia="en-GB"/>
        </w:rPr>
        <w:t>, p.</w:t>
      </w:r>
      <w:r w:rsidR="00B41686" w:rsidRPr="009B3747">
        <w:rPr>
          <w:rFonts w:eastAsia="Times New Roman" w:cstheme="minorHAnsi"/>
          <w:noProof/>
          <w:color w:val="000000"/>
          <w:lang w:eastAsia="en-GB"/>
        </w:rPr>
        <w:t>2401)</w:t>
      </w:r>
      <w:r w:rsidR="00B41686"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and a substantial body of evidence has investigated an extensive range of physiological, behavioural and environmental factors</w:t>
      </w:r>
      <w:r w:rsidR="0071085A">
        <w:rPr>
          <w:rFonts w:eastAsia="Times New Roman" w:cstheme="minorHAnsi"/>
          <w:color w:val="000000"/>
          <w:lang w:eastAsia="en-GB"/>
        </w:rPr>
        <w:t>,</w:t>
      </w:r>
      <w:r w:rsidRPr="009B3747">
        <w:rPr>
          <w:rFonts w:eastAsia="Times New Roman" w:cstheme="minorHAnsi"/>
          <w:color w:val="000000"/>
          <w:lang w:eastAsia="en-GB"/>
        </w:rPr>
        <w:t xml:space="preserve"> which are argued to </w:t>
      </w:r>
      <w:r w:rsidRPr="009B3747">
        <w:rPr>
          <w:rFonts w:eastAsia="Times New Roman" w:cstheme="minorHAnsi"/>
          <w:color w:val="000000"/>
          <w:lang w:eastAsia="en-GB"/>
        </w:rPr>
        <w:lastRenderedPageBreak/>
        <w:t>have exposed the innate human susceptibility to weight gain</w:t>
      </w:r>
      <w:r w:rsidR="00B41686" w:rsidRPr="009B3747">
        <w:rPr>
          <w:rFonts w:eastAsia="Times New Roman" w:cstheme="minorHAnsi"/>
          <w:color w:val="000000"/>
          <w:lang w:eastAsia="en-GB"/>
        </w:rPr>
        <w:t xml:space="preserve"> </w:t>
      </w:r>
      <w:r w:rsidR="00B41686"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"DOI" : "10.1111/j.1467-789X.2007.00338.x", "ISSN" : "1467-7881", "PMID" : "17316322", "author" : [ { "dropping-particle" : "", "family" : "Lang", "given" : "T", "non-dropping-particle" : "", "parse-names" : false, "suffix" : "" }, { "dropping-particle" : "", "family" : "Rayner", "given" : "G", "non-dropping-particle" : "", "parse-names" : false, "suffix" : "" } ], "container-title" : "Obesity reviews : an official journal of the International Association for the Study of Obesity", "id" : "ITEM-1", "issued" : { "date-parts" : [ [ "2007", "3" ] ] }, "page" : "165-81", "title" : "Overcoming policy cacophony on obesity: an ecological public health framework for policymakers.", "type" : "article-journal", "volume" : "8 Suppl 1" }, "uris" : [ "http://www.mendeley.com/documents/?uuid=c414b30a-1f50-4553-bada-51225850574b" ] }, { "id" : "ITEM-2", "itemData" : { "DOI" : "10.1002/9781444318517.ch8", "ISBN" : "9781444318517", "author" : [ { "dropping-particle" : "", "family" : "Brug", "given" : "Johannes", "non-dropping-particle" : "", "parse-names" : false, "suffix" : "" }, { "dropping-particle" : "", "family" : "Velde", "given" : "Saskia", "non-dropping-particle" : "te", "parse-names" : false, "suffix" : "" }, { "dropping-particle" : "", "family" : "Bourdeaudhuij", "given" : "Ilse", "non-dropping-particle" : "De", "parse-names" : false, "suffix" : "" }, { "dropping-particle" : "", "family" : "Kremers", "given" : "Stef", "non-dropping-particle" : "", "parse-names" : false, "suffix" : "" } ], "container-title" : "Preventing Childhood Obesity", "editor" : [ { "dropping-particle" : "", "family" : "Waters", "given" : "E", "non-dropping-particle" : "", "parse-names" : false, "suffix" : "" }, { "dropping-particle" : "", "family" : "Brockhoff", "given" : "J", "non-dropping-particle" : "", "parse-names" : false, "suffix" : "" }, { "dropping-particle" : "", "family" : "Swinburn", "given" : "B", "non-dropping-particle" : "", "parse-names" : false, "suffix" : "" }, { "dropping-particle" : "", "family" : "Seidel", "given" : "J", "non-dropping-particle" : "", "parse-names" : false, "suffix" : "" }, { "dropping-particle" : "", "family" : "Uauy", "given" : "R", "non-dropping-particle" : "", "parse-names" : false, "suffix" : "" } ], "id" : "ITEM-2", "issued" : { "date-parts" : [ [ "2010", "5", "5" ] ] }, "page" : "64-70", "publisher" : "Wiley-Blackwell", "publisher-place" : "Oxford", "title" : "Evidence of the Influence of Home and Family Environment", "type" : "chapter" }, "uris" : [ "http://www.mendeley.com/documents/?uuid=9fbe733a-d7fe-3afa-804e-e2a5bce835c2" ] }, { "id" : "ITEM-3", "itemData" : { "DOI" : "ISBN 978 92 4 151006 6", "ISBN" : "978 92 4 151006 6 \u00a9", "abstract" : "1. Over the past decade, the World Health Assembly, the governing body of the World Health Organization (WHO), and the United Nations General Assembly have adopted a series of resolutions1 that acknowledge noncommunicable diseases (NCDs) as a major challenge for development in the 21st century and have identified prevention and control as a core priority. The proposed Sustainable Development Goals propose a target on reducing premature mortality from NCDs2. 2. Among the NCD risk factors, obesity is particularly concerning. In children (aged under 19 years) it is associated with a wide range of health complications and an increased risk of premature onset of illnesses, including diabetes and heart disease. Preventing childhood obesity is a key approach to the primary prevention of NCDs. 3. Childhood obesity has complex origins and progress in tackling the issue has to date been slow. It is clear that a combination of scientific research, government leadership and community partnerships is necessary in order to develop the best recommendations and implement them worldwide. 4. In order to develop a comprehensive response to childhood obesity, the WHO Director- General established a high-level Commission on Ending Childhood Obesity (ECHO), which comprises 15 accomplished and eminent individuals from a variety of relevant backgrounds. The Commission has reviewed, built upon and addressed gaps in existing mandates and strategies with the support of two ad hoc working groups, one on science and evidence for ending childhood obesity (WGSE), and one on implementation, monitoring and accountability for ending childhood obesity (WGIMA). An Interim Report was developed for feedback through a series of regional consultations and hearings with Member States and non-State actors, and an online process for the submission of comments from relevant stakeholders. The Commission has reviewed these inputs and developed this draft final report, which will form the basis for a final round of regional and global consultation.", "author" : [ { "dropping-particle" : "", "family" : "World Health Organization", "given" : "", "non-dropping-particle" : "", "parse-names" : false, "suffix" : "" } ], "id" : "ITEM-3", "issued" : { "date-parts" : [ [ "2016" ] ] }, "publisher-place" : "Geneva", "title" : "Report of the Commission on Ending Childhood Obesity", "type" : "report" }, "uris" : [ "http://www.mendeley.com/documents/?uuid=fc7d72ef-f520-4e44-854a-cc82b135b368" ] } ], "mendeley" : { "formattedCitation" : "(Lang and Rayner, 2007; Brug et al., 2010; World Health Organization, 2016c)", "plainTextFormattedCitation" : "(Lang and Rayner, 2007; Brug et al., 2010; World Health Organization, 2016c)", "previouslyFormattedCitation" : "(Lang and Rayner, 2007; Brug et al., 2010; World Health Organization, 2016c)" }, "properties" : { "noteIndex" : 0 }, "schema" : "https://github.com/citation-style-language/schema/raw/master/csl-citation.json" }</w:instrText>
      </w:r>
      <w:r w:rsidR="00B41686" w:rsidRPr="009B3747">
        <w:rPr>
          <w:rFonts w:eastAsia="Times New Roman" w:cstheme="minorHAnsi"/>
          <w:color w:val="000000"/>
          <w:lang w:eastAsia="en-GB"/>
        </w:rPr>
        <w:fldChar w:fldCharType="separate"/>
      </w:r>
      <w:r w:rsidR="00B41686" w:rsidRPr="009B3747">
        <w:rPr>
          <w:rFonts w:eastAsia="Times New Roman" w:cstheme="minorHAnsi"/>
          <w:noProof/>
          <w:color w:val="000000"/>
          <w:lang w:eastAsia="en-GB"/>
        </w:rPr>
        <w:t>(Lang and Rayner, 2007; Brug et al., 2010; World Health Organization, 2016c)</w:t>
      </w:r>
      <w:r w:rsidR="00B41686" w:rsidRPr="009B3747">
        <w:rPr>
          <w:rFonts w:eastAsia="Times New Roman" w:cstheme="minorHAnsi"/>
          <w:color w:val="000000"/>
          <w:lang w:eastAsia="en-GB"/>
        </w:rPr>
        <w:fldChar w:fldCharType="end"/>
      </w:r>
      <w:r w:rsidR="00B41686" w:rsidRPr="009B3747">
        <w:rPr>
          <w:rFonts w:eastAsia="Times New Roman" w:cstheme="minorHAnsi"/>
          <w:color w:val="000000"/>
          <w:lang w:eastAsia="en-GB"/>
        </w:rPr>
        <w:t xml:space="preserve">.  </w:t>
      </w:r>
      <w:r w:rsidRPr="009B3747">
        <w:rPr>
          <w:rFonts w:eastAsia="Times New Roman" w:cstheme="minorHAnsi"/>
          <w:color w:val="000000"/>
          <w:lang w:eastAsia="en-GB"/>
        </w:rPr>
        <w:t>Obesity causation is therefore understood to be both multi-</w:t>
      </w:r>
      <w:r w:rsidR="00C267E6" w:rsidRPr="009B3747">
        <w:rPr>
          <w:rFonts w:eastAsia="Times New Roman" w:cstheme="minorHAnsi"/>
          <w:color w:val="000000"/>
          <w:lang w:eastAsia="en-GB"/>
        </w:rPr>
        <w:t>factorial</w:t>
      </w:r>
      <w:r w:rsidRPr="009B3747">
        <w:rPr>
          <w:rFonts w:eastAsia="Times New Roman" w:cstheme="minorHAnsi"/>
          <w:color w:val="000000"/>
          <w:lang w:eastAsia="en-GB"/>
        </w:rPr>
        <w:t xml:space="preserve"> and exceptionally complex </w:t>
      </w:r>
      <w:r w:rsidR="00B41686"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"Butland", "given" : "B", "non-dropping-particle" : "", "parse-names" : false, "suffix" : "" }, { "dropping-particle" : "", "family" : "Jebb", "given" : "S", "non-dropping-particle" : "", "parse-names" : false, "suffix" : "" } ], "id" : "ITEM-1", "issued" : { "date-parts" : [ [ "2007" ] ] }, "title" : "Foresight. Tackling obesities: future choices. Project report.", "type" : "report" }, "uris" : [ "http://www.mendeley.com/documents/?uuid=8ae0e880-41d4-4b61-b434-dc36711dd306" ] } ], "mendeley" : { "formattedCitation" : "(Butland and Jebb, 2007)", "plainTextFormattedCitation" : "(Butland and Jebb, 2007)", "previouslyFormattedCitation" : "(Butland and Jebb, 2007)" }, "properties" : { "noteIndex" : 0 }, "schema" : "https://github.com/citation-style-language/schema/raw/master/csl-citation.json" }</w:instrText>
      </w:r>
      <w:r w:rsidR="00B41686" w:rsidRPr="009B3747">
        <w:rPr>
          <w:rFonts w:eastAsia="Times New Roman" w:cstheme="minorHAnsi"/>
          <w:color w:val="000000"/>
          <w:lang w:eastAsia="en-GB"/>
        </w:rPr>
        <w:fldChar w:fldCharType="separate"/>
      </w:r>
      <w:r w:rsidR="00B41686" w:rsidRPr="009B3747">
        <w:rPr>
          <w:rFonts w:eastAsia="Times New Roman" w:cstheme="minorHAnsi"/>
          <w:noProof/>
          <w:color w:val="000000"/>
          <w:lang w:eastAsia="en-GB"/>
        </w:rPr>
        <w:t>(Butland and Jebb, 2007)</w:t>
      </w:r>
      <w:r w:rsidR="00B41686" w:rsidRPr="009B3747">
        <w:rPr>
          <w:rFonts w:eastAsia="Times New Roman" w:cstheme="minorHAnsi"/>
          <w:color w:val="000000"/>
          <w:lang w:eastAsia="en-GB"/>
        </w:rPr>
        <w:fldChar w:fldCharType="end"/>
      </w:r>
      <w:r w:rsidR="00B41686" w:rsidRPr="009B3747">
        <w:rPr>
          <w:rFonts w:eastAsia="Times New Roman" w:cstheme="minorHAnsi"/>
          <w:color w:val="000000"/>
          <w:lang w:eastAsia="en-GB"/>
        </w:rPr>
        <w:t>.</w:t>
      </w:r>
    </w:p>
    <w:p w:rsidR="002224C3" w:rsidRPr="009B3747" w:rsidRDefault="002224C3" w:rsidP="00A16FA3">
      <w:pPr>
        <w:rPr>
          <w:rFonts w:eastAsia="Times New Roman" w:cstheme="minorHAnsi"/>
          <w:sz w:val="24"/>
          <w:szCs w:val="24"/>
          <w:lang w:eastAsia="en-GB"/>
        </w:rPr>
      </w:pPr>
    </w:p>
    <w:p w:rsidR="00A16FA3" w:rsidRPr="009B3747" w:rsidRDefault="00A16FA3" w:rsidP="00A16FA3">
      <w:pPr>
        <w:rPr>
          <w:rFonts w:eastAsia="Times New Roman" w:cstheme="minorHAnsi"/>
          <w:sz w:val="24"/>
          <w:szCs w:val="24"/>
          <w:lang w:eastAsia="en-GB"/>
        </w:rPr>
      </w:pPr>
      <w:r w:rsidRPr="009B3747">
        <w:rPr>
          <w:rFonts w:eastAsia="Times New Roman" w:cstheme="minorHAnsi"/>
          <w:color w:val="000000"/>
          <w:lang w:eastAsia="en-GB"/>
        </w:rPr>
        <w:t>Although arguments exist supporting the role of genetics in obesity causation</w:t>
      </w:r>
      <w:r w:rsidR="00B41686" w:rsidRPr="009B3747">
        <w:rPr>
          <w:rFonts w:eastAsia="Times New Roman" w:cstheme="minorHAnsi"/>
          <w:color w:val="000000"/>
          <w:lang w:eastAsia="en-GB"/>
        </w:rPr>
        <w:t xml:space="preserve"> </w:t>
      </w:r>
      <w:r w:rsidR="00B41686"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"Barlow", "given" : "Sarah E.", "non-dropping-particle" : "", "parse-names" : false, "suffix" : "" } ], "container-title" : "Pediatrics", "id" : "ITEM-1", "issue" : "Supplement 4", "issued" : { "date-parts" : [ [ "2007" ] ] }, "title" : "Expert Committee Recommendations Regarding the Prevention, Assessment, and Treatment of Child and Adolescent Overweight and Obesity: Summary Report", "type" : "article-journal", "volume" : "120" }, "uris" : [ "http://www.mendeley.com/documents/?uuid=545f7d75-98f7-32f1-a9f5-6d34778c2494" ] }, { "id" : "ITEM-2", "itemData" : { "author" : [ { "dropping-particle" : "", "family" : "Swinburn", "given" : "BA", "non-dropping-particle" : "", "parse-names" : false, "suffix" : "" }, { "dropping-particle" : "", "family" : "Sacks", "given" : "G", "non-dropping-particle" : "", "parse-names" : false, "suffix" : "" }, { "dropping-particle" : "", "family" : "Hall", "given" : "KD", "non-dropping-particle" : "", "parse-names" : false, "suffix" : "" } ], "container-title" : "The Lancet", "id" : "ITEM-2", "issue" : "9793", "issued" : { "date-parts" : [ [ "2011" ] ] }, "page" : "804\u2013814", "title" : "The global obesity pandemic: shaped by global drivers and local environments", "type" : "article-journal", "volume" : "378" }, "uris" : [ "http://www.mendeley.com/documents/?uuid=32e46483-72ce-4885-84e3-55563f5489ac" ] } ], "mendeley" : { "formattedCitation" : "(Barlow, 2007; Swinburn et al., 2011)", "plainTextFormattedCitation" : "(Barlow, 2007; Swinburn et al., 2011)", "previouslyFormattedCitation" : "(Barlow, 2007; Swinburn et al., 2011)" }, "properties" : { "noteIndex" : 0 }, "schema" : "https://github.com/citation-style-language/schema/raw/master/csl-citation.json" }</w:instrText>
      </w:r>
      <w:r w:rsidR="00B41686" w:rsidRPr="009B3747">
        <w:rPr>
          <w:rFonts w:eastAsia="Times New Roman" w:cstheme="minorHAnsi"/>
          <w:color w:val="000000"/>
          <w:lang w:eastAsia="en-GB"/>
        </w:rPr>
        <w:fldChar w:fldCharType="separate"/>
      </w:r>
      <w:r w:rsidR="00B41686" w:rsidRPr="009B3747">
        <w:rPr>
          <w:rFonts w:eastAsia="Times New Roman" w:cstheme="minorHAnsi"/>
          <w:noProof/>
          <w:color w:val="000000"/>
          <w:lang w:eastAsia="en-GB"/>
        </w:rPr>
        <w:t>(Barlow, 2007; Swinburn et al., 2011)</w:t>
      </w:r>
      <w:r w:rsidR="00B41686" w:rsidRPr="009B3747">
        <w:rPr>
          <w:rFonts w:eastAsia="Times New Roman" w:cstheme="minorHAnsi"/>
          <w:color w:val="000000"/>
          <w:lang w:eastAsia="en-GB"/>
        </w:rPr>
        <w:fldChar w:fldCharType="end"/>
      </w:r>
      <w:r w:rsidR="00996DC8">
        <w:rPr>
          <w:rFonts w:eastAsia="Times New Roman" w:cstheme="minorHAnsi"/>
          <w:color w:val="000000"/>
          <w:lang w:eastAsia="en-GB"/>
        </w:rPr>
        <w:t xml:space="preserve">, </w:t>
      </w:r>
      <w:r w:rsidRPr="009B3747">
        <w:rPr>
          <w:rFonts w:eastAsia="Times New Roman" w:cstheme="minorHAnsi"/>
          <w:color w:val="000000"/>
          <w:lang w:eastAsia="en-GB"/>
        </w:rPr>
        <w:t>the exponential rise in both the scale and severity of global obesity</w:t>
      </w:r>
      <w:r w:rsidR="0060708E" w:rsidRPr="009B3747">
        <w:rPr>
          <w:rFonts w:eastAsia="Times New Roman" w:cstheme="minorHAnsi"/>
          <w:color w:val="000000"/>
          <w:lang w:eastAsia="en-GB"/>
        </w:rPr>
        <w:t xml:space="preserve"> means a simple explanation of genetics</w:t>
      </w:r>
      <w:r w:rsidRPr="009B3747">
        <w:rPr>
          <w:rFonts w:eastAsia="Times New Roman" w:cstheme="minorHAnsi"/>
          <w:color w:val="000000"/>
          <w:lang w:eastAsia="en-GB"/>
        </w:rPr>
        <w:t xml:space="preserve"> can be largely disregarded due to the relative stability of the population gene pool </w:t>
      </w:r>
      <w:r w:rsidR="00B41686"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"Barlow", "given" : "Sarah E.", "non-dropping-particle" : "", "parse-names" : false, "suffix" : "" } ], "container-title" : "Pediatrics", "id" : "ITEM-1", "issue" : "Supplement 4", "issued" : { "date-parts" : [ [ "2007" ] ] }, "title" : "Expert Committee Recommendations Regarding the Prevention, Assessment, and Treatment of Child and Adolescent Overweight and Obesity: Summary Report", "type" : "article-journal", "volume" : "120" }, "uris" : [ "http://www.mendeley.com/documents/?uuid=545f7d75-98f7-32f1-a9f5-6d34778c2494" ] }, { "id" : "ITEM-2", "itemData" : { "DOI" : "10.1016/S0140-6736(11)60814-3", "ISBN" : "1474-547X (Electronic)\\n0140-6736 (Linking)", "ISSN" : "01406736", "PMID" : "21872750", "abstract" : "Rising prevalence of obesity is a worldwide health concern because excess weight gain within populations forecasts an increased burden from several diseases, most notably cardiovascular diseases, diabetes, and cancers. In this report, we used a simulation model to project the probable health and economic consequences in the next two decades from a continued rise in obesity in two ageing populations - the USA and the UK. These trends project 65 million more obese adults in the USA and 11 million more obese adults in the UK by 2030, consequently accruing an additional 6-8\u00b75 million cases of diabetes, 5\u00b77-7\u00b73 million cases of heart disease and stroke, 492 000-669 000 additional cases of cancer, and 26-55 million quality-adjusted life years forgone for USA and UK combined. The combined medical costs associated with treatment of these preventable diseases are estimated to increase by $48-66 billion/year in the USA and by \u00a31\u00b79-2 billion/year in the UK by 2030. Hence, effective policies to promote healthier weight also have economic benefits. \u00a9 2011 Elsevier Ltd.", "author" : [ { "dropping-particle" : "", "family" : "Wang", "given" : "Y. Claire", "non-dropping-particle" : "", "parse-names" : false, "suffix" : "" }, { "dropping-particle" : "", "family" : "McPherson", "given" : "Klim", "non-dropping-particle" : "", "parse-names" : false, "suffix" : "" }, { "dropping-particle" : "", "family" : "Marsh", "given" : "Tim", "non-dropping-particle" : "", "parse-names" : false, "suffix" : "" }, { "dropping-particle" : "", "family" : "Gortmaker", "given" : "Steven L.", "non-dropping-particle" : "", "parse-names" : false, "suffix" : "" }, { "dropping-particle" : "", "family" : "Brown", "given" : "Martin", "non-dropping-particle" : "", "parse-names" : false, "suffix" : "" } ], "container-title" : "The Lancet", "id" : "ITEM-2", "issue" : "9793", "issued" : { "date-parts" : [ [ "2011" ] ] }, "page" : "815-825", "title" : "Health and economic burden of the projected obesity trends in the USA and the UK", "type" : "article-journal", "volume" : "378" }, "uris" : [ "http://www.mendeley.com/documents/?uuid=d847f100-977f-4bd7-8545-734bc0cf2667" ] } ], "mendeley" : { "formattedCitation" : "(Barlow, 2007; Wang et al., 2011)", "manualFormatting" : "(Barlow, 2007; Wang et al., 2011)", "plainTextFormattedCitation" : "(Barlow, 2007; Wang et al., 2011)", "previouslyFormattedCitation" : "(Barlow, 2007; Wang et al., 2011)" }, "properties" : { "noteIndex" : 0 }, "schema" : "https://github.com/citation-style-language/schema/raw/master/csl-citation.json" }</w:instrText>
      </w:r>
      <w:r w:rsidR="00B41686" w:rsidRPr="009B3747">
        <w:rPr>
          <w:rFonts w:eastAsia="Times New Roman" w:cstheme="minorHAnsi"/>
          <w:color w:val="000000"/>
          <w:lang w:eastAsia="en-GB"/>
        </w:rPr>
        <w:fldChar w:fldCharType="separate"/>
      </w:r>
      <w:r w:rsidR="00B41686" w:rsidRPr="009B3747">
        <w:rPr>
          <w:rFonts w:eastAsia="Times New Roman" w:cstheme="minorHAnsi"/>
          <w:noProof/>
          <w:color w:val="000000"/>
          <w:lang w:eastAsia="en-GB"/>
        </w:rPr>
        <w:t>(Barlow, 2007; Wang et al., 2011)</w:t>
      </w:r>
      <w:r w:rsidR="00B41686" w:rsidRPr="009B3747">
        <w:rPr>
          <w:rFonts w:eastAsia="Times New Roman" w:cstheme="minorHAnsi"/>
          <w:color w:val="000000"/>
          <w:lang w:eastAsia="en-GB"/>
        </w:rPr>
        <w:fldChar w:fldCharType="end"/>
      </w:r>
      <w:r w:rsidR="0060708E" w:rsidRPr="009B3747">
        <w:rPr>
          <w:rFonts w:eastAsia="Times New Roman" w:cstheme="minorHAnsi"/>
          <w:color w:val="000000"/>
          <w:lang w:eastAsia="en-GB"/>
        </w:rPr>
        <w:t xml:space="preserve">.  Given that genes therefore </w:t>
      </w:r>
      <w:r w:rsidR="0060708E" w:rsidRPr="009B3747">
        <w:rPr>
          <w:rFonts w:eastAsia="Times New Roman" w:cstheme="minorHAnsi"/>
          <w:i/>
          <w:color w:val="000000"/>
          <w:lang w:eastAsia="en-GB"/>
        </w:rPr>
        <w:t>“</w:t>
      </w:r>
      <w:r w:rsidRPr="009B3747">
        <w:rPr>
          <w:rFonts w:eastAsia="Times New Roman" w:cstheme="minorHAnsi"/>
          <w:i/>
          <w:color w:val="000000"/>
          <w:lang w:eastAsia="en-GB"/>
        </w:rPr>
        <w:t>are n</w:t>
      </w:r>
      <w:r w:rsidR="0060708E" w:rsidRPr="009B3747">
        <w:rPr>
          <w:rFonts w:eastAsia="Times New Roman" w:cstheme="minorHAnsi"/>
          <w:i/>
          <w:color w:val="000000"/>
          <w:lang w:eastAsia="en-GB"/>
        </w:rPr>
        <w:t>ot destiny”</w:t>
      </w:r>
      <w:r w:rsidRPr="009B3747">
        <w:rPr>
          <w:rFonts w:eastAsia="Times New Roman" w:cstheme="minorHAnsi"/>
          <w:color w:val="000000"/>
          <w:lang w:eastAsia="en-GB"/>
        </w:rPr>
        <w:t xml:space="preserve"> for excess weight </w:t>
      </w:r>
      <w:r w:rsidR="00B41686" w:rsidRPr="009B3747">
        <w:rPr>
          <w:rFonts w:eastAsia="Times New Roman" w:cstheme="minorHAnsi"/>
          <w:color w:val="000000"/>
          <w:lang w:eastAsia="en-GB"/>
        </w:rPr>
        <w:fldChar w:fldCharType="begin" w:fldLock="1"/>
      </w:r>
      <w:r w:rsidR="00224C9C" w:rsidRPr="009B3747">
        <w:rPr>
          <w:rFonts w:eastAsia="Times New Roman" w:cstheme="minorHAnsi"/>
          <w:color w:val="000000"/>
          <w:lang w:eastAsia="en-GB"/>
        </w:rPr>
        <w:instrText>ADDIN CSL_CITATION { "citationItems" : [ { "id" : "ITEM-1", "itemData" : { "author" : [ { "dropping-particle" : "", "family" : "Barlow", "given" : "Sarah E.", "non-dropping-particle" : "", "parse-names" : false, "suffix" : "" } ], "container-title" : "Pediatrics", "id" : "ITEM-1", "issue" : "Supplement 4", "issued" : { "date-parts" : [ [ "2007" ] ] }, "title" : "Expert Committee Recommendations Regarding the Prevention, Assessment, and Treatment of Child and Adolescent Overweight and Obesity: Summary Report", "type" : "article-journal", "volume" : "120" }, "uris" : [ "http://www.mendeley.com/documents/?uuid=545f7d75-98f7-32f1-a9f5-6d34778c2494" ] } ], "mendeley" : { "formattedCitation" : "(Barlow, 2007)", "manualFormatting" : "(Barlow, 2007, p.S166", "plainTextFormattedCitation" : "(Barlow, 2007)", "previouslyFormattedCitation" : "(Barlow, 2007)" }, "properties" : { "noteIndex" : 0 }, "schema" : "https://github.com/citation-style-language/schema/raw/master/csl-citation.json" }</w:instrText>
      </w:r>
      <w:r w:rsidR="00B41686" w:rsidRPr="009B3747">
        <w:rPr>
          <w:rFonts w:eastAsia="Times New Roman" w:cstheme="minorHAnsi"/>
          <w:color w:val="000000"/>
          <w:lang w:eastAsia="en-GB"/>
        </w:rPr>
        <w:fldChar w:fldCharType="separate"/>
      </w:r>
      <w:r w:rsidR="00B41686" w:rsidRPr="009B3747">
        <w:rPr>
          <w:rFonts w:eastAsia="Times New Roman" w:cstheme="minorHAnsi"/>
          <w:noProof/>
          <w:color w:val="000000"/>
          <w:lang w:eastAsia="en-GB"/>
        </w:rPr>
        <w:t>(Barlow, 2007</w:t>
      </w:r>
      <w:r w:rsidR="00AE6A9E" w:rsidRPr="009B3747">
        <w:rPr>
          <w:rFonts w:eastAsia="Times New Roman" w:cstheme="minorHAnsi"/>
          <w:noProof/>
          <w:color w:val="000000"/>
          <w:lang w:eastAsia="en-GB"/>
        </w:rPr>
        <w:t>, p.</w:t>
      </w:r>
      <w:r w:rsidR="00B41686" w:rsidRPr="009B3747">
        <w:rPr>
          <w:rFonts w:eastAsia="Times New Roman" w:cstheme="minorHAnsi"/>
          <w:noProof/>
          <w:color w:val="000000"/>
          <w:lang w:eastAsia="en-GB"/>
        </w:rPr>
        <w:t>S166</w:t>
      </w:r>
      <w:r w:rsidR="00B41686" w:rsidRPr="009B3747">
        <w:rPr>
          <w:rFonts w:eastAsia="Times New Roman" w:cstheme="minorHAnsi"/>
          <w:color w:val="000000"/>
          <w:lang w:eastAsia="en-GB"/>
        </w:rPr>
        <w:fldChar w:fldCharType="end"/>
      </w:r>
      <w:r w:rsidRPr="009B3747">
        <w:rPr>
          <w:rFonts w:eastAsia="Times New Roman" w:cstheme="minorHAnsi"/>
          <w:color w:val="000000"/>
          <w:lang w:eastAsia="en-GB"/>
        </w:rPr>
        <w:t>), the critical indicator for ob</w:t>
      </w:r>
      <w:r w:rsidR="0060708E" w:rsidRPr="009B3747">
        <w:rPr>
          <w:rFonts w:eastAsia="Times New Roman" w:cstheme="minorHAnsi"/>
          <w:color w:val="000000"/>
          <w:lang w:eastAsia="en-GB"/>
        </w:rPr>
        <w:t xml:space="preserve">esity is in fact an increasing </w:t>
      </w:r>
      <w:r w:rsidRPr="009B3747">
        <w:rPr>
          <w:rFonts w:eastAsia="Times New Roman" w:cstheme="minorHAnsi"/>
          <w:color w:val="000000"/>
          <w:lang w:eastAsia="en-GB"/>
        </w:rPr>
        <w:t xml:space="preserve">obesogenic environment </w:t>
      </w:r>
      <w:r w:rsidR="00B41686"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"Swinburn", "given" : "BA", "non-dropping-particle" : "", "parse-names" : false, "suffix" : "" }, { "dropping-particle" : "", "family" : "Sacks", "given" : "G", "non-dropping-particle" : "", "parse-names" : false, "suffix" : "" }, { "dropping-particle" : "", "family" : "Hall", "given" : "KD", "non-dropping-particle" : "", "parse-names" : false, "suffix" : "" } ], "container-title" : "The Lancet", "id" : "ITEM-1", "issue" : "9793", "issued" : { "date-parts" : [ [ "2011" ] ] }, "page" : "804\u2013814", "title" : "The global obesity pandemic: shaped by global drivers and local environments", "type" : "article-journal", "volume" : "378" }, "uris" : [ "http://www.mendeley.com/documents/?uuid=32e46483-72ce-4885-84e3-55563f5489ac" ] } ], "mendeley" : { "formattedCitation" : "(Swinburn et al., 2011)", "plainTextFormattedCitation" : "(Swinburn et al., 2011)", "previouslyFormattedCitation" : "(Swinburn et al., 2011)" }, "properties" : { "noteIndex" : 0 }, "schema" : "https://github.com/citation-style-language/schema/raw/master/csl-citation.json" }</w:instrText>
      </w:r>
      <w:r w:rsidR="00B41686" w:rsidRPr="009B3747">
        <w:rPr>
          <w:rFonts w:eastAsia="Times New Roman" w:cstheme="minorHAnsi"/>
          <w:color w:val="000000"/>
          <w:lang w:eastAsia="en-GB"/>
        </w:rPr>
        <w:fldChar w:fldCharType="separate"/>
      </w:r>
      <w:r w:rsidR="00B41686" w:rsidRPr="009B3747">
        <w:rPr>
          <w:rFonts w:eastAsia="Times New Roman" w:cstheme="minorHAnsi"/>
          <w:noProof/>
          <w:color w:val="000000"/>
          <w:lang w:eastAsia="en-GB"/>
        </w:rPr>
        <w:t>(Swinburn et al., 2011)</w:t>
      </w:r>
      <w:r w:rsidR="00B41686" w:rsidRPr="009B3747">
        <w:rPr>
          <w:rFonts w:eastAsia="Times New Roman" w:cstheme="minorHAnsi"/>
          <w:color w:val="000000"/>
          <w:lang w:eastAsia="en-GB"/>
        </w:rPr>
        <w:fldChar w:fldCharType="end"/>
      </w:r>
      <w:r w:rsidR="00996DC8">
        <w:rPr>
          <w:rFonts w:eastAsia="Times New Roman" w:cstheme="minorHAnsi"/>
          <w:color w:val="000000"/>
          <w:lang w:eastAsia="en-GB"/>
        </w:rPr>
        <w:t xml:space="preserve">.  This has been </w:t>
      </w:r>
      <w:r w:rsidR="0060708E" w:rsidRPr="009B3747">
        <w:rPr>
          <w:rFonts w:eastAsia="Times New Roman" w:cstheme="minorHAnsi"/>
          <w:color w:val="000000"/>
          <w:lang w:eastAsia="en-GB"/>
        </w:rPr>
        <w:t xml:space="preserve">defined as the </w:t>
      </w:r>
      <w:r w:rsidR="0060708E" w:rsidRPr="009B3747">
        <w:rPr>
          <w:rFonts w:eastAsia="Times New Roman" w:cstheme="minorHAnsi"/>
          <w:i/>
          <w:color w:val="000000"/>
          <w:lang w:eastAsia="en-GB"/>
        </w:rPr>
        <w:t>“</w:t>
      </w:r>
      <w:r w:rsidRPr="009B3747">
        <w:rPr>
          <w:rFonts w:eastAsia="Times New Roman" w:cstheme="minorHAnsi"/>
          <w:i/>
          <w:color w:val="000000"/>
          <w:lang w:eastAsia="en-GB"/>
        </w:rPr>
        <w:t xml:space="preserve">sum of the influences that the surroundings, opportunities or conditions of life have on promoting obesity </w:t>
      </w:r>
      <w:r w:rsidR="0060708E" w:rsidRPr="009B3747">
        <w:rPr>
          <w:rFonts w:eastAsia="Times New Roman" w:cstheme="minorHAnsi"/>
          <w:i/>
          <w:color w:val="000000"/>
          <w:lang w:eastAsia="en-GB"/>
        </w:rPr>
        <w:t>in individuals and populations”</w:t>
      </w:r>
      <w:r w:rsidR="0060708E" w:rsidRPr="009B3747">
        <w:rPr>
          <w:rFonts w:eastAsia="Times New Roman" w:cstheme="minorHAnsi"/>
          <w:color w:val="000000"/>
          <w:lang w:eastAsia="en-GB"/>
        </w:rPr>
        <w:t xml:space="preserve"> </w:t>
      </w:r>
      <w:r w:rsidR="00B41686" w:rsidRPr="009B3747">
        <w:rPr>
          <w:rFonts w:eastAsia="Times New Roman" w:cstheme="minorHAnsi"/>
          <w:color w:val="000000"/>
          <w:lang w:eastAsia="en-GB"/>
        </w:rPr>
        <w:fldChar w:fldCharType="begin" w:fldLock="1"/>
      </w:r>
      <w:r w:rsidR="00224C9C" w:rsidRPr="009B3747">
        <w:rPr>
          <w:rFonts w:eastAsia="Times New Roman" w:cstheme="minorHAnsi"/>
          <w:color w:val="000000"/>
          <w:lang w:eastAsia="en-GB"/>
        </w:rPr>
        <w:instrText>ADDIN CSL_CITATION { "citationItems" : [ { "id" : "ITEM-1", "itemData" : { "DOI" : "10.1006/pmed.1999.0585", "ISSN" : "00917435", "PMID" : "10600438", "abstract" : "BACKGROUND The \"obesogenicity\" of modern environments is fueling the obesity pandemic. We describe a framework, known as ANGELO (analysis grid for environments linked to obesity), which is a conceptual model for understanding the obesogenicity of environments and a practical tool for prioritizing environmental elements for research and intervention. METHODS Development of the ANGELO framework. The basic framework is a 2 x 4 grid which dissects the environment into environmental size (micro and macro) by type: physical (what is available), economic (what are the costs), political (what are the \"rules\"), and sociocultural (what are the attitudes and beliefs). Within this grid, the elements which influence food intake and physical activity are characterized as obesogenic or \"leptogenic\" (promoting leanness). RESULTS Application of the ANGELO framework. The ANGELO framework has been piloted at the population level (island communities) to prioritize the settings/sectors for intervention and at the setting level (fast food outlets) to prioritize research needs and interventions. Environmental elements were prioritized by rating their validity (evidence of impact), relevance (to the local context), and potential changeability. CONCLUSIONS The ANGELO framework appears to be a flexible and robust instrument for the needs analysis and problem identification stages of reducing the obesogenicity of modern environments.", "author" : [ { "dropping-particle" : "", "family" : "Swinburn", "given" : "Boyd", "non-dropping-particle" : "", "parse-names" : false, "suffix" : "" }, { "dropping-particle" : "", "family" : "Egger", "given" : "Garry", "non-dropping-particle" : "", "parse-names" : false, "suffix" : "" }, { "dropping-particle" : "", "family" : "Raza", "given" : "Fezeela", "non-dropping-particle" : "", "parse-names" : false, "suffix" : "" } ], "container-title" : "Preventive Medicine", "id" : "ITEM-1", "issue" : "6", "issued" : { "date-parts" : [ [ "1999", "12" ] ] }, "page" : "563-570", "title" : "Dissecting Obesogenic Environments: The Development and Application of a Framework for Identifying and Prioritizing Environmental Interventions for Obesity", "type" : "article-journal", "volume" : "29" }, "uris" : [ "http://www.mendeley.com/documents/?uuid=08eb643e-fb07-353e-a262-c1c7422412c4" ] } ], "mendeley" : { "formattedCitation" : "(Swinburn et al., 1999)", "manualFormatting" : "(Swinburn et al., 1999, p.564)", "plainTextFormattedCitation" : "(Swinburn et al., 1999)", "previouslyFormattedCitation" : "(Swinburn et al., 1999)" }, "properties" : { "noteIndex" : 0 }, "schema" : "https://github.com/citation-style-language/schema/raw/master/csl-citation.json" }</w:instrText>
      </w:r>
      <w:r w:rsidR="00B41686" w:rsidRPr="009B3747">
        <w:rPr>
          <w:rFonts w:eastAsia="Times New Roman" w:cstheme="minorHAnsi"/>
          <w:color w:val="000000"/>
          <w:lang w:eastAsia="en-GB"/>
        </w:rPr>
        <w:fldChar w:fldCharType="separate"/>
      </w:r>
      <w:r w:rsidR="00B41686" w:rsidRPr="009B3747">
        <w:rPr>
          <w:rFonts w:eastAsia="Times New Roman" w:cstheme="minorHAnsi"/>
          <w:noProof/>
          <w:color w:val="000000"/>
          <w:lang w:eastAsia="en-GB"/>
        </w:rPr>
        <w:t>(Swinburn et al., 1999</w:t>
      </w:r>
      <w:r w:rsidR="00AE6A9E" w:rsidRPr="009B3747">
        <w:rPr>
          <w:rFonts w:eastAsia="Times New Roman" w:cstheme="minorHAnsi"/>
          <w:noProof/>
          <w:color w:val="000000"/>
          <w:lang w:eastAsia="en-GB"/>
        </w:rPr>
        <w:t>, p.</w:t>
      </w:r>
      <w:r w:rsidR="00B41686" w:rsidRPr="009B3747">
        <w:rPr>
          <w:rFonts w:eastAsia="Times New Roman" w:cstheme="minorHAnsi"/>
          <w:noProof/>
          <w:color w:val="000000"/>
          <w:lang w:eastAsia="en-GB"/>
        </w:rPr>
        <w:t>564)</w:t>
      </w:r>
      <w:r w:rsidR="00B41686" w:rsidRPr="009B3747">
        <w:rPr>
          <w:rFonts w:eastAsia="Times New Roman" w:cstheme="minorHAnsi"/>
          <w:color w:val="000000"/>
          <w:lang w:eastAsia="en-GB"/>
        </w:rPr>
        <w:fldChar w:fldCharType="end"/>
      </w:r>
      <w:r w:rsidR="00B41686" w:rsidRPr="009B3747">
        <w:rPr>
          <w:rFonts w:eastAsia="Times New Roman" w:cstheme="minorHAnsi"/>
          <w:color w:val="000000"/>
          <w:lang w:eastAsia="en-GB"/>
        </w:rPr>
        <w:t xml:space="preserve">.  </w:t>
      </w:r>
      <w:r w:rsidRPr="009B3747">
        <w:rPr>
          <w:rFonts w:eastAsia="Times New Roman" w:cstheme="minorHAnsi"/>
          <w:color w:val="000000"/>
          <w:lang w:eastAsia="en-GB"/>
        </w:rPr>
        <w:t>Consequently, a useful analogy for reflecting on the causes o</w:t>
      </w:r>
      <w:r w:rsidR="0060708E" w:rsidRPr="009B3747">
        <w:rPr>
          <w:rFonts w:eastAsia="Times New Roman" w:cstheme="minorHAnsi"/>
          <w:color w:val="000000"/>
          <w:lang w:eastAsia="en-GB"/>
        </w:rPr>
        <w:t xml:space="preserve">f the obesity epidemic is that </w:t>
      </w:r>
      <w:r w:rsidR="0060708E" w:rsidRPr="009B3747">
        <w:rPr>
          <w:rFonts w:eastAsia="Times New Roman" w:cstheme="minorHAnsi"/>
          <w:i/>
          <w:color w:val="000000"/>
          <w:lang w:eastAsia="en-GB"/>
        </w:rPr>
        <w:t>“</w:t>
      </w:r>
      <w:r w:rsidRPr="009B3747">
        <w:rPr>
          <w:rFonts w:eastAsia="Times New Roman" w:cstheme="minorHAnsi"/>
          <w:i/>
          <w:color w:val="000000"/>
          <w:lang w:eastAsia="en-GB"/>
        </w:rPr>
        <w:t>genetic background loads the gun, but th</w:t>
      </w:r>
      <w:r w:rsidR="0060708E" w:rsidRPr="009B3747">
        <w:rPr>
          <w:rFonts w:eastAsia="Times New Roman" w:cstheme="minorHAnsi"/>
          <w:i/>
          <w:color w:val="000000"/>
          <w:lang w:eastAsia="en-GB"/>
        </w:rPr>
        <w:t>e environment pulls the trigger”</w:t>
      </w:r>
      <w:r w:rsidR="00B41686" w:rsidRPr="009B3747">
        <w:rPr>
          <w:rFonts w:eastAsia="Times New Roman" w:cstheme="minorHAnsi"/>
          <w:color w:val="000000"/>
          <w:lang w:eastAsia="en-GB"/>
        </w:rPr>
        <w:t xml:space="preserve"> </w:t>
      </w:r>
      <w:r w:rsidR="00B41686" w:rsidRPr="009B3747">
        <w:rPr>
          <w:rFonts w:eastAsia="Times New Roman" w:cstheme="minorHAnsi"/>
          <w:color w:val="000000"/>
          <w:lang w:eastAsia="en-GB"/>
        </w:rPr>
        <w:fldChar w:fldCharType="begin" w:fldLock="1"/>
      </w:r>
      <w:r w:rsidR="00224C9C" w:rsidRPr="009B3747">
        <w:rPr>
          <w:rFonts w:eastAsia="Times New Roman" w:cstheme="minorHAnsi"/>
          <w:color w:val="000000"/>
          <w:lang w:eastAsia="en-GB"/>
        </w:rPr>
        <w:instrText>ADDIN CSL_CITATION { "citationItems" : [ { "id" : "ITEM-1", "itemData" : { "DOI" : "10.1016/j.physbeh.2004.04.033", "ISSN" : "00319384", "PMID" : "15234599", "abstract" : "The epidemic of obesity is worldwide. It will be followed by an epidemic of diabetes. Although there is a genetic basis for obesity and diabetes, the current epidemic reflects the failure of our ancient genes to cope with a modern toxic environment. To put it another way, the genetic background loads the gun, but the environment pulls the trigger. Diet, lifestyle and exercise are the cornerstones of current approaches to treating obesity. However, these approaches that depend on individuals making lifestyle changes have been ineffective in preventing the epidemic. An alternative model views obesity as an epidemiological disease with food(s) and other environmental agents acting on the host to produce disease. The consumption patterns for many foods have changed over the past 30 years, but the increase in the consumption of high-fructose corn syrup (HFCS) for soft drinks is far and away the largest. Moreover, the rise in HFCS intake is an environmental insult that has occurred at exactly the same time as obesity began to increase in prevalence. Rising soft drink consumption is associated with a decrease in milk consumption and a decrease in calcium intake, which has an inverse relationship to body mass index (BMI). To combat the epidemic of obesity, we need new strategies that flow from the epidemiological model. The Fluoride Hypothesis for obesity proposes that we can make environmental changes that when made, will reduce the epidemic of obesity, in much the same way as fluoride reduced the incidence of dental disease. Fluoride-like strategies can work without the personal effort required by changes in lifestyle. In this context, fluoride is also an acronym for treatment and prevention of obesity: For Lowering Universal Obesity Rates are Implement ideas that Don't demand Effort (FLUORIDE).", "author" : [ { "dropping-particle" : "", "family" : "Bray", "given" : "George A", "non-dropping-particle" : "", "parse-names" : false, "suffix" : "" } ], "container-title" : "Physiology &amp; Behavior", "id" : "ITEM-1", "issue" : "1", "issued" : { "date-parts" : [ [ "2004", "8" ] ] }, "page" : "115-121", "title" : "The epidemic of obesity and changes in food intake: the Fluoride Hypothesis", "type" : "article-journal", "volume" : "82" }, "uris" : [ "http://www.mendeley.com/documents/?uuid=d4bbf969-00ba-334f-8934-04e1bd4c03ad" ] } ], "mendeley" : { "formattedCitation" : "(Bray, 2004)", "manualFormatting" : "(Bray, 2004, p.115)", "plainTextFormattedCitation" : "(Bray, 2004)", "previouslyFormattedCitation" : "(Bray, 2004)" }, "properties" : { "noteIndex" : 0 }, "schema" : "https://github.com/citation-style-language/schema/raw/master/csl-citation.json" }</w:instrText>
      </w:r>
      <w:r w:rsidR="00B41686" w:rsidRPr="009B3747">
        <w:rPr>
          <w:rFonts w:eastAsia="Times New Roman" w:cstheme="minorHAnsi"/>
          <w:color w:val="000000"/>
          <w:lang w:eastAsia="en-GB"/>
        </w:rPr>
        <w:fldChar w:fldCharType="separate"/>
      </w:r>
      <w:r w:rsidR="00B41686" w:rsidRPr="009B3747">
        <w:rPr>
          <w:rFonts w:eastAsia="Times New Roman" w:cstheme="minorHAnsi"/>
          <w:noProof/>
          <w:color w:val="000000"/>
          <w:lang w:eastAsia="en-GB"/>
        </w:rPr>
        <w:t>(Bray, 2004</w:t>
      </w:r>
      <w:r w:rsidR="00AE6A9E" w:rsidRPr="009B3747">
        <w:rPr>
          <w:rFonts w:eastAsia="Times New Roman" w:cstheme="minorHAnsi"/>
          <w:noProof/>
          <w:color w:val="000000"/>
          <w:lang w:eastAsia="en-GB"/>
        </w:rPr>
        <w:t>, p.</w:t>
      </w:r>
      <w:r w:rsidR="00B41686" w:rsidRPr="009B3747">
        <w:rPr>
          <w:rFonts w:eastAsia="Times New Roman" w:cstheme="minorHAnsi"/>
          <w:noProof/>
          <w:color w:val="000000"/>
          <w:lang w:eastAsia="en-GB"/>
        </w:rPr>
        <w:t>115)</w:t>
      </w:r>
      <w:r w:rsidR="00B41686" w:rsidRPr="009B3747">
        <w:rPr>
          <w:rFonts w:eastAsia="Times New Roman" w:cstheme="minorHAnsi"/>
          <w:color w:val="000000"/>
          <w:lang w:eastAsia="en-GB"/>
        </w:rPr>
        <w:fldChar w:fldCharType="end"/>
      </w:r>
      <w:r w:rsidR="00B41686" w:rsidRPr="009B3747">
        <w:rPr>
          <w:rFonts w:eastAsia="Times New Roman" w:cstheme="minorHAnsi"/>
          <w:color w:val="000000"/>
          <w:lang w:eastAsia="en-GB"/>
        </w:rPr>
        <w:t>.</w:t>
      </w:r>
      <w:r w:rsidRPr="009B3747">
        <w:rPr>
          <w:rFonts w:eastAsia="Times New Roman" w:cstheme="minorHAnsi"/>
          <w:color w:val="000000"/>
          <w:lang w:eastAsia="en-GB"/>
        </w:rPr>
        <w:t> </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A16FA3" w:rsidRPr="009B3747" w:rsidRDefault="00A16FA3" w:rsidP="00A16FA3">
      <w:pPr>
        <w:rPr>
          <w:rFonts w:eastAsia="Times New Roman" w:cstheme="minorHAnsi"/>
          <w:sz w:val="24"/>
          <w:szCs w:val="24"/>
          <w:lang w:eastAsia="en-GB"/>
        </w:rPr>
      </w:pPr>
      <w:r w:rsidRPr="009B3747">
        <w:rPr>
          <w:rFonts w:eastAsia="Times New Roman" w:cstheme="minorHAnsi"/>
          <w:color w:val="000000"/>
          <w:lang w:eastAsia="en-GB"/>
        </w:rPr>
        <w:t>In an attempt to conceptualise the complexity of the obesity causation, the</w:t>
      </w:r>
      <w:r w:rsidR="00996DC8">
        <w:rPr>
          <w:rFonts w:eastAsia="Times New Roman" w:cstheme="minorHAnsi"/>
          <w:color w:val="000000"/>
          <w:lang w:eastAsia="en-GB"/>
        </w:rPr>
        <w:t xml:space="preserve"> UK Foresight Programme in 2007</w:t>
      </w:r>
      <w:r w:rsidRPr="009B3747">
        <w:rPr>
          <w:rFonts w:eastAsia="Times New Roman" w:cstheme="minorHAnsi"/>
          <w:color w:val="000000"/>
          <w:lang w:eastAsia="en-GB"/>
        </w:rPr>
        <w:t xml:space="preserve"> presented the ‘obe</w:t>
      </w:r>
      <w:r w:rsidR="0060708E" w:rsidRPr="009B3747">
        <w:rPr>
          <w:rFonts w:eastAsia="Times New Roman" w:cstheme="minorHAnsi"/>
          <w:color w:val="000000"/>
          <w:lang w:eastAsia="en-GB"/>
        </w:rPr>
        <w:t>sity systems map’ (figure 2.1</w:t>
      </w:r>
      <w:r w:rsidR="00996DC8">
        <w:rPr>
          <w:rFonts w:eastAsia="Times New Roman" w:cstheme="minorHAnsi"/>
          <w:color w:val="000000"/>
          <w:lang w:eastAsia="en-GB"/>
        </w:rPr>
        <w:t>), a c</w:t>
      </w:r>
      <w:r w:rsidRPr="009B3747">
        <w:rPr>
          <w:rFonts w:eastAsia="Times New Roman" w:cstheme="minorHAnsi"/>
          <w:color w:val="000000"/>
          <w:lang w:eastAsia="en-GB"/>
        </w:rPr>
        <w:t xml:space="preserve">omprehensive visual representation of </w:t>
      </w:r>
      <w:r w:rsidR="00996DC8">
        <w:rPr>
          <w:rFonts w:eastAsia="Times New Roman" w:cstheme="minorHAnsi"/>
          <w:color w:val="000000"/>
          <w:lang w:eastAsia="en-GB"/>
        </w:rPr>
        <w:t xml:space="preserve">the </w:t>
      </w:r>
      <w:r w:rsidRPr="009B3747">
        <w:rPr>
          <w:rFonts w:eastAsia="Times New Roman" w:cstheme="minorHAnsi"/>
          <w:color w:val="000000"/>
          <w:lang w:eastAsia="en-GB"/>
        </w:rPr>
        <w:t>variables deemed to influence an individual’s energy balan</w:t>
      </w:r>
      <w:r w:rsidR="0066035E" w:rsidRPr="009B3747">
        <w:rPr>
          <w:rFonts w:eastAsia="Times New Roman" w:cstheme="minorHAnsi"/>
          <w:color w:val="000000"/>
          <w:lang w:eastAsia="en-GB"/>
        </w:rPr>
        <w:t xml:space="preserve">ce and resultant weight status </w:t>
      </w:r>
      <w:r w:rsidR="0066035E"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"Butland", "given" : "B", "non-dropping-particle" : "", "parse-names" : false, "suffix" : "" }, { "dropping-particle" : "", "family" : "Jebb", "given" : "S", "non-dropping-particle" : "", "parse-names" : false, "suffix" : "" } ], "id" : "ITEM-1", "issued" : { "date-parts" : [ [ "2007" ] ] }, "title" : "Foresight. Tackling obesities: future choices. Project report.", "type" : "report" }, "uris" : [ "http://www.mendeley.com/documents/?uuid=8ae0e880-41d4-4b61-b434-dc36711dd306" ] } ], "mendeley" : { "formattedCitation" : "(Butland and Jebb, 2007)", "plainTextFormattedCitation" : "(Butland and Jebb, 2007)", "previouslyFormattedCitation" : "(Butland and Jebb, 2007)" }, "properties" : { "noteIndex" : 0 }, "schema" : "https://github.com/citation-style-language/schema/raw/master/csl-citation.json" }</w:instrText>
      </w:r>
      <w:r w:rsidR="0066035E" w:rsidRPr="009B3747">
        <w:rPr>
          <w:rFonts w:eastAsia="Times New Roman" w:cstheme="minorHAnsi"/>
          <w:color w:val="000000"/>
          <w:lang w:eastAsia="en-GB"/>
        </w:rPr>
        <w:fldChar w:fldCharType="separate"/>
      </w:r>
      <w:r w:rsidR="0066035E" w:rsidRPr="009B3747">
        <w:rPr>
          <w:rFonts w:eastAsia="Times New Roman" w:cstheme="minorHAnsi"/>
          <w:noProof/>
          <w:color w:val="000000"/>
          <w:lang w:eastAsia="en-GB"/>
        </w:rPr>
        <w:t>(Butland and Jebb, 2007)</w:t>
      </w:r>
      <w:r w:rsidR="0066035E" w:rsidRPr="009B3747">
        <w:rPr>
          <w:rFonts w:eastAsia="Times New Roman" w:cstheme="minorHAnsi"/>
          <w:color w:val="000000"/>
          <w:lang w:eastAsia="en-GB"/>
        </w:rPr>
        <w:fldChar w:fldCharType="end"/>
      </w:r>
      <w:r w:rsidR="0066035E" w:rsidRPr="009B3747">
        <w:rPr>
          <w:rFonts w:eastAsia="Times New Roman" w:cstheme="minorHAnsi"/>
          <w:color w:val="000000"/>
          <w:lang w:eastAsia="en-GB"/>
        </w:rPr>
        <w:t>.</w:t>
      </w:r>
    </w:p>
    <w:p w:rsidR="00A16FA3" w:rsidRPr="009B3747" w:rsidRDefault="00A16FA3" w:rsidP="00A16FA3">
      <w:pPr>
        <w:rPr>
          <w:rFonts w:eastAsia="Times New Roman" w:cstheme="minorHAnsi"/>
          <w:sz w:val="24"/>
          <w:szCs w:val="24"/>
          <w:lang w:eastAsia="en-GB"/>
        </w:rPr>
      </w:pPr>
      <w:r w:rsidRPr="009B3747">
        <w:rPr>
          <w:rFonts w:eastAsia="Times New Roman" w:cstheme="minorHAnsi"/>
          <w:color w:val="000000"/>
          <w:lang w:eastAsia="en-GB"/>
        </w:rPr>
        <w:t> </w:t>
      </w:r>
    </w:p>
    <w:p w:rsidR="00A16FA3" w:rsidRPr="009B3747" w:rsidRDefault="0060708E" w:rsidP="00A16FA3">
      <w:pPr>
        <w:rPr>
          <w:rFonts w:eastAsia="Times New Roman" w:cstheme="minorHAnsi"/>
          <w:sz w:val="24"/>
          <w:szCs w:val="24"/>
          <w:lang w:eastAsia="en-GB"/>
        </w:rPr>
      </w:pPr>
      <w:r w:rsidRPr="009B3747">
        <w:rPr>
          <w:rFonts w:eastAsia="Times New Roman" w:cstheme="minorHAnsi"/>
          <w:noProof/>
          <w:color w:val="000000"/>
          <w:lang w:eastAsia="en-GB"/>
        </w:rPr>
        <mc:AlternateContent>
          <mc:Choice Requires="wps">
            <w:drawing>
              <wp:anchor distT="0" distB="0" distL="114300" distR="114300" simplePos="0" relativeHeight="251677696" behindDoc="0" locked="0" layoutInCell="1" allowOverlap="1">
                <wp:simplePos x="0" y="0"/>
                <wp:positionH relativeFrom="column">
                  <wp:posOffset>2400300</wp:posOffset>
                </wp:positionH>
                <wp:positionV relativeFrom="paragraph">
                  <wp:posOffset>2484755</wp:posOffset>
                </wp:positionV>
                <wp:extent cx="704850" cy="142875"/>
                <wp:effectExtent l="0" t="0" r="0" b="9525"/>
                <wp:wrapNone/>
                <wp:docPr id="70" name="Rectangle 70"/>
                <wp:cNvGraphicFramePr/>
                <a:graphic xmlns:a="http://schemas.openxmlformats.org/drawingml/2006/main">
                  <a:graphicData uri="http://schemas.microsoft.com/office/word/2010/wordprocessingShape">
                    <wps:wsp>
                      <wps:cNvSpPr/>
                      <wps:spPr>
                        <a:xfrm>
                          <a:off x="0" y="0"/>
                          <a:ext cx="704850"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54C001" id="Rectangle 70" o:spid="_x0000_s1026" style="position:absolute;margin-left:189pt;margin-top:195.65pt;width:55.5pt;height:11.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" fillcolor="white [3212]" stroked="f" strokeweight="1pt"/>
            </w:pict>
          </mc:Fallback>
        </mc:AlternateContent>
      </w:r>
      <w:r w:rsidR="00A16FA3" w:rsidRPr="009B3747">
        <w:rPr>
          <w:rFonts w:eastAsia="Times New Roman" w:cstheme="minorHAnsi"/>
          <w:noProof/>
          <w:color w:val="000000"/>
          <w:lang w:eastAsia="en-GB"/>
        </w:rPr>
        <w:drawing>
          <wp:inline distT="0" distB="0" distL="0" distR="0">
            <wp:extent cx="3162300" cy="2552700"/>
            <wp:effectExtent l="0" t="0" r="0" b="0"/>
            <wp:docPr id="2" name="Picture 2" descr="https://lh5.googleusercontent.com/m96kmiuXXPCRek7WwO0upOD-0_zJG_2rBi0qdOlePTBAAVj9xvxU-mZn3lLtssFANvOzSqKtTF4e2_qErFd_E410q75ckrFh49gPNp3rkSwyJvSdIHCX4ZXlcAURsVxRDvv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m96kmiuXXPCRek7WwO0upOD-0_zJG_2rBi0qdOlePTBAAVj9xvxU-mZn3lLtssFANvOzSqKtTF4e2_qErFd_E410q75ckrFh49gPNp3rkSwyJvSdIHCX4ZXlcAURsVxRDvvUO-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2300" cy="2552700"/>
                    </a:xfrm>
                    <a:prstGeom prst="rect">
                      <a:avLst/>
                    </a:prstGeom>
                    <a:noFill/>
                    <a:ln>
                      <a:noFill/>
                    </a:ln>
                  </pic:spPr>
                </pic:pic>
              </a:graphicData>
            </a:graphic>
          </wp:inline>
        </w:drawing>
      </w:r>
    </w:p>
    <w:p w:rsidR="0060708E" w:rsidRPr="009B3747" w:rsidRDefault="0060708E" w:rsidP="00A16FA3">
      <w:pPr>
        <w:rPr>
          <w:rFonts w:eastAsia="Times New Roman" w:cstheme="minorHAnsi"/>
          <w:b/>
          <w:bCs/>
          <w:i/>
          <w:iCs/>
          <w:color w:val="000000"/>
          <w:sz w:val="21"/>
          <w:szCs w:val="21"/>
          <w:lang w:eastAsia="en-GB"/>
        </w:rPr>
      </w:pPr>
    </w:p>
    <w:p w:rsidR="00A16FA3" w:rsidRPr="009B3747" w:rsidRDefault="00A16FA3" w:rsidP="00A16FA3">
      <w:pPr>
        <w:rPr>
          <w:rFonts w:eastAsia="Times New Roman" w:cstheme="minorHAnsi"/>
          <w:sz w:val="20"/>
          <w:szCs w:val="20"/>
          <w:u w:val="single"/>
          <w:lang w:eastAsia="en-GB"/>
        </w:rPr>
      </w:pPr>
      <w:r w:rsidRPr="009B3747">
        <w:rPr>
          <w:rFonts w:eastAsia="Times New Roman" w:cstheme="minorHAnsi"/>
          <w:bCs/>
          <w:iCs/>
          <w:color w:val="000000"/>
          <w:sz w:val="20"/>
          <w:szCs w:val="20"/>
          <w:u w:val="single"/>
          <w:lang w:eastAsia="en-GB"/>
        </w:rPr>
        <w:t xml:space="preserve">Figure </w:t>
      </w:r>
      <w:r w:rsidR="0060708E" w:rsidRPr="009B3747">
        <w:rPr>
          <w:rFonts w:eastAsia="Times New Roman" w:cstheme="minorHAnsi"/>
          <w:bCs/>
          <w:iCs/>
          <w:color w:val="000000"/>
          <w:sz w:val="20"/>
          <w:szCs w:val="20"/>
          <w:u w:val="single"/>
          <w:lang w:eastAsia="en-GB"/>
        </w:rPr>
        <w:t>2.</w:t>
      </w:r>
      <w:r w:rsidRPr="009B3747">
        <w:rPr>
          <w:rFonts w:eastAsia="Times New Roman" w:cstheme="minorHAnsi"/>
          <w:bCs/>
          <w:iCs/>
          <w:color w:val="000000"/>
          <w:sz w:val="20"/>
          <w:szCs w:val="20"/>
          <w:u w:val="single"/>
          <w:lang w:eastAsia="en-GB"/>
        </w:rPr>
        <w:t>1 – Obesity Systems Map</w:t>
      </w:r>
      <w:r w:rsidR="000F73E5" w:rsidRPr="009B3747">
        <w:rPr>
          <w:rFonts w:eastAsia="Times New Roman" w:cstheme="minorHAnsi"/>
          <w:bCs/>
          <w:iCs/>
          <w:color w:val="000000"/>
          <w:sz w:val="20"/>
          <w:szCs w:val="20"/>
          <w:u w:val="single"/>
          <w:lang w:eastAsia="en-GB"/>
        </w:rPr>
        <w:t xml:space="preserve"> – adapted from the Foresight report</w:t>
      </w:r>
      <w:r w:rsidRPr="009B3747">
        <w:rPr>
          <w:rFonts w:eastAsia="Times New Roman" w:cstheme="minorHAnsi"/>
          <w:bCs/>
          <w:iCs/>
          <w:color w:val="000000"/>
          <w:sz w:val="20"/>
          <w:szCs w:val="20"/>
          <w:u w:val="single"/>
          <w:lang w:eastAsia="en-GB"/>
        </w:rPr>
        <w:t xml:space="preserve"> (</w:t>
      </w:r>
      <w:r w:rsidR="005F1170" w:rsidRPr="009B3747">
        <w:rPr>
          <w:rFonts w:eastAsia="Times New Roman" w:cstheme="minorHAnsi"/>
          <w:bCs/>
          <w:iCs/>
          <w:color w:val="000000"/>
          <w:sz w:val="20"/>
          <w:szCs w:val="20"/>
          <w:u w:val="single"/>
          <w:lang w:eastAsia="en-GB"/>
        </w:rPr>
        <w:t xml:space="preserve">Butland and Jebb, </w:t>
      </w:r>
      <w:r w:rsidRPr="009B3747">
        <w:rPr>
          <w:rFonts w:eastAsia="Times New Roman" w:cstheme="minorHAnsi"/>
          <w:bCs/>
          <w:iCs/>
          <w:color w:val="000000"/>
          <w:sz w:val="20"/>
          <w:szCs w:val="20"/>
          <w:u w:val="single"/>
          <w:lang w:eastAsia="en-GB"/>
        </w:rPr>
        <w:t>2007)</w:t>
      </w:r>
    </w:p>
    <w:p w:rsidR="002224C3" w:rsidRPr="009B3747" w:rsidRDefault="002224C3" w:rsidP="00A16FA3">
      <w:pPr>
        <w:rPr>
          <w:rFonts w:eastAsia="Times New Roman" w:cstheme="minorHAnsi"/>
          <w:color w:val="000000"/>
          <w:lang w:eastAsia="en-GB"/>
        </w:rPr>
      </w:pPr>
    </w:p>
    <w:p w:rsidR="00A16FA3" w:rsidRPr="009B3747" w:rsidRDefault="00A16FA3" w:rsidP="00A16FA3">
      <w:pPr>
        <w:rPr>
          <w:rFonts w:eastAsia="Times New Roman" w:cstheme="minorHAnsi"/>
          <w:sz w:val="24"/>
          <w:szCs w:val="24"/>
          <w:lang w:eastAsia="en-GB"/>
        </w:rPr>
      </w:pPr>
      <w:r w:rsidRPr="009B3747">
        <w:rPr>
          <w:rFonts w:eastAsia="Times New Roman" w:cstheme="minorHAnsi"/>
          <w:color w:val="000000"/>
          <w:lang w:eastAsia="en-GB"/>
        </w:rPr>
        <w:lastRenderedPageBreak/>
        <w:t>Despite obesity resulting from an individual’s energy intake exceeding energy expenditure (the core of the map), 108 interconnecting variables or factors across seven cross-cutting predominant themes</w:t>
      </w:r>
      <w:r w:rsidR="00996DC8">
        <w:rPr>
          <w:rFonts w:eastAsia="Times New Roman" w:cstheme="minorHAnsi"/>
          <w:color w:val="000000"/>
          <w:lang w:eastAsia="en-GB"/>
        </w:rPr>
        <w:t>,</w:t>
      </w:r>
      <w:r w:rsidRPr="009B3747">
        <w:rPr>
          <w:rFonts w:eastAsia="Times New Roman" w:cstheme="minorHAnsi"/>
          <w:color w:val="000000"/>
          <w:lang w:eastAsia="en-GB"/>
        </w:rPr>
        <w:t xml:space="preserve"> are presented within the obesity systems map</w:t>
      </w:r>
      <w:r w:rsidR="00996DC8">
        <w:rPr>
          <w:rFonts w:eastAsia="Times New Roman" w:cstheme="minorHAnsi"/>
          <w:color w:val="000000"/>
          <w:lang w:eastAsia="en-GB"/>
        </w:rPr>
        <w:t xml:space="preserve">, </w:t>
      </w:r>
      <w:r w:rsidRPr="009B3747">
        <w:rPr>
          <w:rFonts w:eastAsia="Times New Roman" w:cstheme="minorHAnsi"/>
          <w:color w:val="000000"/>
          <w:lang w:eastAsia="en-GB"/>
        </w:rPr>
        <w:t xml:space="preserve">which </w:t>
      </w:r>
      <w:r w:rsidR="002224C3" w:rsidRPr="009B3747">
        <w:rPr>
          <w:rFonts w:eastAsia="Times New Roman" w:cstheme="minorHAnsi"/>
          <w:color w:val="000000"/>
          <w:lang w:eastAsia="en-GB"/>
        </w:rPr>
        <w:t xml:space="preserve">influence and </w:t>
      </w:r>
      <w:r w:rsidRPr="009B3747">
        <w:rPr>
          <w:rFonts w:eastAsia="Times New Roman" w:cstheme="minorHAnsi"/>
          <w:color w:val="000000"/>
          <w:lang w:eastAsia="en-GB"/>
        </w:rPr>
        <w:t xml:space="preserve">account for this energy imbalance.  By linking physiology (or biology), individual behaviours and environmental factors across the </w:t>
      </w:r>
      <w:r w:rsidR="00670813" w:rsidRPr="009B3747">
        <w:rPr>
          <w:rFonts w:eastAsia="Times New Roman" w:cstheme="minorHAnsi"/>
          <w:color w:val="000000"/>
          <w:lang w:eastAsia="en-GB"/>
        </w:rPr>
        <w:t>life course</w:t>
      </w:r>
      <w:r w:rsidR="0066035E" w:rsidRPr="009B3747">
        <w:rPr>
          <w:rFonts w:eastAsia="Times New Roman" w:cstheme="minorHAnsi"/>
          <w:color w:val="000000"/>
          <w:lang w:eastAsia="en-GB"/>
        </w:rPr>
        <w:t xml:space="preserve"> </w:t>
      </w:r>
      <w:r w:rsidR="0066035E"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"Swinburn", "given" : "BA", "non-dropping-particle" : "", "parse-names" : false, "suffix" : "" }, { "dropping-particle" : "", "family" : "Sacks", "given" : "G", "non-dropping-particle" : "", "parse-names" : false, "suffix" : "" }, { "dropping-particle" : "", "family" : "Hall", "given" : "KD", "non-dropping-particle" : "", "parse-names" : false, "suffix" : "" } ], "container-title" : "The Lancet", "id" : "ITEM-1", "issue" : "9793", "issued" : { "date-parts" : [ [ "2011" ] ] }, "page" : "804\u2013814", "title" : "The global obesity pandemic: shaped by global drivers and local environments", "type" : "article-journal", "volume" : "378" }, "uris" : [ "http://www.mendeley.com/documents/?uuid=32e46483-72ce-4885-84e3-55563f5489ac" ] } ], "mendeley" : { "formattedCitation" : "(Swinburn et al., 2011)", "plainTextFormattedCitation" : "(Swinburn et al., 2011)", "previouslyFormattedCitation" : "(Swinburn et al., 2011)" }, "properties" : { "noteIndex" : 0 }, "schema" : "https://github.com/citation-style-language/schema/raw/master/csl-citation.json" }</w:instrText>
      </w:r>
      <w:r w:rsidR="0066035E" w:rsidRPr="009B3747">
        <w:rPr>
          <w:rFonts w:eastAsia="Times New Roman" w:cstheme="minorHAnsi"/>
          <w:color w:val="000000"/>
          <w:lang w:eastAsia="en-GB"/>
        </w:rPr>
        <w:fldChar w:fldCharType="separate"/>
      </w:r>
      <w:r w:rsidR="0066035E" w:rsidRPr="009B3747">
        <w:rPr>
          <w:rFonts w:eastAsia="Times New Roman" w:cstheme="minorHAnsi"/>
          <w:noProof/>
          <w:color w:val="000000"/>
          <w:lang w:eastAsia="en-GB"/>
        </w:rPr>
        <w:t>(Swinburn et al., 2011)</w:t>
      </w:r>
      <w:r w:rsidR="0066035E" w:rsidRPr="009B3747">
        <w:rPr>
          <w:rFonts w:eastAsia="Times New Roman" w:cstheme="minorHAnsi"/>
          <w:color w:val="000000"/>
          <w:lang w:eastAsia="en-GB"/>
        </w:rPr>
        <w:fldChar w:fldCharType="end"/>
      </w:r>
      <w:r w:rsidR="0066035E"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the Foresight programme ambitiously defined the obesity system as </w:t>
      </w:r>
      <w:r w:rsidR="00A17E69" w:rsidRPr="009B3747">
        <w:rPr>
          <w:rFonts w:eastAsia="Times New Roman" w:cstheme="minorHAnsi"/>
          <w:i/>
          <w:color w:val="000000"/>
          <w:lang w:eastAsia="en-GB"/>
        </w:rPr>
        <w:t>“</w:t>
      </w:r>
      <w:r w:rsidRPr="009B3747">
        <w:rPr>
          <w:rFonts w:eastAsia="Times New Roman" w:cstheme="minorHAnsi"/>
          <w:i/>
          <w:color w:val="000000"/>
          <w:lang w:eastAsia="en-GB"/>
        </w:rPr>
        <w:t>all the relevant factors and their interdependencies that determine the condition of obesity for an individual or a group of people”</w:t>
      </w:r>
      <w:r w:rsidRPr="009B3747">
        <w:rPr>
          <w:rFonts w:eastAsia="Times New Roman" w:cstheme="minorHAnsi"/>
          <w:color w:val="000000"/>
          <w:lang w:eastAsia="en-GB"/>
        </w:rPr>
        <w:t xml:space="preserve"> </w:t>
      </w:r>
      <w:r w:rsidR="0066035E"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"Vandenbroek", "given" : "P", "non-dropping-particle" : "", "parse-names" : false, "suffix" : "" }, { "dropping-particle" : "", "family" : "Goossens", "given" : "J", "non-dropping-particle" : "", "parse-names" : false, "suffix" : "" }, { "dropping-particle" : "", "family" : "Clemens", "given" : "M", "non-dropping-particle" : "", "parse-names" : false, "suffix" : "" } ], "id" : "ITEM-1", "issued" : { "date-parts" : [ [ "2007" ] ] }, "publisher-place" : "London", "title" : "Foresight tackling obesities: future choices - building the obesity system map", "type" : "report" }, "uris" : [ "http://www.mendeley.com/documents/?uuid=5cbdd946-3cc6-4d9f-b0b6-6691e4cf63b3" ] } ], "mendeley" : { "formattedCitation" : "(Vandenbroek et al., 2007)", "manualFormatting" : "(Vandenbroek et al., 2007, p.1)", "plainTextFormattedCitation" : "(Vandenbroek et al., 2007)", "previouslyFormattedCitation" : "(Vandenbroek et al., 2007)" }, "properties" : { "noteIndex" : 0 }, "schema" : "https://github.com/citation-style-language/schema/raw/master/csl-citation.json" }</w:instrText>
      </w:r>
      <w:r w:rsidR="0066035E" w:rsidRPr="009B3747">
        <w:rPr>
          <w:rFonts w:eastAsia="Times New Roman" w:cstheme="minorHAnsi"/>
          <w:color w:val="000000"/>
          <w:lang w:eastAsia="en-GB"/>
        </w:rPr>
        <w:fldChar w:fldCharType="separate"/>
      </w:r>
      <w:r w:rsidR="0066035E" w:rsidRPr="009B3747">
        <w:rPr>
          <w:rFonts w:eastAsia="Times New Roman" w:cstheme="minorHAnsi"/>
          <w:noProof/>
          <w:color w:val="000000"/>
          <w:lang w:eastAsia="en-GB"/>
        </w:rPr>
        <w:t>(Vandenbroek et al., 2007</w:t>
      </w:r>
      <w:r w:rsidR="00AE6A9E" w:rsidRPr="009B3747">
        <w:rPr>
          <w:rFonts w:eastAsia="Times New Roman" w:cstheme="minorHAnsi"/>
          <w:noProof/>
          <w:color w:val="000000"/>
          <w:lang w:eastAsia="en-GB"/>
        </w:rPr>
        <w:t>, p.</w:t>
      </w:r>
      <w:r w:rsidR="0066035E" w:rsidRPr="009B3747">
        <w:rPr>
          <w:rFonts w:eastAsia="Times New Roman" w:cstheme="minorHAnsi"/>
          <w:noProof/>
          <w:color w:val="000000"/>
          <w:lang w:eastAsia="en-GB"/>
        </w:rPr>
        <w:t>1)</w:t>
      </w:r>
      <w:r w:rsidR="0066035E" w:rsidRPr="009B3747">
        <w:rPr>
          <w:rFonts w:eastAsia="Times New Roman" w:cstheme="minorHAnsi"/>
          <w:color w:val="000000"/>
          <w:lang w:eastAsia="en-GB"/>
        </w:rPr>
        <w:fldChar w:fldCharType="end"/>
      </w:r>
      <w:r w:rsidR="0066035E" w:rsidRPr="009B3747">
        <w:rPr>
          <w:rFonts w:eastAsia="Times New Roman" w:cstheme="minorHAnsi"/>
          <w:color w:val="000000"/>
          <w:lang w:eastAsia="en-GB"/>
        </w:rPr>
        <w:t>.</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A16FA3" w:rsidRPr="009B3747" w:rsidRDefault="0060708E" w:rsidP="00A16FA3">
      <w:pPr>
        <w:rPr>
          <w:rFonts w:eastAsia="Times New Roman" w:cstheme="minorHAnsi"/>
          <w:sz w:val="24"/>
          <w:szCs w:val="24"/>
          <w:lang w:eastAsia="en-GB"/>
        </w:rPr>
      </w:pPr>
      <w:r w:rsidRPr="009B3747">
        <w:rPr>
          <w:rFonts w:eastAsia="Times New Roman" w:cstheme="minorHAnsi"/>
          <w:color w:val="000000"/>
          <w:lang w:eastAsia="en-GB"/>
        </w:rPr>
        <w:t>2.</w:t>
      </w:r>
      <w:r w:rsidR="008818AD" w:rsidRPr="009B3747">
        <w:rPr>
          <w:rFonts w:eastAsia="Times New Roman" w:cstheme="minorHAnsi"/>
          <w:color w:val="000000"/>
          <w:lang w:eastAsia="en-GB"/>
        </w:rPr>
        <w:t>5.1.1</w:t>
      </w:r>
      <w:r w:rsidRPr="009B3747">
        <w:rPr>
          <w:rFonts w:eastAsia="Times New Roman" w:cstheme="minorHAnsi"/>
          <w:color w:val="000000"/>
          <w:lang w:eastAsia="en-GB"/>
        </w:rPr>
        <w:t xml:space="preserve"> </w:t>
      </w:r>
      <w:r w:rsidR="00A16FA3" w:rsidRPr="009B3747">
        <w:rPr>
          <w:rFonts w:eastAsia="Times New Roman" w:cstheme="minorHAnsi"/>
          <w:iCs/>
          <w:color w:val="000000"/>
          <w:lang w:eastAsia="en-GB"/>
        </w:rPr>
        <w:t>Physiology</w:t>
      </w:r>
      <w:r w:rsidR="00A16FA3" w:rsidRPr="009B3747">
        <w:rPr>
          <w:rFonts w:eastAsia="Times New Roman" w:cstheme="minorHAnsi"/>
          <w:color w:val="000000"/>
          <w:lang w:eastAsia="en-GB"/>
        </w:rPr>
        <w:t xml:space="preserve"> </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A16FA3" w:rsidRPr="009B3747" w:rsidRDefault="00A16FA3" w:rsidP="00A16FA3">
      <w:pPr>
        <w:rPr>
          <w:rFonts w:eastAsia="Times New Roman" w:cstheme="minorHAnsi"/>
          <w:color w:val="000000"/>
          <w:lang w:eastAsia="en-GB"/>
        </w:rPr>
      </w:pPr>
      <w:r w:rsidRPr="009B3747">
        <w:rPr>
          <w:rFonts w:eastAsia="Times New Roman" w:cstheme="minorHAnsi"/>
          <w:color w:val="000000"/>
          <w:lang w:eastAsia="en-GB"/>
        </w:rPr>
        <w:t>In relation to physiology and central to ob</w:t>
      </w:r>
      <w:r w:rsidR="008071A0" w:rsidRPr="009B3747">
        <w:rPr>
          <w:rFonts w:eastAsia="Times New Roman" w:cstheme="minorHAnsi"/>
          <w:color w:val="000000"/>
          <w:lang w:eastAsia="en-GB"/>
        </w:rPr>
        <w:t>esity is the role of the homeostatic biological system</w:t>
      </w:r>
      <w:r w:rsidR="0071085A">
        <w:rPr>
          <w:rFonts w:eastAsia="Times New Roman" w:cstheme="minorHAnsi"/>
          <w:color w:val="000000"/>
          <w:lang w:eastAsia="en-GB"/>
        </w:rPr>
        <w:t>,</w:t>
      </w:r>
      <w:r w:rsidR="008071A0" w:rsidRPr="009B3747">
        <w:rPr>
          <w:rFonts w:eastAsia="Times New Roman" w:cstheme="minorHAnsi"/>
          <w:color w:val="000000"/>
          <w:lang w:eastAsia="en-GB"/>
        </w:rPr>
        <w:t xml:space="preserve"> which </w:t>
      </w:r>
      <w:r w:rsidR="00FA31CD" w:rsidRPr="009B3747">
        <w:rPr>
          <w:rFonts w:eastAsia="Times New Roman" w:cstheme="minorHAnsi"/>
          <w:color w:val="000000"/>
          <w:lang w:eastAsia="en-GB"/>
        </w:rPr>
        <w:t xml:space="preserve">is argued to be </w:t>
      </w:r>
      <w:r w:rsidR="008071A0" w:rsidRPr="009B3747">
        <w:rPr>
          <w:rFonts w:eastAsia="Times New Roman" w:cstheme="minorHAnsi"/>
          <w:color w:val="000000"/>
          <w:lang w:eastAsia="en-GB"/>
        </w:rPr>
        <w:t xml:space="preserve">genetically determined and key to the regulation of energy balance and body weight </w:t>
      </w:r>
      <w:r w:rsidR="0066035E"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"Butland", "given" : "B", "non-dropping-particle" : "", "parse-names" : false, "suffix" : "" }, { "dropping-particle" : "", "family" : "Jebb", "given" : "S", "non-dropping-particle" : "", "parse-names" : false, "suffix" : "" } ], "id" : "ITEM-1", "issued" : { "date-parts" : [ [ "2007" ] ] }, "title" : "Foresight. Tackling obesities: future choices. Project report.", "type" : "report" }, "uris" : [ "http://www.mendeley.com/documents/?uuid=8ae0e880-41d4-4b61-b434-dc36711dd306" ] } ], "mendeley" : { "formattedCitation" : "(Butland and Jebb, 2007)", "manualFormatting" : "(Butland and Jebb, 2007)", "plainTextFormattedCitation" : "(Butland and Jebb, 2007)", "previouslyFormattedCitation" : "(Butland and Jebb, 2007)" }, "properties" : { "noteIndex" : 0 }, "schema" : "https://github.com/citation-style-language/schema/raw/master/csl-citation.json" }</w:instrText>
      </w:r>
      <w:r w:rsidR="0066035E" w:rsidRPr="009B3747">
        <w:rPr>
          <w:rFonts w:eastAsia="Times New Roman" w:cstheme="minorHAnsi"/>
          <w:color w:val="000000"/>
          <w:lang w:eastAsia="en-GB"/>
        </w:rPr>
        <w:fldChar w:fldCharType="separate"/>
      </w:r>
      <w:r w:rsidR="0066035E" w:rsidRPr="009B3747">
        <w:rPr>
          <w:rFonts w:eastAsia="Times New Roman" w:cstheme="minorHAnsi"/>
          <w:noProof/>
          <w:color w:val="000000"/>
          <w:lang w:eastAsia="en-GB"/>
        </w:rPr>
        <w:t>(Butland and Jebb, 2007)</w:t>
      </w:r>
      <w:r w:rsidR="0066035E" w:rsidRPr="009B3747">
        <w:rPr>
          <w:rFonts w:eastAsia="Times New Roman" w:cstheme="minorHAnsi"/>
          <w:color w:val="000000"/>
          <w:lang w:eastAsia="en-GB"/>
        </w:rPr>
        <w:fldChar w:fldCharType="end"/>
      </w:r>
      <w:r w:rsidR="008071A0" w:rsidRPr="009B3747">
        <w:rPr>
          <w:rFonts w:eastAsia="Times New Roman" w:cstheme="minorHAnsi"/>
          <w:color w:val="000000"/>
          <w:lang w:eastAsia="en-GB"/>
        </w:rPr>
        <w:t xml:space="preserve">.  </w:t>
      </w:r>
      <w:r w:rsidR="00FA31CD" w:rsidRPr="009B3747">
        <w:rPr>
          <w:rFonts w:eastAsia="Times New Roman" w:cstheme="minorHAnsi"/>
          <w:color w:val="000000"/>
          <w:lang w:eastAsia="en-GB"/>
        </w:rPr>
        <w:t xml:space="preserve">Academics have proposed </w:t>
      </w:r>
      <w:r w:rsidR="00FA31CD" w:rsidRPr="009B3747">
        <w:rPr>
          <w:rFonts w:eastAsia="Times New Roman" w:cstheme="minorHAnsi"/>
          <w:color w:val="000000"/>
          <w:lang w:eastAsia="en-GB"/>
        </w:rPr>
        <w:fldChar w:fldCharType="begin" w:fldLock="1"/>
      </w:r>
      <w:r w:rsidR="00FA31CD" w:rsidRPr="009B3747">
        <w:rPr>
          <w:rFonts w:eastAsia="Times New Roman" w:cstheme="minorHAnsi"/>
          <w:color w:val="000000"/>
          <w:lang w:eastAsia="en-GB"/>
        </w:rPr>
        <w:instrText>ADDIN CSL_CITATION { "citationItems" : [ { "id" : "ITEM-1", "itemData" : { "DOI" : "10.1161/01.CIR.0000161369.71722.10", "ISSN" : "0009-7322", "PMID" : "15837955", "abstract" : "The prevalence of overweight among children and adolescents has dramatically increased. There may be vulnerable periods for weight gain during childhood and adolescence that also offer opportunities for prevention of overweight. Overweight in children and adolescents can result in a variety of adverse health outcomes, including type 2 diabetes, obstructive sleep apnea, hypertension, dyslipidemia, and the metabolic syndrome. The best approach to this problem is prevention of abnormal weight gain. Several strategies for prevention are presented. In addition, treatment approaches are presented, including behavioral, pharmacological, and surgical treatment. Childhood and adolescent overweight is one of the most important current public health concerns.", "author" : [ { "dropping-particle" : "", "family" : "Daniels", "given" : "S. R.", "non-dropping-particle" : "", "parse-names" : false, "suffix" : "" }, { "dropping-particle" : "", "family" : "Arnett", "given" : "Donna K", "non-dropping-particle" : "", "parse-names" : false, "suffix" : "" }, { "dropping-particle" : "", "family" : "Eckel", "given" : "Robert H", "non-dropping-particle" : "", "parse-names" : false, "suffix" : "" }, { "dropping-particle" : "", "family" : "Gidding", "given" : "Samuel S", "non-dropping-particle" : "", "parse-names" : false, "suffix" : "" }, { "dropping-particle" : "", "family" : "Hayman", "given" : "Laura L", "non-dropping-particle" : "", "parse-names" : false, "suffix" : "" }, { "dropping-particle" : "", "family" : "Kumanyika", "given" : "Shiriki", "non-dropping-particle" : "", "parse-names" : false, "suffix" : "" }, { "dropping-particle" : "", "family" : "Robinson", "given" : "Thomas N", "non-dropping-particle" : "", "parse-names" : false, "suffix" : "" }, { "dropping-particle" : "", "family" : "Scott", "given" : "Barbara J", "non-dropping-particle" : "", "parse-names" : false, "suffix" : "" }, { "dropping-particle" : "", "family" : "St Jeor", "given" : "Sachiko", "non-dropping-particle" : "", "parse-names" : false, "suffix" : "" }, { "dropping-particle" : "", "family" : "Williams", "given" : "Christine L", "non-dropping-particle" : "", "parse-names" : false, "suffix" : "" } ], "container-title" : "Circulation", "id" : "ITEM-1", "issue" : "15", "issued" : { "date-parts" : [ [ "2005", "4", "19" ] ] }, "page" : "1999-2012", "title" : "Overweight in Children and Adolescents: Pathophysiology, Consequences, Prevention, and Treatment", "type" : "article-journal", "volume" : "111" }, "uris" : [ "http://www.mendeley.com/documents/?uuid=8eae4695-77a0-3011-97af-e10f0bf18ed1" ] }, { "id" : "ITEM-2", "itemData" : { "author" : [ { "dropping-particle" : "", "family" : "Barlow", "given" : "Sarah E.", "non-dropping-particle" : "", "parse-names" : false, "suffix" : "" } ], "container-title" : "Pediatrics", "id" : "ITEM-2", "issue" : "Supplement 4", "issued" : { "date-parts" : [ [ "2007" ] ] }, "title" : "Expert Committee Recommendations Regarding the Prevention, Assessment, and Treatment of Child and Adolescent Overweight and Obesity: Summary Report", "type" : "article-journal", "volume" : "120" }, "uris" : [ "http://www.mendeley.com/documents/?uuid=545f7d75-98f7-32f1-a9f5-6d34778c2494" ] } ], "mendeley" : { "formattedCitation" : "(Daniels et al., 2005; Barlow, 2007)", "plainTextFormattedCitation" : "(Daniels et al., 2005; Barlow, 2007)", "previouslyFormattedCitation" : "(Daniels et al., 2005; Barlow, 2007)" }, "properties" : { "noteIndex" : 0 }, "schema" : "https://github.com/citation-style-language/schema/raw/master/csl-citation.json" }</w:instrText>
      </w:r>
      <w:r w:rsidR="00FA31CD" w:rsidRPr="009B3747">
        <w:rPr>
          <w:rFonts w:eastAsia="Times New Roman" w:cstheme="minorHAnsi"/>
          <w:color w:val="000000"/>
          <w:lang w:eastAsia="en-GB"/>
        </w:rPr>
        <w:fldChar w:fldCharType="separate"/>
      </w:r>
      <w:r w:rsidR="00FA31CD" w:rsidRPr="009B3747">
        <w:rPr>
          <w:rFonts w:eastAsia="Times New Roman" w:cstheme="minorHAnsi"/>
          <w:noProof/>
          <w:color w:val="000000"/>
          <w:lang w:eastAsia="en-GB"/>
        </w:rPr>
        <w:t>(Daniels et al., 2005; Barlow, 2007)</w:t>
      </w:r>
      <w:r w:rsidR="00FA31CD" w:rsidRPr="009B3747">
        <w:rPr>
          <w:rFonts w:eastAsia="Times New Roman" w:cstheme="minorHAnsi"/>
          <w:color w:val="000000"/>
          <w:lang w:eastAsia="en-GB"/>
        </w:rPr>
        <w:fldChar w:fldCharType="end"/>
      </w:r>
      <w:r w:rsidR="00FA31CD" w:rsidRPr="009B3747">
        <w:rPr>
          <w:rFonts w:eastAsia="Times New Roman" w:cstheme="minorHAnsi"/>
          <w:color w:val="000000"/>
          <w:lang w:eastAsia="en-GB"/>
        </w:rPr>
        <w:t xml:space="preserve"> that genes</w:t>
      </w:r>
      <w:r w:rsidRPr="009B3747">
        <w:rPr>
          <w:rFonts w:eastAsia="Times New Roman" w:cstheme="minorHAnsi"/>
          <w:color w:val="000000"/>
          <w:lang w:eastAsia="en-GB"/>
        </w:rPr>
        <w:t xml:space="preserve"> influence every aspect of human physiology, development and adaptation, with the ability to maintain energy balance no exception</w:t>
      </w:r>
      <w:r w:rsidR="0066035E"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Twin studies have evidenced a genetic risk of obesity </w:t>
      </w:r>
      <w:r w:rsidR="0066035E" w:rsidRPr="009B3747">
        <w:rPr>
          <w:rFonts w:eastAsia="Times New Roman" w:cstheme="minorHAnsi"/>
          <w:color w:val="000000"/>
          <w:lang w:eastAsia="en-GB"/>
        </w:rPr>
        <w:fldChar w:fldCharType="begin" w:fldLock="1"/>
      </w:r>
      <w:r w:rsidR="0066035E" w:rsidRPr="009B3747">
        <w:rPr>
          <w:rFonts w:eastAsia="Times New Roman" w:cstheme="minorHAnsi"/>
          <w:color w:val="000000"/>
          <w:lang w:eastAsia="en-GB"/>
        </w:rPr>
        <w:instrText>ADDIN CSL_CITATION { "citationItems" : [ { "id" : "ITEM-1", "itemData" : { "ISSN" : "0001-8244", "PMID" : "9519560", "abstract" : "We review the literature on the familial resemblance of body mass index (BMI) and other adiposity measures and find strikingly convergent results for a variety of relationships. Results from twin studies suggest that genetic factors explain 50 to 90% of the variance in BMI. Family studies generally report estimates of parent-offspring and sibling correlations in agreement with heritabilities of 20 to 80%. Data from adoption studies are consistent with genetic factors accounting for 20 to 60% of the variation in BMI. Based on data from more than 25,000 twin pairs and 50,000 biological and adoptive family members, the weighted mean correlations are .74 for MZ twins, .32 for DZ twins, .25 for siblings, .19 for parent-offspring pairs, .06 for adoptive relatives, and .12 for spouses. Advantages and disadvantages of twin, family, and adoption studies are reviewed. Data from the Virginia 30,000, including twins and their parents, siblings, spouses, and children, were analyzed using a structural equation model (Stealth) which estimates additive and dominance genetic variance, cultural transmission, assortative mating, nonparental shared environment, and special twin and MZ twin environmental variance. Genetic factors explained 67% of the variance in males and females, of which half is due to dominance. A small proportion of the genetic variance was attributed to the consequences of assortative mating. The remainder of the variance is accounted for by unique environmental factors, of which 7% is correlated across twins. No evidence was found for a special MZ twin environment, thereby supporting the equal environment assumption. These results are consistent with other studies in suggesting that genetic factors play a significant role in the causes of individual differences in relative body weight and human adiposity.", "author" : [ { "dropping-particle" : "", "family" : "Maes", "given" : "H H", "non-dropping-particle" : "", "parse-names" : false, "suffix" : "" }, { "dropping-particle" : "", "family" : "Neale", "given" : "M C", "non-dropping-particle" : "", "parse-names" : false, "suffix" : "" }, { "dropping-particle" : "", "family" : "Eaves", "given" : "L J", "non-dropping-particle" : "", "parse-names" : false, "suffix" : "" } ], "container-title" : "Behavior genetics", "id" : "ITEM-1", "issue" : "4", "issued" : { "date-parts" : [ [ "1997", "7" ] ] }, "page" : "325-51", "title" : "Genetic and environmental factors in relative body weight and human adiposity.", "type" : "article-journal", "volume" : "27" }, "uris" : [ "http://www.mendeley.com/documents/?uuid=ee640d4f-3ff0-3c41-b141-9fe0cd475f17" ] } ], "mendeley" : { "formattedCitation" : "(Maes et al., 1997)", "plainTextFormattedCitation" : "(Maes et al., 1997)", "previouslyFormattedCitation" : "(Maes et al., 1997)" }, "properties" : { "noteIndex" : 0 }, "schema" : "https://github.com/citation-style-language/schema/raw/master/csl-citation.json" }</w:instrText>
      </w:r>
      <w:r w:rsidR="0066035E" w:rsidRPr="009B3747">
        <w:rPr>
          <w:rFonts w:eastAsia="Times New Roman" w:cstheme="minorHAnsi"/>
          <w:color w:val="000000"/>
          <w:lang w:eastAsia="en-GB"/>
        </w:rPr>
        <w:fldChar w:fldCharType="separate"/>
      </w:r>
      <w:r w:rsidR="0066035E" w:rsidRPr="009B3747">
        <w:rPr>
          <w:rFonts w:eastAsia="Times New Roman" w:cstheme="minorHAnsi"/>
          <w:noProof/>
          <w:color w:val="000000"/>
          <w:lang w:eastAsia="en-GB"/>
        </w:rPr>
        <w:t>(Maes et al., 1997)</w:t>
      </w:r>
      <w:r w:rsidR="0066035E"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and specific genes related to obesity have been identified</w:t>
      </w:r>
      <w:r w:rsidR="0066035E" w:rsidRPr="009B3747">
        <w:rPr>
          <w:rFonts w:eastAsia="Times New Roman" w:cstheme="minorHAnsi"/>
          <w:color w:val="000000"/>
          <w:lang w:eastAsia="en-GB"/>
        </w:rPr>
        <w:t xml:space="preserve"> </w:t>
      </w:r>
      <w:r w:rsidR="0066035E"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"Barlow", "given" : "Sarah E.", "non-dropping-particle" : "", "parse-names" : false, "suffix" : "" } ], "container-title" : "Pediatrics", "id" : "ITEM-1", "issue" : "Supplement 4", "issued" : { "date-parts" : [ [ "2007" ] ] }, "title" : "Expert Committee Recommendations Regarding the Prevention, Assessment, and Treatment of Child and Adolescent Overweight and Obesity: Summary Report", "type" : "article-journal", "volume" : "120" }, "uris" : [ "http://www.mendeley.com/documents/?uuid=545f7d75-98f7-32f1-a9f5-6d34778c2494" ] }, { "id" : "ITEM-2", "itemData" : { "author" : [ { "dropping-particle" : "", "family" : "Swinburn", "given" : "BA", "non-dropping-particle" : "", "parse-names" : false, "suffix" : "" }, { "dropping-particle" : "", "family" : "Sacks", "given" : "G", "non-dropping-particle" : "", "parse-names" : false, "suffix" : "" }, { "dropping-particle" : "", "family" : "Hall", "given" : "KD", "non-dropping-particle" : "", "parse-names" : false, "suffix" : "" } ], "container-title" : "The Lancet", "id" : "ITEM-2", "issue" : "9793", "issued" : { "date-parts" : [ [ "2011" ] ] }, "page" : "804\u2013814", "title" : "The global obesity pandemic: shaped by global drivers and local environments", "type" : "article-journal", "volume" : "378" }, "uris" : [ "http://www.mendeley.com/documents/?uuid=32e46483-72ce-4885-84e3-55563f5489ac" ] } ], "mendeley" : { "formattedCitation" : "(Barlow, 2007; Swinburn et al., 2011)", "plainTextFormattedCitation" : "(Barlow, 2007; Swinburn et al., 2011)", "previouslyFormattedCitation" : "(Barlow, 2007; Swinburn et al., 2011)" }, "properties" : { "noteIndex" : 0 }, "schema" : "https://github.com/citation-style-language/schema/raw/master/csl-citation.json" }</w:instrText>
      </w:r>
      <w:r w:rsidR="0066035E" w:rsidRPr="009B3747">
        <w:rPr>
          <w:rFonts w:eastAsia="Times New Roman" w:cstheme="minorHAnsi"/>
          <w:color w:val="000000"/>
          <w:lang w:eastAsia="en-GB"/>
        </w:rPr>
        <w:fldChar w:fldCharType="separate"/>
      </w:r>
      <w:r w:rsidR="0066035E" w:rsidRPr="009B3747">
        <w:rPr>
          <w:rFonts w:eastAsia="Times New Roman" w:cstheme="minorHAnsi"/>
          <w:noProof/>
          <w:color w:val="000000"/>
          <w:lang w:eastAsia="en-GB"/>
        </w:rPr>
        <w:t>(Barlow, 2007; Swinburn et al., 2011)</w:t>
      </w:r>
      <w:r w:rsidR="0066035E"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Therefore variation in weight gain can be partially explained by an individual’s genetic susceptibility and predisposition to obesity </w:t>
      </w:r>
      <w:r w:rsidR="0066035E" w:rsidRPr="009B3747">
        <w:rPr>
          <w:rFonts w:eastAsia="Times New Roman" w:cstheme="minorHAnsi"/>
          <w:color w:val="000000"/>
          <w:lang w:eastAsia="en-GB"/>
        </w:rPr>
        <w:fldChar w:fldCharType="begin" w:fldLock="1"/>
      </w:r>
      <w:r w:rsidR="0066035E" w:rsidRPr="009B3747">
        <w:rPr>
          <w:rFonts w:eastAsia="Times New Roman" w:cstheme="minorHAnsi"/>
          <w:color w:val="000000"/>
          <w:lang w:eastAsia="en-GB"/>
        </w:rPr>
        <w:instrText>ADDIN CSL_CITATION { "citationItems" : [ { "id" : "ITEM-1", "itemData" : { "DOI" : "10.5402/2012/536905", "ISSN" : "2090-4649", "abstract" : "&lt;p&gt;The prevalence of obesity, which is a heritable trait that arises from the interactions of multiple genes and lifestyle factors, continues to increase worldwide, causing serious health problems and imposing a substantial economic burden on societies. For the past several years, various genetic epidemiological approaches have been utilized to identify genetic loci for obesity. Recent evidence suggests that development of obesity involves hormones and neurotransmitters (such as leptin, cocaine- and amphetamine-regulated transcript (CART), and ghrelin) that regulate appetite and energy expenditure. These hormones act on specific centers in the brain that regulate the sensations of satiety. Mutations in these hormones or their receptors can lead to obesity. Aberrant circadian rhythms and biochemical pathways in peripheral organs or tissues have also been implicated in the pathology of obesity. More interestingly, increasing evidence indicates a potential relation between obesity and central nervous system disorders (such as cognitive deficits). This paper discusses recent advances in the field of genetics of obesity with an emphasis on several established loci that influence obesity. These recently identified loci may hold the promise to substantially improve our insights into the pathophysiology of obesity and open up new therapeutic strategies to combat growing obesity epidemic facing the human population today.&lt;/p&gt;", "author" : [ { "dropping-particle" : "", "family" : "Cheung", "given" : "Wai W.", "non-dropping-particle" : "", "parse-names" : false, "suffix" : "" }, { "dropping-particle" : "", "family" : "Mao", "given" : "Peizhong", "non-dropping-particle" : "", "parse-names" : false, "suffix" : "" } ], "container-title" : "ISRN Endocrinology", "id" : "ITEM-1", "issued" : { "date-parts" : [ [ "2012", "3", "5" ] ] }, "page" : "1-11", "publisher" : "Hindawi", "title" : "Recent Advances in Obesity: Genetics and Beyond", "type" : "article-journal", "volume" : "2012" }, "uris" : [ "http://www.mendeley.com/documents/?uuid=41673343-20f6-3139-8ed5-cb9cfea79eea" ] } ], "mendeley" : { "formattedCitation" : "(Cheung and Mao, 2012)", "plainTextFormattedCitation" : "(Cheung and Mao, 2012)", "previouslyFormattedCitation" : "(Cheung and Mao, 2012)" }, "properties" : { "noteIndex" : 0 }, "schema" : "https://github.com/citation-style-language/schema/raw/master/csl-citation.json" }</w:instrText>
      </w:r>
      <w:r w:rsidR="0066035E" w:rsidRPr="009B3747">
        <w:rPr>
          <w:rFonts w:eastAsia="Times New Roman" w:cstheme="minorHAnsi"/>
          <w:color w:val="000000"/>
          <w:lang w:eastAsia="en-GB"/>
        </w:rPr>
        <w:fldChar w:fldCharType="separate"/>
      </w:r>
      <w:r w:rsidR="0066035E" w:rsidRPr="009B3747">
        <w:rPr>
          <w:rFonts w:eastAsia="Times New Roman" w:cstheme="minorHAnsi"/>
          <w:noProof/>
          <w:color w:val="000000"/>
          <w:lang w:eastAsia="en-GB"/>
        </w:rPr>
        <w:t>(Cheung and Mao, 2012)</w:t>
      </w:r>
      <w:r w:rsidR="0066035E" w:rsidRPr="009B3747">
        <w:rPr>
          <w:rFonts w:eastAsia="Times New Roman" w:cstheme="minorHAnsi"/>
          <w:color w:val="000000"/>
          <w:lang w:eastAsia="en-GB"/>
        </w:rPr>
        <w:fldChar w:fldCharType="end"/>
      </w:r>
      <w:r w:rsidR="0066035E"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A genetic predisposition to </w:t>
      </w:r>
      <w:r w:rsidR="00FA31CD" w:rsidRPr="009B3747">
        <w:rPr>
          <w:rFonts w:eastAsia="Times New Roman" w:cstheme="minorHAnsi"/>
          <w:color w:val="000000"/>
          <w:lang w:eastAsia="en-GB"/>
        </w:rPr>
        <w:t>obesity is considered important, given that it determines</w:t>
      </w:r>
      <w:r w:rsidRPr="009B3747">
        <w:rPr>
          <w:rFonts w:eastAsia="Times New Roman" w:cstheme="minorHAnsi"/>
          <w:color w:val="000000"/>
          <w:lang w:eastAsia="en-GB"/>
        </w:rPr>
        <w:t xml:space="preserve"> the level of activity o</w:t>
      </w:r>
      <w:r w:rsidR="0071085A">
        <w:rPr>
          <w:rFonts w:eastAsia="Times New Roman" w:cstheme="minorHAnsi"/>
          <w:color w:val="000000"/>
          <w:lang w:eastAsia="en-GB"/>
        </w:rPr>
        <w:t xml:space="preserve">f basic physiological variables, </w:t>
      </w:r>
      <w:r w:rsidRPr="009B3747">
        <w:rPr>
          <w:rFonts w:eastAsia="Times New Roman" w:cstheme="minorHAnsi"/>
          <w:color w:val="000000"/>
          <w:lang w:eastAsia="en-GB"/>
        </w:rPr>
        <w:t>which in turn directly infl</w:t>
      </w:r>
      <w:r w:rsidR="00FA31CD" w:rsidRPr="009B3747">
        <w:rPr>
          <w:rFonts w:eastAsia="Times New Roman" w:cstheme="minorHAnsi"/>
          <w:color w:val="000000"/>
          <w:lang w:eastAsia="en-GB"/>
        </w:rPr>
        <w:t>uence</w:t>
      </w:r>
      <w:r w:rsidR="00FA31CD" w:rsidRPr="009B3747">
        <w:rPr>
          <w:rFonts w:eastAsia="Times New Roman" w:cstheme="minorHAnsi"/>
          <w:i/>
          <w:color w:val="000000"/>
          <w:lang w:eastAsia="en-GB"/>
        </w:rPr>
        <w:t xml:space="preserve"> “</w:t>
      </w:r>
      <w:r w:rsidRPr="009B3747">
        <w:rPr>
          <w:rFonts w:eastAsia="Times New Roman" w:cstheme="minorHAnsi"/>
          <w:i/>
          <w:color w:val="000000"/>
          <w:lang w:eastAsia="en-GB"/>
        </w:rPr>
        <w:t>energy balance, appetite cont</w:t>
      </w:r>
      <w:r w:rsidR="008071A0" w:rsidRPr="009B3747">
        <w:rPr>
          <w:rFonts w:eastAsia="Times New Roman" w:cstheme="minorHAnsi"/>
          <w:i/>
          <w:color w:val="000000"/>
          <w:lang w:eastAsia="en-GB"/>
        </w:rPr>
        <w:t>rol and nutrient partitioning”</w:t>
      </w:r>
      <w:r w:rsidR="0066035E" w:rsidRPr="009B3747">
        <w:rPr>
          <w:rFonts w:eastAsia="Times New Roman" w:cstheme="minorHAnsi"/>
          <w:i/>
          <w:color w:val="000000"/>
          <w:lang w:eastAsia="en-GB"/>
        </w:rPr>
        <w:t xml:space="preserve"> </w:t>
      </w:r>
      <w:r w:rsidR="0066035E"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"Vandenbroek", "given" : "P", "non-dropping-particle" : "", "parse-names" : false, "suffix" : "" }, { "dropping-particle" : "", "family" : "Goossens", "given" : "J", "non-dropping-particle" : "", "parse-names" : false, "suffix" : "" }, { "dropping-particle" : "", "family" : "Clemens", "given" : "M", "non-dropping-particle" : "", "parse-names" : false, "suffix" : "" } ], "id" : "ITEM-1", "issued" : { "date-parts" : [ [ "2007" ] ] }, "publisher-place" : "London", "title" : "Foresight tackling obesities: future choices - building the obesity system map", "type" : "report" }, "uris" : [ "http://www.mendeley.com/documents/?uuid=5cbdd946-3cc6-4d9f-b0b6-6691e4cf63b3" ] } ], "mendeley" : { "formattedCitation" : "(Vandenbroek et al., 2007)", "manualFormatting" : "(Vandenbroek et al., 2007, p.18)", "plainTextFormattedCitation" : "(Vandenbroek et al., 2007)", "previouslyFormattedCitation" : "(Vandenbroek et al., 2007)" }, "properties" : { "noteIndex" : 0 }, "schema" : "https://github.com/citation-style-language/schema/raw/master/csl-citation.json" }</w:instrText>
      </w:r>
      <w:r w:rsidR="0066035E" w:rsidRPr="009B3747">
        <w:rPr>
          <w:rFonts w:eastAsia="Times New Roman" w:cstheme="minorHAnsi"/>
          <w:color w:val="000000"/>
          <w:lang w:eastAsia="en-GB"/>
        </w:rPr>
        <w:fldChar w:fldCharType="separate"/>
      </w:r>
      <w:r w:rsidR="0066035E" w:rsidRPr="009B3747">
        <w:rPr>
          <w:rFonts w:eastAsia="Times New Roman" w:cstheme="minorHAnsi"/>
          <w:noProof/>
          <w:color w:val="000000"/>
          <w:lang w:eastAsia="en-GB"/>
        </w:rPr>
        <w:t>(Vandenbroek et al., 2007</w:t>
      </w:r>
      <w:r w:rsidR="00AE6A9E" w:rsidRPr="009B3747">
        <w:rPr>
          <w:rFonts w:eastAsia="Times New Roman" w:cstheme="minorHAnsi"/>
          <w:noProof/>
          <w:color w:val="000000"/>
          <w:lang w:eastAsia="en-GB"/>
        </w:rPr>
        <w:t>, p.</w:t>
      </w:r>
      <w:r w:rsidR="0066035E" w:rsidRPr="009B3747">
        <w:rPr>
          <w:rFonts w:eastAsia="Times New Roman" w:cstheme="minorHAnsi"/>
          <w:noProof/>
          <w:color w:val="000000"/>
          <w:lang w:eastAsia="en-GB"/>
        </w:rPr>
        <w:t>18)</w:t>
      </w:r>
      <w:r w:rsidR="0066035E" w:rsidRPr="009B3747">
        <w:rPr>
          <w:rFonts w:eastAsia="Times New Roman" w:cstheme="minorHAnsi"/>
          <w:color w:val="000000"/>
          <w:lang w:eastAsia="en-GB"/>
        </w:rPr>
        <w:fldChar w:fldCharType="end"/>
      </w:r>
      <w:r w:rsidRPr="009B3747">
        <w:rPr>
          <w:rFonts w:eastAsia="Times New Roman" w:cstheme="minorHAnsi"/>
          <w:color w:val="000000"/>
          <w:lang w:eastAsia="en-GB"/>
        </w:rPr>
        <w:t>.  Furthermore, other physiological and biological risk factors have been ident</w:t>
      </w:r>
      <w:r w:rsidR="008071A0" w:rsidRPr="009B3747">
        <w:rPr>
          <w:rFonts w:eastAsia="Times New Roman" w:cstheme="minorHAnsi"/>
          <w:color w:val="000000"/>
          <w:lang w:eastAsia="en-GB"/>
        </w:rPr>
        <w:t xml:space="preserve">ified through the discovery of </w:t>
      </w:r>
      <w:r w:rsidR="008071A0" w:rsidRPr="009B3747">
        <w:rPr>
          <w:rFonts w:eastAsia="Times New Roman" w:cstheme="minorHAnsi"/>
          <w:i/>
          <w:color w:val="000000"/>
          <w:lang w:eastAsia="en-GB"/>
        </w:rPr>
        <w:t>“</w:t>
      </w:r>
      <w:r w:rsidRPr="009B3747">
        <w:rPr>
          <w:rFonts w:eastAsia="Times New Roman" w:cstheme="minorHAnsi"/>
          <w:i/>
          <w:color w:val="000000"/>
          <w:lang w:eastAsia="en-GB"/>
        </w:rPr>
        <w:t xml:space="preserve">leptin, ghrelin, </w:t>
      </w:r>
      <w:r w:rsidR="008071A0" w:rsidRPr="009B3747">
        <w:rPr>
          <w:rFonts w:eastAsia="Times New Roman" w:cstheme="minorHAnsi"/>
          <w:i/>
          <w:color w:val="000000"/>
          <w:lang w:eastAsia="en-GB"/>
        </w:rPr>
        <w:t>adiponectin, and other hormones”</w:t>
      </w:r>
      <w:r w:rsidR="0071085A">
        <w:rPr>
          <w:rFonts w:eastAsia="Times New Roman" w:cstheme="minorHAnsi"/>
          <w:color w:val="000000"/>
          <w:lang w:eastAsia="en-GB"/>
        </w:rPr>
        <w:t xml:space="preserve">, </w:t>
      </w:r>
      <w:r w:rsidRPr="009B3747">
        <w:rPr>
          <w:rFonts w:eastAsia="Times New Roman" w:cstheme="minorHAnsi"/>
          <w:color w:val="000000"/>
          <w:lang w:eastAsia="en-GB"/>
        </w:rPr>
        <w:t xml:space="preserve">which are </w:t>
      </w:r>
      <w:r w:rsidR="00FA31CD" w:rsidRPr="009B3747">
        <w:rPr>
          <w:rFonts w:eastAsia="Times New Roman" w:cstheme="minorHAnsi"/>
          <w:color w:val="000000"/>
          <w:lang w:eastAsia="en-GB"/>
        </w:rPr>
        <w:t xml:space="preserve">also </w:t>
      </w:r>
      <w:r w:rsidRPr="009B3747">
        <w:rPr>
          <w:rFonts w:eastAsia="Times New Roman" w:cstheme="minorHAnsi"/>
          <w:color w:val="000000"/>
          <w:lang w:eastAsia="en-GB"/>
        </w:rPr>
        <w:t>unders</w:t>
      </w:r>
      <w:r w:rsidR="008071A0" w:rsidRPr="009B3747">
        <w:rPr>
          <w:rFonts w:eastAsia="Times New Roman" w:cstheme="minorHAnsi"/>
          <w:color w:val="000000"/>
          <w:lang w:eastAsia="en-GB"/>
        </w:rPr>
        <w:t xml:space="preserve">tood to influence individual’s </w:t>
      </w:r>
      <w:r w:rsidR="008071A0" w:rsidRPr="009B3747">
        <w:rPr>
          <w:rFonts w:eastAsia="Times New Roman" w:cstheme="minorHAnsi"/>
          <w:i/>
          <w:color w:val="000000"/>
          <w:lang w:eastAsia="en-GB"/>
        </w:rPr>
        <w:t>“</w:t>
      </w:r>
      <w:r w:rsidRPr="009B3747">
        <w:rPr>
          <w:rFonts w:eastAsia="Times New Roman" w:cstheme="minorHAnsi"/>
          <w:i/>
          <w:color w:val="000000"/>
          <w:lang w:eastAsia="en-GB"/>
        </w:rPr>
        <w:t>appetite</w:t>
      </w:r>
      <w:r w:rsidR="008071A0" w:rsidRPr="009B3747">
        <w:rPr>
          <w:rFonts w:eastAsia="Times New Roman" w:cstheme="minorHAnsi"/>
          <w:i/>
          <w:color w:val="000000"/>
          <w:lang w:eastAsia="en-GB"/>
        </w:rPr>
        <w:t>, satiety, and fat distribution”</w:t>
      </w:r>
      <w:r w:rsidRPr="009B3747">
        <w:rPr>
          <w:rFonts w:eastAsia="Times New Roman" w:cstheme="minorHAnsi"/>
          <w:color w:val="000000"/>
          <w:lang w:eastAsia="en-GB"/>
        </w:rPr>
        <w:t xml:space="preserve"> </w:t>
      </w:r>
      <w:r w:rsidR="0066035E" w:rsidRPr="009B3747">
        <w:rPr>
          <w:rFonts w:eastAsia="Times New Roman" w:cstheme="minorHAnsi"/>
          <w:color w:val="000000"/>
          <w:lang w:eastAsia="en-GB"/>
        </w:rPr>
        <w:fldChar w:fldCharType="begin" w:fldLock="1"/>
      </w:r>
      <w:r w:rsidR="00224C9C" w:rsidRPr="009B3747">
        <w:rPr>
          <w:rFonts w:eastAsia="Times New Roman" w:cstheme="minorHAnsi"/>
          <w:color w:val="000000"/>
          <w:lang w:eastAsia="en-GB"/>
        </w:rPr>
        <w:instrText>ADDIN CSL_CITATION { "citationItems" : [ { "id" : "ITEM-1", "itemData" : { "author" : [ { "dropping-particle" : "", "family" : "Barlow", "given" : "Sarah E.", "non-dropping-particle" : "", "parse-names" : false, "suffix" : "" } ], "container-title" : "Pediatrics", "id" : "ITEM-1", "issue" : "Supplement 4", "issued" : { "date-parts" : [ [ "2007" ] ] }, "title" : "Expert Committee Recommendations Regarding the Prevention, Assessment, and Treatment of Child and Adolescent Overweight and Obesity: Summary Report", "type" : "article-journal", "volume" : "120" }, "uris" : [ "http://www.mendeley.com/documents/?uuid=545f7d75-98f7-32f1-a9f5-6d34778c2494" ] } ], "mendeley" : { "formattedCitation" : "(Barlow, 2007)", "manualFormatting" : "(Barlow, 2007, p.S166)", "plainTextFormattedCitation" : "(Barlow, 2007)", "previouslyFormattedCitation" : "(Barlow, 2007)" }, "properties" : { "noteIndex" : 0 }, "schema" : "https://github.com/citation-style-language/schema/raw/master/csl-citation.json" }</w:instrText>
      </w:r>
      <w:r w:rsidR="0066035E" w:rsidRPr="009B3747">
        <w:rPr>
          <w:rFonts w:eastAsia="Times New Roman" w:cstheme="minorHAnsi"/>
          <w:color w:val="000000"/>
          <w:lang w:eastAsia="en-GB"/>
        </w:rPr>
        <w:fldChar w:fldCharType="separate"/>
      </w:r>
      <w:r w:rsidR="0066035E" w:rsidRPr="009B3747">
        <w:rPr>
          <w:rFonts w:eastAsia="Times New Roman" w:cstheme="minorHAnsi"/>
          <w:noProof/>
          <w:color w:val="000000"/>
          <w:lang w:eastAsia="en-GB"/>
        </w:rPr>
        <w:t>(Barlow, 2007</w:t>
      </w:r>
      <w:r w:rsidR="00AE6A9E" w:rsidRPr="009B3747">
        <w:rPr>
          <w:rFonts w:eastAsia="Times New Roman" w:cstheme="minorHAnsi"/>
          <w:noProof/>
          <w:color w:val="000000"/>
          <w:lang w:eastAsia="en-GB"/>
        </w:rPr>
        <w:t>, p.</w:t>
      </w:r>
      <w:r w:rsidR="0066035E" w:rsidRPr="009B3747">
        <w:rPr>
          <w:rFonts w:eastAsia="Times New Roman" w:cstheme="minorHAnsi"/>
          <w:noProof/>
          <w:color w:val="000000"/>
          <w:lang w:eastAsia="en-GB"/>
        </w:rPr>
        <w:t>S166)</w:t>
      </w:r>
      <w:r w:rsidR="0066035E" w:rsidRPr="009B3747">
        <w:rPr>
          <w:rFonts w:eastAsia="Times New Roman" w:cstheme="minorHAnsi"/>
          <w:color w:val="000000"/>
          <w:lang w:eastAsia="en-GB"/>
        </w:rPr>
        <w:fldChar w:fldCharType="end"/>
      </w:r>
      <w:r w:rsidR="0066035E" w:rsidRPr="009B3747">
        <w:rPr>
          <w:rFonts w:eastAsia="Times New Roman" w:cstheme="minorHAnsi"/>
          <w:color w:val="000000"/>
          <w:lang w:eastAsia="en-GB"/>
        </w:rPr>
        <w:t>.</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FA31CD" w:rsidRPr="009B3747" w:rsidRDefault="00FA31CD" w:rsidP="00FA31CD">
      <w:pPr>
        <w:rPr>
          <w:rFonts w:eastAsia="Times New Roman" w:cstheme="minorHAnsi"/>
          <w:sz w:val="24"/>
          <w:szCs w:val="24"/>
          <w:lang w:eastAsia="en-GB"/>
        </w:rPr>
      </w:pPr>
      <w:r w:rsidRPr="009B3747">
        <w:rPr>
          <w:rFonts w:eastAsia="Times New Roman" w:cstheme="minorHAnsi"/>
          <w:color w:val="000000"/>
          <w:lang w:eastAsia="en-GB"/>
        </w:rPr>
        <w:t>2.</w:t>
      </w:r>
      <w:r w:rsidR="008818AD" w:rsidRPr="009B3747">
        <w:rPr>
          <w:rFonts w:eastAsia="Times New Roman" w:cstheme="minorHAnsi"/>
          <w:color w:val="000000"/>
          <w:lang w:eastAsia="en-GB"/>
        </w:rPr>
        <w:t>5.1.2</w:t>
      </w:r>
      <w:r w:rsidRPr="009B3747">
        <w:rPr>
          <w:rFonts w:eastAsia="Times New Roman" w:cstheme="minorHAnsi"/>
          <w:color w:val="000000"/>
          <w:lang w:eastAsia="en-GB"/>
        </w:rPr>
        <w:t xml:space="preserve"> </w:t>
      </w:r>
      <w:r w:rsidRPr="009B3747">
        <w:rPr>
          <w:rFonts w:eastAsia="Times New Roman" w:cstheme="minorHAnsi"/>
          <w:iCs/>
          <w:color w:val="000000"/>
          <w:lang w:eastAsia="en-GB"/>
        </w:rPr>
        <w:t>Individual behaviours</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66035E" w:rsidRPr="009B3747" w:rsidRDefault="00A16FA3" w:rsidP="00A16FA3">
      <w:pPr>
        <w:rPr>
          <w:rFonts w:eastAsia="Times New Roman" w:cstheme="minorHAnsi"/>
          <w:color w:val="000000"/>
          <w:lang w:eastAsia="en-GB"/>
        </w:rPr>
      </w:pPr>
      <w:r w:rsidRPr="009B3747">
        <w:rPr>
          <w:rFonts w:eastAsia="Times New Roman" w:cstheme="minorHAnsi"/>
          <w:color w:val="000000"/>
          <w:lang w:eastAsia="en-GB"/>
        </w:rPr>
        <w:t>In addition to physiological factors, an individual’s dietary and physical activity behaviours play a critical role in influencing energy balance and resultant weight status</w:t>
      </w:r>
      <w:r w:rsidR="0066035E" w:rsidRPr="009B3747">
        <w:rPr>
          <w:rFonts w:eastAsia="Times New Roman" w:cstheme="minorHAnsi"/>
          <w:color w:val="000000"/>
          <w:lang w:eastAsia="en-GB"/>
        </w:rPr>
        <w:t xml:space="preserve"> </w:t>
      </w:r>
      <w:r w:rsidR="0066035E"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"Butland", "given" : "B", "non-dropping-particle" : "", "parse-names" : false, "suffix" : "" }, { "dropping-particle" : "", "family" : "Jebb", "given" : "S", "non-dropping-particle" : "", "parse-names" : false, "suffix" : "" } ], "id" : "ITEM-1", "issued" : { "date-parts" : [ [ "2007" ] ] }, "title" : "Foresight. Tackling obesities: future choices. Project report.", "type" : "report" }, "uris" : [ "http://www.mendeley.com/documents/?uuid=8ae0e880-41d4-4b61-b434-dc36711dd306" ] } ], "mendeley" : { "formattedCitation" : "(Butland and Jebb, 2007)", "plainTextFormattedCitation" : "(Butland and Jebb, 2007)", "previouslyFormattedCitation" : "(Butland and Jebb, 2007)" }, "properties" : { "noteIndex" : 0 }, "schema" : "https://github.com/citation-style-language/schema/raw/master/csl-citation.json" }</w:instrText>
      </w:r>
      <w:r w:rsidR="0066035E" w:rsidRPr="009B3747">
        <w:rPr>
          <w:rFonts w:eastAsia="Times New Roman" w:cstheme="minorHAnsi"/>
          <w:color w:val="000000"/>
          <w:lang w:eastAsia="en-GB"/>
        </w:rPr>
        <w:fldChar w:fldCharType="separate"/>
      </w:r>
      <w:r w:rsidR="0066035E" w:rsidRPr="009B3747">
        <w:rPr>
          <w:rFonts w:eastAsia="Times New Roman" w:cstheme="minorHAnsi"/>
          <w:noProof/>
          <w:color w:val="000000"/>
          <w:lang w:eastAsia="en-GB"/>
        </w:rPr>
        <w:t>(Butland and Jebb, 2007)</w:t>
      </w:r>
      <w:r w:rsidR="0066035E" w:rsidRPr="009B3747">
        <w:rPr>
          <w:rFonts w:eastAsia="Times New Roman" w:cstheme="minorHAnsi"/>
          <w:color w:val="000000"/>
          <w:lang w:eastAsia="en-GB"/>
        </w:rPr>
        <w:fldChar w:fldCharType="end"/>
      </w:r>
      <w:r w:rsidR="0066035E" w:rsidRPr="009B3747">
        <w:rPr>
          <w:rFonts w:eastAsia="Times New Roman" w:cstheme="minorHAnsi"/>
          <w:color w:val="000000"/>
          <w:lang w:eastAsia="en-GB"/>
        </w:rPr>
        <w:t xml:space="preserve">.  In </w:t>
      </w:r>
      <w:r w:rsidRPr="009B3747">
        <w:rPr>
          <w:rFonts w:eastAsia="Times New Roman" w:cstheme="minorHAnsi"/>
          <w:color w:val="000000"/>
          <w:lang w:eastAsia="en-GB"/>
        </w:rPr>
        <w:t xml:space="preserve">respect to energy </w:t>
      </w:r>
      <w:r w:rsidR="0066035E" w:rsidRPr="009B3747">
        <w:rPr>
          <w:rFonts w:eastAsia="Times New Roman" w:cstheme="minorHAnsi"/>
          <w:color w:val="000000"/>
          <w:lang w:eastAsia="en-GB"/>
        </w:rPr>
        <w:t>balance, a</w:t>
      </w:r>
      <w:r w:rsidRPr="009B3747">
        <w:rPr>
          <w:rFonts w:eastAsia="Times New Roman" w:cstheme="minorHAnsi"/>
          <w:color w:val="000000"/>
          <w:lang w:eastAsia="en-GB"/>
        </w:rPr>
        <w:t xml:space="preserve"> vast array of observational studies have sought to investigate the relationship between modifiable individual dietary and physical activity behavio</w:t>
      </w:r>
      <w:r w:rsidR="00996DC8">
        <w:rPr>
          <w:rFonts w:eastAsia="Times New Roman" w:cstheme="minorHAnsi"/>
          <w:color w:val="000000"/>
          <w:lang w:eastAsia="en-GB"/>
        </w:rPr>
        <w:t xml:space="preserve">urs and weight related outcomes, </w:t>
      </w:r>
      <w:r w:rsidRPr="009B3747">
        <w:rPr>
          <w:rFonts w:eastAsia="Times New Roman" w:cstheme="minorHAnsi"/>
          <w:color w:val="000000"/>
          <w:lang w:eastAsia="en-GB"/>
        </w:rPr>
        <w:t xml:space="preserve">across an individual’s </w:t>
      </w:r>
      <w:r w:rsidR="00670813" w:rsidRPr="009B3747">
        <w:rPr>
          <w:rFonts w:eastAsia="Times New Roman" w:cstheme="minorHAnsi"/>
          <w:color w:val="000000"/>
          <w:lang w:eastAsia="en-GB"/>
        </w:rPr>
        <w:t>life course</w:t>
      </w:r>
      <w:r w:rsidRPr="009B3747">
        <w:rPr>
          <w:rFonts w:eastAsia="Times New Roman" w:cstheme="minorHAnsi"/>
          <w:color w:val="000000"/>
          <w:lang w:eastAsia="en-GB"/>
        </w:rPr>
        <w:t xml:space="preserve"> </w:t>
      </w:r>
      <w:r w:rsidR="0066035E"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"National Institute of Health and Care Excellence", "given" : "", "non-dropping-particle" : "", "parse-names" : false, "suffix" : "" } ], "id" : "ITEM-1", "issued" : { "date-parts" : [ [ "2015" ] ] }, "publisher-place" : "London", "title" : "Obesity in children and young people: prevention and lifestyle weight management programmes", "type" : "report" }, "uris" : [ "http://www.mendeley.com/documents/?uuid=572b7eec-0d9f-4bd1-8da0-2229d1fa31a3" ] } ], "mendeley" : { "formattedCitation" : "(National Institute of Health and Care Excellence, 2015b)", "plainTextFormattedCitation" : "(National Institute of Health and Care Excellence, 2015b)", "previouslyFormattedCitation" : "(National Institute of Health and Care Excellence, 2015b)" }, "properties" : { "noteIndex" : 0 }, "schema" : "https://github.com/citation-style-language/schema/raw/master/csl-citation.json" }</w:instrText>
      </w:r>
      <w:r w:rsidR="0066035E" w:rsidRPr="009B3747">
        <w:rPr>
          <w:rFonts w:eastAsia="Times New Roman" w:cstheme="minorHAnsi"/>
          <w:color w:val="000000"/>
          <w:lang w:eastAsia="en-GB"/>
        </w:rPr>
        <w:fldChar w:fldCharType="separate"/>
      </w:r>
      <w:r w:rsidR="0066035E" w:rsidRPr="009B3747">
        <w:rPr>
          <w:rFonts w:eastAsia="Times New Roman" w:cstheme="minorHAnsi"/>
          <w:noProof/>
          <w:color w:val="000000"/>
          <w:lang w:eastAsia="en-GB"/>
        </w:rPr>
        <w:t>(National Institute of Health and Care Excellence, 2015b)</w:t>
      </w:r>
      <w:r w:rsidR="0066035E" w:rsidRPr="009B3747">
        <w:rPr>
          <w:rFonts w:eastAsia="Times New Roman" w:cstheme="minorHAnsi"/>
          <w:color w:val="000000"/>
          <w:lang w:eastAsia="en-GB"/>
        </w:rPr>
        <w:fldChar w:fldCharType="end"/>
      </w:r>
      <w:r w:rsidRPr="009B3747">
        <w:rPr>
          <w:rFonts w:eastAsia="Times New Roman" w:cstheme="minorHAnsi"/>
          <w:color w:val="000000"/>
          <w:lang w:eastAsia="en-GB"/>
        </w:rPr>
        <w:t>.  However the validity and reliability of th</w:t>
      </w:r>
      <w:r w:rsidR="00A17E69" w:rsidRPr="009B3747">
        <w:rPr>
          <w:rFonts w:eastAsia="Times New Roman" w:cstheme="minorHAnsi"/>
          <w:color w:val="000000"/>
          <w:lang w:eastAsia="en-GB"/>
        </w:rPr>
        <w:t xml:space="preserve">ese studies have at times been </w:t>
      </w:r>
      <w:r w:rsidR="00A17E69" w:rsidRPr="009B3747">
        <w:rPr>
          <w:rFonts w:eastAsia="Times New Roman" w:cstheme="minorHAnsi"/>
          <w:i/>
          <w:color w:val="000000"/>
          <w:lang w:eastAsia="en-GB"/>
        </w:rPr>
        <w:t>“</w:t>
      </w:r>
      <w:r w:rsidRPr="009B3747">
        <w:rPr>
          <w:rFonts w:eastAsia="Times New Roman" w:cstheme="minorHAnsi"/>
          <w:i/>
          <w:color w:val="000000"/>
          <w:lang w:eastAsia="en-GB"/>
        </w:rPr>
        <w:t xml:space="preserve">hampered by the </w:t>
      </w:r>
      <w:r w:rsidRPr="009B3747">
        <w:rPr>
          <w:rFonts w:eastAsia="Times New Roman" w:cstheme="minorHAnsi"/>
          <w:i/>
          <w:color w:val="000000"/>
          <w:lang w:eastAsia="en-GB"/>
        </w:rPr>
        <w:lastRenderedPageBreak/>
        <w:t>lack of robust, objective measures of dietary and physical activity in large populatio</w:t>
      </w:r>
      <w:r w:rsidR="00A17E69" w:rsidRPr="009B3747">
        <w:rPr>
          <w:rFonts w:eastAsia="Times New Roman" w:cstheme="minorHAnsi"/>
          <w:i/>
          <w:color w:val="000000"/>
          <w:lang w:eastAsia="en-GB"/>
        </w:rPr>
        <w:t>ns”</w:t>
      </w:r>
      <w:r w:rsidR="0066035E" w:rsidRPr="009B3747">
        <w:rPr>
          <w:rFonts w:eastAsia="Times New Roman" w:cstheme="minorHAnsi"/>
          <w:color w:val="000000"/>
          <w:lang w:eastAsia="en-GB"/>
        </w:rPr>
        <w:t xml:space="preserve"> </w:t>
      </w:r>
      <w:r w:rsidR="0066035E" w:rsidRPr="009B3747">
        <w:rPr>
          <w:rFonts w:eastAsia="Times New Roman" w:cstheme="minorHAnsi"/>
          <w:color w:val="000000"/>
          <w:lang w:eastAsia="en-GB"/>
        </w:rPr>
        <w:fldChar w:fldCharType="begin" w:fldLock="1"/>
      </w:r>
      <w:r w:rsidR="00224C9C" w:rsidRPr="009B3747">
        <w:rPr>
          <w:rFonts w:eastAsia="Times New Roman" w:cstheme="minorHAnsi"/>
          <w:color w:val="000000"/>
          <w:lang w:eastAsia="en-GB"/>
        </w:rPr>
        <w:instrText>ADDIN CSL_CITATION { "citationItems" : [ { "id" : "ITEM-1", "itemData" : { "DOI" : "10.1111/j.1467-789X.2007.00344.x", "ISSN" : "1467-7881", "author" : [ { "dropping-particle" : "", "family" : "Jebb", "given" : "S. A.", "non-dropping-particle" : "", "parse-names" : false, "suffix" : "" }, { "dropping-particle" : "", "family" : "Kopelman", "given" : "P.", "non-dropping-particle" : "", "parse-names" : false, "suffix" : "" }, { "dropping-particle" : "", "family" : "Butland", "given" : "B.", "non-dropping-particle" : "", "parse-names" : false, "suffix" : "" } ], "container-title" : "Obesity Reviews", "id" : "ITEM-1", "issue" : "s1", "issued" : { "date-parts" : [ [ "2007", "3", "1" ] ] }, "page" : "vi-ix", "publisher" : "Blackwell Publishing Ltd", "title" : "Executive Summary: FORESIGHT ?Tackling Obesities: Future Choices? project", "type" : "article-journal", "volume" : "8" }, "uris" : [ "http://www.mendeley.com/documents/?uuid=e73a53f3-f7de-3576-bb1a-7694a6fd0aa5" ] } ], "mendeley" : { "formattedCitation" : "(Jebb et al., 2007)", "manualFormatting" : "(Jebb et al., 2007, p.vii)", "plainTextFormattedCitation" : "(Jebb et al., 2007)", "previouslyFormattedCitation" : "(Jebb et al., 2007)" }, "properties" : { "noteIndex" : 0 }, "schema" : "https://github.com/citation-style-language/schema/raw/master/csl-citation.json" }</w:instrText>
      </w:r>
      <w:r w:rsidR="0066035E" w:rsidRPr="009B3747">
        <w:rPr>
          <w:rFonts w:eastAsia="Times New Roman" w:cstheme="minorHAnsi"/>
          <w:color w:val="000000"/>
          <w:lang w:eastAsia="en-GB"/>
        </w:rPr>
        <w:fldChar w:fldCharType="separate"/>
      </w:r>
      <w:r w:rsidR="0066035E" w:rsidRPr="009B3747">
        <w:rPr>
          <w:rFonts w:eastAsia="Times New Roman" w:cstheme="minorHAnsi"/>
          <w:noProof/>
          <w:color w:val="000000"/>
          <w:lang w:eastAsia="en-GB"/>
        </w:rPr>
        <w:t>(Jebb et al., 2007</w:t>
      </w:r>
      <w:r w:rsidR="00AE6A9E" w:rsidRPr="009B3747">
        <w:rPr>
          <w:rFonts w:eastAsia="Times New Roman" w:cstheme="minorHAnsi"/>
          <w:noProof/>
          <w:color w:val="000000"/>
          <w:lang w:eastAsia="en-GB"/>
        </w:rPr>
        <w:t>, p.</w:t>
      </w:r>
      <w:r w:rsidR="0066035E" w:rsidRPr="009B3747">
        <w:rPr>
          <w:rFonts w:eastAsia="Times New Roman" w:cstheme="minorHAnsi"/>
          <w:noProof/>
          <w:color w:val="000000"/>
          <w:lang w:eastAsia="en-GB"/>
        </w:rPr>
        <w:t>vii)</w:t>
      </w:r>
      <w:r w:rsidR="0066035E" w:rsidRPr="009B3747">
        <w:rPr>
          <w:rFonts w:eastAsia="Times New Roman" w:cstheme="minorHAnsi"/>
          <w:color w:val="000000"/>
          <w:lang w:eastAsia="en-GB"/>
        </w:rPr>
        <w:fldChar w:fldCharType="end"/>
      </w:r>
      <w:r w:rsidR="0066035E" w:rsidRPr="009B3747">
        <w:rPr>
          <w:rFonts w:eastAsia="Times New Roman" w:cstheme="minorHAnsi"/>
          <w:color w:val="000000"/>
          <w:lang w:eastAsia="en-GB"/>
        </w:rPr>
        <w:t xml:space="preserve">.  </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A16FA3" w:rsidRPr="009B3747" w:rsidRDefault="00A16FA3" w:rsidP="00A16FA3">
      <w:pPr>
        <w:rPr>
          <w:rFonts w:eastAsia="Times New Roman" w:cstheme="minorHAnsi"/>
          <w:sz w:val="24"/>
          <w:szCs w:val="24"/>
          <w:lang w:eastAsia="en-GB"/>
        </w:rPr>
      </w:pPr>
      <w:r w:rsidRPr="009B3747">
        <w:rPr>
          <w:rFonts w:eastAsia="Times New Roman" w:cstheme="minorHAnsi"/>
          <w:color w:val="000000"/>
          <w:lang w:eastAsia="en-GB"/>
        </w:rPr>
        <w:t xml:space="preserve">Despite varying in the strength of evidence and at times the presentation of conflicting results, research has identified positive associations between an increasing risk of obesity and the consumption of high sugar beverages </w:t>
      </w:r>
      <w:r w:rsidR="0066035E" w:rsidRPr="009B3747">
        <w:rPr>
          <w:rFonts w:eastAsia="Times New Roman" w:cstheme="minorHAnsi"/>
          <w:color w:val="000000"/>
          <w:lang w:eastAsia="en-GB"/>
        </w:rPr>
        <w:fldChar w:fldCharType="begin" w:fldLock="1"/>
      </w:r>
      <w:r w:rsidR="0066035E" w:rsidRPr="009B3747">
        <w:rPr>
          <w:rFonts w:eastAsia="Times New Roman" w:cstheme="minorHAnsi"/>
          <w:color w:val="000000"/>
          <w:lang w:eastAsia="en-GB"/>
        </w:rPr>
        <w:instrText>ADDIN CSL_CITATION { "citationItems" : [ { "id" : "ITEM-1", "itemData" : { "ISSN" : "0002-9165", "PMID" : "16895873", "abstract" : "Consumption of sugar-sweetened beverages (SSBs), particularly carbonated soft drinks, may be a key contributor to the epidemic of overweight and obesity, by virtue of these beverages' high added sugar content, low satiety, and incomplete compensation for total energy. Whether an association exists between SSB intake and weight gain is unclear. We searched English-language MEDLINE publications from 1966 through May 2005 for cross-sectional, prospective cohort, and experimental studies of the relation between SSBs and the risk of weight gain (ie, overweight, obesity, or both). Thirty publications (15 cross-sectional, 10 prospective, and 5 experimental) were selected on the basis of relevance and quality of design and methods. Findings from large cross-sectional studies, in conjunction with those from well-powered prospective cohort studies with long periods of follow-up, show a positive association between greater intakes of SSBs and weight gain and obesity in both children and adults. Findings from short-term feeding trials in adults also support an induction of positive energy balance and weight gain by intake of sugar-sweetened sodas, but these trials are few. A school-based intervention found significantly less soft-drink consumption and prevalence of obese and overweight children in the intervention group than in control subjects after 12 mo, and a recent 25-week randomized controlled trial in adolescents found further evidence linking SSB intake to body weight. The weight of epidemiologic and experimental evidence indicates that a greater consumption of SSBs is associated with weight gain and obesity. Although more research is needed, sufficient evidence exists for public health strategies to discourage consumption of sugary drinks as part of a healthy lifestyle.", "author" : [ { "dropping-particle" : "", "family" : "Malik", "given" : "Vasanti S", "non-dropping-particle" : "", "parse-names" : false, "suffix" : "" }, { "dropping-particle" : "", "family" : "Schulze", "given" : "Matthias B", "non-dropping-particle" : "", "parse-names" : false, "suffix" : "" }, { "dropping-particle" : "", "family" : "Hu", "given" : "Frank B", "non-dropping-particle" : "", "parse-names" : false, "suffix" : "" } ], "container-title" : "The American journal of clinical nutrition", "id" : "ITEM-1", "issue" : "2", "issued" : { "date-parts" : [ [ "2006", "8" ] ] }, "page" : "274-88", "title" : "Intake of sugar-sweetened beverages and weight gain: a systematic review.", "type" : "article-journal", "volume" : "84" }, "uris" : [ "http://www.mendeley.com/documents/?uuid=aaa89195-dbb0-326e-abb9-018e095ec1a5" ] } ], "mendeley" : { "formattedCitation" : "(Malik et al., 2006)", "plainTextFormattedCitation" : "(Malik et al., 2006)", "previouslyFormattedCitation" : "(Malik et al., 2006)" }, "properties" : { "noteIndex" : 0 }, "schema" : "https://github.com/citation-style-language/schema/raw/master/csl-citation.json" }</w:instrText>
      </w:r>
      <w:r w:rsidR="0066035E" w:rsidRPr="009B3747">
        <w:rPr>
          <w:rFonts w:eastAsia="Times New Roman" w:cstheme="minorHAnsi"/>
          <w:color w:val="000000"/>
          <w:lang w:eastAsia="en-GB"/>
        </w:rPr>
        <w:fldChar w:fldCharType="separate"/>
      </w:r>
      <w:r w:rsidR="0066035E" w:rsidRPr="009B3747">
        <w:rPr>
          <w:rFonts w:eastAsia="Times New Roman" w:cstheme="minorHAnsi"/>
          <w:noProof/>
          <w:color w:val="000000"/>
          <w:lang w:eastAsia="en-GB"/>
        </w:rPr>
        <w:t>(Malik et al., 2006)</w:t>
      </w:r>
      <w:r w:rsidR="0066035E" w:rsidRPr="009B3747">
        <w:rPr>
          <w:rFonts w:eastAsia="Times New Roman" w:cstheme="minorHAnsi"/>
          <w:color w:val="000000"/>
          <w:lang w:eastAsia="en-GB"/>
        </w:rPr>
        <w:fldChar w:fldCharType="end"/>
      </w:r>
      <w:r w:rsidR="0066035E" w:rsidRPr="009B3747">
        <w:rPr>
          <w:rFonts w:eastAsia="Times New Roman" w:cstheme="minorHAnsi"/>
          <w:color w:val="000000"/>
          <w:lang w:eastAsia="en-GB"/>
        </w:rPr>
        <w:t>,</w:t>
      </w:r>
      <w:r w:rsidRPr="009B3747">
        <w:rPr>
          <w:rFonts w:eastAsia="Times New Roman" w:cstheme="minorHAnsi"/>
          <w:color w:val="000000"/>
          <w:lang w:eastAsia="en-GB"/>
        </w:rPr>
        <w:t xml:space="preserve"> skipping breakfast </w:t>
      </w:r>
      <w:r w:rsidR="0066035E" w:rsidRPr="009B3747">
        <w:rPr>
          <w:rFonts w:eastAsia="Times New Roman" w:cstheme="minorHAnsi"/>
          <w:color w:val="000000"/>
          <w:lang w:eastAsia="en-GB"/>
        </w:rPr>
        <w:fldChar w:fldCharType="begin" w:fldLock="1"/>
      </w:r>
      <w:r w:rsidR="0066035E" w:rsidRPr="009B3747">
        <w:rPr>
          <w:rFonts w:eastAsia="Times New Roman" w:cstheme="minorHAnsi"/>
          <w:color w:val="000000"/>
          <w:lang w:eastAsia="en-GB"/>
        </w:rPr>
        <w:instrText>ADDIN CSL_CITATION { "citationItems" : [ { "id" : "ITEM-1", "itemData" : { "DOI" : "10.1080/10408390903467514", "ISSN" : "1040-8398", "PMID" : "20112153", "abstract" : "Skipping breakfast is common among children and adolescents. However, there is uncertainty regarding whether breakfast consumption contributes to or protects against overweight or obesity. We aimed to review the evidence on the effects of breakfast consumption on body weight outcomes in children and adolescents in Europe. The Cochrane Library, MEDLINE, and EMBASE were searched in January 2009. We identified 16 studies. All were cross-sectional or cohort trials involving more than 59,000 children/adolescents from Europe. Thirteen studies (n = 57,481) consistently showed that breakfast has a protective effect against becoming overweight or obese. One trial (n = 886) showed that this effect was significant only for boys. The effect of eating breakfast on the body mass index (BMI) was analyzed in 4 studies (n = 2897). All of these studies showed an increase in BMI in breakfast skippers. In one study (n = 1245), this effect was significant only for boys. The results of this analysis suggest that eating breakfast is associated with a reduced risk of becoming overweight or obese and a reduction in the BMI in children and adolescents in Europe. However, almost all of the data in this review were gathered from observational studies, thus, causality should not be assumed based on these findings.", "author" : [ { "dropping-particle" : "", "family" : "Szajewska", "given" : "Hania", "non-dropping-particle" : "", "parse-names" : false, "suffix" : "" }, { "dropping-particle" : "", "family" : "Ruszczy\u0144ski", "given" : "Marek", "non-dropping-particle" : "", "parse-names" : false, "suffix" : "" } ], "container-title" : "Critical Reviews in Food Science and Nutrition", "id" : "ITEM-1", "issue" : "2", "issued" : { "date-parts" : [ [ "2010", "1", "29" ] ] }, "page" : "113-119", "title" : "Systematic Review Demonstrating that Breakfast Consumption Influences Body Weight Outcomes in Children and Adolescents in Europe", "type" : "article-journal", "volume" : "50" }, "uris" : [ "http://www.mendeley.com/documents/?uuid=f0ce9c65-901a-3405-be7c-d2e99a4e07c3" ] } ], "mendeley" : { "formattedCitation" : "(Szajewska and Ruszczy\u0144ski, 2010)", "plainTextFormattedCitation" : "(Szajewska and Ruszczy\u0144ski, 2010)", "previouslyFormattedCitation" : "(Szajewska and Ruszczy\u0144ski, 2010)" }, "properties" : { "noteIndex" : 0 }, "schema" : "https://github.com/citation-style-language/schema/raw/master/csl-citation.json" }</w:instrText>
      </w:r>
      <w:r w:rsidR="0066035E" w:rsidRPr="009B3747">
        <w:rPr>
          <w:rFonts w:eastAsia="Times New Roman" w:cstheme="minorHAnsi"/>
          <w:color w:val="000000"/>
          <w:lang w:eastAsia="en-GB"/>
        </w:rPr>
        <w:fldChar w:fldCharType="separate"/>
      </w:r>
      <w:r w:rsidR="0066035E" w:rsidRPr="009B3747">
        <w:rPr>
          <w:rFonts w:eastAsia="Times New Roman" w:cstheme="minorHAnsi"/>
          <w:noProof/>
          <w:color w:val="000000"/>
          <w:lang w:eastAsia="en-GB"/>
        </w:rPr>
        <w:t>(Szajewska and Ruszczyński, 2010)</w:t>
      </w:r>
      <w:r w:rsidR="0066035E" w:rsidRPr="009B3747">
        <w:rPr>
          <w:rFonts w:eastAsia="Times New Roman" w:cstheme="minorHAnsi"/>
          <w:color w:val="000000"/>
          <w:lang w:eastAsia="en-GB"/>
        </w:rPr>
        <w:fldChar w:fldCharType="end"/>
      </w:r>
      <w:r w:rsidR="0066035E" w:rsidRPr="009B3747">
        <w:rPr>
          <w:rFonts w:eastAsia="Times New Roman" w:cstheme="minorHAnsi"/>
          <w:color w:val="000000"/>
          <w:lang w:eastAsia="en-GB"/>
        </w:rPr>
        <w:t>,</w:t>
      </w:r>
      <w:r w:rsidRPr="009B3747">
        <w:rPr>
          <w:rFonts w:eastAsia="Times New Roman" w:cstheme="minorHAnsi"/>
          <w:color w:val="000000"/>
          <w:lang w:eastAsia="en-GB"/>
        </w:rPr>
        <w:t xml:space="preserve"> diets high in fat and sugar</w:t>
      </w:r>
      <w:r w:rsidR="0066035E" w:rsidRPr="009B3747">
        <w:rPr>
          <w:rFonts w:eastAsia="Times New Roman" w:cstheme="minorHAnsi"/>
          <w:color w:val="000000"/>
          <w:lang w:eastAsia="en-GB"/>
        </w:rPr>
        <w:t xml:space="preserve"> </w:t>
      </w:r>
      <w:r w:rsidR="0066035E" w:rsidRPr="009B3747">
        <w:rPr>
          <w:rFonts w:eastAsia="Times New Roman" w:cstheme="minorHAnsi"/>
          <w:color w:val="000000"/>
          <w:lang w:eastAsia="en-GB"/>
        </w:rPr>
        <w:fldChar w:fldCharType="begin" w:fldLock="1"/>
      </w:r>
      <w:r w:rsidR="0066035E" w:rsidRPr="009B3747">
        <w:rPr>
          <w:rFonts w:eastAsia="Times New Roman" w:cstheme="minorHAnsi"/>
          <w:color w:val="000000"/>
          <w:lang w:eastAsia="en-GB"/>
        </w:rPr>
        <w:instrText>ADDIN CSL_CITATION { "citationItems" : [ { "id" : "ITEM-1", "itemData" : { "ISSN" : "1756-1833", "PMID" : "23321486", "abstract" : "OBJECTIVE To summarise evidence on the association between intake of dietary sugars and body weight in adults and children. DESIGN Systematic review and meta-analysis of randomised controlled trials and prospective cohort studies. DATA SOURCES OVID Medline, Embase, PubMed, Cumulative Index to Nursing and Allied Health Literature, Scopus, and Web of Science (up to December 2011). REVIEW METHODS Eligible studies reported the intake of total sugars, intake of a component of total sugars, or intake of sugar containing foods or beverages; and at least one measure of body fatness. Minimum duration was two weeks for trials and one year for cohort studies. Trials of weight loss or confounded by additional medical or lifestyle interventions were excluded. Study selection, assessment, validity, data extraction, and analysis were undertaken as specified by the Cochrane Collaboration and the GRADE working group. For trials, we pooled data for weight change using inverse variance models with random effects. We pooled cohort study data where possible to estimate effect sizes, expressed as odds ratios for risk of obesity or \u03b2 coefficients for change in adiposity per unit of intake. RESULTS 30 of 7895 trials and 38 of 9445 cohort studies were eligible. In trials of adults with ad libitum diets (that is, with no strict control of food intake), reduced intake of dietary sugars was associated with a decrease in body weight (0.80 kg, 95% confidence interval 0.39 to 1.21; P&lt;0.001); increased sugars intake was associated with a comparable weight increase (0.75 kg, 0.30 to 1.19; P=0.001). Isoenergetic exchange of dietary sugars with other carbohydrates showed no change in body weight (0.04 kg, -0.04 to 0.13). Trials in children, which involved recommendations to reduce intake of sugar sweetened foods and beverages, had low participant compliance to dietary advice; these trials showed no overall change in body weight. However, in relation to intakes of sugar sweetened beverages after one year follow-up in prospective studies, the odds ratio for being overweight or obese increased was 1.55 (1.32 to 1.82) among groups with the highest intake compared with those with the lowest intake. Despite significant heterogeneity in one meta-analysis and potential bias in some trials, sensitivity analyses showed that the trends were consistent and associations remained after these studies were excluded. CONCLUSIONS Among free living people involving ad libitum diets, intake of free sugars o\u2026", "author" : [ { "dropping-particle" : "", "family" : "Morenga", "given" : "Lisa", "non-dropping-particle" : "Te", "parse-names" : false, "suffix" : "" }, { "dropping-particle" : "", "family" : "Mallard", "given" : "Simonette", "non-dropping-particle" : "", "parse-names" : false, "suffix" : "" }, { "dropping-particle" : "", "family" : "Mann", "given" : "Jim", "non-dropping-particle" : "", "parse-names" : false, "suffix" : "" } ], "container-title" : "BMJ (Clinical research ed.)", "id" : "ITEM-1", "issued" : { "date-parts" : [ [ "2012", "1", "15" ] ] }, "page" : "e7492", "title" : "Dietary sugars and body weight: systematic review and meta-analyses of randomised controlled trials and cohort studies.", "type" : "article-journal", "volume" : "346" }, "uris" : [ "http://www.mendeley.com/documents/?uuid=1bf9cb87-fc82-3007-b033-cd0c6648a141" ] } ], "mendeley" : { "formattedCitation" : "(Te Morenga et al., 2012)", "plainTextFormattedCitation" : "(Te Morenga et al., 2012)", "previouslyFormattedCitation" : "(Te Morenga et al., 2012)" }, "properties" : { "noteIndex" : 0 }, "schema" : "https://github.com/citation-style-language/schema/raw/master/csl-citation.json" }</w:instrText>
      </w:r>
      <w:r w:rsidR="0066035E" w:rsidRPr="009B3747">
        <w:rPr>
          <w:rFonts w:eastAsia="Times New Roman" w:cstheme="minorHAnsi"/>
          <w:color w:val="000000"/>
          <w:lang w:eastAsia="en-GB"/>
        </w:rPr>
        <w:fldChar w:fldCharType="separate"/>
      </w:r>
      <w:r w:rsidR="0066035E" w:rsidRPr="009B3747">
        <w:rPr>
          <w:rFonts w:eastAsia="Times New Roman" w:cstheme="minorHAnsi"/>
          <w:noProof/>
          <w:color w:val="000000"/>
          <w:lang w:eastAsia="en-GB"/>
        </w:rPr>
        <w:t>(Te Morenga et al., 2012)</w:t>
      </w:r>
      <w:r w:rsidR="0066035E" w:rsidRPr="009B3747">
        <w:rPr>
          <w:rFonts w:eastAsia="Times New Roman" w:cstheme="minorHAnsi"/>
          <w:color w:val="000000"/>
          <w:lang w:eastAsia="en-GB"/>
        </w:rPr>
        <w:fldChar w:fldCharType="end"/>
      </w:r>
      <w:r w:rsidR="0066035E"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eating whilst watching television </w:t>
      </w:r>
      <w:r w:rsidR="008D0824" w:rsidRPr="009B3747">
        <w:rPr>
          <w:rFonts w:eastAsia="Times New Roman" w:cstheme="minorHAnsi"/>
          <w:color w:val="000000"/>
          <w:lang w:eastAsia="en-GB"/>
        </w:rPr>
        <w:fldChar w:fldCharType="begin" w:fldLock="1"/>
      </w:r>
      <w:r w:rsidR="008D0824" w:rsidRPr="009B3747">
        <w:rPr>
          <w:rFonts w:eastAsia="Times New Roman" w:cstheme="minorHAnsi"/>
          <w:color w:val="000000"/>
          <w:lang w:eastAsia="en-GB"/>
        </w:rPr>
        <w:instrText>ADDIN CSL_CITATION { "citationItems" : [ { "id" : "ITEM-1", "itemData" : { "DOI" : "10.1097/MCO.0b013e3280a94f59", "ISSN" : "1363-1950", "PMID" : "17414504", "abstract" : "PURPOSE OF REVIEW Controversial information exists on the contribution of several dietary factors for overweight development in childhood, but there is no doubt that obesity prevalence is increasing. We review the most up-to-date information in order to clarify the evidence-based dietary aspects influencing obesity development in children and adolescents. RECENT FINDINGS Longitudinal studies are the preferred method for analysing the relationship between dietary factors and obesity development. With the exception of infants, there are no conclusive associations between energy intake or diet composition and later overweight development in children. Among formula or mixed-fed infants, the increase in energy intake has been associated with an increased risk of being overweight during childhood. Breastfeeding seems to be a protective factor for later obesity development. In terms of food intake, longitudinal studies have only found a clear and positive association between obesity development and sugar-sweetened beverage consumption; this is not the case with snacking, fast food or food portion sizes. Cross-sectional studies have found correlations between being overweight in childhood and buying lunch at school, eating supper while watching television or without family supervision, consuming less energy at breakfast or more at dinner, and missing breakfast. SUMMARY Results from longitudinal studies must be taken into account in order to design preventive strategies to counteract the increased prevalence of obesity and its consequences in children. Lack of breastfeeding, high early energy intake and high intake of sugar-sweetened beverages seem to be the main dietary factors contributing to obesity development.", "author" : [ { "dropping-particle" : "", "family" : "Moreno", "given" : "Luis A", "non-dropping-particle" : "", "parse-names" : false, "suffix" : "" }, { "dropping-particle" : "", "family" : "Rodriguez", "given" : "Gerardo", "non-dropping-particle" : "", "parse-names" : false, "suffix" : "" } ], "container-title" : "Current Opinion in Clinical Nutrition and Metabolic Care", "id" : "ITEM-1", "issue" : "3", "issued" : { "date-parts" : [ [ "2007", "5" ] ] }, "page" : "336-341", "title" : "Dietary risk factors for development of childhood obesity", "type" : "article-journal", "volume" : "10" }, "uris" : [ "http://www.mendeley.com/documents/?uuid=c8dc97d3-aac3-3c0e-bb29-e0708f3bd38a" ] } ], "mendeley" : { "formattedCitation" : "(Moreno and Rodriguez, 2007)", "plainTextFormattedCitation" : "(Moreno and Rodriguez, 2007)", "previouslyFormattedCitation" : "(Moreno and Rodriguez, 2007)" }, "properties" : { "noteIndex" : 0 }, "schema" : "https://github.com/citation-style-language/schema/raw/master/csl-citation.json" }</w:instrText>
      </w:r>
      <w:r w:rsidR="008D0824" w:rsidRPr="009B3747">
        <w:rPr>
          <w:rFonts w:eastAsia="Times New Roman" w:cstheme="minorHAnsi"/>
          <w:color w:val="000000"/>
          <w:lang w:eastAsia="en-GB"/>
        </w:rPr>
        <w:fldChar w:fldCharType="separate"/>
      </w:r>
      <w:r w:rsidR="008D0824" w:rsidRPr="009B3747">
        <w:rPr>
          <w:rFonts w:eastAsia="Times New Roman" w:cstheme="minorHAnsi"/>
          <w:noProof/>
          <w:color w:val="000000"/>
          <w:lang w:eastAsia="en-GB"/>
        </w:rPr>
        <w:t>(Moreno and Rodriguez, 2007)</w:t>
      </w:r>
      <w:r w:rsidR="008D0824" w:rsidRPr="009B3747">
        <w:rPr>
          <w:rFonts w:eastAsia="Times New Roman" w:cstheme="minorHAnsi"/>
          <w:color w:val="000000"/>
          <w:lang w:eastAsia="en-GB"/>
        </w:rPr>
        <w:fldChar w:fldCharType="end"/>
      </w:r>
      <w:r w:rsidR="008D0824"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and eating out </w:t>
      </w:r>
      <w:r w:rsidR="0066035E"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"Davis", "given" : "Matthew M.", "non-dropping-particle" : "", "parse-names" : false, "suffix" : "" }, { "dropping-particle" : "", "family" : "Gance-Cleveland", "given" : "Bonnie", "non-dropping-particle" : "", "parse-names" : false, "suffix" : "" }, { "dropping-particle" : "", "family" : "Hassink", "given" : "Sandra", "non-dropping-particle" : "", "parse-names" : false, "suffix" : "" }, { "dropping-particle" : "", "family" : "Johnson", "given" : "Rachel", "non-dropping-particle" : "", "parse-names" : false, "suffix" : "" }, { "dropping-particle" : "", "family" : "Paradis", "given" : "Gilles", "non-dropping-particle" : "", "parse-names" : false, "suffix" : "" }, { "dropping-particle" : "", "family" : "Resnicow", "given" : "Kenneth", "non-dropping-particle" : "", "parse-names" : false, "suffix" : "" } ], "container-title" : "Pediatrics", "id" : "ITEM-1", "issue" : "Supplement 4", "issued" : { "date-parts" : [ [ "2007" ] ] }, "page" : "S229-S253", "title" : "Recommendations for Prevention of Childhood Obesity", "type" : "article-journal", "volume" : "120" }, "uris" : [ "http://www.mendeley.com/documents/?uuid=0d2e2725-5177-3356-8cb9-a1bb65c28eac" ] } ], "mendeley" : { "formattedCitation" : "(Davis et al., 2007)", "plainTextFormattedCitation" : "(Davis et al., 2007)", "previouslyFormattedCitation" : "(Davis et al., 2007)" }, "properties" : { "noteIndex" : 0 }, "schema" : "https://github.com/citation-style-language/schema/raw/master/csl-citation.json" }</w:instrText>
      </w:r>
      <w:r w:rsidR="0066035E" w:rsidRPr="009B3747">
        <w:rPr>
          <w:rFonts w:eastAsia="Times New Roman" w:cstheme="minorHAnsi"/>
          <w:color w:val="000000"/>
          <w:lang w:eastAsia="en-GB"/>
        </w:rPr>
        <w:fldChar w:fldCharType="separate"/>
      </w:r>
      <w:r w:rsidR="0066035E" w:rsidRPr="009B3747">
        <w:rPr>
          <w:rFonts w:eastAsia="Times New Roman" w:cstheme="minorHAnsi"/>
          <w:noProof/>
          <w:color w:val="000000"/>
          <w:lang w:eastAsia="en-GB"/>
        </w:rPr>
        <w:t>(Davis et al., 2007)</w:t>
      </w:r>
      <w:r w:rsidR="0066035E" w:rsidRPr="009B3747">
        <w:rPr>
          <w:rFonts w:eastAsia="Times New Roman" w:cstheme="minorHAnsi"/>
          <w:color w:val="000000"/>
          <w:lang w:eastAsia="en-GB"/>
        </w:rPr>
        <w:fldChar w:fldCharType="end"/>
      </w:r>
      <w:r w:rsidR="0066035E" w:rsidRPr="009B3747">
        <w:rPr>
          <w:rFonts w:eastAsia="Times New Roman" w:cstheme="minorHAnsi"/>
          <w:color w:val="000000"/>
          <w:lang w:eastAsia="en-GB"/>
        </w:rPr>
        <w:t xml:space="preserve">.  </w:t>
      </w:r>
      <w:r w:rsidRPr="009B3747">
        <w:rPr>
          <w:rFonts w:eastAsia="Times New Roman" w:cstheme="minorHAnsi"/>
          <w:color w:val="000000"/>
          <w:lang w:eastAsia="en-GB"/>
        </w:rPr>
        <w:t>Furthermore, correlations have been observed between obesity and decreasing physical activity levels</w:t>
      </w:r>
      <w:r w:rsidR="0066035E" w:rsidRPr="009B3747">
        <w:rPr>
          <w:rFonts w:eastAsia="Times New Roman" w:cstheme="minorHAnsi"/>
          <w:color w:val="000000"/>
          <w:lang w:eastAsia="en-GB"/>
        </w:rPr>
        <w:t xml:space="preserve"> </w:t>
      </w:r>
      <w:r w:rsidR="0066035E" w:rsidRPr="009B3747">
        <w:rPr>
          <w:rFonts w:eastAsia="Times New Roman" w:cstheme="minorHAnsi"/>
          <w:color w:val="000000"/>
          <w:lang w:eastAsia="en-GB"/>
        </w:rPr>
        <w:fldChar w:fldCharType="begin" w:fldLock="1"/>
      </w:r>
      <w:r w:rsidR="0066035E" w:rsidRPr="009B3747">
        <w:rPr>
          <w:rFonts w:eastAsia="Times New Roman" w:cstheme="minorHAnsi"/>
          <w:color w:val="000000"/>
          <w:lang w:eastAsia="en-GB"/>
        </w:rPr>
        <w:instrText>ADDIN CSL_CITATION { "citationItems" : [ { "id" : "ITEM-1", "itemData" : { "DOI" : "10.1111/j.1467-789X.2007.00344.x", "ISSN" : "1467-7881", "author" : [ { "dropping-particle" : "", "family" : "Jebb", "given" : "S. A.", "non-dropping-particle" : "", "parse-names" : false, "suffix" : "" }, { "dropping-particle" : "", "family" : "Kopelman", "given" : "P.", "non-dropping-particle" : "", "parse-names" : false, "suffix" : "" }, { "dropping-particle" : "", "family" : "Butland", "given" : "B.", "non-dropping-particle" : "", "parse-names" : false, "suffix" : "" } ], "container-title" : "Obesity Reviews", "id" : "ITEM-1", "issue" : "s1", "issued" : { "date-parts" : [ [ "2007", "3", "1" ] ] }, "page" : "vi-ix", "publisher" : "Blackwell Publishing Ltd", "title" : "Executive Summary: FORESIGHT ?Tackling Obesities: Future Choices? project", "type" : "article-journal", "volume" : "8" }, "uris" : [ "http://www.mendeley.com/documents/?uuid=e73a53f3-f7de-3576-bb1a-7694a6fd0aa5" ] }, { "id" : "ITEM-2", "itemData" : { "DOI" : "10.1016/S0140-6736(12)60646-1", "ISSN" : "1474-547X", "PMID" : "22818937", "abstract" : "To implement effective non-communicable disease prevention programmes, policy makers need data for physical activity levels and trends. In this report, we describe physical activity levels worldwide with data for adults (15 years or older) from 122 countries and for adolescents (13-15-years-old) from 105 countries. Worldwide, 31\u00b71% (95% CI 30\u00b79-31\u00b72) of adults are physically inactive, with proportions ranging from 17\u00b70% (16\u00b78-17\u00b72) in southeast Asia to about 43% in the Americas and the eastern Mediterranean. Inactivity rises with age, is higher in women than in men, and is increased in high-income countries. The proportion of 13-15-year-olds doing fewer than 60 min of physical activity of moderate to vigorous intensity per day is 80\u00b73% (80\u00b71-80\u00b75); boys are more active than are girls. Continued improvement in monitoring of physical activity would help to guide development of policies and programmes to increase activity levels and to reduce the burden of non-communicable diseases.", "author" : [ { "dropping-particle" : "", "family" : "Hallal", "given" : "Pedro C", "non-dropping-particle" : "", "parse-names" : false, "suffix" : "" }, { "dropping-particle" : "", "family" : "Andersen", "given" : "Lars Bo", "non-dropping-particle" : "", "parse-names" : false, "suffix" : "" }, { "dropping-particle" : "", "family" : "Bull", "given" : "Fiona C", "non-dropping-particle" : "", "parse-names" : false, "suffix" : "" }, { "dropping-particle" : "", "family" : "Guthold", "given" : "Regina", "non-dropping-particle" : "", "parse-names" : false, "suffix" : "" }, { "dropping-particle" : "", "family" : "Haskell", "given" : "William", "non-dropping-particle" : "", "parse-names" : false, "suffix" : "" }, { "dropping-particle" : "", "family" : "Ekelund", "given" : "Ulf", "non-dropping-particle" : "", "parse-names" : false, "suffix" : "" }, { "dropping-particle" : "", "family" : "Lancet Physical Activity Series Working Group", "given" : "for the Lancet Physical Activity Series Working", "non-dropping-particle" : "", "parse-names" : false, "suffix" : "" } ], "container-title" : "Lancet (London, England)", "id" : "ITEM-2", "issue" : "9838", "issued" : { "date-parts" : [ [ "2012", "7", "21" ] ] }, "page" : "247-57", "publisher" : "World Health Organization, Geneva", "title" : "Global physical activity levels: surveillance progress, pitfalls, and prospects.", "type" : "article-journal", "volume" : "380" }, "uris" : [ "http://www.mendeley.com/documents/?uuid=81d6f253-03e7-367e-951a-aa39be9e16fc" ] } ], "mendeley" : { "formattedCitation" : "(Jebb et al., 2007; Hallal et al., 2012)", "plainTextFormattedCitation" : "(Jebb et al., 2007; Hallal et al., 2012)", "previouslyFormattedCitation" : "(Jebb et al., 2007; Hallal et al., 2012)" }, "properties" : { "noteIndex" : 0 }, "schema" : "https://github.com/citation-style-language/schema/raw/master/csl-citation.json" }</w:instrText>
      </w:r>
      <w:r w:rsidR="0066035E" w:rsidRPr="009B3747">
        <w:rPr>
          <w:rFonts w:eastAsia="Times New Roman" w:cstheme="minorHAnsi"/>
          <w:color w:val="000000"/>
          <w:lang w:eastAsia="en-GB"/>
        </w:rPr>
        <w:fldChar w:fldCharType="separate"/>
      </w:r>
      <w:r w:rsidR="0066035E" w:rsidRPr="009B3747">
        <w:rPr>
          <w:rFonts w:eastAsia="Times New Roman" w:cstheme="minorHAnsi"/>
          <w:noProof/>
          <w:color w:val="000000"/>
          <w:lang w:eastAsia="en-GB"/>
        </w:rPr>
        <w:t>(Jebb et al., 2007; Hallal et al., 2012)</w:t>
      </w:r>
      <w:r w:rsidR="0066035E" w:rsidRPr="009B3747">
        <w:rPr>
          <w:rFonts w:eastAsia="Times New Roman" w:cstheme="minorHAnsi"/>
          <w:color w:val="000000"/>
          <w:lang w:eastAsia="en-GB"/>
        </w:rPr>
        <w:fldChar w:fldCharType="end"/>
      </w:r>
      <w:r w:rsidR="0066035E" w:rsidRPr="009B3747">
        <w:rPr>
          <w:rFonts w:eastAsia="Times New Roman" w:cstheme="minorHAnsi"/>
          <w:color w:val="000000"/>
          <w:lang w:eastAsia="en-GB"/>
        </w:rPr>
        <w:t xml:space="preserve">, </w:t>
      </w:r>
      <w:r w:rsidRPr="009B3747">
        <w:rPr>
          <w:rFonts w:eastAsia="Times New Roman" w:cstheme="minorHAnsi"/>
          <w:color w:val="000000"/>
          <w:lang w:eastAsia="en-GB"/>
        </w:rPr>
        <w:t>increasing sedentary behaviour independent of physical activity</w:t>
      </w:r>
      <w:r w:rsidR="0066035E" w:rsidRPr="009B3747">
        <w:rPr>
          <w:rFonts w:eastAsia="Times New Roman" w:cstheme="minorHAnsi"/>
          <w:color w:val="000000"/>
          <w:lang w:eastAsia="en-GB"/>
        </w:rPr>
        <w:t xml:space="preserve"> </w:t>
      </w:r>
      <w:r w:rsidR="0066035E" w:rsidRPr="009B3747">
        <w:rPr>
          <w:rFonts w:eastAsia="Times New Roman" w:cstheme="minorHAnsi"/>
          <w:color w:val="000000"/>
          <w:lang w:eastAsia="en-GB"/>
        </w:rPr>
        <w:fldChar w:fldCharType="begin" w:fldLock="1"/>
      </w:r>
      <w:r w:rsidR="0066035E" w:rsidRPr="009B3747">
        <w:rPr>
          <w:rFonts w:eastAsia="Times New Roman" w:cstheme="minorHAnsi"/>
          <w:color w:val="000000"/>
          <w:lang w:eastAsia="en-GB"/>
        </w:rPr>
        <w:instrText>ADDIN CSL_CITATION { "citationItems" : [ { "id" : "ITEM-1", "itemData" : { "DOI" : "10.1016/j.amepre.2011.05.004", "ISSN" : "07493797", "PMID" : "21767729", "abstract" : "CONTEXT To systematically review and provide an informative synthesis of findings from longitudinal studies published since 1996 reporting on relationships between self-reported sedentary behavior and device-based measures of sedentary time with health-related outcomes in adults. EVIDENCE ACQUISITION Studies published between 1996 and January 2011 were identified by examining existing literature reviews and by systematic searches in Web of Science, MEDLINE, PubMed, and PsycINFO. English-written articles were selected according to study design, targeted behavior, and health outcome. EVIDENCE SYNTHESIS Forty-eight articles met the inclusion criteria; of these, 46 incorporated self-reported measures including total sitting time; TV viewing time only; TV viewing time and other screen-time behaviors; and TV viewing time plus other sedentary behaviors. Findings indicate a consistent relationship of self-reported sedentary behavior with mortality and with weight gain from childhood to the adult years. However, findings were mixed for associations with disease incidence, weight gain during adulthood, and cardiometabolic risk. Of the three studies that used device-based measures of sedentary time, one showed that markers of obesity predicted sedentary time, whereas inconclusive findings have been observed for markers of insulin resistance. CONCLUSIONS There is a growing body of evidence that sedentary behavior may be a distinct risk factor, independent of physical activity, for multiple adverse health outcomes in adults. Prospective studies using device-based measures are required to provide a clearer understanding of the impact of sedentary time on health outcomes.", "author" : [ { "dropping-particle" : "", "family" : "Thorp", "given" : "Alicia A.", "non-dropping-particle" : "", "parse-names" : false, "suffix" : "" }, { "dropping-particle" : "", "family" : "Owen", "given" : "Neville", "non-dropping-particle" : "", "parse-names" : false, "suffix" : "" }, { "dropping-particle" : "", "family" : "Neuhaus", "given" : "Maike", "non-dropping-particle" : "", "parse-names" : false, "suffix" : "" }, { "dropping-particle" : "", "family" : "Dunstan", "given" : "David W.", "non-dropping-particle" : "", "parse-names" : false, "suffix" : "" } ], "container-title" : "American Journal of Preventive Medicine", "id" : "ITEM-1", "issue" : "2", "issued" : { "date-parts" : [ [ "2011", "8" ] ] }, "page" : "207-215", "title" : "Sedentary Behaviors and Subsequent Health Outcomes in Adults", "type" : "article-journal", "volume" : "41" }, "uris" : [ "http://www.mendeley.com/documents/?uuid=8d78e46a-0cef-3192-b6fc-74131a4b2140" ] } ], "mendeley" : { "formattedCitation" : "(Thorp et al., 2011)", "plainTextFormattedCitation" : "(Thorp et al., 2011)", "previouslyFormattedCitation" : "(Thorp et al., 2011)" }, "properties" : { "noteIndex" : 0 }, "schema" : "https://github.com/citation-style-language/schema/raw/master/csl-citation.json" }</w:instrText>
      </w:r>
      <w:r w:rsidR="0066035E" w:rsidRPr="009B3747">
        <w:rPr>
          <w:rFonts w:eastAsia="Times New Roman" w:cstheme="minorHAnsi"/>
          <w:color w:val="000000"/>
          <w:lang w:eastAsia="en-GB"/>
        </w:rPr>
        <w:fldChar w:fldCharType="separate"/>
      </w:r>
      <w:r w:rsidR="0066035E" w:rsidRPr="009B3747">
        <w:rPr>
          <w:rFonts w:eastAsia="Times New Roman" w:cstheme="minorHAnsi"/>
          <w:noProof/>
          <w:color w:val="000000"/>
          <w:lang w:eastAsia="en-GB"/>
        </w:rPr>
        <w:t>(Thorp et al., 2011)</w:t>
      </w:r>
      <w:r w:rsidR="0066035E" w:rsidRPr="009B3747">
        <w:rPr>
          <w:rFonts w:eastAsia="Times New Roman" w:cstheme="minorHAnsi"/>
          <w:color w:val="000000"/>
          <w:lang w:eastAsia="en-GB"/>
        </w:rPr>
        <w:fldChar w:fldCharType="end"/>
      </w:r>
      <w:r w:rsidR="0066035E" w:rsidRPr="009B3747">
        <w:rPr>
          <w:rFonts w:eastAsia="Times New Roman" w:cstheme="minorHAnsi"/>
          <w:color w:val="000000"/>
          <w:lang w:eastAsia="en-GB"/>
        </w:rPr>
        <w:t xml:space="preserve">, </w:t>
      </w:r>
      <w:r w:rsidRPr="009B3747">
        <w:rPr>
          <w:rFonts w:eastAsia="Times New Roman" w:cstheme="minorHAnsi"/>
          <w:color w:val="000000"/>
          <w:lang w:eastAsia="en-GB"/>
        </w:rPr>
        <w:t>participation in sedentary and technological recreation</w:t>
      </w:r>
      <w:r w:rsidR="0066035E" w:rsidRPr="009B3747">
        <w:rPr>
          <w:rFonts w:eastAsia="Times New Roman" w:cstheme="minorHAnsi"/>
          <w:color w:val="000000"/>
          <w:lang w:eastAsia="en-GB"/>
        </w:rPr>
        <w:t xml:space="preserve"> </w:t>
      </w:r>
      <w:r w:rsidR="0066035E"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"ISSN" : "1072-4710", "PMID" : "11231802", "abstract" : "OBJECTIVES To examine the relationship between television watching, energy intake, physical activity, and obesity status in US boys and girls, aged 8 to 16 years. METHODS We used a nationally representative cross-sectional survey with an in-person interview and a medical examination, which included measurements of height and weight, daily hours of television watching, weekly participation in physical activity, and a dietary interview. Between 1988 and 1994, the Third National Health and Nutrition Examination Survey collected data on 4069 children. Mexican Americans and non-Hispanic blacks were oversampled to produce reliable estimates for these groups. RESULTS The prevalence of obesity is lowest among children watching 1 or fewer hours of television a day, and highest among those watching 4 or more hours of television a day. Girls engaged in less physical activity and consumed fewer joules per day than boys. A higher percentage of non-Hispanic white boys reported participating in physical activity 5 or more times per week than any other race/ethnic and sex group. Television watching was positively associated with obesity among girls, even after controlling for age, race/ethnicity, family income, weekly physical activity, and energy intake. CONCLUSIONS As the prevalence of overweight increases, the need to reduce sedentary behaviors and to promote a more active lifestyle becomes essential. Clinicians and public health interventionists should encourage active lifestyles to balance the energy intake of children.", "author" : [ { "dropping-particle" : "", "family" : "Crespo", "given" : "C J", "non-dropping-particle" : "", "parse-names" : false, "suffix" : "" }, { "dropping-particle" : "", "family" : "Smit", "given" : "E", "non-dropping-particle" : "", "parse-names" : false, "suffix" : "" }, { "dropping-particle" : "", "family" : "Troiano", "given" : "R P", "non-dropping-particle" : "", "parse-names" : false, "suffix" : "" }, { "dropping-particle" : "", "family" : "Bartlett", "given" : "S J", "non-dropping-particle" : "", "parse-names" : false, "suffix" : "" }, { "dropping-particle" : "", "family" : "Macera", "given" : "C A", "non-dropping-particle" : "", "parse-names" : false, "suffix" : "" }, { "dropping-particle" : "", "family" : "Andersen", "given" : "R E", "non-dropping-particle" : "", "parse-names" : false, "suffix" : "" } ], "container-title" : "Archives of pediatrics &amp; adolescent medicine", "id" : "ITEM-1", "issue" : "3", "issued" : { "date-parts" : [ [ "2001", "3" ] ] }, "page" : "360-5", "title" : "Television watching, energy intake, and obesity in US children: results from the third National Health and Nutrition Examination Survey, 1988-1994.", "type" : "article-journal", "volume" : "155" }, "uris" : [ "http://www.mendeley.com/documents/?uuid=a20e5411-5df5-3288-8cfc-41431d75b4cc" ] }, { "id" : "ITEM-2", "itemData" : { "author" : [ { "dropping-particle" : "", "family" : "Eisenmann", "given" : "JC", "non-dropping-particle" : "", "parse-names" : false, "suffix" : "" }, { "dropping-particle" : "", "family" : "Welk", "given" : "GJ", "non-dropping-particle" : "", "parse-names" : false, "suffix" : "" } ], "container-title" : "American Journal of \u2026", "id" : "ITEM-2", "issue" : "6", "issued" : { "date-parts" : [ [ "2004" ] ] }, "page" : "690-696", "title" : "Stability of variables associated with the metabolic syndrome from adolescence to adulthood: the Aerobics Center Longitudinal Study", "type" : "article-journal", "volume" : "16" }, "uris" : [ "http://www.mendeley.com/documents/?uuid=14351c36-40d5-41fc-84cf-b8ea81147bb1" ] }, { "id" : "ITEM-3", "itemData" : { "DOI" : "10.1177/001789690606500204", "ISSN" : "0017-8969", "abstract" : "Objective To use the Analysis Grid for Environments Linked to Obesity (ANGELO) framework to determine the barriers and promoters of healthy eating and physical activity in children aged 5-12 years, as a basis for the development of a pilot community-based programme for preventing obesity in children (APPLE project: A Pilot Programme for Lifestyle and Exercise).Methods Semi-structured interviews were held with nine community stakeholders including doctors, school staff and food outlet operators. This information was used to develop a telephone-administered questionnaire to 101 parents of children in the intervention communities. Finally, structured interviews were undertaken with intervention school principals (n=4) regarding the school environment pertaining to physical activity and healthy eating.Results Major barriers to physical activity identified included lack of facilities, coaches and equipment. Work commitments prevented 40 per cent of parents being physically active with their children. Shared tr...", "author" : [ { "dropping-particle" : "", "family" : "Williden", "given" : "M.", "non-dropping-particle" : "", "parse-names" : false, "suffix" : "" }, { "dropping-particle" : "", "family" : "Taylor", "given" : "Rachael W", "non-dropping-particle" : "", "parse-names" : false, "suffix" : "" }, { "dropping-particle" : "", "family" : "McAuley", "given" : "Kirsten A", "non-dropping-particle" : "", "parse-names" : false, "suffix" : "" }, { "dropping-particle" : "", "family" : "Simpson", "given" : "Jean C", "non-dropping-particle" : "", "parse-names" : false, "suffix" : "" }, { "dropping-particle" : "", "family" : "Oakley", "given" : "Maggie", "non-dropping-particle" : "", "parse-names" : false, "suffix" : "" }, { "dropping-particle" : "", "family" : "Mann", "given" : "Jim I", "non-dropping-particle" : "", "parse-names" : false, "suffix" : "" } ], "container-title" : "Health Education Journal", "id" : "ITEM-3", "issue" : "2", "issued" : { "date-parts" : [ [ "2006", "6", "1" ] ] }, "page" : "135-148", "publisher" : "Sage PublicationsSage CA: Thousand Oaks, CA", "title" : "The APPLE project: An investigation of the barriers and promoters of healthy eating and physical activity in New Zealand children aged 5-12 years", "type" : "article-journal", "volume" : "65" }, "uris" : [ "http://www.mendeley.com/documents/?uuid=3808a393-ac4a-37f6-b0da-b18683b0c781" ] }, { "id" : "ITEM-4", "itemData" : { "DOI" : "10.1186/1479-5868-8-98", "ISSN" : "1479-5868", "PMID" : "21936895", "abstract" : "Accumulating evidence suggests that, independent of physical activity levels, sedentary behaviours are associated with increased risk of cardio-metabolic disease, all-cause mortality, and a variety of physiological and psychological problems. Therefore, the purpose of this systematic review is to determine the relationship between sedentary behaviour and health indicators in school-aged children and youth aged 5-17 years. Online databases (MEDLINE, EMBASE and PsycINFO), personal libraries and government documents were searched for relevant studies examining time spent engaging in sedentary behaviours and six specific health indicators (body composition, fitness, metabolic syndrome and cardiovascular disease, self-esteem, pro-social behaviour and academic achievement). 232 studies including 983,840 participants met inclusion criteria and were included in the review. Television (TV) watching was the most common measure of sedentary behaviour and body composition was the most common outcome measure. Qualitative analysis of all studies revealed a dose-response relation between increased sedentary behaviour and unfavourable health outcomes. Watching TV for more than 2 hours per day was associated with unfavourable body composition, decreased fitness, lowered scores for self-esteem and pro-social behaviour and decreased academic achievement. Meta-analysis was completed for randomized controlled studies that aimed to reduce sedentary time and reported change in body mass index (BMI) as their primary outcome. In this regard, a meta-analysis revealed an overall significant effect of -0.81 (95% CI of -1.44 to -0.17, p = 0.01) indicating an overall decrease in mean BMI associated with the interventions. There is a large body of evidence from all study designs which suggests that decreasing any type of sedentary time is associated with lower health risk in youth aged 5-17 years. In particular, the evidence suggests that daily TV viewing in excess of 2 hours is associated with reduced physical and psychosocial health, and that lowering sedentary time leads to reductions in BMI.", "author" : [ { "dropping-particle" : "", "family" : "Tremblay", "given" : "Mark S", "non-dropping-particle" : "", "parse-names" : false, "suffix" : "" }, { "dropping-particle" : "", "family" : "LeBlanc", "given" : "Allana G", "non-dropping-particle" : "", "parse-names" : false, "suffix" : "" }, { "dropping-particle" : "", "family" : "Kho", "given" : "Michelle E", "non-dropping-particle" : "", "parse-names" : false, "suffix" : "" }, { "dropping-particle" : "", "family" : "Saunders", "given" : "Travis J", "non-dropping-particle" : "", "parse-names" : false, "suffix" : "" }, { "dropping-particle" : "", "family" : "Larouche", "given" : "Richard", "non-dropping-particle" : "", "parse-names" : false, "suffix" : "" }, { "dropping-particle" : "", "family" : "Colley", "given" : "Rachel C", "non-dropping-particle" : "", "parse-names" : false, "suffix" : "" }, { "dropping-particle" : "", "family" : "Goldfield", "given" : "Gary", "non-dropping-particle" : "", "parse-names" : false, "suffix" : "" }, { "dropping-particle" : "", "family" : "Connor Gorber", "given" : "Sarah", "non-dropping-particle" : "", "parse-names" : false, "suffix" : "" } ], "container-title" : "The international journal of behavioral nutrition and physical activity", "id" : "ITEM-4", "issue" : "1", "issued" : { "date-parts" : [ [ "2011", "9", "21" ] ] }, "page" : "98", "publisher" : "BioMed Central", "title" : "Systematic review of sedentary behaviour and health indicators in school-aged children and youth.", "type" : "article-journal", "volume" : "8" }, "uris" : [ "http://www.mendeley.com/documents/?uuid=995984a2-a98c-3e38-80cc-dbe986534fa1" ] } ], "mendeley" : { "formattedCitation" : "(Crespo et al., 2001; Eisenmann and Welk, 2004; Williden et al., 2006; Tremblay et al., 2011)", "plainTextFormattedCitation" : "(Crespo et al., 2001; Eisenmann and Welk, 2004; Williden et al., 2006; Tremblay et al., 2011)", "previouslyFormattedCitation" : "(Crespo et al., 2001; Eisenmann and Welk, 2004; Williden et al., 2006; Tremblay et al., 2011)" }, "properties" : { "noteIndex" : 0 }, "schema" : "https://github.com/citation-style-language/schema/raw/master/csl-citation.json" }</w:instrText>
      </w:r>
      <w:r w:rsidR="0066035E" w:rsidRPr="009B3747">
        <w:rPr>
          <w:rFonts w:eastAsia="Times New Roman" w:cstheme="minorHAnsi"/>
          <w:color w:val="000000"/>
          <w:lang w:eastAsia="en-GB"/>
        </w:rPr>
        <w:fldChar w:fldCharType="separate"/>
      </w:r>
      <w:r w:rsidR="0066035E" w:rsidRPr="009B3747">
        <w:rPr>
          <w:rFonts w:eastAsia="Times New Roman" w:cstheme="minorHAnsi"/>
          <w:noProof/>
          <w:color w:val="000000"/>
          <w:lang w:eastAsia="en-GB"/>
        </w:rPr>
        <w:t>(Crespo et al., 2001; Eisenmann and Welk, 2004; Williden et al., 2006; Tremblay et al., 2011)</w:t>
      </w:r>
      <w:r w:rsidR="0066035E"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and differing sleeping patterns</w:t>
      </w:r>
      <w:r w:rsidR="0066035E" w:rsidRPr="009B3747">
        <w:rPr>
          <w:rFonts w:eastAsia="Times New Roman" w:cstheme="minorHAnsi"/>
          <w:color w:val="000000"/>
          <w:lang w:eastAsia="en-GB"/>
        </w:rPr>
        <w:t xml:space="preserve"> </w:t>
      </w:r>
      <w:r w:rsidR="00AA0F08" w:rsidRPr="009B3747">
        <w:rPr>
          <w:rFonts w:eastAsia="Times New Roman" w:cstheme="minorHAnsi"/>
          <w:color w:val="000000"/>
          <w:lang w:eastAsia="en-GB"/>
        </w:rPr>
        <w:fldChar w:fldCharType="begin" w:fldLock="1"/>
      </w:r>
      <w:r w:rsidR="00AA0F08" w:rsidRPr="009B3747">
        <w:rPr>
          <w:rFonts w:eastAsia="Times New Roman" w:cstheme="minorHAnsi"/>
          <w:color w:val="000000"/>
          <w:lang w:eastAsia="en-GB"/>
        </w:rPr>
        <w:instrText>ADDIN CSL_CITATION { "citationItems" : [ { "id" : "ITEM-1", "itemData" : { "DOI" : "10.1038/oby.2007.118", "ISSN" : "1930-7381", "PMID" : "18239586", "abstract" : "OBJECTIVE The recent obesity epidemic has been accompanied by a parallel growth in chronic sleep deprivation. Physiologic studies suggest sleep deprivation may influence weight through effects on appetite, physical activity, and/or thermoregulation. This work reviews the literature regarding short sleep duration as an independent risk factor for obesity and weight gain. METHODS AND PROCEDURES A literature search was conducted for all articles published between 1966 and January 2007 using the search \"sleep\" and (\"duration\" or \"hour\" or \"hours\") and (\"obesity\" or \"weight\") in the MEDLINE database. Additional references were identified by reviewing bibliographies and contacting experts in the field. Studies reporting the association between sleep duration and at least one measure of weight were included. RESULTS Thirty-six publications (31 cross-sectional, 5 prospective, and 0 experimental) were identified. Findings in both cross-sectional and cohort studies of children suggested short sleep duration is strongly and consistently associated with concurrent and future obesity. Results from adult cross-sectional analyses were more mixed with 17 of 23 studies supporting an independent association between short sleep duration and increased weight. In contrast, all three longitudinal studies in adults found a positive association between short sleep duration and future weight. This relationship appeared to wane with age. DISCUSSION Short sleep duration appears independently associated with weight gain, particularly in younger age groups. However, major study design limitations preclude definitive conclusions. Further research with objective measures of sleep duration, repeated assessments of both sleep and weight, and experimental study designs that manipulate sleep are needed to better define the causal relationship of sleep deprivation on obesity.", "author" : [ { "dropping-particle" : "", "family" : "Patel", "given" : "Sanjay R.", "non-dropping-particle" : "", "parse-names" : false, "suffix" : "" }, { "dropping-particle" : "", "family" : "Hu", "given" : "Frank B.", "non-dropping-particle" : "", "parse-names" : false, "suffix" : "" } ], "container-title" : "Obesity", "id" : "ITEM-1", "issue" : "3", "issued" : { "date-parts" : [ [ "2008", "3", "17" ] ] }, "page" : "643-653", "title" : "Short Sleep Duration and Weight Gain: A Systematic Review", "type" : "article-journal", "volume" : "16" }, "uris" : [ "http://www.mendeley.com/documents/?uuid=ef46328f-b9cd-3add-8806-06a587183f7a" ] }, { "id" : "ITEM-2", "itemData" : { "DOI" : "10.1007/s10464-009-9269-1", "ISSN" : "00910562", "author" : [ { "dropping-particle" : "", "family" : "Lytle", "given" : "Leslie A.", "non-dropping-particle" : "", "parse-names" : false, "suffix" : "" } ], "container-title" : "American Journal of Community Psychology", "id" : "ITEM-2", "issue" : "3-4", "issued" : { "date-parts" : [ [ "2009", "12", "1" ] ] }, "page" : "338-349", "publisher" : "Springer US", "title" : "Examining the Etiology of Childhood Obesity: The IDEA Study", "type" : "article-journal", "volume" : "44" }, "uris" : [ "http://www.mendeley.com/documents/?uuid=6a86cf4d-a0fe-3215-9188-ae1240b0825c" ] } ], "mendeley" : { "formattedCitation" : "(Patel and Hu, 2008; Lytle, 2009)", "plainTextFormattedCitation" : "(Patel and Hu, 2008; Lytle, 2009)", "previouslyFormattedCitation" : "(Patel and Hu, 2008; Lytle, 2009)" }, "properties" : { "noteIndex" : 0 }, "schema" : "https://github.com/citation-style-language/schema/raw/master/csl-citation.json" }</w:instrText>
      </w:r>
      <w:r w:rsidR="00AA0F08" w:rsidRPr="009B3747">
        <w:rPr>
          <w:rFonts w:eastAsia="Times New Roman" w:cstheme="minorHAnsi"/>
          <w:color w:val="000000"/>
          <w:lang w:eastAsia="en-GB"/>
        </w:rPr>
        <w:fldChar w:fldCharType="separate"/>
      </w:r>
      <w:r w:rsidR="00AA0F08" w:rsidRPr="009B3747">
        <w:rPr>
          <w:rFonts w:eastAsia="Times New Roman" w:cstheme="minorHAnsi"/>
          <w:noProof/>
          <w:color w:val="000000"/>
          <w:lang w:eastAsia="en-GB"/>
        </w:rPr>
        <w:t>(Patel and Hu, 2008; Lytle, 2009)</w:t>
      </w:r>
      <w:r w:rsidR="00AA0F08" w:rsidRPr="009B3747">
        <w:rPr>
          <w:rFonts w:eastAsia="Times New Roman" w:cstheme="minorHAnsi"/>
          <w:color w:val="000000"/>
          <w:lang w:eastAsia="en-GB"/>
        </w:rPr>
        <w:fldChar w:fldCharType="end"/>
      </w:r>
      <w:r w:rsidR="00AA0F08" w:rsidRPr="009B3747">
        <w:rPr>
          <w:rFonts w:eastAsia="Times New Roman" w:cstheme="minorHAnsi"/>
          <w:color w:val="000000"/>
          <w:lang w:eastAsia="en-GB"/>
        </w:rPr>
        <w:t>.</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FA31CD" w:rsidRPr="009B3747" w:rsidRDefault="00FA31CD" w:rsidP="00FA31CD">
      <w:pPr>
        <w:rPr>
          <w:rFonts w:eastAsia="Times New Roman" w:cstheme="minorHAnsi"/>
          <w:sz w:val="24"/>
          <w:szCs w:val="24"/>
          <w:lang w:eastAsia="en-GB"/>
        </w:rPr>
      </w:pPr>
      <w:r w:rsidRPr="009B3747">
        <w:rPr>
          <w:rFonts w:eastAsia="Times New Roman" w:cstheme="minorHAnsi"/>
          <w:color w:val="000000"/>
          <w:lang w:eastAsia="en-GB"/>
        </w:rPr>
        <w:t>2.</w:t>
      </w:r>
      <w:r w:rsidR="008818AD" w:rsidRPr="009B3747">
        <w:rPr>
          <w:rFonts w:eastAsia="Times New Roman" w:cstheme="minorHAnsi"/>
          <w:color w:val="000000"/>
          <w:lang w:eastAsia="en-GB"/>
        </w:rPr>
        <w:t>5.1.3</w:t>
      </w:r>
      <w:r w:rsidRPr="009B3747">
        <w:rPr>
          <w:rFonts w:eastAsia="Times New Roman" w:cstheme="minorHAnsi"/>
          <w:color w:val="000000"/>
          <w:lang w:eastAsia="en-GB"/>
        </w:rPr>
        <w:t xml:space="preserve"> The environment</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A16FA3" w:rsidRPr="009B3747" w:rsidRDefault="00A16FA3" w:rsidP="00A16FA3">
      <w:pPr>
        <w:rPr>
          <w:rFonts w:eastAsia="Times New Roman" w:cstheme="minorHAnsi"/>
          <w:color w:val="000000"/>
          <w:lang w:eastAsia="en-GB"/>
        </w:rPr>
      </w:pPr>
      <w:r w:rsidRPr="009B3747">
        <w:rPr>
          <w:rFonts w:eastAsia="Times New Roman" w:cstheme="minorHAnsi"/>
          <w:color w:val="000000"/>
          <w:lang w:eastAsia="en-GB"/>
        </w:rPr>
        <w:t>Whilst it is undoubtedly important to identify individual behavioural risk factors associated with obesity, it is crucial to understand what determines or influences t</w:t>
      </w:r>
      <w:r w:rsidR="008D0824" w:rsidRPr="009B3747">
        <w:rPr>
          <w:rFonts w:eastAsia="Times New Roman" w:cstheme="minorHAnsi"/>
          <w:color w:val="000000"/>
          <w:lang w:eastAsia="en-GB"/>
        </w:rPr>
        <w:t xml:space="preserve">heir actual adoption and </w:t>
      </w:r>
      <w:r w:rsidRPr="009B3747">
        <w:rPr>
          <w:rFonts w:eastAsia="Times New Roman" w:cstheme="minorHAnsi"/>
          <w:color w:val="000000"/>
          <w:lang w:eastAsia="en-GB"/>
        </w:rPr>
        <w:t>maintenance</w:t>
      </w:r>
      <w:r w:rsidR="00AA0F08" w:rsidRPr="009B3747">
        <w:rPr>
          <w:rFonts w:eastAsia="Times New Roman" w:cstheme="minorHAnsi"/>
          <w:color w:val="000000"/>
          <w:lang w:eastAsia="en-GB"/>
        </w:rPr>
        <w:t xml:space="preserve"> </w:t>
      </w:r>
      <w:r w:rsidR="00AA0F08"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"Roberto", "given" : "CA", "non-dropping-particle" : "", "parse-names" : false, "suffix" : "" }, { "dropping-particle" : "", "family" : "Swinburn", "given" : "B", "non-dropping-particle" : "", "parse-names" : false, "suffix" : "" }, { "dropping-particle" : "", "family" : "Hawkes", "given" : "C", "non-dropping-particle" : "", "parse-names" : false, "suffix" : "" } ], "container-title" : "The Lancet", "id" : "ITEM-1", "issue" : "9985", "issued" : { "date-parts" : [ [ "2015" ] ] }, "page" : "2400\u20132409", "title" : "Patchy progress on obesity prevention: emerging examples, entrenched barriers, and new thinking", "type" : "article-journal", "volume" : "385" }, "uris" : [ "http://www.mendeley.com/documents/?uuid=6815ad69-33a9-48c6-8e24-5ea4f9900a6e" ] } ], "mendeley" : { "formattedCitation" : "(Roberto et al., 2015)", "plainTextFormattedCitation" : "(Roberto et al., 2015)", "previouslyFormattedCitation" : "(Roberto et al., 2015)" }, "properties" : { "noteIndex" : 0 }, "schema" : "https://github.com/citation-style-language/schema/raw/master/csl-citation.json" }</w:instrText>
      </w:r>
      <w:r w:rsidR="00AA0F08" w:rsidRPr="009B3747">
        <w:rPr>
          <w:rFonts w:eastAsia="Times New Roman" w:cstheme="minorHAnsi"/>
          <w:color w:val="000000"/>
          <w:lang w:eastAsia="en-GB"/>
        </w:rPr>
        <w:fldChar w:fldCharType="separate"/>
      </w:r>
      <w:r w:rsidR="00AA0F08" w:rsidRPr="009B3747">
        <w:rPr>
          <w:rFonts w:eastAsia="Times New Roman" w:cstheme="minorHAnsi"/>
          <w:noProof/>
          <w:color w:val="000000"/>
          <w:lang w:eastAsia="en-GB"/>
        </w:rPr>
        <w:t>(Roberto et al., 2015)</w:t>
      </w:r>
      <w:r w:rsidR="00AA0F08" w:rsidRPr="009B3747">
        <w:rPr>
          <w:rFonts w:eastAsia="Times New Roman" w:cstheme="minorHAnsi"/>
          <w:color w:val="000000"/>
          <w:lang w:eastAsia="en-GB"/>
        </w:rPr>
        <w:fldChar w:fldCharType="end"/>
      </w:r>
      <w:r w:rsidR="00AA0F08" w:rsidRPr="009B3747">
        <w:rPr>
          <w:rFonts w:eastAsia="Times New Roman" w:cstheme="minorHAnsi"/>
          <w:color w:val="000000"/>
          <w:lang w:eastAsia="en-GB"/>
        </w:rPr>
        <w:t xml:space="preserve">.  </w:t>
      </w:r>
      <w:r w:rsidRPr="009B3747">
        <w:rPr>
          <w:rFonts w:eastAsia="Times New Roman" w:cstheme="minorHAnsi"/>
          <w:color w:val="000000"/>
          <w:lang w:eastAsia="en-GB"/>
        </w:rPr>
        <w:t>Rather than individual behaviours being merely a product of free will and personal choice, an increasing body of evidence has promoted the influence of the wider social and environmental context</w:t>
      </w:r>
      <w:r w:rsidR="00996DC8">
        <w:rPr>
          <w:rFonts w:eastAsia="Times New Roman" w:cstheme="minorHAnsi"/>
          <w:color w:val="000000"/>
          <w:lang w:eastAsia="en-GB"/>
        </w:rPr>
        <w:t xml:space="preserve"> driving dietary consumption or </w:t>
      </w:r>
      <w:r w:rsidRPr="009B3747">
        <w:rPr>
          <w:rFonts w:eastAsia="Times New Roman" w:cstheme="minorHAnsi"/>
          <w:color w:val="000000"/>
          <w:lang w:eastAsia="en-GB"/>
        </w:rPr>
        <w:t>habits and physical activity patterns or preferences</w:t>
      </w:r>
      <w:r w:rsidR="00AA0F08" w:rsidRPr="009B3747">
        <w:rPr>
          <w:rFonts w:eastAsia="Times New Roman" w:cstheme="minorHAnsi"/>
          <w:color w:val="000000"/>
          <w:lang w:eastAsia="en-GB"/>
        </w:rPr>
        <w:t xml:space="preserve"> </w:t>
      </w:r>
      <w:r w:rsidR="00AA0F08" w:rsidRPr="009B3747">
        <w:rPr>
          <w:rFonts w:eastAsia="Times New Roman" w:cstheme="minorHAnsi"/>
          <w:color w:val="000000"/>
          <w:lang w:eastAsia="en-GB"/>
        </w:rPr>
        <w:fldChar w:fldCharType="begin" w:fldLock="1"/>
      </w:r>
      <w:r w:rsidR="00AA0F08" w:rsidRPr="009B3747">
        <w:rPr>
          <w:rFonts w:eastAsia="Times New Roman" w:cstheme="minorHAnsi"/>
          <w:color w:val="000000"/>
          <w:lang w:eastAsia="en-GB"/>
        </w:rPr>
        <w:instrText>ADDIN CSL_CITATION { "citationItems" : [ { "id" : "ITEM-1", "itemData" : { "DOI" : "10.1111/j.1467-789X.2007.00344.x", "ISSN" : "1467-7881", "author" : [ { "dropping-particle" : "", "family" : "Jebb", "given" : "S. A.", "non-dropping-particle" : "", "parse-names" : false, "suffix" : "" }, { "dropping-particle" : "", "family" : "Kopelman", "given" : "P.", "non-dropping-particle" : "", "parse-names" : false, "suffix" : "" }, { "dropping-particle" : "", "family" : "Butland", "given" : "B.", "non-dropping-particle" : "", "parse-names" : false, "suffix" : "" } ], "container-title" : "Obesity Reviews", "id" : "ITEM-1", "issue" : "s1", "issued" : { "date-parts" : [ [ "2007", "3", "1" ] ] }, "page" : "vi-ix", "publisher" : "Blackwell Publishing Ltd", "title" : "Executive Summary: FORESIGHT ?Tackling Obesities: Future Choices? project", "type" : "article-journal", "volume" : "8" }, "uris" : [ "http://www.mendeley.com/documents/?uuid=e73a53f3-f7de-3576-bb1a-7694a6fd0aa5" ] } ], "mendeley" : { "formattedCitation" : "(Jebb et al., 2007)", "plainTextFormattedCitation" : "(Jebb et al., 2007)", "previouslyFormattedCitation" : "(Jebb et al., 2007)" }, "properties" : { "noteIndex" : 0 }, "schema" : "https://github.com/citation-style-language/schema/raw/master/csl-citation.json" }</w:instrText>
      </w:r>
      <w:r w:rsidR="00AA0F08" w:rsidRPr="009B3747">
        <w:rPr>
          <w:rFonts w:eastAsia="Times New Roman" w:cstheme="minorHAnsi"/>
          <w:color w:val="000000"/>
          <w:lang w:eastAsia="en-GB"/>
        </w:rPr>
        <w:fldChar w:fldCharType="separate"/>
      </w:r>
      <w:r w:rsidR="00AA0F08" w:rsidRPr="009B3747">
        <w:rPr>
          <w:rFonts w:eastAsia="Times New Roman" w:cstheme="minorHAnsi"/>
          <w:noProof/>
          <w:color w:val="000000"/>
          <w:lang w:eastAsia="en-GB"/>
        </w:rPr>
        <w:t>(Jebb et al., 2007)</w:t>
      </w:r>
      <w:r w:rsidR="00AA0F08" w:rsidRPr="009B3747">
        <w:rPr>
          <w:rFonts w:eastAsia="Times New Roman" w:cstheme="minorHAnsi"/>
          <w:color w:val="000000"/>
          <w:lang w:eastAsia="en-GB"/>
        </w:rPr>
        <w:fldChar w:fldCharType="end"/>
      </w:r>
      <w:r w:rsidR="00AA0F08" w:rsidRPr="009B3747">
        <w:rPr>
          <w:rFonts w:eastAsia="Times New Roman" w:cstheme="minorHAnsi"/>
          <w:color w:val="000000"/>
          <w:lang w:eastAsia="en-GB"/>
        </w:rPr>
        <w:t xml:space="preserve">.  </w:t>
      </w:r>
      <w:r w:rsidRPr="009B3747">
        <w:rPr>
          <w:rFonts w:eastAsia="Times New Roman" w:cstheme="minorHAnsi"/>
          <w:color w:val="000000"/>
          <w:lang w:eastAsia="en-GB"/>
        </w:rPr>
        <w:t>As a result, in addition to the role of individual knowledge, beliefs, attitudes and psychological drive, the following factors (whilst not exhaustive) are argued to influence whether and how a pers</w:t>
      </w:r>
      <w:r w:rsidR="00E11E9D" w:rsidRPr="009B3747">
        <w:rPr>
          <w:rFonts w:eastAsia="Times New Roman" w:cstheme="minorHAnsi"/>
          <w:color w:val="000000"/>
          <w:lang w:eastAsia="en-GB"/>
        </w:rPr>
        <w:t xml:space="preserve">on takes in and expends energy – </w:t>
      </w:r>
      <w:r w:rsidRPr="009B3747">
        <w:rPr>
          <w:rFonts w:eastAsia="Times New Roman" w:cstheme="minorHAnsi"/>
          <w:color w:val="000000"/>
          <w:lang w:eastAsia="en-GB"/>
        </w:rPr>
        <w:t xml:space="preserve">changes to the built and urban environment </w:t>
      </w:r>
      <w:r w:rsidR="00AA0F08"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"World Health Organization", "given" : "", "non-dropping-particle" : "", "parse-names" : false, "suffix" : "" } ], "id" : "ITEM-1", "issued" : { "date-parts" : [ [ "2012" ] ] }, "publisher-place" : "Geneva", "title" : "Population-based approaches to childhood obesity prevention", "type" : "report" }, "uris" : [ "http://www.mendeley.com/documents/?uuid=13cb8a82-b4b1-4e1c-9cff-4799581d9a22" ] } ], "mendeley" : { "formattedCitation" : "(World Health Organization, 2012)", "plainTextFormattedCitation" : "(World Health Organization, 2012)", "previouslyFormattedCitation" : "(World Health Organization, 2012)" }, "properties" : { "noteIndex" : 0 }, "schema" : "https://github.com/citation-style-language/schema/raw/master/csl-citation.json" }</w:instrText>
      </w:r>
      <w:r w:rsidR="00AA0F08" w:rsidRPr="009B3747">
        <w:rPr>
          <w:rFonts w:eastAsia="Times New Roman" w:cstheme="minorHAnsi"/>
          <w:color w:val="000000"/>
          <w:lang w:eastAsia="en-GB"/>
        </w:rPr>
        <w:fldChar w:fldCharType="separate"/>
      </w:r>
      <w:r w:rsidR="00AA0F08" w:rsidRPr="009B3747">
        <w:rPr>
          <w:rFonts w:eastAsia="Times New Roman" w:cstheme="minorHAnsi"/>
          <w:noProof/>
          <w:color w:val="000000"/>
          <w:lang w:eastAsia="en-GB"/>
        </w:rPr>
        <w:t>(World Health Organization, 2012)</w:t>
      </w:r>
      <w:r w:rsidR="00AA0F08" w:rsidRPr="009B3747">
        <w:rPr>
          <w:rFonts w:eastAsia="Times New Roman" w:cstheme="minorHAnsi"/>
          <w:color w:val="000000"/>
          <w:lang w:eastAsia="en-GB"/>
        </w:rPr>
        <w:fldChar w:fldCharType="end"/>
      </w:r>
      <w:r w:rsidR="00AA0F08" w:rsidRPr="009B3747">
        <w:rPr>
          <w:rFonts w:eastAsia="Times New Roman" w:cstheme="minorHAnsi"/>
          <w:color w:val="000000"/>
          <w:lang w:eastAsia="en-GB"/>
        </w:rPr>
        <w:t>,</w:t>
      </w:r>
      <w:r w:rsidRPr="009B3747">
        <w:rPr>
          <w:rFonts w:eastAsia="Times New Roman" w:cstheme="minorHAnsi"/>
          <w:color w:val="000000"/>
          <w:lang w:eastAsia="en-GB"/>
        </w:rPr>
        <w:t xml:space="preserve"> healthy and unhealthy food availability, affordability and marketing</w:t>
      </w:r>
      <w:r w:rsidR="00AA0F08" w:rsidRPr="009B3747">
        <w:rPr>
          <w:rFonts w:eastAsia="Times New Roman" w:cstheme="minorHAnsi"/>
          <w:color w:val="000000"/>
          <w:lang w:eastAsia="en-GB"/>
        </w:rPr>
        <w:t xml:space="preserve"> </w:t>
      </w:r>
      <w:r w:rsidR="00AA0F08"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"DOI" : "10.1111/j.1467-789X.2005.00191.x", "ISSN" : "1467-7881", "author" : [ { "dropping-particle" : "", "family" : "Lobstein", "given" : "T.", "non-dropping-particle" : "", "parse-names" : false, "suffix" : "" }, { "dropping-particle" : "", "family" : "Dibb", "given" : "S.", "non-dropping-particle" : "", "parse-names" : false, "suffix" : "" } ], "container-title" : "Obesity Reviews", "id" : "ITEM-1", "issue" : "3", "issued" : { "date-parts" : [ [ "2005", "8", "1" ] ] }, "page" : "203-208", "publisher" : "Blackwell Science Ltd", "title" : "Evidence of a possible link between obesogenic food advertising and child overweight", "type" : "article-journal", "volume" : "6" }, "uris" : [ "http://www.mendeley.com/documents/?uuid=09cc6208-b30b-3910-bdf0-457b8fe9a726" ] }, { "id" : "ITEM-2", "itemData" : { "DOI" : "10.1146/annurev.publhealth.031308.100304", "ISSN" : "0163-7525", "PMID" : "18976142", "abstract" : "Reducing food marketing to children has been proposed as one means for addressing the global crisis of childhood obesity, but significant social, legal, financial, and public perception barriers stand in the way. The scientific literature documents that food marketing to children is (a) massive; (b) expanding in number of venues (product placements, video games, the Internet, cell phones, etc.); (c) composed almost entirely of messages for nutrient-poor, calorie-dense foods; (d) having harmful effects; and (e) increasingly global and hence difficult to regulate by individual countries. The food industry, governmental bodies, and advocacy groups have proposed a variety of plans for altering the marketing landscape. This article reviews existing knowledge of the impact of marketing and addresses the value of various legal, legislative, regulatory, and industry-based approaches to change.", "author" : [ { "dropping-particle" : "", "family" : "Harris", "given" : "Jennifer L.", "non-dropping-particle" : "", "parse-names" : false, "suffix" : "" }, { "dropping-particle" : "", "family" : "Pomeranz", "given" : "Jennifer L.", "non-dropping-particle" : "", "parse-names" : false, "suffix" : "" }, { "dropping-particle" : "", "family" : "Lobstein", "given" : "Tim", "non-dropping-particle" : "", "parse-names" : false, "suffix" : "" }, { "dropping-particle" : "", "family" : "Brownell", "given" : "Kelly D.", "non-dropping-particle" : "", "parse-names" : false, "suffix" : "" } ], "container-title" : "Annual Review of Public Health", "id" : "ITEM-2", "issue" : "1", "issued" : { "date-parts" : [ [ "2009", "4" ] ] }, "page" : "211-225", "title" : "A Crisis in the Marketplace: How Food Marketing Contributes to Childhood Obesity and What Can Be Done", "type" : "article-journal", "volume" : "30" }, "uris" : [ "http://www.mendeley.com/documents/?uuid=e8795c89-c542-3d3a-b5a5-b97dd7d959fb" ] }, { "id" : "ITEM-3", "itemData" : { "author" : [ { "dropping-particle" : "", "family" : "Fraser", "given" : "LK", "non-dropping-particle" : "", "parse-names" : false, "suffix" : "" }, { "dropping-particle" : "", "family" : "Edwards", "given" : "KL", "non-dropping-particle" : "", "parse-names" : false, "suffix" : "" }, { "dropping-particle" : "", "family" : "Cade", "given" : "J", "non-dropping-particle" : "", "parse-names" : false, "suffix" : "" }, { "dropping-particle" : "", "family" : "Clarke", "given" : "GP", "non-dropping-particle" : "", "parse-names" : false, "suffix" : "" } ], "container-title" : "International Journal of Environmental Research and Public Health", "id" : "ITEM-3", "issue" : "5", "issued" : { "date-parts" : [ [ "2010" ] ] }, "page" : "2290-2308", "title" : "The geography of fast food outlets: a review", "type" : "article-journal", "volume" : "7" }, "uris" : [ "http://www.mendeley.com/documents/?uuid=cd8d8a94-7cb7-4888-8676-519a52006259" ] }, { "id" : "ITEM-4", "itemData" : { "DOI" : "ISBN 978 92 4 151006 6", "ISBN" : "978 92 4 151006 6 \u00a9", "abstract" : "1. Over the past decade, the World Health Assembly, the governing body of the World Health Organization (WHO), and the United Nations General Assembly have adopted a series of resolutions1 that acknowledge noncommunicable diseases (NCDs) as a major challenge for development in the 21st century and have identified prevention and control as a core priority. The proposed Sustainable Development Goals propose a target on reducing premature mortality from NCDs2. 2. Among the NCD risk factors, obesity is particularly concerning. In children (aged under 19 years) it is associated with a wide range of health complications and an increased risk of premature onset of illnesses, including diabetes and heart disease. Preventing childhood obesity is a key approach to the primary prevention of NCDs. 3. Childhood obesity has complex origins and progress in tackling the issue has to date been slow. It is clear that a combination of scientific research, government leadership and community partnerships is necessary in order to develop the best recommendations and implement them worldwide. 4. In order to develop a comprehensive response to childhood obesity, the WHO Director- General established a high-level Commission on Ending Childhood Obesity (ECHO), which comprises 15 accomplished and eminent individuals from a variety of relevant backgrounds. The Commission has reviewed, built upon and addressed gaps in existing mandates and strategies with the support of two ad hoc working groups, one on science and evidence for ending childhood obesity (WGSE), and one on implementation, monitoring and accountability for ending childhood obesity (WGIMA). An Interim Report was developed for feedback through a series of regional consultations and hearings with Member States and non-State actors, and an online process for the submission of comments from relevant stakeholders. The Commission has reviewed these inputs and developed this draft final report, which will form the basis for a final round of regional and global consultation.", "author" : [ { "dropping-particle" : "", "family" : "World Health Organization", "given" : "", "non-dropping-particle" : "", "parse-names" : false, "suffix" : "" } ], "id" : "ITEM-4", "issued" : { "date-parts" : [ [ "2016" ] ] }, "publisher-place" : "Geneva", "title" : "Report of the Commission on Ending Childhood Obesity", "type" : "report" }, "uris" : [ "http://www.mendeley.com/documents/?uuid=fc7d72ef-f520-4e44-854a-cc82b135b368" ] } ], "mendeley" : { "formattedCitation" : "(Lobstein and Dibb, 2005; Harris et al., 2009; Fraser et al., 2010; World Health Organization, 2016c)", "plainTextFormattedCitation" : "(Lobstein and Dibb, 2005; Harris et al., 2009; Fraser et al., 2010; World Health Organization, 2016c)", "previouslyFormattedCitation" : "(Lobstein and Dibb, 2005; Harris et al., 2009; Fraser et al., 2010; World Health Organization, 2016c)" }, "properties" : { "noteIndex" : 0 }, "schema" : "https://github.com/citation-style-language/schema/raw/master/csl-citation.json" }</w:instrText>
      </w:r>
      <w:r w:rsidR="00AA0F08" w:rsidRPr="009B3747">
        <w:rPr>
          <w:rFonts w:eastAsia="Times New Roman" w:cstheme="minorHAnsi"/>
          <w:color w:val="000000"/>
          <w:lang w:eastAsia="en-GB"/>
        </w:rPr>
        <w:fldChar w:fldCharType="separate"/>
      </w:r>
      <w:r w:rsidR="00AA0F08" w:rsidRPr="009B3747">
        <w:rPr>
          <w:rFonts w:eastAsia="Times New Roman" w:cstheme="minorHAnsi"/>
          <w:noProof/>
          <w:color w:val="000000"/>
          <w:lang w:eastAsia="en-GB"/>
        </w:rPr>
        <w:t>(Lobstein and Dibb, 2005; Harris et al., 2009; Fraser et al., 2010; World Health Organization, 2016c)</w:t>
      </w:r>
      <w:r w:rsidR="00AA0F08" w:rsidRPr="009B3747">
        <w:rPr>
          <w:rFonts w:eastAsia="Times New Roman" w:cstheme="minorHAnsi"/>
          <w:color w:val="000000"/>
          <w:lang w:eastAsia="en-GB"/>
        </w:rPr>
        <w:fldChar w:fldCharType="end"/>
      </w:r>
      <w:r w:rsidR="00AA0F08" w:rsidRPr="009B3747">
        <w:rPr>
          <w:rFonts w:eastAsia="Times New Roman" w:cstheme="minorHAnsi"/>
          <w:color w:val="000000"/>
          <w:lang w:eastAsia="en-GB"/>
        </w:rPr>
        <w:t xml:space="preserve">, </w:t>
      </w:r>
      <w:r w:rsidRPr="009B3747">
        <w:rPr>
          <w:rFonts w:eastAsia="Times New Roman" w:cstheme="minorHAnsi"/>
          <w:color w:val="000000"/>
          <w:lang w:eastAsia="en-GB"/>
        </w:rPr>
        <w:t>media</w:t>
      </w:r>
      <w:r w:rsidR="00AA0F08" w:rsidRPr="009B3747">
        <w:rPr>
          <w:rFonts w:eastAsia="Times New Roman" w:cstheme="minorHAnsi"/>
          <w:color w:val="000000"/>
          <w:lang w:eastAsia="en-GB"/>
        </w:rPr>
        <w:t xml:space="preserve"> </w:t>
      </w:r>
      <w:r w:rsidR="00AA0F08" w:rsidRPr="009B3747">
        <w:rPr>
          <w:rFonts w:eastAsia="Times New Roman" w:cstheme="minorHAnsi"/>
          <w:color w:val="000000"/>
          <w:lang w:eastAsia="en-GB"/>
        </w:rPr>
        <w:fldChar w:fldCharType="begin" w:fldLock="1"/>
      </w:r>
      <w:r w:rsidR="00AA0F08" w:rsidRPr="009B3747">
        <w:rPr>
          <w:rFonts w:eastAsia="Times New Roman" w:cstheme="minorHAnsi"/>
          <w:color w:val="000000"/>
          <w:lang w:eastAsia="en-GB"/>
        </w:rPr>
        <w:instrText>ADDIN CSL_CITATION { "citationItems" : [ { "id" : "ITEM-1", "itemData" : { "ISSN" : "1934-4287", "PMID" : "19227385", "abstract" : "In this article we examine media use and its relationship to adolescent overweight/obesity and adolescent eating disorders. We consider the potential mechanisms through which exposure to media during adolescence (both amount of time and choice of content) might exacerbate unhealthy eating and physical activity patterns. We consider strategies that health care providers can use to identify problematic media use and suggestions they might offer to adolescents and their parents for ways to make media a more positive agent in young people's healthy development.", "author" : [ { "dropping-particle" : "", "family" : "Jordan", "given" : "Amy B", "non-dropping-particle" : "", "parse-names" : false, "suffix" : "" }, { "dropping-particle" : "", "family" : "Kramer-Golinkoff", "given" : "Emily K", "non-dropping-particle" : "", "parse-names" : false, "suffix" : "" }, { "dropping-particle" : "", "family" : "Strasburger", "given" : "Victor C", "non-dropping-particle" : "", "parse-names" : false, "suffix" : "" } ], "container-title" : "Adolescent medicine: state of the art reviews", "id" : "ITEM-1", "issue" : "3", "issued" : { "date-parts" : [ [ "2008", "12" ] ] }, "page" : "431-49, viii-ix", "title" : "Does adolescent media use cause obesity and eating disorders?", "type" : "article-journal", "volume" : "19" }, "uris" : [ "http://www.mendeley.com/documents/?uuid=1edce87b-0902-4ea3-a786-1024eaff1f44" ] } ], "mendeley" : { "formattedCitation" : "(Jordan et al., 2008)", "plainTextFormattedCitation" : "(Jordan et al., 2008)", "previouslyFormattedCitation" : "(Jordan et al., 2008)" }, "properties" : { "noteIndex" : 0 }, "schema" : "https://github.com/citation-style-language/schema/raw/master/csl-citation.json" }</w:instrText>
      </w:r>
      <w:r w:rsidR="00AA0F08" w:rsidRPr="009B3747">
        <w:rPr>
          <w:rFonts w:eastAsia="Times New Roman" w:cstheme="minorHAnsi"/>
          <w:color w:val="000000"/>
          <w:lang w:eastAsia="en-GB"/>
        </w:rPr>
        <w:fldChar w:fldCharType="separate"/>
      </w:r>
      <w:r w:rsidR="00AA0F08" w:rsidRPr="009B3747">
        <w:rPr>
          <w:rFonts w:eastAsia="Times New Roman" w:cstheme="minorHAnsi"/>
          <w:noProof/>
          <w:color w:val="000000"/>
          <w:lang w:eastAsia="en-GB"/>
        </w:rPr>
        <w:t>(Jordan et al., 2008)</w:t>
      </w:r>
      <w:r w:rsidR="00AA0F08" w:rsidRPr="009B3747">
        <w:rPr>
          <w:rFonts w:eastAsia="Times New Roman" w:cstheme="minorHAnsi"/>
          <w:color w:val="000000"/>
          <w:lang w:eastAsia="en-GB"/>
        </w:rPr>
        <w:fldChar w:fldCharType="end"/>
      </w:r>
      <w:r w:rsidR="00AA0F08"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and the increasing </w:t>
      </w:r>
      <w:r w:rsidR="00AA0F08" w:rsidRPr="009B3747">
        <w:rPr>
          <w:rFonts w:eastAsia="Times New Roman" w:cstheme="minorHAnsi"/>
          <w:color w:val="000000"/>
          <w:lang w:eastAsia="en-GB"/>
        </w:rPr>
        <w:t xml:space="preserve">use of technology based products </w:t>
      </w:r>
      <w:r w:rsidR="00AA0F08"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"ISBN" : "1421409607", "abstract" : "Introduction : human biology, evolution, and obseity -- Humanity is on the fat track -- Our early ancestors -- The evolution of meals -- Evolution, adaptation, and human obesity -- Evolution, adaptation, and the perils of modern life -- Energy, metabolism, and the thermodynamics of life -- Information molecules and the peptide revolution -- Appetite and satiety -- Getting ready to eat -- The paradox of feeding -- The biology of fat -- Fat and reproduction -- Genetic and epigenetic correlates of obesity -- Conclusion : surviving the perils of modern life.", "author" : [ { "dropping-particle" : "", "family" : "Power", "given" : "Michael L.", "non-dropping-particle" : "", "parse-names" : false, "suffix" : "" }, { "dropping-particle" : "", "family" : "Schulkin", "given" : "Jay.", "non-dropping-particle" : "", "parse-names" : false, "suffix" : "" } ], "id" : "ITEM-1", "issued" : { "date-parts" : [ [ "2009" ] ] }, "number-of-pages" : "392", "publisher" : "Johns Hopkins University Press", "publisher-place" : "Baltimore", "title" : "The evolution of obesity", "type" : "book" }, "uris" : [ "http://www.mendeley.com/documents/?uuid=79072995-e445-3193-8a20-47d122dd0cc1" ] } ], "mendeley" : { "formattedCitation" : "(Power and Schulkin, 2009)", "plainTextFormattedCitation" : "(Power and Schulkin, 2009)", "previouslyFormattedCitation" : "(Power and Schulkin, 2009)" }, "properties" : { "noteIndex" : 0 }, "schema" : "https://github.com/citation-style-language/schema/raw/master/csl-citation.json" }</w:instrText>
      </w:r>
      <w:r w:rsidR="00AA0F08" w:rsidRPr="009B3747">
        <w:rPr>
          <w:rFonts w:eastAsia="Times New Roman" w:cstheme="minorHAnsi"/>
          <w:color w:val="000000"/>
          <w:lang w:eastAsia="en-GB"/>
        </w:rPr>
        <w:fldChar w:fldCharType="separate"/>
      </w:r>
      <w:r w:rsidR="00AA0F08" w:rsidRPr="009B3747">
        <w:rPr>
          <w:rFonts w:eastAsia="Times New Roman" w:cstheme="minorHAnsi"/>
          <w:noProof/>
          <w:color w:val="000000"/>
          <w:lang w:eastAsia="en-GB"/>
        </w:rPr>
        <w:t>(Power and Schulkin, 2009)</w:t>
      </w:r>
      <w:r w:rsidR="00AA0F08" w:rsidRPr="009B3747">
        <w:rPr>
          <w:rFonts w:eastAsia="Times New Roman" w:cstheme="minorHAnsi"/>
          <w:color w:val="000000"/>
          <w:lang w:eastAsia="en-GB"/>
        </w:rPr>
        <w:fldChar w:fldCharType="end"/>
      </w:r>
      <w:r w:rsidRPr="009B3747">
        <w:rPr>
          <w:rFonts w:eastAsia="Times New Roman" w:cstheme="minorHAnsi"/>
          <w:color w:val="000000"/>
          <w:lang w:eastAsia="en-GB"/>
        </w:rPr>
        <w:t>.  These environmental factors are further confounded by socio-economic and ethnic disparities and vulnerabilities</w:t>
      </w:r>
      <w:r w:rsidR="00AA0F08" w:rsidRPr="009B3747">
        <w:rPr>
          <w:rFonts w:eastAsia="Times New Roman" w:cstheme="minorHAnsi"/>
          <w:color w:val="000000"/>
          <w:lang w:eastAsia="en-GB"/>
        </w:rPr>
        <w:t xml:space="preserve"> </w:t>
      </w:r>
      <w:r w:rsidR="00AA0F08"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"World Health Organization Regional Office for Europe", "given" : "", "non-dropping-particle" : "", "parse-names" : false, "suffix" : "" } ], "id" : "ITEM-1", "issued" : { "date-parts" : [ [ "2014" ] ] }, "publisher-place" : "Copenhagen", "title" : "Obesity and inequities - Guidance for addressing inequities in overweight and obesity", "type" : "report" }, "uris" : [ "http://www.mendeley.com/documents/?uuid=caff6bad-3812-4574-a91b-a6676d8de8c8" ] }, { "id" : "ITEM-2", "itemData" : { "author" : [ { "dropping-particle" : "", "family" : "Lobstein", "given" : "T", "non-dropping-particle" : "", "parse-names" : false, "suffix" : "" }, { "dropping-particle" : "", "family" : "Jackson-Leach", "given" : "R", "non-dropping-particle" : "", "parse-names" : false, "suffix" : "" }, { "dropping-particle" : "", "family" : "Moodie", "given" : "ML", "non-dropping-particle" : "", "parse-names" : false, "suffix" : "" } ], "container-title" : "The Lancet", "id" : "ITEM-2", "issue" : "9986", "issued" : { "date-parts" : [ [ "2015" ] ] }, "page" : "2510-2520", "title" : "Child and adolescent obesity: part of a bigger picture", "type" : "article-journal", "volume" : "385" }, "uris" : [ "http://www.mendeley.com/documents/?uuid=e072a246-f28d-4879-b95a-10b312372cee" ] }, { "id" : "ITEM-3", "itemData" : { "DOI" : "ISBN 978 92 4 151006 6", "ISBN" : "978 92 4 151006 6 \u00a9", "abstract" : "1. Over the past decade, the World Health Assembly, the governing body of the World Health Organization (WHO), and the United Nations General Assembly have adopted a series of resolutions1 that acknowledge noncommunicable diseases (NCDs) as a major challenge for development in the 21st century and have identified prevention and control as a core priority. The proposed Sustainable Development Goals propose a target on reducing premature mortality from NCDs2. 2. Among the NCD risk factors, obesity is particularly concerning. In children (aged under 19 years) it is associated with a wide range of health complications and an increased risk of premature onset of illnesses, including diabetes and heart disease. Preventing childhood obesity is a key approach to the primary prevention of NCDs. 3. Childhood obesity has complex origins and progress in tackling the issue has to date been slow. It is clear that a combination of scientific research, government leadership and community partnerships is necessary in order to develop the best recommendations and implement them worldwide. 4. In order to develop a comprehensive response to childhood obesity, the WHO Director- General established a high-level Commission on Ending Childhood Obesity (ECHO), which comprises 15 accomplished and eminent individuals from a variety of relevant backgrounds. The Commission has reviewed, built upon and addressed gaps in existing mandates and strategies with the support of two ad hoc working groups, one on science and evidence for ending childhood obesity (WGSE), and one on implementation, monitoring and accountability for ending childhood obesity (WGIMA). An Interim Report was developed for feedback through a series of regional consultations and hearings with Member States and non-State actors, and an online process for the submission of comments from relevant stakeholders. The Commission has reviewed these inputs and developed this draft final report, which will form the basis for a final round of regional and global consultation.", "author" : [ { "dropping-particle" : "", "family" : "World Health Organization", "given" : "", "non-dropping-particle" : "", "parse-names" : false, "suffix" : "" } ], "id" : "ITEM-3", "issued" : { "date-parts" : [ [ "2016" ] ] }, "publisher-place" : "Geneva", "title" : "Report of the Commission on Ending Childhood Obesity", "type" : "report" }, "uris" : [ "http://www.mendeley.com/documents/?uuid=fc7d72ef-f520-4e44-854a-cc82b135b368" ] } ], "mendeley" : { "formattedCitation" : "(World Health Organization Regional Office for Europe, 2014; Lobstein et al., 2015; World Health Organization, 2016c)", "plainTextFormattedCitation" : "(World Health Organization Regional Office for Europe, 2014; Lobstein et al., 2015; World Health Organization, 2016c)", "previouslyFormattedCitation" : "(World Health Organization Regional Office for Europe, 2014; Lobstein et al., 2015; World Health Organization, 2016c)" }, "properties" : { "noteIndex" : 0 }, "schema" : "https://github.com/citation-style-language/schema/raw/master/csl-citation.json" }</w:instrText>
      </w:r>
      <w:r w:rsidR="00AA0F08" w:rsidRPr="009B3747">
        <w:rPr>
          <w:rFonts w:eastAsia="Times New Roman" w:cstheme="minorHAnsi"/>
          <w:color w:val="000000"/>
          <w:lang w:eastAsia="en-GB"/>
        </w:rPr>
        <w:fldChar w:fldCharType="separate"/>
      </w:r>
      <w:r w:rsidR="009C2ECF" w:rsidRPr="009B3747">
        <w:rPr>
          <w:rFonts w:eastAsia="Times New Roman" w:cstheme="minorHAnsi"/>
          <w:noProof/>
          <w:color w:val="000000"/>
          <w:lang w:eastAsia="en-GB"/>
        </w:rPr>
        <w:t>(World Health Organization Regional Office for Europe, 2014; Lobstein et al., 2015; World Health Organization, 2016c)</w:t>
      </w:r>
      <w:r w:rsidR="00AA0F08" w:rsidRPr="009B3747">
        <w:rPr>
          <w:rFonts w:eastAsia="Times New Roman" w:cstheme="minorHAnsi"/>
          <w:color w:val="000000"/>
          <w:lang w:eastAsia="en-GB"/>
        </w:rPr>
        <w:fldChar w:fldCharType="end"/>
      </w:r>
      <w:r w:rsidR="00AA0F08" w:rsidRPr="009B3747">
        <w:rPr>
          <w:rFonts w:eastAsia="Times New Roman" w:cstheme="minorHAnsi"/>
          <w:color w:val="000000"/>
          <w:lang w:eastAsia="en-GB"/>
        </w:rPr>
        <w:t>.</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8D0824" w:rsidRPr="009B3747" w:rsidRDefault="00FA31CD" w:rsidP="00A16FA3">
      <w:pPr>
        <w:rPr>
          <w:rFonts w:eastAsia="Times New Roman" w:cstheme="minorHAnsi"/>
          <w:color w:val="000000"/>
          <w:lang w:eastAsia="en-GB"/>
        </w:rPr>
      </w:pPr>
      <w:r w:rsidRPr="009B3747">
        <w:rPr>
          <w:rFonts w:eastAsia="Times New Roman" w:cstheme="minorHAnsi"/>
          <w:color w:val="000000"/>
          <w:lang w:eastAsia="en-GB"/>
        </w:rPr>
        <w:t xml:space="preserve">Consequently, </w:t>
      </w:r>
      <w:r w:rsidR="00A16FA3" w:rsidRPr="009B3747">
        <w:rPr>
          <w:rFonts w:eastAsia="Times New Roman" w:cstheme="minorHAnsi"/>
          <w:color w:val="000000"/>
          <w:lang w:eastAsia="en-GB"/>
        </w:rPr>
        <w:t>and fundamental to the Foresight programme</w:t>
      </w:r>
      <w:r w:rsidRPr="009B3747">
        <w:rPr>
          <w:rFonts w:eastAsia="Times New Roman" w:cstheme="minorHAnsi"/>
          <w:color w:val="000000"/>
          <w:lang w:eastAsia="en-GB"/>
        </w:rPr>
        <w:t xml:space="preserve"> </w:t>
      </w:r>
      <w:r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"Butland", "given" : "B", "non-dropping-particle" : "", "parse-names" : false, "suffix" : "" }, { "dropping-particle" : "", "family" : "Jebb", "given" : "S", "non-dropping-particle" : "", "parse-names" : false, "suffix" : "" } ], "id" : "ITEM-1", "issued" : { "date-parts" : [ [ "2007" ] ] }, "title" : "Foresight. Tackling obesities: future choices. Project report.", "type" : "report" }, "uris" : [ "http://www.mendeley.com/documents/?uuid=8ae0e880-41d4-4b61-b434-dc36711dd306" ] } ], "mendeley" : { "formattedCitation" : "(Butland and Jebb, 2007)", "plainTextFormattedCitation" : "(Butland and Jebb, 2007)", "previouslyFormattedCitation" : "(Butland and Jebb, 2007)" }, "properties" : { "noteIndex" : 0 }, "schema" : "https://github.com/citation-style-language/schema/raw/master/csl-citation.json" }</w:instrText>
      </w:r>
      <w:r w:rsidRPr="009B3747">
        <w:rPr>
          <w:rFonts w:eastAsia="Times New Roman" w:cstheme="minorHAnsi"/>
          <w:color w:val="000000"/>
          <w:lang w:eastAsia="en-GB"/>
        </w:rPr>
        <w:fldChar w:fldCharType="separate"/>
      </w:r>
      <w:r w:rsidRPr="009B3747">
        <w:rPr>
          <w:rFonts w:eastAsia="Times New Roman" w:cstheme="minorHAnsi"/>
          <w:noProof/>
          <w:color w:val="000000"/>
          <w:lang w:eastAsia="en-GB"/>
        </w:rPr>
        <w:t>(Butland and Jebb, 2007)</w:t>
      </w:r>
      <w:r w:rsidRPr="009B3747">
        <w:rPr>
          <w:rFonts w:eastAsia="Times New Roman" w:cstheme="minorHAnsi"/>
          <w:color w:val="000000"/>
          <w:lang w:eastAsia="en-GB"/>
        </w:rPr>
        <w:fldChar w:fldCharType="end"/>
      </w:r>
      <w:r w:rsidR="00996DC8">
        <w:rPr>
          <w:rFonts w:eastAsia="Times New Roman" w:cstheme="minorHAnsi"/>
          <w:color w:val="000000"/>
          <w:lang w:eastAsia="en-GB"/>
        </w:rPr>
        <w:t xml:space="preserve">, </w:t>
      </w:r>
      <w:r w:rsidRPr="009B3747">
        <w:rPr>
          <w:rFonts w:eastAsia="Times New Roman" w:cstheme="minorHAnsi"/>
          <w:color w:val="000000"/>
          <w:lang w:eastAsia="en-GB"/>
        </w:rPr>
        <w:t xml:space="preserve">is understanding and framing obesity </w:t>
      </w:r>
      <w:r w:rsidR="00A16FA3" w:rsidRPr="009B3747">
        <w:rPr>
          <w:rFonts w:eastAsia="Times New Roman" w:cstheme="minorHAnsi"/>
          <w:color w:val="000000"/>
          <w:lang w:eastAsia="en-GB"/>
        </w:rPr>
        <w:t xml:space="preserve">at a broad ecological or systems level where multiple spheres of influence were proposed as shaping behaviour across the life course and at an individual, social and </w:t>
      </w:r>
      <w:r w:rsidR="00A16FA3" w:rsidRPr="009B3747">
        <w:rPr>
          <w:rFonts w:eastAsia="Times New Roman" w:cstheme="minorHAnsi"/>
          <w:color w:val="000000"/>
          <w:lang w:eastAsia="en-GB"/>
        </w:rPr>
        <w:lastRenderedPageBreak/>
        <w:t xml:space="preserve">cultural, organizational, community and policy level </w:t>
      </w:r>
      <w:r w:rsidR="008D0824"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"Butland", "given" : "B", "non-dropping-particle" : "", "parse-names" : false, "suffix" : "" }, { "dropping-particle" : "", "family" : "Jebb", "given" : "S", "non-dropping-particle" : "", "parse-names" : false, "suffix" : "" } ], "id" : "ITEM-1", "issued" : { "date-parts" : [ [ "2007" ] ] }, "title" : "Foresight. Tackling obesities: future choices. Project report.", "type" : "report" }, "uris" : [ "http://www.mendeley.com/documents/?uuid=8ae0e880-41d4-4b61-b434-dc36711dd306" ] }, { "id" : "ITEM-2", "itemData" : { "DOI" : "10.1177/109019818801500401", "ISSN" : "1090-1981", "abstract" : "During the past 20 years there has been a dramatic increase in societal interest in preventing disability and death in the United States by changing individual behaviors linked to the risk of contracting chronic diseases. This renewed interest in health pro motion and disease prevention has not been without its critics. Some critics have accused proponents of life-style interventions of promoting a victim-blaming ideology by neglecting the importance of social influences on health and disease.This article proposes an ecological model for health promotion which focuses atten tion on both individual and social environmental factors as targets for health promo tion interventions. It addresses the importance of interventions directed at changing interpersonal, organizational, community, and public policy, factors which support and maintain unhealthy behaviors. The model assumes that appropriate changes in the social environment will produce changes in individuals, and that the support of individ uals in the p...", "author" : [ { "dropping-particle" : "", "family" : "McLeroy", "given" : "K. R.", "non-dropping-particle" : "", "parse-names" : false, "suffix" : "" }, { "dropping-particle" : "", "family" : "Bibeau", "given" : "D.", "non-dropping-particle" : "", "parse-names" : false, "suffix" : "" }, { "dropping-particle" : "", "family" : "Steckler", "given" : "A.", "non-dropping-particle" : "", "parse-names" : false, "suffix" : "" }, { "dropping-particle" : "", "family" : "Glanz", "given" : "K.", "non-dropping-particle" : "", "parse-names" : false, "suffix" : "" } ], "container-title" : "Health Education &amp; Behavior", "id" : "ITEM-2", "issue" : "4", "issued" : { "date-parts" : [ [ "1988", "1", "1" ] ] }, "page" : "351-377", "publisher" : "Sage PublicationsSage CA: Thousand Oaks, CA", "title" : "An Ecological Perspective on Health Promotion Programs", "type" : "article-journal", "volume" : "15" }, "uris" : [ "http://www.mendeley.com/documents/?uuid=d03252df-0c6d-32ca-add3-752e4e237ab7" ] }, { "id" : "ITEM-3", "itemData" : { "DOI" : "10.1111/j.1468-0009.2009.00550.x", "ISSN" : "0887378X", "PMID" : "19298418", "abstract" : "CONTEXT Environmental, policy, and societal changes are important contributors to the rapid rise in obesity over the past few decades, and there has been substantial progress toward identifying environmental and policy factors related to eating and physical activity that can point toward solutions. This article is a status report on research on physical activity and food environments, and it suggests how these findings can be used to improve diet and physical activity and to control or reduce obesity. METHODS This article summarizes and synthesizes recent reviews and provides examples of representative studies. It also describes ongoing innovative interventions and policy change efforts that were identified through conference presentations, media coverage, and websites. FINDINGS Numerous cross-sectional studies have consistently demonstrated that some attributes of built and food environments are associated with physical activity, healthful eating, and obesity. Residents of walkable neighborhoods who have good access to recreation facilities are more likely to be physically active and less likely to be overweight or obese. Residents of communities with ready access to healthy foods also tend to have more healthful diets. Disparities in environments and policies that disadvantage low-income communities and racial minorities have been documented as well. Evidence from multilevel studies, prospective research, and quasi-experimental evaluations of environmental changes are just beginning to emerge. CONCLUSIONS Environment, policy, and multilevel strategies for improving diet, physical activity, and obesity control are recommended based on a rapidly growing body of research and the collective wisdom of leading expert organizations. A public health imperative to identify and implement solutions to the obesity epidemic warrants the use of the most promising strategies while continuing to build the evidence base.", "author" : [ { "dropping-particle" : "", "family" : "Sallis", "given" : "JAMES F.", "non-dropping-particle" : "", "parse-names" : false, "suffix" : "" }, { "dropping-particle" : "", "family" : "Glanz", "given" : "KAREN", "non-dropping-particle" : "", "parse-names" : false, "suffix" : "" } ], "container-title" : "Milbank Quarterly", "id" : "ITEM-3", "issue" : "1", "issued" : { "date-parts" : [ [ "2009", "3" ] ] }, "page" : "123-154", "title" : "Physical Activity and Food Environments: Solutions to the Obesity Epidemic", "type" : "article-journal", "volume" : "87" }, "uris" : [ "http://www.mendeley.com/documents/?uuid=28b0605a-952f-384e-8309-c875100ca503" ] }, { "id" : "ITEM-4", "itemData" : { "DOI" : "10.1038/oby.2009.426", "ISSN" : "1930-7381", "author" : [ { "dropping-particle" : "", "family" : "Finegood", "given" : "Diane T.", "non-dropping-particle" : "", "parse-names" : false, "suffix" : "" }, { "dropping-particle" : "", "family" : "Merth", "given" : "Thomas D.N.", "non-dropping-particle" : "", "parse-names" : false, "suffix" : "" }, { "dropping-particle" : "", "family" : "Rutter", "given" : "Harry", "non-dropping-particle" : "", "parse-names" : false, "suffix" : "" } ], "container-title" : "Obesity", "id" : "ITEM-4", "issue" : "n1s", "issued" : { "date-parts" : [ [ "2010", "2", "1" ] ] }, "page" : "S13-S16", "publisher" : "Blackwell Publishing Ltd", "title" : "Implications of the Foresight Obesity System Map for Solutions to Childhood Obesity", "type" : "article-journal", "volume" : "18" }, "uris" : [ "http://www.mendeley.com/documents/?uuid=e3576078-3cee-3a38-82e0-0c2935de66e4" ] }, { "id" : "ITEM-5", "itemData" : { "DOI" : "10.1057/biosoc.2015.16", "ISSN" : "1745-8552", "author" : [ { "dropping-particle" : "", "family" : "Ulijaszek", "given" : "Stanley", "non-dropping-particle" : "", "parse-names" : false, "suffix" : "" } ], "container-title" : "BioSocieties", "id" : "ITEM-5", "issue" : "2", "issued" : { "date-parts" : [ [ "2015", "6", "11" ] ] }, "page" : "213-228", "publisher" : "Palgrave Macmillan UK", "title" : "With the benefit of Foresight: Obesity, complexity and joined-up government", "type" : "article-journal", "volume" : "10" }, "uris" : [ "http://www.mendeley.com/documents/?uuid=950a8e00-c387-3261-ae86-13e32dc76f28" ] } ], "mendeley" : { "formattedCitation" : "(Butland and Jebb, 2007; K. R. McLeroy et al., 1988; Sallis and Glanz, 2009; Finegood et al., 2010; Ulijaszek, 2015)", "manualFormatting" : "(Butland and Jebb, 2007; McLeroy et al., 1988; Sallis and Glanz, 2009; Finegood et al., 2010; Ulijaszek, 2015)", "plainTextFormattedCitation" : "(Butland and Jebb, 2007; K. R. McLeroy et al., 1988; Sallis and Glanz, 2009; Finegood et al., 2010; Ulijaszek, 2015)", "previouslyFormattedCitation" : "(Butland and Jebb, 2007; K. R. McLeroy et al., 1988; Sallis and Glanz, 2009; Finegood et al., 2010; Ulijaszek, 2015)" }, "properties" : { "noteIndex" : 0 }, "schema" : "https://github.com/citation-style-language/schema/raw/master/csl-citation.json" }</w:instrText>
      </w:r>
      <w:r w:rsidR="008D0824" w:rsidRPr="009B3747">
        <w:rPr>
          <w:rFonts w:eastAsia="Times New Roman" w:cstheme="minorHAnsi"/>
          <w:color w:val="000000"/>
          <w:lang w:eastAsia="en-GB"/>
        </w:rPr>
        <w:fldChar w:fldCharType="separate"/>
      </w:r>
      <w:r w:rsidR="00AE6A9E" w:rsidRPr="009B3747">
        <w:rPr>
          <w:rFonts w:eastAsia="Times New Roman" w:cstheme="minorHAnsi"/>
          <w:noProof/>
          <w:color w:val="000000"/>
          <w:lang w:eastAsia="en-GB"/>
        </w:rPr>
        <w:t xml:space="preserve">(Butland and Jebb, 2007; </w:t>
      </w:r>
      <w:r w:rsidR="006269B8" w:rsidRPr="009B3747">
        <w:rPr>
          <w:rFonts w:eastAsia="Times New Roman" w:cstheme="minorHAnsi"/>
          <w:noProof/>
          <w:color w:val="000000"/>
          <w:lang w:eastAsia="en-GB"/>
        </w:rPr>
        <w:t>McLeroy et al., 1988; Sallis and Glanz, 2009; Finegood et al., 2010; Ulijaszek, 2015)</w:t>
      </w:r>
      <w:r w:rsidR="008D0824" w:rsidRPr="009B3747">
        <w:rPr>
          <w:rFonts w:eastAsia="Times New Roman" w:cstheme="minorHAnsi"/>
          <w:color w:val="000000"/>
          <w:lang w:eastAsia="en-GB"/>
        </w:rPr>
        <w:fldChar w:fldCharType="end"/>
      </w:r>
      <w:r w:rsidR="008D0824" w:rsidRPr="009B3747">
        <w:rPr>
          <w:rFonts w:eastAsia="Times New Roman" w:cstheme="minorHAnsi"/>
          <w:color w:val="000000"/>
          <w:lang w:eastAsia="en-GB"/>
        </w:rPr>
        <w:t xml:space="preserve">.    </w:t>
      </w:r>
    </w:p>
    <w:p w:rsidR="008D0824" w:rsidRPr="009B3747" w:rsidRDefault="008D0824" w:rsidP="00A16FA3">
      <w:pPr>
        <w:rPr>
          <w:rFonts w:eastAsia="Times New Roman" w:cstheme="minorHAnsi"/>
          <w:color w:val="000000"/>
          <w:lang w:eastAsia="en-GB"/>
        </w:rPr>
      </w:pPr>
    </w:p>
    <w:p w:rsidR="00A16FA3" w:rsidRPr="009B3747" w:rsidRDefault="00A16FA3" w:rsidP="00A16FA3">
      <w:pPr>
        <w:rPr>
          <w:rFonts w:eastAsia="Times New Roman" w:cstheme="minorHAnsi"/>
          <w:sz w:val="24"/>
          <w:szCs w:val="24"/>
          <w:lang w:eastAsia="en-GB"/>
        </w:rPr>
      </w:pPr>
      <w:r w:rsidRPr="009B3747">
        <w:rPr>
          <w:rFonts w:eastAsia="Times New Roman" w:cstheme="minorHAnsi"/>
          <w:color w:val="000000"/>
          <w:lang w:eastAsia="en-GB"/>
        </w:rPr>
        <w:t>Whilst useful in conveying the systemic nature of the problem, concern has been raised that given the exceptional complex</w:t>
      </w:r>
      <w:r w:rsidR="00AE6A9E" w:rsidRPr="009B3747">
        <w:rPr>
          <w:rFonts w:eastAsia="Times New Roman" w:cstheme="minorHAnsi"/>
          <w:color w:val="000000"/>
          <w:lang w:eastAsia="en-GB"/>
        </w:rPr>
        <w:t xml:space="preserve">ity of the obesity systems map </w:t>
      </w:r>
      <w:r w:rsidR="00AE6A9E" w:rsidRPr="009B3747">
        <w:rPr>
          <w:rFonts w:eastAsia="Times New Roman" w:cstheme="minorHAnsi"/>
          <w:i/>
          <w:color w:val="000000"/>
          <w:lang w:eastAsia="en-GB"/>
        </w:rPr>
        <w:t>“</w:t>
      </w:r>
      <w:r w:rsidRPr="009B3747">
        <w:rPr>
          <w:rFonts w:eastAsia="Times New Roman" w:cstheme="minorHAnsi"/>
          <w:i/>
          <w:color w:val="000000"/>
          <w:lang w:eastAsia="en-GB"/>
        </w:rPr>
        <w:t>its use would lead to despa</w:t>
      </w:r>
      <w:r w:rsidR="00AE6A9E" w:rsidRPr="009B3747">
        <w:rPr>
          <w:rFonts w:eastAsia="Times New Roman" w:cstheme="minorHAnsi"/>
          <w:i/>
          <w:color w:val="000000"/>
          <w:lang w:eastAsia="en-GB"/>
        </w:rPr>
        <w:t>ir and retreat from the problem”</w:t>
      </w:r>
      <w:r w:rsidR="00CF65C5" w:rsidRPr="009B3747">
        <w:rPr>
          <w:rFonts w:eastAsia="Times New Roman" w:cstheme="minorHAnsi"/>
          <w:i/>
          <w:color w:val="000000"/>
          <w:lang w:eastAsia="en-GB"/>
        </w:rPr>
        <w:t xml:space="preserve"> </w:t>
      </w:r>
      <w:r w:rsidR="00CF65C5" w:rsidRPr="009B3747">
        <w:rPr>
          <w:rFonts w:eastAsia="Times New Roman" w:cstheme="minorHAnsi"/>
          <w:color w:val="000000"/>
          <w:lang w:eastAsia="en-GB"/>
        </w:rPr>
        <w:fldChar w:fldCharType="begin" w:fldLock="1"/>
      </w:r>
      <w:r w:rsidR="00224C9C" w:rsidRPr="009B3747">
        <w:rPr>
          <w:rFonts w:eastAsia="Times New Roman" w:cstheme="minorHAnsi"/>
          <w:color w:val="000000"/>
          <w:lang w:eastAsia="en-GB"/>
        </w:rPr>
        <w:instrText>ADDIN CSL_CITATION { "citationItems" : [ { "id" : "ITEM-1", "itemData" : { "DOI" : "10.1038/oby.2009.426", "ISSN" : "1930-7381", "author" : [ { "dropping-particle" : "", "family" : "Finegood", "given" : "Diane T.", "non-dropping-particle" : "", "parse-names" : false, "suffix" : "" }, { "dropping-particle" : "", "family" : "Merth", "given" : "Thomas D.N.", "non-dropping-particle" : "", "parse-names" : false, "suffix" : "" }, { "dropping-particle" : "", "family" : "Rutter", "given" : "Harry", "non-dropping-particle" : "", "parse-names" : false, "suffix" : "" } ], "container-title" : "Obesity", "id" : "ITEM-1", "issue" : "n1s", "issued" : { "date-parts" : [ [ "2010", "2", "1" ] ] }, "page" : "S13-S16", "publisher" : "Blackwell Publishing Ltd", "title" : "Implications of the Foresight Obesity System Map for Solutions to Childhood Obesity", "type" : "article-journal", "volume" : "18" }, "uris" : [ "http://www.mendeley.com/documents/?uuid=e3576078-3cee-3a38-82e0-0c2935de66e4" ] } ], "mendeley" : { "formattedCitation" : "(Finegood et al., 2010)", "manualFormatting" : "(Finegood et al., 2010, p.S14)", "plainTextFormattedCitation" : "(Finegood et al., 2010)", "previouslyFormattedCitation" : "(Finegood et al., 2010)" }, "properties" : { "noteIndex" : 0 }, "schema" : "https://github.com/citation-style-language/schema/raw/master/csl-citation.json" }</w:instrText>
      </w:r>
      <w:r w:rsidR="00CF65C5" w:rsidRPr="009B3747">
        <w:rPr>
          <w:rFonts w:eastAsia="Times New Roman" w:cstheme="minorHAnsi"/>
          <w:color w:val="000000"/>
          <w:lang w:eastAsia="en-GB"/>
        </w:rPr>
        <w:fldChar w:fldCharType="separate"/>
      </w:r>
      <w:r w:rsidR="00CF65C5" w:rsidRPr="009B3747">
        <w:rPr>
          <w:rFonts w:eastAsia="Times New Roman" w:cstheme="minorHAnsi"/>
          <w:noProof/>
          <w:color w:val="000000"/>
          <w:lang w:eastAsia="en-GB"/>
        </w:rPr>
        <w:t>(Finegood et al., 2010</w:t>
      </w:r>
      <w:r w:rsidR="00AE6A9E" w:rsidRPr="009B3747">
        <w:rPr>
          <w:rFonts w:eastAsia="Times New Roman" w:cstheme="minorHAnsi"/>
          <w:noProof/>
          <w:color w:val="000000"/>
          <w:lang w:eastAsia="en-GB"/>
        </w:rPr>
        <w:t>, p.</w:t>
      </w:r>
      <w:r w:rsidR="00CF65C5" w:rsidRPr="009B3747">
        <w:rPr>
          <w:rFonts w:eastAsia="Times New Roman" w:cstheme="minorHAnsi"/>
          <w:noProof/>
          <w:color w:val="000000"/>
          <w:lang w:eastAsia="en-GB"/>
        </w:rPr>
        <w:t>S14)</w:t>
      </w:r>
      <w:r w:rsidR="00CF65C5" w:rsidRPr="009B3747">
        <w:rPr>
          <w:rFonts w:eastAsia="Times New Roman" w:cstheme="minorHAnsi"/>
          <w:color w:val="000000"/>
          <w:lang w:eastAsia="en-GB"/>
        </w:rPr>
        <w:fldChar w:fldCharType="end"/>
      </w:r>
      <w:r w:rsidR="00CF65C5"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Furthermore, despite the increasing body of evidence highlighting the multi-level environmental influences on driving or moderating dietary and physical activity behaviours </w:t>
      </w:r>
      <w:r w:rsidR="00CF65C5"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"Swinburn", "given" : "BA", "non-dropping-particle" : "", "parse-names" : false, "suffix" : "" }, { "dropping-particle" : "", "family" : "Sacks", "given" : "G", "non-dropping-particle" : "", "parse-names" : false, "suffix" : "" }, { "dropping-particle" : "", "family" : "Hall", "given" : "KD", "non-dropping-particle" : "", "parse-names" : false, "suffix" : "" } ], "container-title" : "The Lancet", "id" : "ITEM-1", "issue" : "9793", "issued" : { "date-parts" : [ [ "2011" ] ] }, "page" : "804\u2013814", "title" : "The global obesity pandemic: shaped by global drivers and local environments", "type" : "article-journal", "volume" : "378" }, "uris" : [ "http://www.mendeley.com/documents/?uuid=32e46483-72ce-4885-84e3-55563f5489ac" ] } ], "mendeley" : { "formattedCitation" : "(Swinburn et al., 2011)", "plainTextFormattedCitation" : "(Swinburn et al., 2011)", "previouslyFormattedCitation" : "(Swinburn et al., 2011)" }, "properties" : { "noteIndex" : 0 }, "schema" : "https://github.com/citation-style-language/schema/raw/master/csl-citation.json" }</w:instrText>
      </w:r>
      <w:r w:rsidR="00CF65C5" w:rsidRPr="009B3747">
        <w:rPr>
          <w:rFonts w:eastAsia="Times New Roman" w:cstheme="minorHAnsi"/>
          <w:color w:val="000000"/>
          <w:lang w:eastAsia="en-GB"/>
        </w:rPr>
        <w:fldChar w:fldCharType="separate"/>
      </w:r>
      <w:r w:rsidR="00CF65C5" w:rsidRPr="009B3747">
        <w:rPr>
          <w:rFonts w:eastAsia="Times New Roman" w:cstheme="minorHAnsi"/>
          <w:noProof/>
          <w:color w:val="000000"/>
          <w:lang w:eastAsia="en-GB"/>
        </w:rPr>
        <w:t>(Swinburn et al., 2011)</w:t>
      </w:r>
      <w:r w:rsidR="00CF65C5" w:rsidRPr="009B3747">
        <w:rPr>
          <w:rFonts w:eastAsia="Times New Roman" w:cstheme="minorHAnsi"/>
          <w:color w:val="000000"/>
          <w:lang w:eastAsia="en-GB"/>
        </w:rPr>
        <w:fldChar w:fldCharType="end"/>
      </w:r>
      <w:r w:rsidRPr="009B3747">
        <w:rPr>
          <w:rFonts w:eastAsia="Times New Roman" w:cstheme="minorHAnsi"/>
          <w:color w:val="000000"/>
          <w:lang w:eastAsia="en-GB"/>
        </w:rPr>
        <w:t>, some academics propose this attention</w:t>
      </w:r>
      <w:r w:rsidR="00E11E9D" w:rsidRPr="009B3747">
        <w:rPr>
          <w:rFonts w:eastAsia="Times New Roman" w:cstheme="minorHAnsi"/>
          <w:color w:val="000000"/>
          <w:lang w:eastAsia="en-GB"/>
        </w:rPr>
        <w:t xml:space="preserve"> is argued to detract </w:t>
      </w:r>
      <w:r w:rsidRPr="009B3747">
        <w:rPr>
          <w:rFonts w:eastAsia="Times New Roman" w:cstheme="minorHAnsi"/>
          <w:color w:val="000000"/>
          <w:lang w:eastAsia="en-GB"/>
        </w:rPr>
        <w:t>from an individual’s own responsibility for maintaining a healthy weight</w:t>
      </w:r>
      <w:r w:rsidR="00596634" w:rsidRPr="009B3747">
        <w:rPr>
          <w:rFonts w:eastAsia="Times New Roman" w:cstheme="minorHAnsi"/>
          <w:color w:val="000000"/>
          <w:lang w:eastAsia="en-GB"/>
        </w:rPr>
        <w:t xml:space="preserve"> </w:t>
      </w:r>
      <w:r w:rsidR="00596634"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"DOI" : "10.1377/hlthaff.2009.0739", "ISSN" : "0278-2715", "PMID" : "20194976", "abstract" : "The concept of personal responsibility has been central to social, legal, and political approaches to obesity. It evokes language of blame, weakness, and vice and is a leading basis for inadequate government efforts, given the importance of environmental conditions in explaining high rates of obesity. These environmental conditions can override individual physical and psychological regulatory systems that might otherwise stand in the way of weight gain and obesity, hence undermining personal responsibility, narrowing choices, and eroding personal freedoms. Personal responsibility can be embraced as a value by placing priority on legislative and regulatory actions such as improving school nutrition, menu labeling, altering industry marketing practices, and even such controversial measures as the use of food taxes that create healthier defaults, thus supporting responsible behavior and bridging the divide between views based on individualistic versus collective responsibility.", "author" : [ { "dropping-particle" : "", "family" : "Brownell", "given" : "K. D.", "non-dropping-particle" : "", "parse-names" : false, "suffix" : "" }, { "dropping-particle" : "", "family" : "Kersh", "given" : "R.", "non-dropping-particle" : "", "parse-names" : false, "suffix" : "" }, { "dropping-particle" : "", "family" : "Ludwig", "given" : "D. S.", "non-dropping-particle" : "", "parse-names" : false, "suffix" : "" }, { "dropping-particle" : "", "family" : "Post", "given" : "R. C.", "non-dropping-particle" : "", "parse-names" : false, "suffix" : "" }, { "dropping-particle" : "", "family" : "Puhl", "given" : "R. M.", "non-dropping-particle" : "", "parse-names" : false, "suffix" : "" }, { "dropping-particle" : "", "family" : "Schwartz", "given" : "M. B.", "non-dropping-particle" : "", "parse-names" : false, "suffix" : "" }, { "dropping-particle" : "", "family" : "Willett", "given" : "W. C.", "non-dropping-particle" : "", "parse-names" : false, "suffix" : "" } ], "container-title" : "Health Affairs", "id" : "ITEM-1", "issue" : "3", "issued" : { "date-parts" : [ [ "2010", "3", "1" ] ] }, "page" : "379-387", "title" : "Personal Responsibility And Obesity: A Constructive Approach To A Controversial Issue", "type" : "article-journal", "volume" : "29" }, "uris" : [ "http://www.mendeley.com/documents/?uuid=0ef1a1af-d593-38d6-809b-d9cf42593a26" ] } ], "mendeley" : { "formattedCitation" : "(Brownell et al., 2010)", "manualFormatting" : "(Brownell et al., 2010)", "plainTextFormattedCitation" : "(Brownell et al., 2010)", "previouslyFormattedCitation" : "(Brownell et al., 2010)" }, "properties" : { "noteIndex" : 0 }, "schema" : "https://github.com/citation-style-language/schema/raw/master/csl-citation.json" }</w:instrText>
      </w:r>
      <w:r w:rsidR="00596634" w:rsidRPr="009B3747">
        <w:rPr>
          <w:rFonts w:eastAsia="Times New Roman" w:cstheme="minorHAnsi"/>
          <w:color w:val="000000"/>
          <w:lang w:eastAsia="en-GB"/>
        </w:rPr>
        <w:fldChar w:fldCharType="separate"/>
      </w:r>
      <w:r w:rsidR="00AE6A9E" w:rsidRPr="009B3747">
        <w:rPr>
          <w:rFonts w:eastAsia="Times New Roman" w:cstheme="minorHAnsi"/>
          <w:noProof/>
          <w:color w:val="000000"/>
          <w:lang w:eastAsia="en-GB"/>
        </w:rPr>
        <w:t>(</w:t>
      </w:r>
      <w:r w:rsidR="00B63180" w:rsidRPr="009B3747">
        <w:rPr>
          <w:rFonts w:eastAsia="Times New Roman" w:cstheme="minorHAnsi"/>
          <w:noProof/>
          <w:color w:val="000000"/>
          <w:lang w:eastAsia="en-GB"/>
        </w:rPr>
        <w:t>Brownell et al., 2010)</w:t>
      </w:r>
      <w:r w:rsidR="00596634" w:rsidRPr="009B3747">
        <w:rPr>
          <w:rFonts w:eastAsia="Times New Roman" w:cstheme="minorHAnsi"/>
          <w:color w:val="000000"/>
          <w:lang w:eastAsia="en-GB"/>
        </w:rPr>
        <w:fldChar w:fldCharType="end"/>
      </w:r>
      <w:r w:rsidR="00596634" w:rsidRPr="009B3747">
        <w:rPr>
          <w:rFonts w:eastAsia="Times New Roman" w:cstheme="minorHAnsi"/>
          <w:color w:val="000000"/>
          <w:lang w:eastAsia="en-GB"/>
        </w:rPr>
        <w:t>.</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A16FA3" w:rsidRPr="009B3747" w:rsidRDefault="00A16FA3" w:rsidP="00A16FA3">
      <w:pPr>
        <w:rPr>
          <w:rFonts w:eastAsia="Times New Roman" w:cstheme="minorHAnsi"/>
          <w:color w:val="000000"/>
          <w:lang w:eastAsia="en-GB"/>
        </w:rPr>
      </w:pPr>
      <w:r w:rsidRPr="009B3747">
        <w:rPr>
          <w:rFonts w:eastAsia="Times New Roman" w:cstheme="minorHAnsi"/>
          <w:color w:val="000000"/>
          <w:lang w:eastAsia="en-GB"/>
        </w:rPr>
        <w:t>However</w:t>
      </w:r>
      <w:r w:rsidR="00596634" w:rsidRPr="009B3747">
        <w:rPr>
          <w:rFonts w:eastAsia="Times New Roman" w:cstheme="minorHAnsi"/>
          <w:color w:val="000000"/>
          <w:lang w:eastAsia="en-GB"/>
        </w:rPr>
        <w:t xml:space="preserve"> </w:t>
      </w:r>
      <w:r w:rsidR="00E11E9D" w:rsidRPr="009B3747">
        <w:rPr>
          <w:rFonts w:eastAsia="Times New Roman" w:cstheme="minorHAnsi"/>
          <w:color w:val="000000"/>
          <w:lang w:eastAsia="en-GB"/>
        </w:rPr>
        <w:t>academics have stated</w:t>
      </w:r>
      <w:r w:rsidR="00FA31CD" w:rsidRPr="009B3747">
        <w:rPr>
          <w:rFonts w:eastAsia="Times New Roman" w:cstheme="minorHAnsi"/>
          <w:color w:val="000000"/>
          <w:lang w:eastAsia="en-GB"/>
        </w:rPr>
        <w:t xml:space="preserve"> (Robert et al., </w:t>
      </w:r>
      <w:r w:rsidR="00596634" w:rsidRPr="009B3747">
        <w:rPr>
          <w:rFonts w:eastAsia="Times New Roman" w:cstheme="minorHAnsi"/>
          <w:color w:val="000000"/>
          <w:lang w:eastAsia="en-GB"/>
        </w:rPr>
        <w:t>2015)</w:t>
      </w:r>
      <w:r w:rsidRPr="009B3747">
        <w:rPr>
          <w:rFonts w:eastAsia="Times New Roman" w:cstheme="minorHAnsi"/>
          <w:color w:val="000000"/>
          <w:lang w:eastAsia="en-GB"/>
        </w:rPr>
        <w:t xml:space="preserve"> that utilising simplistic dichotomies to frame obesity causes and solutions</w:t>
      </w:r>
      <w:r w:rsidR="00FE4357">
        <w:rPr>
          <w:rFonts w:eastAsia="Times New Roman" w:cstheme="minorHAnsi"/>
          <w:color w:val="000000"/>
          <w:lang w:eastAsia="en-GB"/>
        </w:rPr>
        <w:t>,</w:t>
      </w:r>
      <w:r w:rsidRPr="009B3747">
        <w:rPr>
          <w:rFonts w:eastAsia="Times New Roman" w:cstheme="minorHAnsi"/>
          <w:color w:val="000000"/>
          <w:lang w:eastAsia="en-GB"/>
        </w:rPr>
        <w:t xml:space="preserve"> i.e. individual versus environment causes, or personal versus societal responsibility, fails to take into account the complex interactions between them.  Furthermore, divisive discussions and debates about causation is suggested to be a distraction, which hinders progress and provides policy</w:t>
      </w:r>
      <w:r w:rsidR="00596634" w:rsidRPr="009B3747">
        <w:rPr>
          <w:rFonts w:eastAsia="Times New Roman" w:cstheme="minorHAnsi"/>
          <w:color w:val="000000"/>
          <w:lang w:eastAsia="en-GB"/>
        </w:rPr>
        <w:t xml:space="preserve"> makers an excuse for inaction </w:t>
      </w:r>
      <w:r w:rsidR="00596634"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"Kleinert", "given" : "S", "non-dropping-particle" : "", "parse-names" : false, "suffix" : "" }, { "dropping-particle" : "", "family" : "Horton", "given" : "R", "non-dropping-particle" : "", "parse-names" : false, "suffix" : "" } ], "container-title" : "The Lancet", "id" : "ITEM-1", "issue" : "9985", "issued" : { "date-parts" : [ [ "2015" ] ] }, "page" : "2326\u20132328", "title" : "Rethinking and reframing obesity", "type" : "article-journal", "volume" : "385" }, "uris" : [ "http://www.mendeley.com/documents/?uuid=e0b9e430-0dbc-4dd6-b26a-dda5989b6adf" ] } ], "mendeley" : { "formattedCitation" : "(Kleinert and Horton, 2015)", "plainTextFormattedCitation" : "(Kleinert and Horton, 2015)", "previouslyFormattedCitation" : "(Kleinert and Horton, 2015)" }, "properties" : { "noteIndex" : 0 }, "schema" : "https://github.com/citation-style-language/schema/raw/master/csl-citation.json" }</w:instrText>
      </w:r>
      <w:r w:rsidR="00596634" w:rsidRPr="009B3747">
        <w:rPr>
          <w:rFonts w:eastAsia="Times New Roman" w:cstheme="minorHAnsi"/>
          <w:color w:val="000000"/>
          <w:lang w:eastAsia="en-GB"/>
        </w:rPr>
        <w:fldChar w:fldCharType="separate"/>
      </w:r>
      <w:r w:rsidR="00596634" w:rsidRPr="009B3747">
        <w:rPr>
          <w:rFonts w:eastAsia="Times New Roman" w:cstheme="minorHAnsi"/>
          <w:noProof/>
          <w:color w:val="000000"/>
          <w:lang w:eastAsia="en-GB"/>
        </w:rPr>
        <w:t>(Kleinert and Horton, 2015)</w:t>
      </w:r>
      <w:r w:rsidR="00596634" w:rsidRPr="009B3747">
        <w:rPr>
          <w:rFonts w:eastAsia="Times New Roman" w:cstheme="minorHAnsi"/>
          <w:color w:val="000000"/>
          <w:lang w:eastAsia="en-GB"/>
        </w:rPr>
        <w:fldChar w:fldCharType="end"/>
      </w:r>
      <w:r w:rsidR="00596634" w:rsidRPr="009B3747">
        <w:rPr>
          <w:rFonts w:eastAsia="Times New Roman" w:cstheme="minorHAnsi"/>
          <w:color w:val="000000"/>
          <w:lang w:eastAsia="en-GB"/>
        </w:rPr>
        <w:t>.</w:t>
      </w:r>
    </w:p>
    <w:p w:rsidR="002224C3" w:rsidRPr="009B3747" w:rsidRDefault="002224C3" w:rsidP="00A16FA3">
      <w:pPr>
        <w:rPr>
          <w:rFonts w:eastAsia="Times New Roman" w:cstheme="minorHAnsi"/>
          <w:sz w:val="24"/>
          <w:szCs w:val="24"/>
          <w:lang w:eastAsia="en-GB"/>
        </w:rPr>
      </w:pPr>
    </w:p>
    <w:p w:rsidR="00A16FA3" w:rsidRPr="009B3747" w:rsidRDefault="00FA31CD" w:rsidP="00A16FA3">
      <w:pPr>
        <w:rPr>
          <w:rFonts w:eastAsia="Times New Roman" w:cstheme="minorHAnsi"/>
          <w:lang w:eastAsia="en-GB"/>
        </w:rPr>
      </w:pPr>
      <w:r w:rsidRPr="009B3747">
        <w:rPr>
          <w:rFonts w:eastAsia="Times New Roman" w:cstheme="minorHAnsi"/>
          <w:color w:val="000000"/>
          <w:u w:val="single"/>
          <w:lang w:eastAsia="en-GB"/>
        </w:rPr>
        <w:t>2.</w:t>
      </w:r>
      <w:r w:rsidR="008818AD" w:rsidRPr="009B3747">
        <w:rPr>
          <w:rFonts w:eastAsia="Times New Roman" w:cstheme="minorHAnsi"/>
          <w:color w:val="000000"/>
          <w:u w:val="single"/>
          <w:lang w:eastAsia="en-GB"/>
        </w:rPr>
        <w:t>5.2</w:t>
      </w:r>
      <w:r w:rsidRPr="009B3747">
        <w:rPr>
          <w:rFonts w:eastAsia="Times New Roman" w:cstheme="minorHAnsi"/>
          <w:color w:val="000000"/>
          <w:u w:val="single"/>
          <w:lang w:eastAsia="en-GB"/>
        </w:rPr>
        <w:t xml:space="preserve"> </w:t>
      </w:r>
      <w:r w:rsidR="00A16FA3" w:rsidRPr="009B3747">
        <w:rPr>
          <w:rFonts w:eastAsia="Times New Roman" w:cstheme="minorHAnsi"/>
          <w:color w:val="000000"/>
          <w:u w:val="single"/>
          <w:lang w:eastAsia="en-GB"/>
        </w:rPr>
        <w:t>Childhood and adolescent obesity consequences</w:t>
      </w:r>
    </w:p>
    <w:p w:rsidR="002224C3" w:rsidRPr="009B3747" w:rsidRDefault="002224C3" w:rsidP="00A16FA3">
      <w:pPr>
        <w:rPr>
          <w:rFonts w:eastAsia="Times New Roman" w:cstheme="minorHAnsi"/>
          <w:color w:val="000000"/>
          <w:lang w:eastAsia="en-GB"/>
        </w:rPr>
      </w:pPr>
    </w:p>
    <w:p w:rsidR="00A16FA3" w:rsidRPr="009B3747" w:rsidRDefault="00A16FA3" w:rsidP="00A16FA3">
      <w:pPr>
        <w:rPr>
          <w:rFonts w:eastAsia="Times New Roman" w:cstheme="minorHAnsi"/>
          <w:color w:val="000000"/>
          <w:lang w:eastAsia="en-GB"/>
        </w:rPr>
      </w:pPr>
      <w:r w:rsidRPr="009B3747">
        <w:rPr>
          <w:rFonts w:eastAsia="Times New Roman" w:cstheme="minorHAnsi"/>
          <w:color w:val="000000"/>
          <w:lang w:eastAsia="en-GB"/>
        </w:rPr>
        <w:t>Excess weight and more specifically excess accumulation of body fat in children and adolescence, presents both an immediate and long term risk to physical, emotional and social health and well-being</w:t>
      </w:r>
      <w:r w:rsidR="00740AFC" w:rsidRPr="009B3747">
        <w:rPr>
          <w:rFonts w:eastAsia="Times New Roman" w:cstheme="minorHAnsi"/>
          <w:color w:val="000000"/>
          <w:lang w:eastAsia="en-GB"/>
        </w:rPr>
        <w:t xml:space="preserve"> </w:t>
      </w:r>
      <w:r w:rsidR="00740AFC"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"Keating", "given" : "CL", "non-dropping-particle" : "", "parse-names" : false, "suffix" : "" } ], "container-title" : "International Journal of \u2026", "id" : "ITEM-1", "issue" : "5-6", "issued" : { "date-parts" : [ [ "2011" ] ] }, "page" : "434-41", "title" : "The health-related quality of life of overweight and obese adolescents\u2013a study measuring body mass index and adolescent-reported perceptions", "type" : "article-journal", "volume" : "6" }, "uris" : [ "http://www.mendeley.com/documents/?uuid=95a265fd-33cf-44f1-b0f1-884c722d7614" ] } ], "mendeley" : { "formattedCitation" : "(Keating, 2011)", "plainTextFormattedCitation" : "(Keating, 2011)", "previouslyFormattedCitation" : "(Keating, 2011)" }, "properties" : { "noteIndex" : 0 }, "schema" : "https://github.com/citation-style-language/schema/raw/master/csl-citation.json" }</w:instrText>
      </w:r>
      <w:r w:rsidR="00740AFC" w:rsidRPr="009B3747">
        <w:rPr>
          <w:rFonts w:eastAsia="Times New Roman" w:cstheme="minorHAnsi"/>
          <w:color w:val="000000"/>
          <w:lang w:eastAsia="en-GB"/>
        </w:rPr>
        <w:fldChar w:fldCharType="separate"/>
      </w:r>
      <w:r w:rsidR="00740AFC" w:rsidRPr="009B3747">
        <w:rPr>
          <w:rFonts w:eastAsia="Times New Roman" w:cstheme="minorHAnsi"/>
          <w:noProof/>
          <w:color w:val="000000"/>
          <w:lang w:eastAsia="en-GB"/>
        </w:rPr>
        <w:t>(Keating, 2011)</w:t>
      </w:r>
      <w:r w:rsidR="00740AFC" w:rsidRPr="009B3747">
        <w:rPr>
          <w:rFonts w:eastAsia="Times New Roman" w:cstheme="minorHAnsi"/>
          <w:color w:val="000000"/>
          <w:lang w:eastAsia="en-GB"/>
        </w:rPr>
        <w:fldChar w:fldCharType="end"/>
      </w:r>
      <w:r w:rsidRPr="009B3747">
        <w:rPr>
          <w:rFonts w:eastAsia="Times New Roman" w:cstheme="minorHAnsi"/>
          <w:color w:val="000000"/>
          <w:lang w:eastAsia="en-GB"/>
        </w:rPr>
        <w:t>.  Consideration must be paid, not only to the negative consequences of obesity during childhood, but the fact that unless effectively ad</w:t>
      </w:r>
      <w:r w:rsidR="00AE6A9E" w:rsidRPr="009B3747">
        <w:rPr>
          <w:rFonts w:eastAsia="Times New Roman" w:cstheme="minorHAnsi"/>
          <w:color w:val="000000"/>
          <w:lang w:eastAsia="en-GB"/>
        </w:rPr>
        <w:t xml:space="preserve">dressed, even in early years (0 to </w:t>
      </w:r>
      <w:r w:rsidRPr="009B3747">
        <w:rPr>
          <w:rFonts w:eastAsia="Times New Roman" w:cstheme="minorHAnsi"/>
          <w:color w:val="000000"/>
          <w:lang w:eastAsia="en-GB"/>
        </w:rPr>
        <w:t>5 years) obesity strongly tracks into both adolescence and adulthood</w:t>
      </w:r>
      <w:r w:rsidR="00740AFC" w:rsidRPr="009B3747">
        <w:rPr>
          <w:rFonts w:eastAsia="Times New Roman" w:cstheme="minorHAnsi"/>
          <w:color w:val="000000"/>
          <w:lang w:eastAsia="en-GB"/>
        </w:rPr>
        <w:t xml:space="preserve"> </w:t>
      </w:r>
      <w:r w:rsidR="00740AFC"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"PMID" : "9226480", "abstract" : "This paper reviews child and adolescent adiposity measures and associated long-term health risks. The first section argues that anthropometric measures are practical for large scale epidemiological studies, particularly the body mass index. Limitations of this and other measures are presented. The second section summarises the evidence on the relationship between child and adolescent and adult adiposity. This is based on a search for relevant literature in the following computerised databases: Medline (1985-96), BIDS (EMBASE and Science Citation Index 1985-96). The literature search revealed that the child to adult adiposity relationship is now well-documented, although methodological differences hinder comparisons. Nonetheless, consistently elevated risks of adult obesity are evident for fatter children, although the prediction of adult obesity from child and adolescent adiposity measures is only moderate. Fewer studies could be identified in relation to long-term health risks of child and adolescent adiposity. It is therefore difficult to specify categories of risk associated with childhood adiposity without more information from long-term studies. Further evidence is also required to confirm the suggestion from some studies that adult disease risks are associated with a change in adiposity from normal weight in childhood to obesity in adulthood. However, on the basis of the evidence available, it is argued that population-based approaches to the prevention of obesity are likely to be more effective than approaches targeted as fat children. Population-based approaches are desirable, first because of the poor prediction of adult obesity from child and adolescent measures, and second, because of risks of adult mortality and morbidity may be elevated for individuals who become overweight after adolescence.", "author" : [ { "dropping-particle" : "", "family" : "Power", "given" : "C", "non-dropping-particle" : "", "parse-names" : false, "suffix" : "" }, { "dropping-particle" : "", "family" : "Lake", "given" : "J K", "non-dropping-particle" : "", "parse-names" : false, "suffix" : "" }, { "dropping-particle" : "", "family" : "Cole", "given" : "T J", "non-dropping-particle" : "", "parse-names" : false, "suffix" : "" } ], "container-title" : "International journal of obesity and related metabolic disorders : journal of the International Association for the Study of Obesity", "id" : "ITEM-1", "issue" : "7", "issued" : { "date-parts" : [ [ "1997", "7" ] ] }, "page" : "507-26", "title" : "Measurement and long-term health risks of child and adolescent fatness.", "type" : "article-journal", "volume" : "21" }, "uris" : [ "http://www.mendeley.com/documents/?uuid=82cb8eb6-5c6f-3e2c-af73-c4e6e79cadda" ] }, { "id" : "ITEM-2", "itemData" : { "author" : [ { "dropping-particle" : "", "family" : "Singh", "given" : "AS", "non-dropping-particle" : "", "parse-names" : false, "suffix" : "" }, { "dropping-particle" : "", "family" : "Mulder", "given" : "C", "non-dropping-particle" : "", "parse-names" : false, "suffix" : "" } ], "container-title" : "Obesity \u2026", "id" : "ITEM-2", "issue" : "5", "issued" : { "date-parts" : [ [ "2008" ] ] }, "page" : "474-488", "title" : "Tracking of childhood overweight into adulthood: a systematic review of the literature", "type" : "article-journal", "volume" : "9" }, "uris" : [ "http://www.mendeley.com/documents/?uuid=81eacab3-c964-4816-81a9-c3734a5177d0" ] } ], "mendeley" : { "formattedCitation" : "(Power et al., 1997; Singh and Mulder, 2008)", "plainTextFormattedCitation" : "(Power et al., 1997; Singh and Mulder, 2008)", "previouslyFormattedCitation" : "(Power et al., 1997; Singh and Mulder, 2008)" }, "properties" : { "noteIndex" : 0 }, "schema" : "https://github.com/citation-style-language/schema/raw/master/csl-citation.json" }</w:instrText>
      </w:r>
      <w:r w:rsidR="00740AFC" w:rsidRPr="009B3747">
        <w:rPr>
          <w:rFonts w:eastAsia="Times New Roman" w:cstheme="minorHAnsi"/>
          <w:color w:val="000000"/>
          <w:lang w:eastAsia="en-GB"/>
        </w:rPr>
        <w:fldChar w:fldCharType="separate"/>
      </w:r>
      <w:r w:rsidR="00740AFC" w:rsidRPr="009B3747">
        <w:rPr>
          <w:rFonts w:eastAsia="Times New Roman" w:cstheme="minorHAnsi"/>
          <w:noProof/>
          <w:color w:val="000000"/>
          <w:lang w:eastAsia="en-GB"/>
        </w:rPr>
        <w:t>(Power et al., 1997; Singh and Mulder, 2008)</w:t>
      </w:r>
      <w:r w:rsidR="00740AFC" w:rsidRPr="009B3747">
        <w:rPr>
          <w:rFonts w:eastAsia="Times New Roman" w:cstheme="minorHAnsi"/>
          <w:color w:val="000000"/>
          <w:lang w:eastAsia="en-GB"/>
        </w:rPr>
        <w:fldChar w:fldCharType="end"/>
      </w:r>
      <w:r w:rsidR="00740AFC" w:rsidRPr="009B3747">
        <w:rPr>
          <w:rFonts w:eastAsia="Times New Roman" w:cstheme="minorHAnsi"/>
          <w:color w:val="000000"/>
          <w:lang w:eastAsia="en-GB"/>
        </w:rPr>
        <w:t xml:space="preserve">.  </w:t>
      </w:r>
      <w:r w:rsidRPr="009B3747">
        <w:rPr>
          <w:rFonts w:eastAsia="Times New Roman" w:cstheme="minorHAnsi"/>
          <w:color w:val="000000"/>
          <w:lang w:eastAsia="en-GB"/>
        </w:rPr>
        <w:t>Crucially, the tracking of obesity throughout a child’s life significantly increases the risk of elevated morbidity and premature mortality</w:t>
      </w:r>
      <w:r w:rsidR="00740AFC" w:rsidRPr="009B3747">
        <w:rPr>
          <w:rFonts w:eastAsia="Times New Roman" w:cstheme="minorHAnsi"/>
          <w:color w:val="000000"/>
          <w:lang w:eastAsia="en-GB"/>
        </w:rPr>
        <w:t xml:space="preserve"> </w:t>
      </w:r>
      <w:r w:rsidR="00740AFC"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"Reilly", "given" : "JJ", "non-dropping-particle" : "", "parse-names" : false, "suffix" : "" }, { "dropping-particle" : "", "family" : "Kelly", "given" : "J", "non-dropping-particle" : "", "parse-names" : false, "suffix" : "" } ], "container-title" : "International journal of obesity", "id" : "ITEM-1", "issue" : "7", "issued" : { "date-parts" : [ [ "2011" ] ] }, "page" : "891-8", "title" : "Long-term impact of overweight and obesity in childhood and adolescence on morbidity and premature mortality in adulthood: systematic review", "type" : "article-journal", "volume" : "35" }, "uris" : [ "http://www.mendeley.com/documents/?uuid=8bbf211b-0eb7-4986-9594-1e9c2ed5a85f" ] } ], "mendeley" : { "formattedCitation" : "(Reilly and Kelly, 2011)", "plainTextFormattedCitation" : "(Reilly and Kelly, 2011)", "previouslyFormattedCitation" : "(Reilly and Kelly, 2011)" }, "properties" : { "noteIndex" : 0 }, "schema" : "https://github.com/citation-style-language/schema/raw/master/csl-citation.json" }</w:instrText>
      </w:r>
      <w:r w:rsidR="00740AFC" w:rsidRPr="009B3747">
        <w:rPr>
          <w:rFonts w:eastAsia="Times New Roman" w:cstheme="minorHAnsi"/>
          <w:color w:val="000000"/>
          <w:lang w:eastAsia="en-GB"/>
        </w:rPr>
        <w:fldChar w:fldCharType="separate"/>
      </w:r>
      <w:r w:rsidR="00740AFC" w:rsidRPr="009B3747">
        <w:rPr>
          <w:rFonts w:eastAsia="Times New Roman" w:cstheme="minorHAnsi"/>
          <w:noProof/>
          <w:color w:val="000000"/>
          <w:lang w:eastAsia="en-GB"/>
        </w:rPr>
        <w:t>(Reilly and Kelly, 2011)</w:t>
      </w:r>
      <w:r w:rsidR="00740AFC"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Of direct relevance for this study is evidence suggesting that if obesity becomes established during the period of adolescence, it is even less likely that a reversal to a healthy weight during adulthood will occur </w:t>
      </w:r>
      <w:r w:rsidR="00740AFC"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"Ebbeling", "given" : "CB", "non-dropping-particle" : "", "parse-names" : false, "suffix" : "" }, { "dropping-particle" : "", "family" : "Pawlak", "given" : "DB", "non-dropping-particle" : "", "parse-names" : false, "suffix" : "" }, { "dropping-particle" : "", "family" : "Ludwig", "given" : "DS", "non-dropping-particle" : "", "parse-names" : false, "suffix" : "" } ], "container-title" : "The lancet", "id" : "ITEM-1", "issue" : "9331", "issued" : { "date-parts" : [ [ "2002" ] ] }, "page" : "473-482", "title" : "Childhood obesity: public-health crisis, common sense cure", "type" : "article-journal", "volume" : "360" }, "uris" : [ "http://www.mendeley.com/documents/?uuid=170d16d6-47bb-497e-ad62-092f44b77542" ] }, { "id" : "ITEM-2", "itemData" : { "author" : [ { "dropping-particle" : "", "family" : "Singh", "given" : "AS", "non-dropping-particle" : "", "parse-names" : false, "suffix" : "" }, { "dropping-particle" : "", "family" : "Mulder", "given" : "C", "non-dropping-particle" : "", "parse-names" : false, "suffix" : "" } ], "container-title" : "Obesity \u2026", "id" : "ITEM-2", "issue" : "5", "issued" : { "date-parts" : [ [ "2008" ] ] }, "page" : "474-488", "title" : "Tracking of childhood overweight into adulthood: a systematic review of the literature", "type" : "article-journal", "volume" : "9" }, "uris" : [ "http://www.mendeley.com/documents/?uuid=81eacab3-c964-4816-81a9-c3734a5177d0" ] } ], "mendeley" : { "formattedCitation" : "(Ebbeling et al., 2002; Singh and Mulder, 2008)", "plainTextFormattedCitation" : "(Ebbeling et al., 2002; Singh and Mulder, 2008)", "previouslyFormattedCitation" : "(Ebbeling et al., 2002; Singh and Mulder, 2008)" }, "properties" : { "noteIndex" : 0 }, "schema" : "https://github.com/citation-style-language/schema/raw/master/csl-citation.json" }</w:instrText>
      </w:r>
      <w:r w:rsidR="00740AFC" w:rsidRPr="009B3747">
        <w:rPr>
          <w:rFonts w:eastAsia="Times New Roman" w:cstheme="minorHAnsi"/>
          <w:color w:val="000000"/>
          <w:lang w:eastAsia="en-GB"/>
        </w:rPr>
        <w:fldChar w:fldCharType="separate"/>
      </w:r>
      <w:r w:rsidR="00740AFC" w:rsidRPr="009B3747">
        <w:rPr>
          <w:rFonts w:eastAsia="Times New Roman" w:cstheme="minorHAnsi"/>
          <w:noProof/>
          <w:color w:val="000000"/>
          <w:lang w:eastAsia="en-GB"/>
        </w:rPr>
        <w:t>(Ebbeling et al., 2002; Singh and Mulder, 2008)</w:t>
      </w:r>
      <w:r w:rsidR="00740AFC" w:rsidRPr="009B3747">
        <w:rPr>
          <w:rFonts w:eastAsia="Times New Roman" w:cstheme="minorHAnsi"/>
          <w:color w:val="000000"/>
          <w:lang w:eastAsia="en-GB"/>
        </w:rPr>
        <w:fldChar w:fldCharType="end"/>
      </w:r>
      <w:r w:rsidRPr="009B3747">
        <w:rPr>
          <w:rFonts w:eastAsia="Times New Roman" w:cstheme="minorHAnsi"/>
          <w:color w:val="000000"/>
          <w:lang w:eastAsia="en-GB"/>
        </w:rPr>
        <w:t>.  </w:t>
      </w:r>
      <w:r w:rsidR="00740AFC" w:rsidRPr="009B3747">
        <w:rPr>
          <w:rFonts w:eastAsia="Times New Roman" w:cstheme="minorHAnsi"/>
          <w:color w:val="000000"/>
          <w:lang w:eastAsia="en-GB"/>
        </w:rPr>
        <w:fldChar w:fldCharType="begin" w:fldLock="1"/>
      </w:r>
      <w:r w:rsidR="00740AFC" w:rsidRPr="009B3747">
        <w:rPr>
          <w:rFonts w:eastAsia="Times New Roman" w:cstheme="minorHAnsi"/>
          <w:color w:val="000000"/>
          <w:lang w:eastAsia="en-GB"/>
        </w:rPr>
        <w:instrText>ADDIN CSL_CITATION { "citationItems" : [ { "id" : "ITEM-1", "itemData" : { "DOI" : "10.1016/j.jadohealth.2010.06.019", "ISSN" : "1879-1972", "PMID" : "21338899", "abstract" : "OBJECTIVES: To assess changes in overweight and obesity between adolescence and young adulthood.\n\nDESIGN: Prospective 8-wave cohort study in Victoria, Australia, with 1,520 adolescents tracked from the age of 14 for a period of 10 years.\n\nMAIN OUTCOME MEASURES: Participants aged &lt;18 years were classified as non-overweight, overweight, or obese according to International Obesity Taskforce cutoff points. In those aged &gt;18 years overweight was defined as a body mass index (BMI) \u2265 25; and obesity as a BMI \u2265 30.\n\nRESULTS: The proportion of overweight individuals increased from 20% in mid-adolescence to 33% at the age of 24 years. Obesity increased from 3.6% to 6.7%. Approximately 40% of young adults with a BMI \u2265 25 had been persistently at normal weights during adolescence and approximately 80% had been at a normal weight at some point. Around half of obese young adults had never been classified as obese as adolescents. No individual with persistent obesity in adolescence had a BMI &lt;25 at 24 years. A total of 31% of females and 59% of males who had been overweight for only one or two waves of adolescent data collection had a BMI \u2265 25 at 24 years.\n\nCONCLUSIONS: Substantial shifts in overweight and obesity occur between adolescence and young adulthood; the extent of continuity depends on both the severity and persistence of adiposity in adolescence. Few adolescents who peak into obesity or are persistently overweight achieve a normal weight in young adulthood. Resolution is more common in those who are less persistently overweight as teenagers, suggesting scope for lifestyle interventions in this subgroup.", "author" : [ { "dropping-particle" : "", "family" : "Patton", "given" : "George C", "non-dropping-particle" : "", "parse-names" : false, "suffix" : "" }, { "dropping-particle" : "", "family" : "Coffey", "given" : "Carolyn", "non-dropping-particle" : "", "parse-names" : false, "suffix" : "" }, { "dropping-particle" : "", "family" : "Carlin", "given" : "John B", "non-dropping-particle" : "", "parse-names" : false, "suffix" : "" }, { "dropping-particle" : "", "family" : "Sawyer", "given" : "Susan M", "non-dropping-particle" : "", "parse-names" : false, "suffix" : "" }, { "dropping-particle" : "", "family" : "Williams", "given" : "Joanne", "non-dropping-particle" : "", "parse-names" : false, "suffix" : "" }, { "dropping-particle" : "", "family" : "Olsson", "given" : "Craig A", "non-dropping-particle" : "", "parse-names" : false, "suffix" : "" }, { "dropping-particle" : "", "family" : "Wake", "given" : "Melissa", "non-dropping-particle" : "", "parse-names" : false, "suffix" : "" } ], "container-title" : "The Journal of adolescent health : official publication of the Society for Adolescent Medicine", "id" : "ITEM-1", "issue" : "3", "issued" : { "date-parts" : [ [ "2011", "3", "3" ] ] }, "language" : "English", "page" : "275-80", "publisher" : "Elsevier", "title" : "Overweight and obesity between adolescence and young adulthood: a 10-year prospective cohort study.", "type" : "article-journal", "volume" : "48" }, "uris" : [ "http://www.mendeley.com/documents/?uuid=d52337f9-1bc5-4f91-8711-fbb6ee9a9373" ] } ], "mendeley" : { "formattedCitation" : "(Patton et al., 2011)", "manualFormatting" : "Patton et al., (2011", "plainTextFormattedCitation" : "(Patton et al., 2011)", "previouslyFormattedCitation" : "(Patton et al., 2011)" }, "properties" : { "noteIndex" : 0 }, "schema" : "https://github.com/citation-style-language/schema/raw/master/csl-citation.json" }</w:instrText>
      </w:r>
      <w:r w:rsidR="00740AFC" w:rsidRPr="009B3747">
        <w:rPr>
          <w:rFonts w:eastAsia="Times New Roman" w:cstheme="minorHAnsi"/>
          <w:color w:val="000000"/>
          <w:lang w:eastAsia="en-GB"/>
        </w:rPr>
        <w:fldChar w:fldCharType="separate"/>
      </w:r>
      <w:r w:rsidR="00740AFC" w:rsidRPr="009B3747">
        <w:rPr>
          <w:rFonts w:eastAsia="Times New Roman" w:cstheme="minorHAnsi"/>
          <w:noProof/>
          <w:color w:val="000000"/>
          <w:lang w:eastAsia="en-GB"/>
        </w:rPr>
        <w:t>Patton et al., (2011</w:t>
      </w:r>
      <w:r w:rsidR="00740AFC" w:rsidRPr="009B3747">
        <w:rPr>
          <w:rFonts w:eastAsia="Times New Roman" w:cstheme="minorHAnsi"/>
          <w:color w:val="000000"/>
          <w:lang w:eastAsia="en-GB"/>
        </w:rPr>
        <w:fldChar w:fldCharType="end"/>
      </w:r>
      <w:r w:rsidR="00740AFC"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therefore argues that both the period and transition from adolescence to young adulthood is a crucial phase for the prevention of excess weight. </w:t>
      </w:r>
    </w:p>
    <w:p w:rsidR="002224C3" w:rsidRPr="009B3747" w:rsidRDefault="002224C3" w:rsidP="00A16FA3">
      <w:pPr>
        <w:rPr>
          <w:rFonts w:eastAsia="Times New Roman" w:cstheme="minorHAnsi"/>
          <w:sz w:val="24"/>
          <w:szCs w:val="24"/>
          <w:lang w:eastAsia="en-GB"/>
        </w:rPr>
      </w:pPr>
    </w:p>
    <w:p w:rsidR="00996DC8" w:rsidRDefault="00996DC8" w:rsidP="00A16FA3">
      <w:pPr>
        <w:rPr>
          <w:rFonts w:eastAsia="Times New Roman" w:cstheme="minorHAnsi"/>
          <w:iCs/>
          <w:color w:val="000000"/>
          <w:lang w:eastAsia="en-GB"/>
        </w:rPr>
      </w:pPr>
    </w:p>
    <w:p w:rsidR="00996DC8" w:rsidRDefault="00996DC8" w:rsidP="00A16FA3">
      <w:pPr>
        <w:rPr>
          <w:rFonts w:eastAsia="Times New Roman" w:cstheme="minorHAnsi"/>
          <w:iCs/>
          <w:color w:val="000000"/>
          <w:lang w:eastAsia="en-GB"/>
        </w:rPr>
      </w:pPr>
    </w:p>
    <w:p w:rsidR="00A16FA3" w:rsidRPr="009B3747" w:rsidRDefault="008818AD" w:rsidP="00A16FA3">
      <w:pPr>
        <w:rPr>
          <w:rFonts w:eastAsia="Times New Roman" w:cstheme="minorHAnsi"/>
          <w:iCs/>
          <w:color w:val="000000"/>
          <w:lang w:eastAsia="en-GB"/>
        </w:rPr>
      </w:pPr>
      <w:r w:rsidRPr="009B3747">
        <w:rPr>
          <w:rFonts w:eastAsia="Times New Roman" w:cstheme="minorHAnsi"/>
          <w:iCs/>
          <w:color w:val="000000"/>
          <w:lang w:eastAsia="en-GB"/>
        </w:rPr>
        <w:lastRenderedPageBreak/>
        <w:t xml:space="preserve">2.5.2.1 </w:t>
      </w:r>
      <w:r w:rsidR="00A16FA3" w:rsidRPr="009B3747">
        <w:rPr>
          <w:rFonts w:eastAsia="Times New Roman" w:cstheme="minorHAnsi"/>
          <w:iCs/>
          <w:color w:val="000000"/>
          <w:lang w:eastAsia="en-GB"/>
        </w:rPr>
        <w:t>Physical health</w:t>
      </w:r>
    </w:p>
    <w:p w:rsidR="00F757C7" w:rsidRPr="009B3747" w:rsidRDefault="00F757C7" w:rsidP="00A16FA3">
      <w:pPr>
        <w:rPr>
          <w:rFonts w:eastAsia="Times New Roman" w:cstheme="minorHAnsi"/>
          <w:sz w:val="24"/>
          <w:szCs w:val="24"/>
          <w:lang w:eastAsia="en-GB"/>
        </w:rPr>
      </w:pPr>
    </w:p>
    <w:p w:rsidR="00A16FA3" w:rsidRPr="009B3747" w:rsidRDefault="00A16FA3" w:rsidP="00A16FA3">
      <w:pPr>
        <w:rPr>
          <w:rFonts w:eastAsia="Times New Roman" w:cstheme="minorHAnsi"/>
          <w:sz w:val="24"/>
          <w:szCs w:val="24"/>
          <w:lang w:eastAsia="en-GB"/>
        </w:rPr>
      </w:pPr>
      <w:r w:rsidRPr="009B3747">
        <w:rPr>
          <w:rFonts w:eastAsia="Times New Roman" w:cstheme="minorHAnsi"/>
          <w:color w:val="000000"/>
          <w:lang w:eastAsia="en-GB"/>
        </w:rPr>
        <w:t>Children and adolescents who are obese have an elevated risk of experiencing chronic health conditions</w:t>
      </w:r>
      <w:r w:rsidR="00740AFC" w:rsidRPr="009B3747">
        <w:rPr>
          <w:rFonts w:eastAsia="Times New Roman" w:cstheme="minorHAnsi"/>
          <w:color w:val="000000"/>
          <w:lang w:eastAsia="en-GB"/>
        </w:rPr>
        <w:t xml:space="preserve"> </w:t>
      </w:r>
      <w:r w:rsidR="00740AFC" w:rsidRPr="009B3747">
        <w:rPr>
          <w:rFonts w:eastAsia="Times New Roman" w:cstheme="minorHAnsi"/>
          <w:color w:val="000000"/>
          <w:lang w:eastAsia="en-GB"/>
        </w:rPr>
        <w:fldChar w:fldCharType="begin" w:fldLock="1"/>
      </w:r>
      <w:r w:rsidR="00740AFC" w:rsidRPr="009B3747">
        <w:rPr>
          <w:rFonts w:eastAsia="Times New Roman" w:cstheme="minorHAnsi"/>
          <w:color w:val="000000"/>
          <w:lang w:eastAsia="en-GB"/>
        </w:rPr>
        <w:instrText>ADDIN CSL_CITATION { "citationItems" : [ { "id" : "ITEM-1", "itemData" : { "ISSN" : "1468-2044", "PMID" : "12937090", "abstract" : "The recent epidemic of childhood obesity(1) has raised concern because of the possible clinical and public health consequences.(2,)(3) However, there remains a widespread perception among health professionals that childhood obesity is a largely cosmetic problem, with minor clinical effects. No systematic review has yet focused on the diverse array of possible consequences of childhood obesity, though older non-systematic reviews are available.(4,)(5) In addition, no review to date has considered the vast body of evidence on the health impact of childhood obesity which has been published recently. The aim of the present review was therefore to provide a critically appraised, evidence based, summary of the consequences of childhood obesity in the short term (for the child) and longer term (in adulthood).", "author" : [ { "dropping-particle" : "", "family" : "Reilly", "given" : "J J", "non-dropping-particle" : "", "parse-names" : false, "suffix" : "" }, { "dropping-particle" : "", "family" : "Methven", "given" : "E", "non-dropping-particle" : "", "parse-names" : false, "suffix" : "" }, { "dropping-particle" : "", "family" : "McDowell", "given" : "Z C", "non-dropping-particle" : "", "parse-names" : false, "suffix" : "" }, { "dropping-particle" : "", "family" : "Hacking", "given" : "B", "non-dropping-particle" : "", "parse-names" : false, "suffix" : "" }, { "dropping-particle" : "", "family" : "Alexander", "given" : "D", "non-dropping-particle" : "", "parse-names" : false, "suffix" : "" }, { "dropping-particle" : "", "family" : "Stewart", "given" : "L", "non-dropping-particle" : "", "parse-names" : false, "suffix" : "" }, { "dropping-particle" : "", "family" : "Kelnar", "given" : "C J H", "non-dropping-particle" : "", "parse-names" : false, "suffix" : "" } ], "container-title" : "Archives of disease in childhood", "id" : "ITEM-1", "issue" : "9", "issued" : { "date-parts" : [ [ "2003", "9" ] ] }, "page" : "748-52", "title" : "Health consequences of obesity.", "type" : "article-journal", "volume" : "88" }, "uris" : [ "http://www.mendeley.com/documents/?uuid=2cfcfae3-33aa-38d3-a4cc-3ea355ee416e" ] } ], "mendeley" : { "formattedCitation" : "(Reilly et al., 2003)", "plainTextFormattedCitation" : "(Reilly et al., 2003)", "previouslyFormattedCitation" : "(Reilly et al., 2003)" }, "properties" : { "noteIndex" : 0 }, "schema" : "https://github.com/citation-style-language/schema/raw/master/csl-citation.json" }</w:instrText>
      </w:r>
      <w:r w:rsidR="00740AFC" w:rsidRPr="009B3747">
        <w:rPr>
          <w:rFonts w:eastAsia="Times New Roman" w:cstheme="minorHAnsi"/>
          <w:color w:val="000000"/>
          <w:lang w:eastAsia="en-GB"/>
        </w:rPr>
        <w:fldChar w:fldCharType="separate"/>
      </w:r>
      <w:r w:rsidR="00740AFC" w:rsidRPr="009B3747">
        <w:rPr>
          <w:rFonts w:eastAsia="Times New Roman" w:cstheme="minorHAnsi"/>
          <w:noProof/>
          <w:color w:val="000000"/>
          <w:lang w:eastAsia="en-GB"/>
        </w:rPr>
        <w:t>(Reilly et al., 2003)</w:t>
      </w:r>
      <w:r w:rsidR="00740AFC" w:rsidRPr="009B3747">
        <w:rPr>
          <w:rFonts w:eastAsia="Times New Roman" w:cstheme="minorHAnsi"/>
          <w:color w:val="000000"/>
          <w:lang w:eastAsia="en-GB"/>
        </w:rPr>
        <w:fldChar w:fldCharType="end"/>
      </w:r>
      <w:r w:rsidRPr="009B3747">
        <w:rPr>
          <w:rFonts w:eastAsia="Times New Roman" w:cstheme="minorHAnsi"/>
          <w:color w:val="000000"/>
          <w:lang w:eastAsia="en-GB"/>
        </w:rPr>
        <w:t>.  These include pre-diabetes and type 2 diabetes, hyperlipidaemia, hypertension, insulin resistance, abnormal glucose tolerance and cardiovascular disease</w:t>
      </w:r>
      <w:r w:rsidR="00740AFC" w:rsidRPr="009B3747">
        <w:rPr>
          <w:rFonts w:eastAsia="Times New Roman" w:cstheme="minorHAnsi"/>
          <w:color w:val="000000"/>
          <w:lang w:eastAsia="en-GB"/>
        </w:rPr>
        <w:t xml:space="preserve"> </w:t>
      </w:r>
      <w:r w:rsidR="00740AFC"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"Ebbeling", "given" : "CB", "non-dropping-particle" : "", "parse-names" : false, "suffix" : "" }, { "dropping-particle" : "", "family" : "Pawlak", "given" : "DB", "non-dropping-particle" : "", "parse-names" : false, "suffix" : "" }, { "dropping-particle" : "", "family" : "Ludwig", "given" : "DS", "non-dropping-particle" : "", "parse-names" : false, "suffix" : "" } ], "container-title" : "The lancet", "id" : "ITEM-1", "issue" : "9331", "issued" : { "date-parts" : [ [ "2002" ] ] }, "page" : "473-482", "title" : "Childhood obesity: public-health crisis, common sense cure", "type" : "article-journal", "volume" : "360" }, "uris" : [ "http://www.mendeley.com/documents/?uuid=170d16d6-47bb-497e-ad62-092f44b77542" ] }, { "id" : "ITEM-2", "itemData" : { "ISSN" : "1468-2044", "PMID" : "12937090", "abstract" : "The recent epidemic of childhood obesity(1) has raised concern because of the possible clinical and public health consequences.(2,)(3) However, there remains a widespread perception among health professionals that childhood obesity is a largely cosmetic problem, with minor clinical effects. No systematic review has yet focused on the diverse array of possible consequences of childhood obesity, though older non-systematic reviews are available.(4,)(5) In addition, no review to date has considered the vast body of evidence on the health impact of childhood obesity which has been published recently. The aim of the present review was therefore to provide a critically appraised, evidence based, summary of the consequences of childhood obesity in the short term (for the child) and longer term (in adulthood).", "author" : [ { "dropping-particle" : "", "family" : "Reilly", "given" : "J J", "non-dropping-particle" : "", "parse-names" : false, "suffix" : "" }, { "dropping-particle" : "", "family" : "Methven", "given" : "E", "non-dropping-particle" : "", "parse-names" : false, "suffix" : "" }, { "dropping-particle" : "", "family" : "McDowell", "given" : "Z C", "non-dropping-particle" : "", "parse-names" : false, "suffix" : "" }, { "dropping-particle" : "", "family" : "Hacking", "given" : "B", "non-dropping-particle" : "", "parse-names" : false, "suffix" : "" }, { "dropping-particle" : "", "family" : "Alexander", "given" : "D", "non-dropping-particle" : "", "parse-names" : false, "suffix" : "" }, { "dropping-particle" : "", "family" : "Stewart", "given" : "L", "non-dropping-particle" : "", "parse-names" : false, "suffix" : "" }, { "dropping-particle" : "", "family" : "Kelnar", "given" : "C J H", "non-dropping-particle" : "", "parse-names" : false, "suffix" : "" } ], "container-title" : "Archives of disease in childhood", "id" : "ITEM-2", "issue" : "9", "issued" : { "date-parts" : [ [ "2003", "9" ] ] }, "page" : "748-52", "title" : "Health consequences of obesity.", "type" : "article-journal", "volume" : "88" }, "uris" : [ "http://www.mendeley.com/documents/?uuid=2cfcfae3-33aa-38d3-a4cc-3ea355ee416e" ] }, { "id" : "ITEM-3", "itemData" : { "author" : [ { "dropping-particle" : "", "family" : "Weiss", "given" : "R", "non-dropping-particle" : "", "parse-names" : false, "suffix" : "" }, { "dropping-particle" : "", "family" : "Caprio", "given" : "S", "non-dropping-particle" : "", "parse-names" : false, "suffix" : "" } ], "container-title" : "Best practice &amp; research Clinical endocrinology &amp;  \u2026", "id" : "ITEM-3", "issued" : { "date-parts" : [ [ "2005" ] ] }, "title" : "The metabolic consequences of childhood obesity", "type" : "article-journal" }, "uris" : [ "http://www.mendeley.com/documents/?uuid=5cedaf6b-5051-484d-9204-765043bd78ce" ] }, { "id" : "ITEM-4", "itemData" : { "DOI" : "10.1111/j.1464-5491.2010.03160.x", "ISSN" : "07423071", "PMID" : "21166841", "abstract" : "AIMS To review and synthesize the published evidence on the possible association between childhood obesity and the subsequent risk of Type 1 diabetes. METHODS The PubMed database was systematically searched for studies using childhood obesity, BMI or %weight-for-height as the exposure variable and subsequent Type 1 diabetes as the outcome. Studies were only included if assessment of obesity preceded the diagnosis of Type 1 diabetes. RESULTS Eight case-control studies and one cohort study were included, comprising a total of 2658 cases. Of these nine studies, seven reported a significant association between childhood obesity, BMI or %weight-for-height and increased risk for Type 1 diabetes. Meta-analysis of the four studies that reported childhood obesity as a categorical exposure produced a pooled odds ratio of 2.03 (95% CI 1.46-2.80) for subsequent Type 1 diabetes; however, in those studies, age at obesity assessment varied from age 1 to 12 years. A dose-response relationship was supported by a continuous association between childhood BMI and subsequent Type 1 diabetes in a meta-analysis of five studies (pooled odds ratio 1.25 (95%CI 1.04-1.51) per 1 sd higher BMI). CONCLUSION There is overall evidence for an association between childhood obesity, or higher BMI, and increased risk of subsequent Type 1 diabetes. Several theories have been proposed for a causal relationship. Reduction in Type 1 diabetes should be considered as a potential additional benefit of preventing childhood obesity.", "author" : [ { "dropping-particle" : "", "family" : "Verbeeten", "given" : "K. C.", "non-dropping-particle" : "", "parse-names" : false, "suffix" : "" }, { "dropping-particle" : "", "family" : "Elks", "given" : "C. E.", "non-dropping-particle" : "", "parse-names" : false, "suffix" : "" }, { "dropping-particle" : "", "family" : "Daneman", "given" : "D.", "non-dropping-particle" : "", "parse-names" : false, "suffix" : "" }, { "dropping-particle" : "", "family" : "Ong", "given" : "K. K.", "non-dropping-particle" : "", "parse-names" : false, "suffix" : "" } ], "container-title" : "Diabetic Medicine", "id" : "ITEM-4", "issue" : "1", "issued" : { "date-parts" : [ [ "2011", "1" ] ] }, "page" : "10-18", "title" : "Association between childhood obesity and subsequent Type 1 diabetes: a systematic review and meta-analysis", "type" : "article-journal", "volume" : "28" }, "uris" : [ "http://www.mendeley.com/documents/?uuid=37bfb354-2b0e-3cca-a83e-cbe057c8b4ad" ] }, { "id" : "ITEM-5", "itemData" : { "DOI" : "10.1161/CIRCULATIONAHA.111.047738", "ISSN" : "0009-7322", "PMID" : "23027812", "author" : [ { "dropping-particle" : "", "family" : "Lakshman", "given" : "R.", "non-dropping-particle" : "", "parse-names" : false, "suffix" : "" }, { "dropping-particle" : "", "family" : "Elks", "given" : "C. E.", "non-dropping-particle" : "", "parse-names" : false, "suffix" : "" }, { "dropping-particle" : "", "family" : "Ong", "given" : "K. K.", "non-dropping-particle" : "", "parse-names" : false, "suffix" : "" } ], "container-title" : "Circulation", "id" : "ITEM-5", "issue" : "14", "issued" : { "date-parts" : [ [ "2012", "10", "2" ] ] }, "page" : "1770-1779", "title" : "Childhood Obesity", "type" : "article-journal", "volume" : "126" }, "uris" : [ "http://www.mendeley.com/documents/?uuid=f9c1109d-2aaf-3720-85f7-d2ed6c26bf76" ] } ], "mendeley" : { "formattedCitation" : "(Ebbeling et al., 2002; Reilly et al., 2003; Weiss and Caprio, 2005; Verbeeten et al., 2011; Lakshman et al., 2012)", "plainTextFormattedCitation" : "(Ebbeling et al., 2002; Reilly et al., 2003; Weiss and Caprio, 2005; Verbeeten et al., 2011; Lakshman et al., 2012)", "previouslyFormattedCitation" : "(Ebbeling et al., 2002; Reilly et al., 2003; Weiss and Caprio, 2005; Verbeeten et al., 2011; Lakshman et al., 2012)" }, "properties" : { "noteIndex" : 0 }, "schema" : "https://github.com/citation-style-language/schema/raw/master/csl-citation.json" }</w:instrText>
      </w:r>
      <w:r w:rsidR="00740AFC" w:rsidRPr="009B3747">
        <w:rPr>
          <w:rFonts w:eastAsia="Times New Roman" w:cstheme="minorHAnsi"/>
          <w:color w:val="000000"/>
          <w:lang w:eastAsia="en-GB"/>
        </w:rPr>
        <w:fldChar w:fldCharType="separate"/>
      </w:r>
      <w:r w:rsidR="00740AFC" w:rsidRPr="009B3747">
        <w:rPr>
          <w:rFonts w:eastAsia="Times New Roman" w:cstheme="minorHAnsi"/>
          <w:noProof/>
          <w:color w:val="000000"/>
          <w:lang w:eastAsia="en-GB"/>
        </w:rPr>
        <w:t>(Ebbeling et al., 2002; Reilly et al., 2003; Weiss and Caprio, 2005; Verbeeten et al., 2011; Lakshman et al., 2012)</w:t>
      </w:r>
      <w:r w:rsidR="00740AFC" w:rsidRPr="009B3747">
        <w:rPr>
          <w:rFonts w:eastAsia="Times New Roman" w:cstheme="minorHAnsi"/>
          <w:color w:val="000000"/>
          <w:lang w:eastAsia="en-GB"/>
        </w:rPr>
        <w:fldChar w:fldCharType="end"/>
      </w:r>
      <w:r w:rsidR="00740AFC" w:rsidRPr="009B3747">
        <w:rPr>
          <w:rFonts w:eastAsia="Times New Roman" w:cstheme="minorHAnsi"/>
          <w:color w:val="000000"/>
          <w:lang w:eastAsia="en-GB"/>
        </w:rPr>
        <w:t xml:space="preserve">.  </w:t>
      </w:r>
      <w:r w:rsidRPr="009B3747">
        <w:rPr>
          <w:rFonts w:eastAsia="Times New Roman" w:cstheme="minorHAnsi"/>
          <w:color w:val="000000"/>
          <w:lang w:eastAsia="en-GB"/>
        </w:rPr>
        <w:t>Furthermore asthma, no</w:t>
      </w:r>
      <w:r w:rsidR="005B7286" w:rsidRPr="009B3747">
        <w:rPr>
          <w:rFonts w:eastAsia="Times New Roman" w:cstheme="minorHAnsi"/>
          <w:color w:val="000000"/>
          <w:lang w:eastAsia="en-GB"/>
        </w:rPr>
        <w:t>n-alcoholic fatty liver disease and</w:t>
      </w:r>
      <w:r w:rsidRPr="009B3747">
        <w:rPr>
          <w:rFonts w:eastAsia="Times New Roman" w:cstheme="minorHAnsi"/>
          <w:color w:val="000000"/>
          <w:lang w:eastAsia="en-GB"/>
        </w:rPr>
        <w:t xml:space="preserve"> sleep apnoea occur with increased frequency in obese children and adolescents</w:t>
      </w:r>
      <w:r w:rsidR="00740AFC" w:rsidRPr="009B3747">
        <w:rPr>
          <w:rFonts w:eastAsia="Times New Roman" w:cstheme="minorHAnsi"/>
          <w:color w:val="000000"/>
          <w:lang w:eastAsia="en-GB"/>
        </w:rPr>
        <w:t xml:space="preserve"> </w:t>
      </w:r>
      <w:r w:rsidR="00740AFC"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"Redline", "given" : "S", "non-dropping-particle" : "", "parse-names" : false, "suffix" : "" }, { "dropping-particle" : "", "family" : "Tishler", "given" : "PV", "non-dropping-particle" : "", "parse-names" : false, "suffix" : "" } ], "container-title" : "American Journal of  \u2026", "id" : "ITEM-1", "issued" : { "date-parts" : [ [ "1999" ] ] }, "title" : "Risk factors for sleep-disordered breathing in children: associations with obesity, race, and respiratory problems", "type" : "article-journal" }, "uris" : [ "http://www.mendeley.com/documents/?uuid=544e97be-9916-4446-95b0-ffd0bbc80360" ] }, { "id" : "ITEM-2", "itemData" : { "author" : [ { "dropping-particle" : "", "family" : "Figueroa-Munoz", "given" : "JI", "non-dropping-particle" : "", "parse-names" : false, "suffix" : "" }, { "dropping-particle" : "", "family" : "Chinn", "given" : "S", "non-dropping-particle" : "", "parse-names" : false, "suffix" : "" }, { "dropping-particle" : "", "family" : "Rona", "given" : "RJ", "non-dropping-particle" : "", "parse-names" : false, "suffix" : "" } ], "container-title" : "Thorax", "id" : "ITEM-2", "issue" : "2", "issued" : { "date-parts" : [ [ "2001" ] ] }, "page" : "133-137", "title" : "Association between obesity and asthma in 4\u201311 year old children in the UK", "type" : "article-journal", "volume" : "56" }, "uris" : [ "http://www.mendeley.com/documents/?uuid=3935643c-c51f-42c7-8bbb-a76cb1cad24a" ] }, { "id" : "ITEM-3", "itemData" : { "author" : [ { "dropping-particle" : "", "family" : "Ebbeling", "given" : "CB", "non-dropping-particle" : "", "parse-names" : false, "suffix" : "" }, { "dropping-particle" : "", "family" : "Pawlak", "given" : "DB", "non-dropping-particle" : "", "parse-names" : false, "suffix" : "" }, { "dropping-particle" : "", "family" : "Ludwig", "given" : "DS", "non-dropping-particle" : "", "parse-names" : false, "suffix" : "" } ], "container-title" : "The lancet", "id" : "ITEM-3", "issue" : "9331", "issued" : { "date-parts" : [ [ "2002" ] ] }, "page" : "473-482", "title" : "Childhood obesity: public-health crisis, common sense cure", "type" : "article-journal", "volume" : "360" }, "uris" : [ "http://www.mendeley.com/documents/?uuid=170d16d6-47bb-497e-ad62-092f44b77542" ] }, { "id" : "ITEM-4", "itemData" : { "author" : [ { "dropping-particle" : "", "family" : "Lobstein", "given" : "T", "non-dropping-particle" : "", "parse-names" : false, "suffix" : "" }, { "dropping-particle" : "", "family" : "Baur", "given" : "L", "non-dropping-particle" : "", "parse-names" : false, "suffix" : "" }, { "dropping-particle" : "", "family" : "Uauy", "given" : "R", "non-dropping-particle" : "", "parse-names" : false, "suffix" : "" } ], "container-title" : "Obesity reviews", "id" : "ITEM-4", "issue" : "Supp 1", "issued" : { "date-parts" : [ [ "2004" ] ] }, "page" : "4-85", "title" : "Obesity in children and young people: a crisis in public health", "type" : "article-journal", "volume" : "5" }, "uris" : [ "http://www.mendeley.com/documents/?uuid=d8bb52cf-2746-4f08-95fa-b4388dcf0116" ] }, { "id" : "ITEM-5", "itemData" : { "author" : [ { "dropping-particle" : "", "family" : "Lobstein", "given" : "T", "non-dropping-particle" : "", "parse-names" : false, "suffix" : "" }, { "dropping-particle" : "", "family" : "Jackson-Leach", "given" : "R", "non-dropping-particle" : "", "parse-names" : false, "suffix" : "" }, { "dropping-particle" : "", "family" : "Moodie", "given" : "ML", "non-dropping-particle" : "", "parse-names" : false, "suffix" : "" } ], "container-title" : "The Lancet", "id" : "ITEM-5", "issue" : "9986", "issued" : { "date-parts" : [ [ "2015" ] ] }, "page" : "2510-2520", "title" : "Child and adolescent obesity: part of a bigger picture", "type" : "article-journal", "volume" : "385" }, "uris" : [ "http://www.mendeley.com/documents/?uuid=e072a246-f28d-4879-b95a-10b312372cee" ] } ], "mendeley" : { "formattedCitation" : "(Redline and Tishler, 1999; Figueroa-Munoz et al., 2001; Ebbeling et al., 2002; Lobstein et al., 2004, 2015)", "plainTextFormattedCitation" : "(Redline and Tishler, 1999; Figueroa-Munoz et al., 2001; Ebbeling et al., 2002; Lobstein et al., 2004, 2015)", "previouslyFormattedCitation" : "(Redline and Tishler, 1999; Figueroa-Munoz et al., 2001; Ebbeling et al., 2002; Lobstein et al., 2004, 2015)" }, "properties" : { "noteIndex" : 0 }, "schema" : "https://github.com/citation-style-language/schema/raw/master/csl-citation.json" }</w:instrText>
      </w:r>
      <w:r w:rsidR="00740AFC" w:rsidRPr="009B3747">
        <w:rPr>
          <w:rFonts w:eastAsia="Times New Roman" w:cstheme="minorHAnsi"/>
          <w:color w:val="000000"/>
          <w:lang w:eastAsia="en-GB"/>
        </w:rPr>
        <w:fldChar w:fldCharType="separate"/>
      </w:r>
      <w:r w:rsidR="00740AFC" w:rsidRPr="009B3747">
        <w:rPr>
          <w:rFonts w:eastAsia="Times New Roman" w:cstheme="minorHAnsi"/>
          <w:noProof/>
          <w:color w:val="000000"/>
          <w:lang w:eastAsia="en-GB"/>
        </w:rPr>
        <w:t>(Redline and Tishler, 1999; Figueroa-Munoz et al., 2001; Ebbeling et al., 2002; Lobstein et al., 2004, 2015)</w:t>
      </w:r>
      <w:r w:rsidR="00740AFC" w:rsidRPr="009B3747">
        <w:rPr>
          <w:rFonts w:eastAsia="Times New Roman" w:cstheme="minorHAnsi"/>
          <w:color w:val="000000"/>
          <w:lang w:eastAsia="en-GB"/>
        </w:rPr>
        <w:fldChar w:fldCharType="end"/>
      </w:r>
      <w:r w:rsidR="00740AFC"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In 2013, a published analysis of hospital admissions in England reported that since 2000, a more than four-fold increase in obesity-related diagnoses </w:t>
      </w:r>
      <w:r w:rsidR="005B7286" w:rsidRPr="009B3747">
        <w:rPr>
          <w:rFonts w:eastAsia="Times New Roman" w:cstheme="minorHAnsi"/>
          <w:color w:val="000000"/>
          <w:lang w:eastAsia="en-GB"/>
        </w:rPr>
        <w:t xml:space="preserve">of children and adolescents aged 5 to 19 years </w:t>
      </w:r>
      <w:r w:rsidRPr="009B3747">
        <w:rPr>
          <w:rFonts w:eastAsia="Times New Roman" w:cstheme="minorHAnsi"/>
          <w:color w:val="000000"/>
          <w:lang w:eastAsia="en-GB"/>
        </w:rPr>
        <w:t xml:space="preserve">was identified </w:t>
      </w:r>
      <w:r w:rsidR="00740AFC" w:rsidRPr="009B3747">
        <w:rPr>
          <w:rFonts w:eastAsia="Times New Roman" w:cstheme="minorHAnsi"/>
          <w:color w:val="000000"/>
          <w:lang w:eastAsia="en-GB"/>
        </w:rPr>
        <w:fldChar w:fldCharType="begin" w:fldLock="1"/>
      </w:r>
      <w:r w:rsidR="00740AFC" w:rsidRPr="009B3747">
        <w:rPr>
          <w:rFonts w:eastAsia="Times New Roman" w:cstheme="minorHAnsi"/>
          <w:color w:val="000000"/>
          <w:lang w:eastAsia="en-GB"/>
        </w:rPr>
        <w:instrText>ADDIN CSL_CITATION { "citationItems" : [ { "id" : "ITEM-1", "itemData" : { "DOI" : "10.1371/journal.pone.0065764", "ISSN" : "1932-6203", "PMID" : "23776541", "abstract" : "OBJECTIVE: To describe the trends in hospital admissions associated with obesity as a primary diagnosis and comorbidity, and bariatric surgery procedures among children and young people in England.\n\nDESIGN: National time trends study of hospital admissions data between 2000 and 2009.\n\nPARTICIPANTS: Children and young people aged 5 to 19 years who were admitted to hospital with any diagnosis of obesity.\n\nMAIN OUTCOME MEASURES: Age- and sex-specific admission rates per million children.\n\nRESULTS: Between 2000 and 2009, age- and sex-specific hospital admission rates in 5-19 year olds for total obesity-related diagnoses increased more than four-fold from 93.0 (95% CI 86.0 to 100.0) per million children to 414.0 (95% CI 410.7 to 417.5) per million children, largely due to rising admissions where obesity was mentioned as a co-morbidity. The median age of admission to hospital over the study period was 14.0 years; 5,566 (26.7%) admissions were for obesity and 15,319 (73.3%) mentioned obesity as a comorbidity. Admissions were more common in girls than boys (56.2% v 43.8%). The most common reasons for admission where obesity was a comorbid condition were sleep apnoea, asthma, and complications of pregnancy. The number of bariatric surgery procedures has risen from 1 per year in 2000 to 31 in 2009, with the majority were performed in obese girls (75.6%) aged 13-19 years.\n\nCONCLUSIONS: Hospital admission rates for obesity and related comorbid conditions have increased more than four-fold over the past decade amongst children and young people. Although some of the increase is likely to be due to improved case ascertainment, conditions associated with obesity in children and young people are imposing greater challenges for health care providers in English hospitals. Most inpatient care is directed at dealing with associated conditions rather than primary assessment and management of obesity itself.", "author" : [ { "dropping-particle" : "", "family" : "Jones Nielsen", "given" : "Jessica D", "non-dropping-particle" : "", "parse-names" : false, "suffix" : "" }, { "dropping-particle" : "", "family" : "Laverty", "given" : "Anthony A", "non-dropping-particle" : "", "parse-names" : false, "suffix" : "" }, { "dropping-particle" : "", "family" : "Millett", "given" : "Christopher", "non-dropping-particle" : "", "parse-names" : false, "suffix" : "" }, { "dropping-particle" : "", "family" : "Mainous", "given" : "Arch G", "non-dropping-particle" : "", "parse-names" : false, "suffix" : "" }, { "dropping-particle" : "", "family" : "Majeed", "given" : "Azeem", "non-dropping-particle" : "", "parse-names" : false, "suffix" : "" }, { "dropping-particle" : "", "family" : "Saxena", "given" : "Sonia", "non-dropping-particle" : "", "parse-names" : false, "suffix" : "" } ], "container-title" : "PloS one", "id" : "ITEM-1", "issue" : "6", "issued" : { "date-parts" : [ [ "2013", "1" ] ] }, "page" : "e65764", "title" : "Rising obesity-related hospital admissions among children and young people in England: national time trends study.", "type" : "article-journal", "volume" : "8" }, "uris" : [ "http://www.mendeley.com/documents/?uuid=98fe627c-acf8-41a0-9d49-140ac1aee1a0" ] } ], "mendeley" : { "formattedCitation" : "(Jones Nielsen et al., 2013)", "plainTextFormattedCitation" : "(Jones Nielsen et al., 2013)", "previouslyFormattedCitation" : "(Jones Nielsen et al., 2013)" }, "properties" : { "noteIndex" : 0 }, "schema" : "https://github.com/citation-style-language/schema/raw/master/csl-citation.json" }</w:instrText>
      </w:r>
      <w:r w:rsidR="00740AFC" w:rsidRPr="009B3747">
        <w:rPr>
          <w:rFonts w:eastAsia="Times New Roman" w:cstheme="minorHAnsi"/>
          <w:color w:val="000000"/>
          <w:lang w:eastAsia="en-GB"/>
        </w:rPr>
        <w:fldChar w:fldCharType="separate"/>
      </w:r>
      <w:r w:rsidR="00740AFC" w:rsidRPr="009B3747">
        <w:rPr>
          <w:rFonts w:eastAsia="Times New Roman" w:cstheme="minorHAnsi"/>
          <w:noProof/>
          <w:color w:val="000000"/>
          <w:lang w:eastAsia="en-GB"/>
        </w:rPr>
        <w:t>(Jones Nielsen et al., 2013)</w:t>
      </w:r>
      <w:r w:rsidR="00740AFC" w:rsidRPr="009B3747">
        <w:rPr>
          <w:rFonts w:eastAsia="Times New Roman" w:cstheme="minorHAnsi"/>
          <w:color w:val="000000"/>
          <w:lang w:eastAsia="en-GB"/>
        </w:rPr>
        <w:fldChar w:fldCharType="end"/>
      </w:r>
      <w:r w:rsidR="00740AFC" w:rsidRPr="009B3747">
        <w:rPr>
          <w:rFonts w:eastAsia="Times New Roman" w:cstheme="minorHAnsi"/>
          <w:color w:val="000000"/>
          <w:lang w:eastAsia="en-GB"/>
        </w:rPr>
        <w:t>.</w:t>
      </w:r>
    </w:p>
    <w:p w:rsidR="002224C3" w:rsidRPr="009B3747" w:rsidRDefault="002224C3" w:rsidP="00A16FA3">
      <w:pPr>
        <w:rPr>
          <w:rFonts w:eastAsia="Times New Roman" w:cstheme="minorHAnsi"/>
          <w:color w:val="000000"/>
          <w:lang w:eastAsia="en-GB"/>
        </w:rPr>
      </w:pPr>
    </w:p>
    <w:p w:rsidR="00A16FA3" w:rsidRPr="009B3747" w:rsidRDefault="00A16FA3" w:rsidP="00A16FA3">
      <w:pPr>
        <w:rPr>
          <w:rFonts w:eastAsia="Times New Roman" w:cstheme="minorHAnsi"/>
          <w:sz w:val="24"/>
          <w:szCs w:val="24"/>
          <w:lang w:eastAsia="en-GB"/>
        </w:rPr>
      </w:pPr>
      <w:r w:rsidRPr="009B3747">
        <w:rPr>
          <w:rFonts w:eastAsia="Times New Roman" w:cstheme="minorHAnsi"/>
          <w:color w:val="000000"/>
          <w:lang w:eastAsia="en-GB"/>
        </w:rPr>
        <w:t>Of critical concern, is the persistence of childhood obesity into ad</w:t>
      </w:r>
      <w:r w:rsidR="00AE6A9E" w:rsidRPr="009B3747">
        <w:rPr>
          <w:rFonts w:eastAsia="Times New Roman" w:cstheme="minorHAnsi"/>
          <w:color w:val="000000"/>
          <w:lang w:eastAsia="en-GB"/>
        </w:rPr>
        <w:t xml:space="preserve">ulthood, with an obese child 34 to </w:t>
      </w:r>
      <w:r w:rsidRPr="009B3747">
        <w:rPr>
          <w:rFonts w:eastAsia="Times New Roman" w:cstheme="minorHAnsi"/>
          <w:color w:val="000000"/>
          <w:lang w:eastAsia="en-GB"/>
        </w:rPr>
        <w:t>83% more likely of becoming an obese adult than a healthy weight child</w:t>
      </w:r>
      <w:r w:rsidR="00740AFC" w:rsidRPr="009B3747">
        <w:rPr>
          <w:rFonts w:eastAsia="Times New Roman" w:cstheme="minorHAnsi"/>
          <w:color w:val="000000"/>
          <w:lang w:eastAsia="en-GB"/>
        </w:rPr>
        <w:t xml:space="preserve"> </w:t>
      </w:r>
      <w:r w:rsidR="00740AFC"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"Singh", "given" : "AS", "non-dropping-particle" : "", "parse-names" : false, "suffix" : "" }, { "dropping-particle" : "", "family" : "Mulder", "given" : "C", "non-dropping-particle" : "", "parse-names" : false, "suffix" : "" } ], "container-title" : "Obesity \u2026", "id" : "ITEM-1", "issue" : "5", "issued" : { "date-parts" : [ [ "2008" ] ] }, "page" : "474-488", "title" : "Tracking of childhood overweight into adulthood: a systematic review of the literature", "type" : "article-journal", "volume" : "9" }, "uris" : [ "http://www.mendeley.com/documents/?uuid=81eacab3-c964-4816-81a9-c3734a5177d0" ] } ], "mendeley" : { "formattedCitation" : "(Singh and Mulder, 2008)", "plainTextFormattedCitation" : "(Singh and Mulder, 2008)", "previouslyFormattedCitation" : "(Singh and Mulder, 2008)" }, "properties" : { "noteIndex" : 0 }, "schema" : "https://github.com/citation-style-language/schema/raw/master/csl-citation.json" }</w:instrText>
      </w:r>
      <w:r w:rsidR="00740AFC" w:rsidRPr="009B3747">
        <w:rPr>
          <w:rFonts w:eastAsia="Times New Roman" w:cstheme="minorHAnsi"/>
          <w:color w:val="000000"/>
          <w:lang w:eastAsia="en-GB"/>
        </w:rPr>
        <w:fldChar w:fldCharType="separate"/>
      </w:r>
      <w:r w:rsidR="00740AFC" w:rsidRPr="009B3747">
        <w:rPr>
          <w:rFonts w:eastAsia="Times New Roman" w:cstheme="minorHAnsi"/>
          <w:noProof/>
          <w:color w:val="000000"/>
          <w:lang w:eastAsia="en-GB"/>
        </w:rPr>
        <w:t>(Singh and Mulder, 2008)</w:t>
      </w:r>
      <w:r w:rsidR="00740AFC" w:rsidRPr="009B3747">
        <w:rPr>
          <w:rFonts w:eastAsia="Times New Roman" w:cstheme="minorHAnsi"/>
          <w:color w:val="000000"/>
          <w:lang w:eastAsia="en-GB"/>
        </w:rPr>
        <w:fldChar w:fldCharType="end"/>
      </w:r>
      <w:r w:rsidR="00740AFC" w:rsidRPr="009B3747">
        <w:rPr>
          <w:rFonts w:eastAsia="Times New Roman" w:cstheme="minorHAnsi"/>
          <w:color w:val="000000"/>
          <w:lang w:eastAsia="en-GB"/>
        </w:rPr>
        <w:t xml:space="preserve">.  </w:t>
      </w:r>
      <w:r w:rsidRPr="009B3747">
        <w:rPr>
          <w:rFonts w:eastAsia="Times New Roman" w:cstheme="minorHAnsi"/>
          <w:color w:val="000000"/>
          <w:lang w:eastAsia="en-GB"/>
        </w:rPr>
        <w:t>This presents significant implications for both population health and costs to health services</w:t>
      </w:r>
      <w:r w:rsidR="00740AFC" w:rsidRPr="009B3747">
        <w:rPr>
          <w:rFonts w:eastAsia="Times New Roman" w:cstheme="minorHAnsi"/>
          <w:color w:val="000000"/>
          <w:lang w:eastAsia="en-GB"/>
        </w:rPr>
        <w:t xml:space="preserve"> </w:t>
      </w:r>
      <w:r w:rsidR="00740AFC"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"Butland", "given" : "B", "non-dropping-particle" : "", "parse-names" : false, "suffix" : "" }, { "dropping-particle" : "", "family" : "Jebb", "given" : "S", "non-dropping-particle" : "", "parse-names" : false, "suffix" : "" } ], "id" : "ITEM-1", "issued" : { "date-parts" : [ [ "2007" ] ] }, "title" : "Foresight. Tackling obesities: future choices. Project report.", "type" : "report" }, "uris" : [ "http://www.mendeley.com/documents/?uuid=8ae0e880-41d4-4b61-b434-dc36711dd306" ] } ], "mendeley" : { "formattedCitation" : "(Butland and Jebb, 2007)", "plainTextFormattedCitation" : "(Butland and Jebb, 2007)", "previouslyFormattedCitation" : "(Butland and Jebb, 2007)" }, "properties" : { "noteIndex" : 0 }, "schema" : "https://github.com/citation-style-language/schema/raw/master/csl-citation.json" }</w:instrText>
      </w:r>
      <w:r w:rsidR="00740AFC" w:rsidRPr="009B3747">
        <w:rPr>
          <w:rFonts w:eastAsia="Times New Roman" w:cstheme="minorHAnsi"/>
          <w:color w:val="000000"/>
          <w:lang w:eastAsia="en-GB"/>
        </w:rPr>
        <w:fldChar w:fldCharType="separate"/>
      </w:r>
      <w:r w:rsidR="00740AFC" w:rsidRPr="009B3747">
        <w:rPr>
          <w:rFonts w:eastAsia="Times New Roman" w:cstheme="minorHAnsi"/>
          <w:noProof/>
          <w:color w:val="000000"/>
          <w:lang w:eastAsia="en-GB"/>
        </w:rPr>
        <w:t>(Butland and Jebb, 2007)</w:t>
      </w:r>
      <w:r w:rsidR="00740AFC" w:rsidRPr="009B3747">
        <w:rPr>
          <w:rFonts w:eastAsia="Times New Roman" w:cstheme="minorHAnsi"/>
          <w:color w:val="000000"/>
          <w:lang w:eastAsia="en-GB"/>
        </w:rPr>
        <w:fldChar w:fldCharType="end"/>
      </w:r>
      <w:r w:rsidR="00740AFC"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Obesity in adulthood carries an increased risk of elevated morbidity, particularly related to cardiovascular disease, type 2 diabetes, a range of cancers, respiratory and musculoskeletal conditions </w:t>
      </w:r>
      <w:r w:rsidR="00740AFC"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"Janssen", "given" : "I", "non-dropping-particle" : "", "parse-names" : false, "suffix" : "" }, { "dropping-particle" : "", "family" : "Bacon", "given" : "E", "non-dropping-particle" : "", "parse-names" : false, "suffix" : "" } ], "container-title" : "Obesity", "id" : "ITEM-1", "issue" : "11", "issued" : { "date-parts" : [ [ "2008" ] ] }, "page" : "2504-9", "title" : "Effect of current and midlife obesity status on mortality risk in the elderly", "type" : "article-journal", "volume" : "16" }, "uris" : [ "http://www.mendeley.com/documents/?uuid=5fdf9e09-2f6d-4f6e-9f28-53ce41caa8ab" ] }, { "id" : "ITEM-2", "itemData" : { "author" : [ { "dropping-particle" : "", "family" : "Tsiros", "given" : "MD", "non-dropping-particle" : "", "parse-names" : false, "suffix" : "" }, { "dropping-particle" : "", "family" : "Sinn", "given" : "N", "non-dropping-particle" : "", "parse-names" : false, "suffix" : "" }, { "dropping-particle" : "", "family" : "Coates", "given" : "AM", "non-dropping-particle" : "", "parse-names" : false, "suffix" : "" } ], "container-title" : "European journal of \u2026", "id" : "ITEM-2", "issue" : "1", "issued" : { "date-parts" : [ [ "2008" ] ] }, "page" : "9-16", "title" : "Treatment of adolescent overweight and obesity", "type" : "article-journal", "volume" : "167" }, "uris" : [ "http://www.mendeley.com/documents/?uuid=0a2ce4d3-629d-4d79-b67f-61d37d7d204e" ] }, { "id" : "ITEM-3", "itemData" : { "author" : [ { "dropping-particle" : "", "family" : "Franks", "given" : "PW", "non-dropping-particle" : "", "parse-names" : false, "suffix" : "" }, { "dropping-particle" : "", "family" : "Hanson", "given" : "RL", "non-dropping-particle" : "", "parse-names" : false, "suffix" : "" } ], "container-title" : "The New England Journal of Medicine", "id" : "ITEM-3", "issue" : "6", "issued" : { "date-parts" : [ [ "2010" ] ] }, "page" : "485-493", "title" : "Childhood obesity, other cardiovascular risk factors, and premature death", "type" : "article-journal", "volume" : "362" }, "uris" : [ "http://www.mendeley.com/documents/?uuid=aa37bf7c-65ed-4efd-afa0-4fb25c6e3d64" ] }, { "id" : "ITEM-4", "itemData" : { "DOI" : "10.1056/NEJMoa1010112", "ISSN" : "0028-4793", "abstract" : "Background Obesity in childhood is associated with increased cardiovascular risk. It is uncertain whether this risk is attenuated in persons who are overweight or obese as children but not obese as adults. Methods We analyzed data from four prospective cohort studies that measured childhood and adult body-mass index (BMI, the weight in kilograms divided by the square of the height in meters). The mean length of follow-up was 23 years. To define high adiposity status, international age-specific and sex-specific BMI cutoff points for overweight and obesity were used for children, and a BMI cutoff point of 30 was used for adults. Results Data were available for 6328 subjects. Subjects with consistently high adiposity status from childhood to adulthood, as compared with persons who had a normal BMI as children and were nonobese as adults, had an increased risk of type 2 diabetes (relative risk, 5.4; 95% confidence interval [CI], 3.4 to 8.5), hypertension (relative risk, 2.7; 95% CI, 2.2 to 3.3), elevated low-...", "author" : [ { "dropping-particle" : "", "family" : "Juonala", "given" : "Markus", "non-dropping-particle" : "", "parse-names" : false, "suffix" : "" }, { "dropping-particle" : "", "family" : "Magnussen", "given" : "Costan G.", "non-dropping-particle" : "", "parse-names" : false, "suffix" : "" }, { "dropping-particle" : "", "family" : "Berenson", "given" : "Gerald S.", "non-dropping-particle" : "", "parse-names" : false, "suffix" : "" }, { "dropping-particle" : "", "family" : "Venn", "given" : "Alison", "non-dropping-particle" : "", "parse-names" : false, "suffix" : "" }, { "dropping-particle" : "", "family" : "Burns", "given" : "Trudy L.", "non-dropping-particle" : "", "parse-names" : false, "suffix" : "" }, { "dropping-particle" : "", "family" : "Sabin", "given" : "Matthew A.", "non-dropping-particle" : "", "parse-names" : false, "suffix" : "" }, { "dropping-particle" : "", "family" : "Srinivasan", "given" : "Sathanur R.", "non-dropping-particle" : "", "parse-names" : false, "suffix" : "" }, { "dropping-particle" : "", "family" : "Daniels", "given" : "Stephen R.", "non-dropping-particle" : "", "parse-names" : false, "suffix" : "" }, { "dropping-particle" : "", "family" : "Davis", "given" : "Patricia H.", "non-dropping-particle" : "", "parse-names" : false, "suffix" : "" }, { "dropping-particle" : "", "family" : "Chen", "given" : "Wei", "non-dropping-particle" : "", "parse-names" : false, "suffix" : "" }, { "dropping-particle" : "", "family" : "Sun", "given" : "Cong", "non-dropping-particle" : "", "parse-names" : false, "suffix" : "" }, { "dropping-particle" : "", "family" : "Cheung", "given" : "Michael", "non-dropping-particle" : "", "parse-names" : false, "suffix" : "" }, { "dropping-particle" : "", "family" : "Viikari", "given" : "Jorma S.A.", "non-dropping-particle" : "", "parse-names" : false, "suffix" : "" }, { "dropping-particle" : "", "family" : "Dwyer", "given" : "Terence", "non-dropping-particle" : "", "parse-names" : false, "suffix" : "" }, { "dropping-particle" : "", "family" : "Raitakari", "given" : "Olli T.", "non-dropping-particle" : "", "parse-names" : false, "suffix" : "" } ], "container-title" : "New England Journal of Medicine", "id" : "ITEM-4", "issue" : "20", "issued" : { "date-parts" : [ [ "2011", "11", "17" ] ] }, "page" : "1876-1885", "publisher" : " Massachusetts Medical Society ", "title" : "Childhood Adiposity, Adult Adiposity, and Cardiovascular Risk Factors", "type" : "article-journal", "volume" : "365" }, "uris" : [ "http://www.mendeley.com/documents/?uuid=7d8bc317-2c62-3aa8-981e-d9425c5d7fb2" ] }, { "id" : "ITEM-5", "itemData" : { "DOI" : "10.1038/clpt.2011.88", "ISSN" : "0009-9236", "author" : [ { "dropping-particle" : "", "family" : "Logue", "given" : "J", "non-dropping-particle" : "", "parse-names" : false, "suffix" : "" }, { "dropping-particle" : "", "family" : "Sattar", "given" : "N", "non-dropping-particle" : "", "parse-names" : false, "suffix" : "" } ], "container-title" : "Clinical Pharmacology &amp; Therapeutics", "id" : "ITEM-5", "issue" : "1", "issued" : { "date-parts" : [ [ "2011", "7", "11" ] ] }, "page" : "174-178", "title" : "Childhood Obesity: A Ticking Time Bomb for Cardiovascular Disease?", "type" : "article-journal", "volume" : "90" }, "uris" : [ "http://www.mendeley.com/documents/?uuid=381b0cd7-f073-3c21-aab7-be47cb002281" ] }, { "id" : "ITEM-6", "itemData" : { "author" : [ { "dropping-particle" : "", "family" : "Reilly", "given" : "JJ", "non-dropping-particle" : "", "parse-names" : false, "suffix" : "" }, { "dropping-particle" : "", "family" : "Kelly", "given" : "J", "non-dropping-particle" : "", "parse-names" : false, "suffix" : "" } ], "container-title" : "International journal of obesity", "id" : "ITEM-6", "issue" : "7", "issued" : { "date-parts" : [ [ "2011" ] ] }, "page" : "891-8", "title" : "Long-term impact of overweight and obesity in childhood and adolescence on morbidity and premature mortality in adulthood: systematic review", "type" : "article-journal", "volume" : "35" }, "uris" : [ "http://www.mendeley.com/documents/?uuid=8bbf211b-0eb7-4986-9594-1e9c2ed5a85f" ] }, { "id" : "ITEM-7", "itemData" : { "author" : [ { "dropping-particle" : "", "family" : "Ng", "given" : "M", "non-dropping-particle" : "", "parse-names" : false, "suffix" : "" }, { "dropping-particle" : "", "family" : "Fleming", "given" : "T", "non-dropping-particle" : "", "parse-names" : false, "suffix" : "" }, { "dropping-particle" : "", "family" : "Robinson", "given" : "M", "non-dropping-particle" : "", "parse-names" : false, "suffix" : "" }, { "dropping-particle" : "", "family" : "Thomson", "given" : "B", "non-dropping-particle" : "", "parse-names" : false, "suffix" : "" } ], "container-title" : "The Lancet", "id" : "ITEM-7", "issue" : "9945", "issued" : { "date-parts" : [ [ "2014" ] ] }, "page" : "766\u2013781", "title" : "Global, regional, and national prevalence of overweight and obesity in children and adults during 1980\u20132013: a systematic analysis for the Global Burden of Disease", "type" : "article-journal", "volume" : "384" }, "uris" : [ "http://www.mendeley.com/documents/?uuid=b95f8d13-2451-49b7-9542-f84d44941706" ] } ], "mendeley" : { "formattedCitation" : "(Janssen and Bacon, 2008; Tsiros et al., 2008; Franks and Hanson, 2010; Juonala et al., 2011; Logue and Sattar, 2011; Reilly and Kelly, 2011; Ng et al., 2014)", "plainTextFormattedCitation" : "(Janssen and Bacon, 2008; Tsiros et al., 2008; Franks and Hanson, 2010; Juonala et al., 2011; Logue and Sattar, 2011; Reilly and Kelly, 2011; Ng et al., 2014)", "previouslyFormattedCitation" : "(Janssen and Bacon, 2008; Tsiros et al., 2008; Franks and Hanson, 2010; Juonala et al., 2011; Logue and Sattar, 2011; Reilly and Kelly, 2011; Ng et al., 2014)" }, "properties" : { "noteIndex" : 0 }, "schema" : "https://github.com/citation-style-language/schema/raw/master/csl-citation.json" }</w:instrText>
      </w:r>
      <w:r w:rsidR="00740AFC" w:rsidRPr="009B3747">
        <w:rPr>
          <w:rFonts w:eastAsia="Times New Roman" w:cstheme="minorHAnsi"/>
          <w:color w:val="000000"/>
          <w:lang w:eastAsia="en-GB"/>
        </w:rPr>
        <w:fldChar w:fldCharType="separate"/>
      </w:r>
      <w:r w:rsidR="00740AFC" w:rsidRPr="009B3747">
        <w:rPr>
          <w:rFonts w:eastAsia="Times New Roman" w:cstheme="minorHAnsi"/>
          <w:noProof/>
          <w:color w:val="000000"/>
          <w:lang w:eastAsia="en-GB"/>
        </w:rPr>
        <w:t>(Janssen and Bacon, 2008; Tsiros et al., 2008; Franks and Hanson, 2010; Juonala et al., 2011; Logue and Sattar, 2011; Reilly and Kelly, 2011; Ng et al., 2014)</w:t>
      </w:r>
      <w:r w:rsidR="00740AFC" w:rsidRPr="009B3747">
        <w:rPr>
          <w:rFonts w:eastAsia="Times New Roman" w:cstheme="minorHAnsi"/>
          <w:color w:val="000000"/>
          <w:lang w:eastAsia="en-GB"/>
        </w:rPr>
        <w:fldChar w:fldCharType="end"/>
      </w:r>
      <w:r w:rsidR="00740AFC" w:rsidRPr="009B3747">
        <w:rPr>
          <w:rFonts w:eastAsia="Times New Roman" w:cstheme="minorHAnsi"/>
          <w:color w:val="000000"/>
          <w:lang w:eastAsia="en-GB"/>
        </w:rPr>
        <w:t xml:space="preserve">.  </w:t>
      </w:r>
      <w:r w:rsidRPr="009B3747">
        <w:rPr>
          <w:rFonts w:eastAsia="Times New Roman" w:cstheme="minorHAnsi"/>
          <w:color w:val="000000"/>
          <w:lang w:eastAsia="en-GB"/>
        </w:rPr>
        <w:t>This has a severe impact on both disability</w:t>
      </w:r>
      <w:r w:rsidR="00740AFC" w:rsidRPr="009B3747">
        <w:rPr>
          <w:rFonts w:eastAsia="Times New Roman" w:cstheme="minorHAnsi"/>
          <w:color w:val="000000"/>
          <w:lang w:eastAsia="en-GB"/>
        </w:rPr>
        <w:t xml:space="preserve"> </w:t>
      </w:r>
      <w:r w:rsidR="00740AFC"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"DOI" : "10.1371/journal.pmed.0020133", "ISSN" : "1549-1676", "author" : [ { "dropping-particle" : "", "family" : "Ezzati", "given" : "Majid", "non-dropping-particle" : "", "parse-names" : false, "suffix" : "" }, { "dropping-particle" : "", "family" : "Hoorn", "given" : "Stephen", "non-dropping-particle" : "Vander", "parse-names" : false, "suffix" : "" }, { "dropping-particle" : "", "family" : "Lawes", "given" : "Carlene M. M", "non-dropping-particle" : "", "parse-names" : false, "suffix" : "" }, { "dropping-particle" : "", "family" : "Leach", "given" : "Rachel", "non-dropping-particle" : "", "parse-names" : false, "suffix" : "" }, { "dropping-particle" : "", "family" : "James", "given" : "W. Philip T", "non-dropping-particle" : "", "parse-names" : false, "suffix" : "" }, { "dropping-particle" : "", "family" : "Lopez", "given" : "Alan D", "non-dropping-particle" : "", "parse-names" : false, "suffix" : "" }, { "dropping-particle" : "", "family" : "Rodgers", "given" : "Anthony", "non-dropping-particle" : "", "parse-names" : false, "suffix" : "" }, { "dropping-particle" : "", "family" : "Murray", "given" : "Christopher J. L", "non-dropping-particle" : "", "parse-names" : false, "suffix" : "" } ], "container-title" : "PLoS Medicine", "editor" : [ { "dropping-particle" : "", "family" : "Novotny", "given" : "Thomas", "non-dropping-particle" : "", "parse-names" : false, "suffix" : "" } ], "id" : "ITEM-1", "issue" : "5", "issued" : { "date-parts" : [ [ "2005", "5", "3" ] ] }, "page" : "e133", "publisher" : "United Nations", "title" : "Rethinking the Diseases of Affluence Paradigm: Global Patterns of Nutritional Risks in Relation to Economic Development", "type" : "article-journal", "volume" : "2" }, "uris" : [ "http://www.mendeley.com/documents/?uuid=de7f7593-08d6-3c2e-bc99-8f39264a2120" ] } ], "mendeley" : { "formattedCitation" : "(Ezzati et al., 2005)", "plainTextFormattedCitation" : "(Ezzati et al., 2005)", "previouslyFormattedCitation" : "(Ezzati et al., 2005)" }, "properties" : { "noteIndex" : 0 }, "schema" : "https://github.com/citation-style-language/schema/raw/master/csl-citation.json" }</w:instrText>
      </w:r>
      <w:r w:rsidR="00740AFC" w:rsidRPr="009B3747">
        <w:rPr>
          <w:rFonts w:eastAsia="Times New Roman" w:cstheme="minorHAnsi"/>
          <w:color w:val="000000"/>
          <w:lang w:eastAsia="en-GB"/>
        </w:rPr>
        <w:fldChar w:fldCharType="separate"/>
      </w:r>
      <w:r w:rsidR="00740AFC" w:rsidRPr="009B3747">
        <w:rPr>
          <w:rFonts w:eastAsia="Times New Roman" w:cstheme="minorHAnsi"/>
          <w:noProof/>
          <w:color w:val="000000"/>
          <w:lang w:eastAsia="en-GB"/>
        </w:rPr>
        <w:t>(Ezzati et al., 2005)</w:t>
      </w:r>
      <w:r w:rsidR="00740AFC"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and mortality</w:t>
      </w:r>
      <w:r w:rsidR="00740AFC" w:rsidRPr="009B3747">
        <w:rPr>
          <w:rFonts w:eastAsia="Times New Roman" w:cstheme="minorHAnsi"/>
          <w:color w:val="000000"/>
          <w:lang w:eastAsia="en-GB"/>
        </w:rPr>
        <w:t xml:space="preserve"> </w:t>
      </w:r>
      <w:r w:rsidR="00740AFC"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"Ezzati", "given" : "M", "non-dropping-particle" : "", "parse-names" : false, "suffix" : "" }, { "dropping-particle" : "Vander", "family" : "Hoorn", "given" : "S", "non-dropping-particle" : "", "parse-names" : false, "suffix" : "" } ], "container-title" : "Global burden of disease and risk factors", "editor" : [ { "dropping-particle" : "", "family" : "Lopez", "given" : "AD", "non-dropping-particle" : "", "parse-names" : false, "suffix" : "" }, { "dropping-particle" : "", "family" : "CD", "given" : "Mathers", "non-dropping-particle" : "", "parse-names" : false, "suffix" : "" }, { "dropping-particle" : "", "family" : "Ezzati", "given" : "M", "non-dropping-particle" : "", "parse-names" : false, "suffix" : "" }, { "dropping-particle" : "", "family" : "Murray", "given" : "CJL", "non-dropping-particle" : "", "parse-names" : false, "suffix" : "" }, { "dropping-particle" : "", "family" : "Jamison", "given" : "DT", "non-dropping-particle" : "", "parse-names" : false, "suffix" : "" } ], "id" : "ITEM-1", "issued" : { "date-parts" : [ [ "2006" ] ] }, "page" : "241\u2013396", "publisher" : "Oxford University Press", "publisher-place" : "New York", "title" : "Comparative quantification of mortality and burden of disease attributable to selected risk factors", "type" : "chapter" }, "uris" : [ "http://www.mendeley.com/documents/?uuid=35583714-c263-4dd9-bad7-f24e2055f10e" ] } ], "mendeley" : { "formattedCitation" : "(Ezzati and Hoorn, 2006)", "plainTextFormattedCitation" : "(Ezzati and Hoorn, 2006)", "previouslyFormattedCitation" : "(Ezzati and Hoorn, 2006)" }, "properties" : { "noteIndex" : 0 }, "schema" : "https://github.com/citation-style-language/schema/raw/master/csl-citation.json" }</w:instrText>
      </w:r>
      <w:r w:rsidR="00740AFC" w:rsidRPr="009B3747">
        <w:rPr>
          <w:rFonts w:eastAsia="Times New Roman" w:cstheme="minorHAnsi"/>
          <w:color w:val="000000"/>
          <w:lang w:eastAsia="en-GB"/>
        </w:rPr>
        <w:fldChar w:fldCharType="separate"/>
      </w:r>
      <w:r w:rsidR="00740AFC" w:rsidRPr="009B3747">
        <w:rPr>
          <w:rFonts w:eastAsia="Times New Roman" w:cstheme="minorHAnsi"/>
          <w:noProof/>
          <w:color w:val="000000"/>
          <w:lang w:eastAsia="en-GB"/>
        </w:rPr>
        <w:t>(Ezzati and Hoorn, 2006)</w:t>
      </w:r>
      <w:r w:rsidR="00740AFC" w:rsidRPr="009B3747">
        <w:rPr>
          <w:rFonts w:eastAsia="Times New Roman" w:cstheme="minorHAnsi"/>
          <w:color w:val="000000"/>
          <w:lang w:eastAsia="en-GB"/>
        </w:rPr>
        <w:fldChar w:fldCharType="end"/>
      </w:r>
      <w:r w:rsidR="00740AFC" w:rsidRPr="009B3747">
        <w:rPr>
          <w:rFonts w:eastAsia="Times New Roman" w:cstheme="minorHAnsi"/>
          <w:color w:val="000000"/>
          <w:lang w:eastAsia="en-GB"/>
        </w:rPr>
        <w:t xml:space="preserve">.  </w:t>
      </w:r>
      <w:r w:rsidRPr="009B3747">
        <w:rPr>
          <w:rFonts w:eastAsia="Times New Roman" w:cstheme="minorHAnsi"/>
          <w:color w:val="000000"/>
          <w:lang w:eastAsia="en-GB"/>
        </w:rPr>
        <w:t>It was identified that 36 million disability-adjusted life years can be attributed to adult obesity and its consequences</w:t>
      </w:r>
      <w:r w:rsidR="00740AFC" w:rsidRPr="009B3747">
        <w:rPr>
          <w:rFonts w:eastAsia="Times New Roman" w:cstheme="minorHAnsi"/>
          <w:color w:val="000000"/>
          <w:lang w:eastAsia="en-GB"/>
        </w:rPr>
        <w:t xml:space="preserve"> </w:t>
      </w:r>
      <w:r w:rsidR="00740AFC"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"DOI" : "10.1371/journal.pmed.0020133", "ISSN" : "1549-1676", "author" : [ { "dropping-particle" : "", "family" : "Ezzati", "given" : "Majid", "non-dropping-particle" : "", "parse-names" : false, "suffix" : "" }, { "dropping-particle" : "", "family" : "Hoorn", "given" : "Stephen", "non-dropping-particle" : "Vander", "parse-names" : false, "suffix" : "" }, { "dropping-particle" : "", "family" : "Lawes", "given" : "Carlene M. M", "non-dropping-particle" : "", "parse-names" : false, "suffix" : "" }, { "dropping-particle" : "", "family" : "Leach", "given" : "Rachel", "non-dropping-particle" : "", "parse-names" : false, "suffix" : "" }, { "dropping-particle" : "", "family" : "James", "given" : "W. Philip T", "non-dropping-particle" : "", "parse-names" : false, "suffix" : "" }, { "dropping-particle" : "", "family" : "Lopez", "given" : "Alan D", "non-dropping-particle" : "", "parse-names" : false, "suffix" : "" }, { "dropping-particle" : "", "family" : "Rodgers", "given" : "Anthony", "non-dropping-particle" : "", "parse-names" : false, "suffix" : "" }, { "dropping-particle" : "", "family" : "Murray", "given" : "Christopher J. L", "non-dropping-particle" : "", "parse-names" : false, "suffix" : "" } ], "container-title" : "PLoS Medicine", "editor" : [ { "dropping-particle" : "", "family" : "Novotny", "given" : "Thomas", "non-dropping-particle" : "", "parse-names" : false, "suffix" : "" } ], "id" : "ITEM-1", "issue" : "5", "issued" : { "date-parts" : [ [ "2005", "5", "3" ] ] }, "page" : "e133", "publisher" : "United Nations", "title" : "Rethinking the Diseases of Affluence Paradigm: Global Patterns of Nutritional Risks in Relation to Economic Development", "type" : "article-journal", "volume" : "2" }, "uris" : [ "http://www.mendeley.com/documents/?uuid=de7f7593-08d6-3c2e-bc99-8f39264a2120" ] } ], "mendeley" : { "formattedCitation" : "(Ezzati et al., 2005)", "plainTextFormattedCitation" : "(Ezzati et al., 2005)", "previouslyFormattedCitation" : "(Ezzati et al., 2005)" }, "properties" : { "noteIndex" : 0 }, "schema" : "https://github.com/citation-style-language/schema/raw/master/csl-citation.json" }</w:instrText>
      </w:r>
      <w:r w:rsidR="00740AFC" w:rsidRPr="009B3747">
        <w:rPr>
          <w:rFonts w:eastAsia="Times New Roman" w:cstheme="minorHAnsi"/>
          <w:color w:val="000000"/>
          <w:lang w:eastAsia="en-GB"/>
        </w:rPr>
        <w:fldChar w:fldCharType="separate"/>
      </w:r>
      <w:r w:rsidR="00740AFC" w:rsidRPr="009B3747">
        <w:rPr>
          <w:rFonts w:eastAsia="Times New Roman" w:cstheme="minorHAnsi"/>
          <w:noProof/>
          <w:color w:val="000000"/>
          <w:lang w:eastAsia="en-GB"/>
        </w:rPr>
        <w:t>(Ezzati et al., 2005)</w:t>
      </w:r>
      <w:r w:rsidR="00740AFC" w:rsidRPr="009B3747">
        <w:rPr>
          <w:rFonts w:eastAsia="Times New Roman" w:cstheme="minorHAnsi"/>
          <w:color w:val="000000"/>
          <w:lang w:eastAsia="en-GB"/>
        </w:rPr>
        <w:fldChar w:fldCharType="end"/>
      </w:r>
      <w:r w:rsidR="00740AFC"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Furthermore, </w:t>
      </w:r>
      <w:r w:rsidR="00AE6A9E" w:rsidRPr="009B3747">
        <w:rPr>
          <w:rFonts w:eastAsia="Times New Roman" w:cstheme="minorHAnsi"/>
          <w:color w:val="000000"/>
          <w:lang w:eastAsia="en-GB"/>
        </w:rPr>
        <w:t xml:space="preserve">a life expectancy reduction of three to </w:t>
      </w:r>
      <w:r w:rsidRPr="009B3747">
        <w:rPr>
          <w:rFonts w:eastAsia="Times New Roman" w:cstheme="minorHAnsi"/>
          <w:color w:val="000000"/>
          <w:lang w:eastAsia="en-GB"/>
        </w:rPr>
        <w:t>10 years is associated with obesity, which is comparable to the effects of lifelong smoking</w:t>
      </w:r>
      <w:r w:rsidR="00740AFC" w:rsidRPr="009B3747">
        <w:rPr>
          <w:rFonts w:eastAsia="Times New Roman" w:cstheme="minorHAnsi"/>
          <w:color w:val="000000"/>
          <w:lang w:eastAsia="en-GB"/>
        </w:rPr>
        <w:t xml:space="preserve"> </w:t>
      </w:r>
      <w:r w:rsidR="00740AFC" w:rsidRPr="009B3747">
        <w:rPr>
          <w:rFonts w:eastAsia="Times New Roman" w:cstheme="minorHAnsi"/>
          <w:color w:val="000000"/>
          <w:lang w:eastAsia="en-GB"/>
        </w:rPr>
        <w:fldChar w:fldCharType="begin" w:fldLock="1"/>
      </w:r>
      <w:r w:rsidR="009E09CE" w:rsidRPr="009B3747">
        <w:rPr>
          <w:rFonts w:eastAsia="Times New Roman" w:cstheme="minorHAnsi"/>
          <w:color w:val="000000"/>
          <w:lang w:eastAsia="en-GB"/>
        </w:rPr>
        <w:instrText>ADDIN CSL_CITATION { "citationItems" : [ { "id" : "ITEM-1", "itemData" : { "DOI" : "10.1016/S0140-6736(09)60318-4", "ISSN" : "01406736", "author" : [ { "dropping-particle" : "", "family" : "Prospective Studies Collaboration", "given" : "", "non-dropping-particle" : "", "parse-names" : false, "suffix" : "" } ], "container-title" : "The Lancet", "id" : "ITEM-1", "issue" : "9669", "issued" : { "date-parts" : [ [ "2009", "3" ] ] }, "page" : "1083-1096", "title" : "Body-mass index and cause-specific mortality in 900?000 adults: collaborative analyses of 57 prospective studies", "type" : "article-journal", "volume" : "373" }, "uris" : [ "http://www.mendeley.com/documents/?uuid=d6a9d885-b8e0-323e-bc7d-e37b2e1bd5b6" ] } ], "mendeley" : { "formattedCitation" : "(Prospective Studies Collaboration, 2009)", "plainTextFormattedCitation" : "(Prospective Studies Collaboration, 2009)", "previouslyFormattedCitation" : "(Prospective Studies Collaboration, 2009)" }, "properties" : { "noteIndex" : 0 }, "schema" : "https://github.com/citation-style-language/schema/raw/master/csl-citation.json" }</w:instrText>
      </w:r>
      <w:r w:rsidR="00740AFC" w:rsidRPr="009B3747">
        <w:rPr>
          <w:rFonts w:eastAsia="Times New Roman" w:cstheme="minorHAnsi"/>
          <w:color w:val="000000"/>
          <w:lang w:eastAsia="en-GB"/>
        </w:rPr>
        <w:fldChar w:fldCharType="separate"/>
      </w:r>
      <w:r w:rsidR="00740AFC" w:rsidRPr="009B3747">
        <w:rPr>
          <w:rFonts w:eastAsia="Times New Roman" w:cstheme="minorHAnsi"/>
          <w:noProof/>
          <w:color w:val="000000"/>
          <w:lang w:eastAsia="en-GB"/>
        </w:rPr>
        <w:t>(Prospective Studies Collaboration, 2009)</w:t>
      </w:r>
      <w:r w:rsidR="00740AFC"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w:t>
      </w:r>
    </w:p>
    <w:p w:rsidR="002224C3" w:rsidRPr="009B3747" w:rsidRDefault="002224C3" w:rsidP="00A16FA3">
      <w:pPr>
        <w:rPr>
          <w:rFonts w:eastAsia="Times New Roman" w:cstheme="minorHAnsi"/>
          <w:color w:val="000000"/>
          <w:lang w:eastAsia="en-GB"/>
        </w:rPr>
      </w:pPr>
    </w:p>
    <w:p w:rsidR="00E11E9D" w:rsidRPr="009B3747" w:rsidRDefault="00A16FA3" w:rsidP="00A16FA3">
      <w:pPr>
        <w:rPr>
          <w:rFonts w:eastAsia="Times New Roman" w:cstheme="minorHAnsi"/>
          <w:color w:val="000000"/>
          <w:lang w:eastAsia="en-GB"/>
        </w:rPr>
      </w:pPr>
      <w:r w:rsidRPr="009B3747">
        <w:rPr>
          <w:rFonts w:eastAsia="Times New Roman" w:cstheme="minorHAnsi"/>
          <w:color w:val="000000"/>
          <w:lang w:eastAsia="en-GB"/>
        </w:rPr>
        <w:t xml:space="preserve">Despite the extensive literature base supporting the link between obesity </w:t>
      </w:r>
      <w:r w:rsidR="00F74DB9">
        <w:rPr>
          <w:rFonts w:eastAsia="Times New Roman" w:cstheme="minorHAnsi"/>
          <w:color w:val="000000"/>
          <w:lang w:eastAsia="en-GB"/>
        </w:rPr>
        <w:t xml:space="preserve">in adulthood </w:t>
      </w:r>
      <w:r w:rsidRPr="009B3747">
        <w:rPr>
          <w:rFonts w:eastAsia="Times New Roman" w:cstheme="minorHAnsi"/>
          <w:color w:val="000000"/>
          <w:lang w:eastAsia="en-GB"/>
        </w:rPr>
        <w:t xml:space="preserve">and elevated morbidity and mortality, the risks to and impact of </w:t>
      </w:r>
      <w:r w:rsidR="00F74DB9">
        <w:rPr>
          <w:rFonts w:eastAsia="Times New Roman" w:cstheme="minorHAnsi"/>
          <w:color w:val="000000"/>
          <w:lang w:eastAsia="en-GB"/>
        </w:rPr>
        <w:t>excess weight</w:t>
      </w:r>
      <w:r w:rsidRPr="009B3747">
        <w:rPr>
          <w:rFonts w:eastAsia="Times New Roman" w:cstheme="minorHAnsi"/>
          <w:color w:val="000000"/>
          <w:lang w:eastAsia="en-GB"/>
        </w:rPr>
        <w:t xml:space="preserve"> on an individual’s health have been widely debated</w:t>
      </w:r>
      <w:r w:rsidR="009E09CE" w:rsidRPr="009B3747">
        <w:rPr>
          <w:rFonts w:eastAsia="Times New Roman" w:cstheme="minorHAnsi"/>
          <w:color w:val="000000"/>
          <w:lang w:eastAsia="en-GB"/>
        </w:rPr>
        <w:t xml:space="preserve"> </w:t>
      </w:r>
      <w:r w:rsidR="009E09CE"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"Ng", "given" : "M", "non-dropping-particle" : "", "parse-names" : false, "suffix" : "" }, { "dropping-particle" : "", "family" : "Fleming", "given" : "T", "non-dropping-particle" : "", "parse-names" : false, "suffix" : "" }, { "dropping-particle" : "", "family" : "Robinson", "given" : "M", "non-dropping-particle" : "", "parse-names" : false, "suffix" : "" }, { "dropping-particle" : "", "family" : "Thomson", "given" : "B", "non-dropping-particle" : "", "parse-names" : false, "suffix" : "" } ], "container-title" : "The Lancet", "id" : "ITEM-1", "issue" : "9945", "issued" : { "date-parts" : [ [ "2014" ] ] }, "page" : "766\u2013781", "title" : "Global, regional, and national prevalence of overweight and obesity in children and adults during 1980\u20132013: a systematic analysis for the Global Burden of Disease", "type" : "article-journal", "volume" : "384" }, "uris" : [ "http://www.mendeley.com/documents/?uuid=b95f8d13-2451-49b7-9542-f84d44941706" ] } ], "mendeley" : { "formattedCitation" : "(Ng et al., 2014)", "plainTextFormattedCitation" : "(Ng et al., 2014)", "previouslyFormattedCitation" : "(Ng et al., 2014)" }, "properties" : { "noteIndex" : 0 }, "schema" : "https://github.com/citation-style-language/schema/raw/master/csl-citation.json" }</w:instrText>
      </w:r>
      <w:r w:rsidR="009E09CE" w:rsidRPr="009B3747">
        <w:rPr>
          <w:rFonts w:eastAsia="Times New Roman" w:cstheme="minorHAnsi"/>
          <w:color w:val="000000"/>
          <w:lang w:eastAsia="en-GB"/>
        </w:rPr>
        <w:fldChar w:fldCharType="separate"/>
      </w:r>
      <w:r w:rsidR="009E09CE" w:rsidRPr="009B3747">
        <w:rPr>
          <w:rFonts w:eastAsia="Times New Roman" w:cstheme="minorHAnsi"/>
          <w:noProof/>
          <w:color w:val="000000"/>
          <w:lang w:eastAsia="en-GB"/>
        </w:rPr>
        <w:t>(Ng et al., 2014)</w:t>
      </w:r>
      <w:r w:rsidR="009E09CE" w:rsidRPr="009B3747">
        <w:rPr>
          <w:rFonts w:eastAsia="Times New Roman" w:cstheme="minorHAnsi"/>
          <w:color w:val="000000"/>
          <w:lang w:eastAsia="en-GB"/>
        </w:rPr>
        <w:fldChar w:fldCharType="end"/>
      </w:r>
      <w:r w:rsidR="009E09CE"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In addition, a number of academics proclaim this has been widely overstated </w:t>
      </w:r>
      <w:r w:rsidR="009E09CE"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"Flegal", "given" : "KM", "non-dropping-particle" : "", "parse-names" : false, "suffix" : "" } ], "container-title" : "Physiology &amp; Behavior", "id" : "ITEM-1", "issue" : "5", "issued" : { "date-parts" : [ [ "2005" ] ] }, "page" : "599-602", "title" : "Epidemiologic aspects of overweight and obesity in the United States", "type" : "article-journal", "volume" : "86" }, "uris" : [ "http://www.mendeley.com/documents/?uuid=bf9ed025-b5fb-4f83-89a6-5789001e9815" ] }, { "id" : "ITEM-2", "itemData" : { "author" : [ { "dropping-particle" : "", "family" : "Janssen", "given" : "I", "non-dropping-particle" : "", "parse-names" : false, "suffix" : "" }, { "dropping-particle" : "", "family" : "Bacon", "given" : "E", "non-dropping-particle" : "", "parse-names" : false, "suffix" : "" } ], "container-title" : "Obesity", "id" : "ITEM-2", "issue" : "11", "issued" : { "date-parts" : [ [ "2008" ] ] }, "page" : "2504-9", "title" : "Effect of current and midlife obesity status on mortality risk in the elderly", "type" : "article-journal", "volume" : "16" }, "uris" : [ "http://www.mendeley.com/documents/?uuid=5fdf9e09-2f6d-4f6e-9f28-53ce41caa8ab" ] } ], "mendeley" : { "formattedCitation" : "(Flegal, 2005; Janssen and Bacon, 2008)", "plainTextFormattedCitation" : "(Flegal, 2005; Janssen and Bacon, 2008)", "previouslyFormattedCitation" : "(Flegal, 2005; Janssen and Bacon, 2008)" }, "properties" : { "noteIndex" : 0 }, "schema" : "https://github.com/citation-style-language/schema/raw/master/csl-citation.json" }</w:instrText>
      </w:r>
      <w:r w:rsidR="009E09CE" w:rsidRPr="009B3747">
        <w:rPr>
          <w:rFonts w:eastAsia="Times New Roman" w:cstheme="minorHAnsi"/>
          <w:color w:val="000000"/>
          <w:lang w:eastAsia="en-GB"/>
        </w:rPr>
        <w:fldChar w:fldCharType="separate"/>
      </w:r>
      <w:r w:rsidR="009E09CE" w:rsidRPr="009B3747">
        <w:rPr>
          <w:rFonts w:eastAsia="Times New Roman" w:cstheme="minorHAnsi"/>
          <w:noProof/>
          <w:color w:val="000000"/>
          <w:lang w:eastAsia="en-GB"/>
        </w:rPr>
        <w:t>(Flegal, 2005; Janssen and Bacon, 2008)</w:t>
      </w:r>
      <w:r w:rsidR="009E09CE" w:rsidRPr="009B3747">
        <w:rPr>
          <w:rFonts w:eastAsia="Times New Roman" w:cstheme="minorHAnsi"/>
          <w:color w:val="000000"/>
          <w:lang w:eastAsia="en-GB"/>
        </w:rPr>
        <w:fldChar w:fldCharType="end"/>
      </w:r>
      <w:r w:rsidRPr="009B3747">
        <w:rPr>
          <w:rFonts w:eastAsia="Times New Roman" w:cstheme="minorHAnsi"/>
          <w:color w:val="000000"/>
          <w:lang w:eastAsia="en-GB"/>
        </w:rPr>
        <w:t>.  Some argue that studies proposing the risks of obesity, fail to consider confounding factors like exercise and diet and do not acknowledge the limitations of using BMI to estimate excess weight</w:t>
      </w:r>
      <w:r w:rsidR="009E09CE" w:rsidRPr="009B3747">
        <w:rPr>
          <w:rFonts w:eastAsia="Times New Roman" w:cstheme="minorHAnsi"/>
          <w:color w:val="000000"/>
          <w:lang w:eastAsia="en-GB"/>
        </w:rPr>
        <w:t xml:space="preserve"> </w:t>
      </w:r>
      <w:r w:rsidR="009E09CE"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"DOI" : "10.1038/sj.ijo.0803236", "ISSN" : "0307-0565", "PMID" : "16871274", "author" : [ { "dropping-particle" : "", "family" : "Cundiff", "given" : "D K", "non-dropping-particle" : "", "parse-names" : false, "suffix" : "" } ], "container-title" : "International Journal of Obesity", "id" : "ITEM-1", "issue" : "8", "issued" : { "date-parts" : [ [ "2006", "8" ] ] }, "page" : "1173-1175", "title" : "BMI: a poor surrogate for diet and exercise in assessing risk of death", "type" : "article-journal", "volume" : "30" }, "uris" : [ "http://www.mendeley.com/documents/?uuid=0ed5af4f-f0be-303a-bb09-32291762e154" ] }, { "id" : "ITEM-2", "itemData" : { "author" : [ { "dropping-particle" : "", "family" : "Hawks", "given" : "SR", "non-dropping-particle" : "", "parse-names" : false, "suffix" : "" }, { "dropping-particle" : "", "family" : "Gast", "given" : "JA", "non-dropping-particle" : "", "parse-names" : false, "suffix" : "" } ], "container-title" : "Healthy Weight Journal", "id" : "ITEM-2", "issue" : "2", "issued" : { "date-parts" : [ [ "2000" ] ] }, "page" : "25-26", "title" : "The ethics of promoting weight loss", "type" : "article-journal", "volume" : "14" }, "uris" : [ "http://www.mendeley.com/documents/?uuid=01d31016-11ba-4b4b-99f3-206e8eba8cee" ] }, { "id" : "ITEM-3", "itemData" : { "DOI" : "10.1093/acprof:oso/9780199572915.003.0035", "author" : [ { "dropping-particle" : "", "family" : "Baranowski", "given" : "Tom", "non-dropping-particle" : "", "parse-names" : false, "suffix" : "" }, { "dropping-particle" : "", "family" : "Baranowski", "given" : "Janice", "non-dropping-particle" : "", "parse-names" : false, "suffix" : "" }, { "dropping-particle" : "", "family" : "Cullen", "given" : "Karen", "non-dropping-particle" : "", "parse-names" : false, "suffix" : "" }, { "dropping-particle" : "", "family" : "Hingle", "given" : "Melanie", "non-dropping-particle" : "", "parse-names" : false, "suffix" : "" }, { "dropping-particle" : "", "family" : "Hughes", "given" : "Sheryl", "non-dropping-particle" : "", "parse-names" : false, "suffix" : "" }, { "dropping-particle" : "", "family" : "Jago", "given" : "Russell", "non-dropping-particle" : "", "parse-names" : false, "suffix" : "" }, { "dropping-particle" : "", "family" : "Ledoux", "given" : "Tracey", "non-dropping-particle" : "", "parse-names" : false, "suffix" : "" }, { "dropping-particle" : "", "family" : "Mendoza", "given" : "Jason", "non-dropping-particle" : "", "parse-names" : false, "suffix" : "" }, { "dropping-particle" : "", "family" : "Nguyen", "given" : "Tuan T.", "non-dropping-particle" : "", "parse-names" : false, "suffix" : "" }, { "dropping-particle" : "", "family" : "O?Connor", "given" : "Teresia", "non-dropping-particle" : "", "parse-names" : false, "suffix" : "" }, { "dropping-particle" : "", "family" : "Thompson", "given" : "Deborah", "non-dropping-particle" : "", "parse-names" : false, "suffix" : "" }, { "dropping-particle" : "", "family" : "Watson", "given" : "Kathleen", "non-dropping-particle" : "", "parse-names" : false, "suffix" : "" } ], "container-title" : "Childhood Obesity Prevention", "id" : "ITEM-3", "issued" : { "date-parts" : [ [ "2010", "9", "16" ] ] }, "page" : "408-421", "publisher" : "Oxford University Press", "title" : "Problems and possible solutions for interventions among children and adolescents", "type" : "chapter" }, "uris" : [ "http://www.mendeley.com/documents/?uuid=2caaca52-308e-3089-bb4e-8873f2dc0b1a" ] } ], "mendeley" : { "formattedCitation" : "(Cundiff, 2006; Hawks and Gast, 2000; Baranowski et al., 2010)", "plainTextFormattedCitation" : "(Cundiff, 2006; Hawks and Gast, 2000; Baranowski et al., 2010)", "previouslyFormattedCitation" : "(Cundiff, 2006; Hawks and Gast, 2000; Baranowski et al., 2010)" }, "properties" : { "noteIndex" : 0 }, "schema" : "https://github.com/citation-style-language/schema/raw/master/csl-citation.json" }</w:instrText>
      </w:r>
      <w:r w:rsidR="009E09CE" w:rsidRPr="009B3747">
        <w:rPr>
          <w:rFonts w:eastAsia="Times New Roman" w:cstheme="minorHAnsi"/>
          <w:color w:val="000000"/>
          <w:lang w:eastAsia="en-GB"/>
        </w:rPr>
        <w:fldChar w:fldCharType="separate"/>
      </w:r>
      <w:r w:rsidR="009E09CE" w:rsidRPr="009B3747">
        <w:rPr>
          <w:rFonts w:eastAsia="Times New Roman" w:cstheme="minorHAnsi"/>
          <w:noProof/>
          <w:color w:val="000000"/>
          <w:lang w:eastAsia="en-GB"/>
        </w:rPr>
        <w:t>(Cundiff, 2006; Hawks and Gast, 2000; Baranowski et al., 2010)</w:t>
      </w:r>
      <w:r w:rsidR="009E09CE" w:rsidRPr="009B3747">
        <w:rPr>
          <w:rFonts w:eastAsia="Times New Roman" w:cstheme="minorHAnsi"/>
          <w:color w:val="000000"/>
          <w:lang w:eastAsia="en-GB"/>
        </w:rPr>
        <w:fldChar w:fldCharType="end"/>
      </w:r>
      <w:r w:rsidRPr="009B3747">
        <w:rPr>
          <w:rFonts w:eastAsia="Times New Roman" w:cstheme="minorHAnsi"/>
          <w:color w:val="000000"/>
          <w:lang w:eastAsia="en-GB"/>
        </w:rPr>
        <w:t>.  </w:t>
      </w:r>
    </w:p>
    <w:p w:rsidR="00E11E9D" w:rsidRPr="009B3747" w:rsidRDefault="00E11E9D" w:rsidP="00A16FA3">
      <w:pPr>
        <w:rPr>
          <w:rFonts w:eastAsia="Times New Roman" w:cstheme="minorHAnsi"/>
          <w:color w:val="000000"/>
          <w:lang w:eastAsia="en-GB"/>
        </w:rPr>
      </w:pPr>
    </w:p>
    <w:p w:rsidR="005F1170" w:rsidRPr="009B3747" w:rsidRDefault="00A16FA3" w:rsidP="00821B2E">
      <w:pPr>
        <w:rPr>
          <w:rFonts w:eastAsia="Times New Roman" w:cstheme="minorHAnsi"/>
          <w:color w:val="000000"/>
          <w:lang w:eastAsia="en-GB"/>
        </w:rPr>
      </w:pPr>
      <w:r w:rsidRPr="009B3747">
        <w:rPr>
          <w:rFonts w:eastAsia="Times New Roman" w:cstheme="minorHAnsi"/>
          <w:color w:val="000000"/>
          <w:lang w:eastAsia="en-GB"/>
        </w:rPr>
        <w:lastRenderedPageBreak/>
        <w:t>In addition, and contradicting the general consensus, is a body of research</w:t>
      </w:r>
      <w:r w:rsidR="0071085A">
        <w:rPr>
          <w:rFonts w:eastAsia="Times New Roman" w:cstheme="minorHAnsi"/>
          <w:color w:val="000000"/>
          <w:lang w:eastAsia="en-GB"/>
        </w:rPr>
        <w:t>,</w:t>
      </w:r>
      <w:r w:rsidRPr="009B3747">
        <w:rPr>
          <w:rFonts w:eastAsia="Times New Roman" w:cstheme="minorHAnsi"/>
          <w:color w:val="000000"/>
          <w:lang w:eastAsia="en-GB"/>
        </w:rPr>
        <w:t xml:space="preserve"> which has linked </w:t>
      </w:r>
      <w:r w:rsidR="00F74DB9">
        <w:rPr>
          <w:rFonts w:eastAsia="Times New Roman" w:cstheme="minorHAnsi"/>
          <w:color w:val="000000"/>
          <w:lang w:eastAsia="en-GB"/>
        </w:rPr>
        <w:t xml:space="preserve">adult </w:t>
      </w:r>
      <w:r w:rsidRPr="009B3747">
        <w:rPr>
          <w:rFonts w:eastAsia="Times New Roman" w:cstheme="minorHAnsi"/>
          <w:color w:val="000000"/>
          <w:lang w:eastAsia="en-GB"/>
        </w:rPr>
        <w:t>obesity as beneficial for protecting against infectious diseases, osteoporosis, and chronic obstructive pulmonary disease</w:t>
      </w:r>
      <w:r w:rsidR="00C83875" w:rsidRPr="009B3747">
        <w:rPr>
          <w:rFonts w:eastAsia="Times New Roman" w:cstheme="minorHAnsi"/>
          <w:color w:val="000000"/>
          <w:lang w:eastAsia="en-GB"/>
        </w:rPr>
        <w:t xml:space="preserve"> </w:t>
      </w:r>
      <w:r w:rsidR="00C83875" w:rsidRPr="009B3747">
        <w:rPr>
          <w:rFonts w:eastAsia="Times New Roman" w:cstheme="minorHAnsi"/>
          <w:color w:val="000000"/>
          <w:lang w:eastAsia="en-GB"/>
        </w:rPr>
        <w:fldChar w:fldCharType="begin" w:fldLock="1"/>
      </w:r>
      <w:r w:rsidR="00C83875" w:rsidRPr="009B3747">
        <w:rPr>
          <w:rFonts w:eastAsia="Times New Roman" w:cstheme="minorHAnsi"/>
          <w:color w:val="000000"/>
          <w:lang w:eastAsia="en-GB"/>
        </w:rPr>
        <w:instrText>ADDIN CSL_CITATION { "citationItems" : [ { "id" : "ITEM-1", "itemData" : { "ISBN" : "0898854083", "abstract" : "\"A special monograph issue.\" Pages also numbered 57-137.", "author" : [ { "dropping-particle" : "", "family" : "Ernsberger", "given" : "Paul.", "non-dropping-particle" : "", "parse-names" : false, "suffix" : "" }, { "dropping-particle" : "", "family" : "Haskew", "given" : "Paul.", "non-dropping-particle" : "", "parse-names" : false, "suffix" : "" } ], "container-title" : "The Journal of obesity and weight regulation (USA)", "id" : "ITEM-1", "issued" : { "date-parts" : [ [ "1987" ] ] }, "number-of-pages" : "81", "publisher" : "Human Sciences Press", "title" : "Rethinking obesity : an alternative view of its health implications", "type" : "book" }, "uris" : [ "http://www.mendeley.com/documents/?uuid=1f5fe6d0-9fd4-39e2-a429-e144160b0189" ] }, { "id" : "ITEM-2", "itemData" : { "ISBN" : "0816069921", "abstract" : "3rd ed.", "author" : [ { "dropping-particle" : "", "family" : "Cassell", "given" : "Dana K.", "non-dropping-particle" : "", "parse-names" : false, "suffix" : "" }, { "dropping-particle" : "", "family" : "Gleaves", "given" : "David H.", "non-dropping-particle" : "", "parse-names" : false, "suffix" : "" } ], "edition" : "3rd", "id" : "ITEM-2", "issued" : { "date-parts" : [ [ "2006" ] ] }, "number-of-pages" : "362", "publisher" : "Facts on File", "publisher-place" : "New York", "title" : "The encyclopedia of obesity and eating disorders", "type" : "book" }, "uris" : [ "http://www.mendeley.com/documents/?uuid=b3ffd101-6239-3a89-9d0c-635e0fa3efc9" ] } ], "mendeley" : { "formattedCitation" : "(Ernsberger and Haskew, 1987; Cassell and Gleaves, 2006)", "plainTextFormattedCitation" : "(Ernsberger and Haskew, 1987; Cassell and Gleaves, 2006)", "previouslyFormattedCitation" : "(Ernsberger and Haskew, 1987; Cassell and Gleaves, 2006)" }, "properties" : { "noteIndex" : 0 }, "schema" : "https://github.com/citation-style-language/schema/raw/master/csl-citation.json" }</w:instrText>
      </w:r>
      <w:r w:rsidR="00C83875" w:rsidRPr="009B3747">
        <w:rPr>
          <w:rFonts w:eastAsia="Times New Roman" w:cstheme="minorHAnsi"/>
          <w:color w:val="000000"/>
          <w:lang w:eastAsia="en-GB"/>
        </w:rPr>
        <w:fldChar w:fldCharType="separate"/>
      </w:r>
      <w:r w:rsidR="00C83875" w:rsidRPr="009B3747">
        <w:rPr>
          <w:rFonts w:eastAsia="Times New Roman" w:cstheme="minorHAnsi"/>
          <w:noProof/>
          <w:color w:val="000000"/>
          <w:lang w:eastAsia="en-GB"/>
        </w:rPr>
        <w:t>(Ernsberger and Haskew, 1987; Cassell and Gleaves, 2006)</w:t>
      </w:r>
      <w:r w:rsidR="00C83875" w:rsidRPr="009B3747">
        <w:rPr>
          <w:rFonts w:eastAsia="Times New Roman" w:cstheme="minorHAnsi"/>
          <w:color w:val="000000"/>
          <w:lang w:eastAsia="en-GB"/>
        </w:rPr>
        <w:fldChar w:fldCharType="end"/>
      </w:r>
      <w:r w:rsidR="005F1170" w:rsidRPr="009B3747">
        <w:rPr>
          <w:rFonts w:eastAsia="Times New Roman" w:cstheme="minorHAnsi"/>
          <w:color w:val="000000"/>
          <w:lang w:eastAsia="en-GB"/>
        </w:rPr>
        <w:t xml:space="preserve">.  </w:t>
      </w:r>
      <w:r w:rsidR="009E09CE" w:rsidRPr="009B3747">
        <w:rPr>
          <w:rFonts w:eastAsia="Times New Roman" w:cstheme="minorHAnsi"/>
          <w:color w:val="000000"/>
          <w:lang w:eastAsia="en-GB"/>
        </w:rPr>
        <w:t xml:space="preserve">In spite of this, Ng et al., </w:t>
      </w:r>
      <w:r w:rsidRPr="009B3747">
        <w:rPr>
          <w:rFonts w:eastAsia="Times New Roman" w:cstheme="minorHAnsi"/>
          <w:color w:val="000000"/>
          <w:lang w:eastAsia="en-GB"/>
        </w:rPr>
        <w:t>(2014), arg</w:t>
      </w:r>
      <w:r w:rsidR="008818AD" w:rsidRPr="009B3747">
        <w:rPr>
          <w:rFonts w:eastAsia="Times New Roman" w:cstheme="minorHAnsi"/>
          <w:color w:val="000000"/>
          <w:lang w:eastAsia="en-GB"/>
        </w:rPr>
        <w:t xml:space="preserve">ued that </w:t>
      </w:r>
      <w:r w:rsidR="008818AD" w:rsidRPr="009B3747">
        <w:rPr>
          <w:rFonts w:eastAsia="Times New Roman" w:cstheme="minorHAnsi"/>
          <w:i/>
          <w:color w:val="000000"/>
          <w:lang w:eastAsia="en-GB"/>
        </w:rPr>
        <w:t>“</w:t>
      </w:r>
      <w:r w:rsidRPr="009B3747">
        <w:rPr>
          <w:rFonts w:eastAsia="Times New Roman" w:cstheme="minorHAnsi"/>
          <w:i/>
          <w:color w:val="000000"/>
          <w:lang w:eastAsia="en-GB"/>
        </w:rPr>
        <w:t>findings of large pooling studies used for the GBD 2013 (Global Burden of Disease study), show consistent risks as BMI reached more than 23km/m</w:t>
      </w:r>
      <w:r w:rsidRPr="009B3747">
        <w:rPr>
          <w:rFonts w:eastAsia="Times New Roman" w:cstheme="minorHAnsi"/>
          <w:i/>
          <w:color w:val="000000"/>
          <w:vertAlign w:val="superscript"/>
          <w:lang w:eastAsia="en-GB"/>
        </w:rPr>
        <w:t>2</w:t>
      </w:r>
      <w:r w:rsidRPr="009B3747">
        <w:rPr>
          <w:rFonts w:eastAsia="Times New Roman" w:cstheme="minorHAnsi"/>
          <w:i/>
          <w:color w:val="000000"/>
          <w:lang w:eastAsia="en-GB"/>
        </w:rPr>
        <w:t>, especially for cardiovascular disease, cancer, diabetes, osteoarthr</w:t>
      </w:r>
      <w:r w:rsidR="008818AD" w:rsidRPr="009B3747">
        <w:rPr>
          <w:rFonts w:eastAsia="Times New Roman" w:cstheme="minorHAnsi"/>
          <w:i/>
          <w:color w:val="000000"/>
          <w:lang w:eastAsia="en-GB"/>
        </w:rPr>
        <w:t>itis and chronic kidney disease”</w:t>
      </w:r>
      <w:r w:rsidR="005F1170" w:rsidRPr="009B3747">
        <w:rPr>
          <w:rFonts w:eastAsia="Times New Roman" w:cstheme="minorHAnsi"/>
          <w:i/>
          <w:color w:val="000000"/>
          <w:lang w:eastAsia="en-GB"/>
        </w:rPr>
        <w:t xml:space="preserve"> </w:t>
      </w:r>
      <w:r w:rsidR="005F1170" w:rsidRPr="009B3747">
        <w:rPr>
          <w:rFonts w:eastAsia="Times New Roman" w:cstheme="minorHAnsi"/>
          <w:color w:val="000000"/>
          <w:lang w:eastAsia="en-GB"/>
        </w:rPr>
        <w:t xml:space="preserve">(p. 779). </w:t>
      </w:r>
      <w:r w:rsidR="005F1170" w:rsidRPr="009B3747">
        <w:rPr>
          <w:rFonts w:eastAsia="Times New Roman" w:cstheme="minorHAnsi"/>
          <w:i/>
          <w:color w:val="000000"/>
          <w:lang w:eastAsia="en-GB"/>
        </w:rPr>
        <w:t xml:space="preserve"> </w:t>
      </w:r>
    </w:p>
    <w:p w:rsidR="00AF46FD" w:rsidRDefault="00AF46FD" w:rsidP="00821B2E">
      <w:pPr>
        <w:rPr>
          <w:rFonts w:eastAsia="Times New Roman" w:cstheme="minorHAnsi"/>
          <w:iCs/>
          <w:color w:val="000000"/>
          <w:lang w:eastAsia="en-GB"/>
        </w:rPr>
      </w:pPr>
    </w:p>
    <w:p w:rsidR="00A16FA3" w:rsidRPr="009B3747" w:rsidRDefault="005A7786" w:rsidP="00821B2E">
      <w:pPr>
        <w:rPr>
          <w:rFonts w:eastAsia="Times New Roman" w:cstheme="minorHAnsi"/>
          <w:color w:val="000000"/>
          <w:lang w:eastAsia="en-GB"/>
        </w:rPr>
      </w:pPr>
      <w:r w:rsidRPr="009B3747">
        <w:rPr>
          <w:rFonts w:eastAsia="Times New Roman" w:cstheme="minorHAnsi"/>
          <w:iCs/>
          <w:color w:val="000000"/>
          <w:lang w:eastAsia="en-GB"/>
        </w:rPr>
        <w:t>2.</w:t>
      </w:r>
      <w:r w:rsidR="008818AD" w:rsidRPr="009B3747">
        <w:rPr>
          <w:rFonts w:eastAsia="Times New Roman" w:cstheme="minorHAnsi"/>
          <w:iCs/>
          <w:color w:val="000000"/>
          <w:lang w:eastAsia="en-GB"/>
        </w:rPr>
        <w:t>5.2.2</w:t>
      </w:r>
      <w:r w:rsidRPr="009B3747">
        <w:rPr>
          <w:rFonts w:eastAsia="Times New Roman" w:cstheme="minorHAnsi"/>
          <w:iCs/>
          <w:color w:val="000000"/>
          <w:lang w:eastAsia="en-GB"/>
        </w:rPr>
        <w:t xml:space="preserve"> </w:t>
      </w:r>
      <w:r w:rsidR="00A16FA3" w:rsidRPr="009B3747">
        <w:rPr>
          <w:rFonts w:eastAsia="Times New Roman" w:cstheme="minorHAnsi"/>
          <w:iCs/>
          <w:color w:val="000000"/>
          <w:lang w:eastAsia="en-GB"/>
        </w:rPr>
        <w:t>Psychological and social health</w:t>
      </w:r>
    </w:p>
    <w:p w:rsidR="00F757C7" w:rsidRPr="009B3747" w:rsidRDefault="00F757C7" w:rsidP="00821B2E">
      <w:pPr>
        <w:rPr>
          <w:rFonts w:eastAsia="Times New Roman" w:cstheme="minorHAnsi"/>
          <w:sz w:val="24"/>
          <w:szCs w:val="24"/>
          <w:lang w:eastAsia="en-GB"/>
        </w:rPr>
      </w:pPr>
    </w:p>
    <w:p w:rsidR="00F757C7" w:rsidRPr="009B3747" w:rsidRDefault="00A16FA3" w:rsidP="00821B2E">
      <w:pPr>
        <w:rPr>
          <w:rFonts w:eastAsia="Times New Roman" w:cstheme="minorHAnsi"/>
          <w:color w:val="000000"/>
          <w:lang w:eastAsia="en-GB"/>
        </w:rPr>
      </w:pPr>
      <w:r w:rsidRPr="009B3747">
        <w:rPr>
          <w:rFonts w:eastAsia="Times New Roman" w:cstheme="minorHAnsi"/>
          <w:color w:val="000000"/>
          <w:lang w:eastAsia="en-GB"/>
        </w:rPr>
        <w:t>For those children and adolescents who are obese, the associated psychological and social</w:t>
      </w:r>
      <w:r w:rsidR="008818AD" w:rsidRPr="009B3747">
        <w:rPr>
          <w:rFonts w:eastAsia="Times New Roman" w:cstheme="minorHAnsi"/>
          <w:color w:val="000000"/>
          <w:lang w:eastAsia="en-GB"/>
        </w:rPr>
        <w:t xml:space="preserve"> health outcomes </w:t>
      </w:r>
      <w:r w:rsidR="008818AD" w:rsidRPr="009B3747">
        <w:rPr>
          <w:rFonts w:eastAsia="Times New Roman" w:cstheme="minorHAnsi"/>
          <w:i/>
          <w:color w:val="000000"/>
          <w:lang w:eastAsia="en-GB"/>
        </w:rPr>
        <w:t>“</w:t>
      </w:r>
      <w:r w:rsidRPr="009B3747">
        <w:rPr>
          <w:rFonts w:eastAsia="Times New Roman" w:cstheme="minorHAnsi"/>
          <w:i/>
          <w:color w:val="000000"/>
          <w:lang w:eastAsia="en-GB"/>
        </w:rPr>
        <w:t>immediate, apparent and influence many aspects of a child’s well-being</w:t>
      </w:r>
      <w:r w:rsidR="008818AD" w:rsidRPr="009B3747">
        <w:rPr>
          <w:rFonts w:eastAsia="Times New Roman" w:cstheme="minorHAnsi"/>
          <w:i/>
          <w:color w:val="000000"/>
          <w:lang w:eastAsia="en-GB"/>
        </w:rPr>
        <w:t>”</w:t>
      </w:r>
      <w:r w:rsidRPr="009B3747">
        <w:rPr>
          <w:rFonts w:eastAsia="Times New Roman" w:cstheme="minorHAnsi"/>
          <w:i/>
          <w:color w:val="000000"/>
          <w:lang w:eastAsia="en-GB"/>
        </w:rPr>
        <w:t>,</w:t>
      </w:r>
      <w:r w:rsidR="009E09CE" w:rsidRPr="009B3747">
        <w:rPr>
          <w:rFonts w:eastAsia="Times New Roman" w:cstheme="minorHAnsi"/>
          <w:i/>
          <w:color w:val="000000"/>
          <w:lang w:eastAsia="en-GB"/>
        </w:rPr>
        <w:t xml:space="preserve"> </w:t>
      </w:r>
      <w:r w:rsidR="009E09CE"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"Strauss", "given" : "RS", "non-dropping-particle" : "", "parse-names" : false, "suffix" : "" }, { "dropping-particle" : "", "family" : "Pollack", "given" : "HA", "non-dropping-particle" : "", "parse-names" : false, "suffix" : "" } ], "container-title" : "Archives of pediatrics &amp; adolescent medicine", "id" : "ITEM-1", "issue" : "8", "issued" : { "date-parts" : [ [ "2003" ] ] }, "page" : "746-52", "title" : "Social marginalization of overweight children", "type" : "article-journal", "volume" : "157" }, "uris" : [ "http://www.mendeley.com/documents/?uuid=23be5558-5209-4455-9fec-d95adca908f3" ] } ], "mendeley" : { "formattedCitation" : "(Strauss and Pollack, 2003)", "manualFormatting" : "(Strauss and Pollack, 2003, p.746)", "plainTextFormattedCitation" : "(Strauss and Pollack, 2003)", "previouslyFormattedCitation" : "(Strauss and Pollack, 2003)" }, "properties" : { "noteIndex" : 0 }, "schema" : "https://github.com/citation-style-language/schema/raw/master/csl-citation.json" }</w:instrText>
      </w:r>
      <w:r w:rsidR="009E09CE" w:rsidRPr="009B3747">
        <w:rPr>
          <w:rFonts w:eastAsia="Times New Roman" w:cstheme="minorHAnsi"/>
          <w:color w:val="000000"/>
          <w:lang w:eastAsia="en-GB"/>
        </w:rPr>
        <w:fldChar w:fldCharType="separate"/>
      </w:r>
      <w:r w:rsidR="009E09CE" w:rsidRPr="009B3747">
        <w:rPr>
          <w:rFonts w:eastAsia="Times New Roman" w:cstheme="minorHAnsi"/>
          <w:noProof/>
          <w:color w:val="000000"/>
          <w:lang w:eastAsia="en-GB"/>
        </w:rPr>
        <w:t>(Strauss and Pollack, 2003</w:t>
      </w:r>
      <w:r w:rsidR="00AE6A9E" w:rsidRPr="009B3747">
        <w:rPr>
          <w:rFonts w:eastAsia="Times New Roman" w:cstheme="minorHAnsi"/>
          <w:noProof/>
          <w:color w:val="000000"/>
          <w:lang w:eastAsia="en-GB"/>
        </w:rPr>
        <w:t>, p.</w:t>
      </w:r>
      <w:r w:rsidR="009E09CE" w:rsidRPr="009B3747">
        <w:rPr>
          <w:rFonts w:eastAsia="Times New Roman" w:cstheme="minorHAnsi"/>
          <w:noProof/>
          <w:color w:val="000000"/>
          <w:lang w:eastAsia="en-GB"/>
        </w:rPr>
        <w:t>746)</w:t>
      </w:r>
      <w:r w:rsidR="009E09CE"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Evidence supports a heightened risk of mental health and well-being problems during the transitional life stage of adolescence </w:t>
      </w:r>
      <w:r w:rsidR="009E09CE"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"DOI" : "10.1016/j.jaac.2010.05.017", "ISSN" : "08908567", "PMID" : "20855043", "abstract" : "OBJECTIVE To present estimates of the lifetime prevalence of DSM-IV mental disorders with and without severe impairment, their comorbidity across broad classes of disorder, and their sociodemographic correlates. METHOD The National Comorbidity Survey-Adolescent Supplement NCS-A is a nationally representative face-to-face survey of 10,123 adolescents aged 13 to 18 years in the continental United States. DSM-IV mental disorders were assessed using a modified version of the fully structured World Health Organization Composite International Diagnostic Interview. RESULTS Anxiety disorders were the most common condition (31.9%), followed by behavior disorders (19.1%), mood disorders (14.3%), and substance use disorders (11.4%), with approximately 40% of participants with one class of disorder also meeting criteria for another class of lifetime disorder. The overall prevalence of disorders with severe impairment and/or distress was 22.2% (11.2% with mood disorders, 8.3% with anxiety disorders, and 9.6% behavior disorders). The median age of onset for disorder classes was earliest for anxiety (6 years), followed by 11 years for behavior, 13 years for mood, and 15 years for substance use disorders. CONCLUSIONS These findings provide the first prevalence data on a broad range of mental disorders in a nationally representative sample of U.S. adolescents. Approximately one in every four to five youth in the U.S. meets criteria for a mental disorder with severe impairment across their lifetime. The likelihood that common mental disorders in adults first emerge in childhood and adolescence highlights the need for a transition from the common focus on treatment of U.S. youth to that of prevention and early intervention.", "author" : [ { "dropping-particle" : "", "family" : "Merikangas", "given" : "Kathleen Ries", "non-dropping-particle" : "", "parse-names" : false, "suffix" : "" }, { "dropping-particle" : "", "family" : "He", "given" : "Jian-ping", "non-dropping-particle" : "", "parse-names" : false, "suffix" : "" }, { "dropping-particle" : "", "family" : "Burstein", "given" : "Marcy", "non-dropping-particle" : "", "parse-names" : false, "suffix" : "" }, { "dropping-particle" : "", "family" : "Swanson", "given" : "Sonja A.", "non-dropping-particle" : "", "parse-names" : false, "suffix" : "" }, { "dropping-particle" : "", "family" : "Avenevoli", "given" : "Shelli", "non-dropping-particle" : "", "parse-names" : false, "suffix" : "" }, { "dropping-particle" : "", "family" : "Cui", "given" : "Lihong", "non-dropping-particle" : "", "parse-names" : false, "suffix" : "" }, { "dropping-particle" : "", "family" : "Benjet", "given" : "Corina", "non-dropping-particle" : "", "parse-names" : false, "suffix" : "" }, { "dropping-particle" : "", "family" : "Georgiades", "given" : "Katholiki", "non-dropping-particle" : "", "parse-names" : false, "suffix" : "" }, { "dropping-particle" : "", "family" : "Swendsen", "given" : "Joel", "non-dropping-particle" : "", "parse-names" : false, "suffix" : "" } ], "container-title" : "Journal of the American Academy of Child &amp; Adolescent Psychiatry", "id" : "ITEM-1", "issue" : "10", "issued" : { "date-parts" : [ [ "2010", "10" ] ] }, "page" : "980-989", "title" : "Lifetime Prevalence of Mental Disorders in U.S. Adolescents: Results from the National Comorbidity Survey Replication\u2013Adolescent Supplement (NCS-A)", "type" : "article-journal", "volume" : "49" }, "uris" : [ "http://www.mendeley.com/documents/?uuid=451763d5-8c43-379d-928d-6b43d941f92b" ] }, { "id" : "ITEM-2", "itemData" : { "author" : [ { "dropping-particle" : "", "family" : "Flegal", "given" : "KM", "non-dropping-particle" : "", "parse-names" : false, "suffix" : "" }, { "dropping-particle" : "", "family" : "Kit", "given" : "BK", "non-dropping-particle" : "", "parse-names" : false, "suffix" : "" }, { "dropping-particle" : "", "family" : "Orpana", "given" : "H", "non-dropping-particle" : "", "parse-names" : false, "suffix" : "" }, { "dropping-particle" : "", "family" : "Graubard", "given" : "BI", "non-dropping-particle" : "", "parse-names" : false, "suffix" : "" } ], "container-title" : "Jama", "id" : "ITEM-2", "issue" : "1", "issued" : { "date-parts" : [ [ "2013" ] ] }, "page" : "71-82", "title" : "Association of all-cause mortality with overweight and obesity using standard body mass index categories: a systematic review and meta-analysis", "type" : "article-journal", "volume" : "309" }, "uris" : [ "http://www.mendeley.com/documents/?uuid=1fb67f47-775a-48ce-91e4-5d46a2fe3879" ] } ], "mendeley" : { "formattedCitation" : "(Merikangas et al., 2010; Flegal et al., 2013)", "plainTextFormattedCitation" : "(Merikangas et al., 2010; Flegal et al., 2013)", "previouslyFormattedCitation" : "(Merikangas et al., 2010; Flegal et al., 2013)" }, "properties" : { "noteIndex" : 0 }, "schema" : "https://github.com/citation-style-language/schema/raw/master/csl-citation.json" }</w:instrText>
      </w:r>
      <w:r w:rsidR="009E09CE" w:rsidRPr="009B3747">
        <w:rPr>
          <w:rFonts w:eastAsia="Times New Roman" w:cstheme="minorHAnsi"/>
          <w:color w:val="000000"/>
          <w:lang w:eastAsia="en-GB"/>
        </w:rPr>
        <w:fldChar w:fldCharType="separate"/>
      </w:r>
      <w:r w:rsidR="009E09CE" w:rsidRPr="009B3747">
        <w:rPr>
          <w:rFonts w:eastAsia="Times New Roman" w:cstheme="minorHAnsi"/>
          <w:noProof/>
          <w:color w:val="000000"/>
          <w:lang w:eastAsia="en-GB"/>
        </w:rPr>
        <w:t>(Merikangas et al., 2010; Flegal et al., 2013)</w:t>
      </w:r>
      <w:r w:rsidR="009E09CE" w:rsidRPr="009B3747">
        <w:rPr>
          <w:rFonts w:eastAsia="Times New Roman" w:cstheme="minorHAnsi"/>
          <w:color w:val="000000"/>
          <w:lang w:eastAsia="en-GB"/>
        </w:rPr>
        <w:fldChar w:fldCharType="end"/>
      </w:r>
      <w:r w:rsidR="00071EBF">
        <w:rPr>
          <w:rFonts w:eastAsia="Times New Roman" w:cstheme="minorHAnsi"/>
          <w:color w:val="000000"/>
          <w:lang w:eastAsia="en-GB"/>
        </w:rPr>
        <w:t>,</w:t>
      </w:r>
      <w:r w:rsidR="009E09CE"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with </w:t>
      </w:r>
      <w:r w:rsidR="009E09CE" w:rsidRPr="009B3747">
        <w:rPr>
          <w:rFonts w:eastAsia="Times New Roman" w:cstheme="minorHAnsi"/>
          <w:color w:val="000000"/>
          <w:lang w:eastAsia="en-GB"/>
        </w:rPr>
        <w:t xml:space="preserve">both </w:t>
      </w:r>
      <w:r w:rsidRPr="009B3747">
        <w:rPr>
          <w:rFonts w:eastAsia="Times New Roman" w:cstheme="minorHAnsi"/>
          <w:color w:val="000000"/>
          <w:lang w:eastAsia="en-GB"/>
        </w:rPr>
        <w:t>obese children and adolescents more likely to experience behavioural, psychological and social pr</w:t>
      </w:r>
      <w:r w:rsidR="009E09CE" w:rsidRPr="009B3747">
        <w:rPr>
          <w:rFonts w:eastAsia="Times New Roman" w:cstheme="minorHAnsi"/>
          <w:color w:val="000000"/>
          <w:lang w:eastAsia="en-GB"/>
        </w:rPr>
        <w:t xml:space="preserve">oblems </w:t>
      </w:r>
      <w:r w:rsidR="009E09CE"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"Griffiths", "given" : "LJ", "non-dropping-particle" : "", "parse-names" : false, "suffix" : "" }, { "dropping-particle" : "", "family" : "Dezateux", "given" : "C", "non-dropping-particle" : "", "parse-names" : false, "suffix" : "" }, { "dropping-particle" : "", "family" : "Hill", "given" : "A", "non-dropping-particle" : "", "parse-names" : false, "suffix" : "" } ], "container-title" : "International Journal of Pediatric Obesity", "id" : "ITEM-1", "issue" : "2-2", "issued" : { "date-parts" : [ [ "2011" ] ] }, "page" : "e423-32", "title" : "Is obesity associated with emotional and behavioural problems in children? Findings from the Millennium Cohort Study", "type" : "article-journal", "volume" : "6" }, "uris" : [ "http://www.mendeley.com/documents/?uuid=0e69571d-f1cc-4a5b-8402-8d4043376156" ] } ], "mendeley" : { "formattedCitation" : "(Griffiths et al., 2011)", "plainTextFormattedCitation" : "(Griffiths et al., 2011)", "previouslyFormattedCitation" : "(Griffiths et al., 2011)" }, "properties" : { "noteIndex" : 0 }, "schema" : "https://github.com/citation-style-language/schema/raw/master/csl-citation.json" }</w:instrText>
      </w:r>
      <w:r w:rsidR="009E09CE" w:rsidRPr="009B3747">
        <w:rPr>
          <w:rFonts w:eastAsia="Times New Roman" w:cstheme="minorHAnsi"/>
          <w:color w:val="000000"/>
          <w:lang w:eastAsia="en-GB"/>
        </w:rPr>
        <w:fldChar w:fldCharType="separate"/>
      </w:r>
      <w:r w:rsidR="009E09CE" w:rsidRPr="009B3747">
        <w:rPr>
          <w:rFonts w:eastAsia="Times New Roman" w:cstheme="minorHAnsi"/>
          <w:noProof/>
          <w:color w:val="000000"/>
          <w:lang w:eastAsia="en-GB"/>
        </w:rPr>
        <w:t>(Griffiths et al., 2011)</w:t>
      </w:r>
      <w:r w:rsidR="009E09CE" w:rsidRPr="009B3747">
        <w:rPr>
          <w:rFonts w:eastAsia="Times New Roman" w:cstheme="minorHAnsi"/>
          <w:color w:val="000000"/>
          <w:lang w:eastAsia="en-GB"/>
        </w:rPr>
        <w:fldChar w:fldCharType="end"/>
      </w:r>
      <w:r w:rsidR="005F1170" w:rsidRPr="009B3747">
        <w:rPr>
          <w:rFonts w:eastAsia="Times New Roman" w:cstheme="minorHAnsi"/>
          <w:color w:val="000000"/>
          <w:lang w:eastAsia="en-GB"/>
        </w:rPr>
        <w:t>.  T</w:t>
      </w:r>
      <w:r w:rsidR="009E09CE" w:rsidRPr="009B3747">
        <w:rPr>
          <w:rFonts w:eastAsia="Times New Roman" w:cstheme="minorHAnsi"/>
          <w:color w:val="000000"/>
          <w:lang w:eastAsia="en-GB"/>
        </w:rPr>
        <w:t>his includes</w:t>
      </w:r>
      <w:r w:rsidRPr="009B3747">
        <w:rPr>
          <w:rFonts w:eastAsia="Times New Roman" w:cstheme="minorHAnsi"/>
          <w:color w:val="000000"/>
          <w:lang w:eastAsia="en-GB"/>
        </w:rPr>
        <w:t xml:space="preserve"> depression and anxiety</w:t>
      </w:r>
      <w:r w:rsidR="009E09CE" w:rsidRPr="009B3747">
        <w:rPr>
          <w:rFonts w:eastAsia="Times New Roman" w:cstheme="minorHAnsi"/>
          <w:color w:val="000000"/>
          <w:lang w:eastAsia="en-GB"/>
        </w:rPr>
        <w:t xml:space="preserve"> </w:t>
      </w:r>
      <w:r w:rsidR="009E09CE"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"Puhl", "given" : "RM", "non-dropping-particle" : "", "parse-names" : false, "suffix" : "" }, { "dropping-particle" : "", "family" : "Latner", "given" : "JD", "non-dropping-particle" : "", "parse-names" : false, "suffix" : "" } ], "container-title" : "Psychological bulletin", "id" : "ITEM-1", "issue" : "4", "issued" : { "date-parts" : [ [ "2007" ] ] }, "page" : "557-80.", "title" : "Stigma, obesity, and the health of the nation's children.", "type" : "article-journal", "volume" : "133" }, "uris" : [ "http://www.mendeley.com/documents/?uuid=d2218392-d5fd-441f-8adf-8e5e46bee7fb" ] } ], "mendeley" : { "formattedCitation" : "(Puhl and Latner, 2007)", "plainTextFormattedCitation" : "(Puhl and Latner, 2007)", "previouslyFormattedCitation" : "(Puhl and Latner, 2007)" }, "properties" : { "noteIndex" : 0 }, "schema" : "https://github.com/citation-style-language/schema/raw/master/csl-citation.json" }</w:instrText>
      </w:r>
      <w:r w:rsidR="009E09CE" w:rsidRPr="009B3747">
        <w:rPr>
          <w:rFonts w:eastAsia="Times New Roman" w:cstheme="minorHAnsi"/>
          <w:color w:val="000000"/>
          <w:lang w:eastAsia="en-GB"/>
        </w:rPr>
        <w:fldChar w:fldCharType="separate"/>
      </w:r>
      <w:r w:rsidR="009E09CE" w:rsidRPr="009B3747">
        <w:rPr>
          <w:rFonts w:eastAsia="Times New Roman" w:cstheme="minorHAnsi"/>
          <w:noProof/>
          <w:color w:val="000000"/>
          <w:lang w:eastAsia="en-GB"/>
        </w:rPr>
        <w:t>(Puhl and Latner, 2007)</w:t>
      </w:r>
      <w:r w:rsidR="009E09CE" w:rsidRPr="009B3747">
        <w:rPr>
          <w:rFonts w:eastAsia="Times New Roman" w:cstheme="minorHAnsi"/>
          <w:color w:val="000000"/>
          <w:lang w:eastAsia="en-GB"/>
        </w:rPr>
        <w:fldChar w:fldCharType="end"/>
      </w:r>
      <w:r w:rsidRPr="009B3747">
        <w:rPr>
          <w:rFonts w:eastAsia="Times New Roman" w:cstheme="minorHAnsi"/>
          <w:color w:val="000000"/>
          <w:lang w:eastAsia="en-GB"/>
        </w:rPr>
        <w:t>, low self-esteem</w:t>
      </w:r>
      <w:r w:rsidR="009E09CE" w:rsidRPr="009B3747">
        <w:rPr>
          <w:rFonts w:eastAsia="Times New Roman" w:cstheme="minorHAnsi"/>
          <w:color w:val="000000"/>
          <w:lang w:eastAsia="en-GB"/>
        </w:rPr>
        <w:t xml:space="preserve"> </w:t>
      </w:r>
      <w:r w:rsidR="009E09CE"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"Rees", "given" : "R", "non-dropping-particle" : "", "parse-names" : false, "suffix" : "" }, { "dropping-particle" : "", "family" : "Oliver", "given" : "K", "non-dropping-particle" : "", "parse-names" : false, "suffix" : "" }, { "dropping-particle" : "", "family" : "Woodman", "given" : "J", "non-dropping-particle" : "", "parse-names" : false, "suffix" : "" }, { "dropping-particle" : "", "family" : "Thomas", "given" : "J", "non-dropping-particle" : "", "parse-names" : false, "suffix" : "" } ], "container-title" : "BMC public health", "id" : "ITEM-1", "issue" : "1", "issued" : { "date-parts" : [ [ "2011" ] ] }, "page" : "118", "title" : "The views of young children in the UK about obesity, body size, shape and weight: a systematic review", "type" : "article-journal", "volume" : "11" }, "uris" : [ "http://www.mendeley.com/documents/?uuid=ba8e5dc3-126d-4e4d-933f-dc343612d1c5" ] } ], "mendeley" : { "formattedCitation" : "(Rees et al., 2011)", "plainTextFormattedCitation" : "(Rees et al., 2011)", "previouslyFormattedCitation" : "(Rees et al., 2011)" }, "properties" : { "noteIndex" : 0 }, "schema" : "https://github.com/citation-style-language/schema/raw/master/csl-citation.json" }</w:instrText>
      </w:r>
      <w:r w:rsidR="009E09CE" w:rsidRPr="009B3747">
        <w:rPr>
          <w:rFonts w:eastAsia="Times New Roman" w:cstheme="minorHAnsi"/>
          <w:color w:val="000000"/>
          <w:lang w:eastAsia="en-GB"/>
        </w:rPr>
        <w:fldChar w:fldCharType="separate"/>
      </w:r>
      <w:r w:rsidR="009E09CE" w:rsidRPr="009B3747">
        <w:rPr>
          <w:rFonts w:eastAsia="Times New Roman" w:cstheme="minorHAnsi"/>
          <w:noProof/>
          <w:color w:val="000000"/>
          <w:lang w:eastAsia="en-GB"/>
        </w:rPr>
        <w:t>(Rees et al., 2011)</w:t>
      </w:r>
      <w:r w:rsidR="009E09CE" w:rsidRPr="009B3747">
        <w:rPr>
          <w:rFonts w:eastAsia="Times New Roman" w:cstheme="minorHAnsi"/>
          <w:color w:val="000000"/>
          <w:lang w:eastAsia="en-GB"/>
        </w:rPr>
        <w:fldChar w:fldCharType="end"/>
      </w:r>
      <w:r w:rsidR="009E09CE"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bullying </w:t>
      </w:r>
      <w:r w:rsidR="009E09CE"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"Gatineau", "given" : "M", "non-dropping-particle" : "", "parse-names" : false, "suffix" : "" }, { "dropping-particle" : "", "family" : "Dent", "given" : "M", "non-dropping-particle" : "", "parse-names" : false, "suffix" : "" } ], "container-title" : "National Obesity Observatory", "id" : "ITEM-1", "issued" : { "date-parts" : [ [ "2011" ] ] }, "publisher-place" : "Oxford", "title" : "Obesity and mental health", "type" : "report" }, "uris" : [ "http://www.mendeley.com/documents/?uuid=9e9001b2-4cbd-4d39-915c-484c37ac1b11" ] } ], "mendeley" : { "formattedCitation" : "(Gatineau and Dent, 2011)", "plainTextFormattedCitation" : "(Gatineau and Dent, 2011)", "previouslyFormattedCitation" : "(Gatineau and Dent, 2011)" }, "properties" : { "noteIndex" : 0 }, "schema" : "https://github.com/citation-style-language/schema/raw/master/csl-citation.json" }</w:instrText>
      </w:r>
      <w:r w:rsidR="009E09CE" w:rsidRPr="009B3747">
        <w:rPr>
          <w:rFonts w:eastAsia="Times New Roman" w:cstheme="minorHAnsi"/>
          <w:color w:val="000000"/>
          <w:lang w:eastAsia="en-GB"/>
        </w:rPr>
        <w:fldChar w:fldCharType="separate"/>
      </w:r>
      <w:r w:rsidR="009E09CE" w:rsidRPr="009B3747">
        <w:rPr>
          <w:rFonts w:eastAsia="Times New Roman" w:cstheme="minorHAnsi"/>
          <w:noProof/>
          <w:color w:val="000000"/>
          <w:lang w:eastAsia="en-GB"/>
        </w:rPr>
        <w:t>(Gatineau and Dent, 2011)</w:t>
      </w:r>
      <w:r w:rsidR="009E09CE"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and poorer social </w:t>
      </w:r>
      <w:r w:rsidR="009E09CE" w:rsidRPr="009B3747">
        <w:rPr>
          <w:rFonts w:eastAsia="Times New Roman" w:cstheme="minorHAnsi"/>
          <w:color w:val="000000"/>
          <w:lang w:eastAsia="en-GB"/>
        </w:rPr>
        <w:t xml:space="preserve">functioning </w:t>
      </w:r>
      <w:r w:rsidR="009E09CE"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"Griffiths", "given" : "LJ", "non-dropping-particle" : "", "parse-names" : false, "suffix" : "" }, { "dropping-particle" : "", "family" : "Page", "given" : "AS", "non-dropping-particle" : "", "parse-names" : false, "suffix" : "" } ], "container-title" : "Obesity", "id" : "ITEM-1", "issue" : "Suppl 2", "issued" : { "date-parts" : [ [ "2008" ] ] }, "page" : "S39-45", "title" : "The Impact of Weight\u2010related Victimization on Peer Relationships: The Female Adolescent Perspective", "type" : "article-journal", "volume" : "16" }, "uris" : [ "http://www.mendeley.com/documents/?uuid=3c6510a9-b0bb-44c2-bf1f-e07b359a339a" ] } ], "mendeley" : { "formattedCitation" : "(Griffiths and Page, 2008)", "plainTextFormattedCitation" : "(Griffiths and Page, 2008)", "previouslyFormattedCitation" : "(Griffiths and Page, 2008)" }, "properties" : { "noteIndex" : 0 }, "schema" : "https://github.com/citation-style-language/schema/raw/master/csl-citation.json" }</w:instrText>
      </w:r>
      <w:r w:rsidR="009E09CE" w:rsidRPr="009B3747">
        <w:rPr>
          <w:rFonts w:eastAsia="Times New Roman" w:cstheme="minorHAnsi"/>
          <w:color w:val="000000"/>
          <w:lang w:eastAsia="en-GB"/>
        </w:rPr>
        <w:fldChar w:fldCharType="separate"/>
      </w:r>
      <w:r w:rsidR="009E09CE" w:rsidRPr="009B3747">
        <w:rPr>
          <w:rFonts w:eastAsia="Times New Roman" w:cstheme="minorHAnsi"/>
          <w:noProof/>
          <w:color w:val="000000"/>
          <w:lang w:eastAsia="en-GB"/>
        </w:rPr>
        <w:t>(Griffiths and Page, 2008)</w:t>
      </w:r>
      <w:r w:rsidR="009E09CE"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This presents a significant challenge for schools at both a primary and secondary level, with obese children and adolescents less likely to perform academically </w:t>
      </w:r>
      <w:r w:rsidR="00071EBF">
        <w:rPr>
          <w:rFonts w:eastAsia="Times New Roman" w:cstheme="minorHAnsi"/>
          <w:color w:val="000000"/>
          <w:lang w:eastAsia="en-GB"/>
        </w:rPr>
        <w:t xml:space="preserve">well </w:t>
      </w:r>
      <w:r w:rsidRPr="009B3747">
        <w:rPr>
          <w:rFonts w:eastAsia="Times New Roman" w:cstheme="minorHAnsi"/>
          <w:color w:val="000000"/>
          <w:lang w:eastAsia="en-GB"/>
        </w:rPr>
        <w:t>than their healthy weight peers</w:t>
      </w:r>
      <w:r w:rsidR="009E09CE" w:rsidRPr="009B3747">
        <w:rPr>
          <w:rFonts w:eastAsia="Times New Roman" w:cstheme="minorHAnsi"/>
          <w:color w:val="000000"/>
          <w:lang w:eastAsia="en-GB"/>
        </w:rPr>
        <w:t xml:space="preserve"> </w:t>
      </w:r>
      <w:r w:rsidR="009E09CE"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"Caird", "given" : "J", "non-dropping-particle" : "", "parse-names" : false, "suffix" : "" }, { "dropping-particle" : "", "family" : "Kavanagh", "given" : "J", "non-dropping-particle" : "", "parse-names" : false, "suffix" : "" }, { "dropping-particle" : "", "family" : "Oliver", "given" : "K", "non-dropping-particle" : "", "parse-names" : false, "suffix" : "" }, { "dropping-particle" : "", "family" : "Oliver", "given" : "S", "non-dropping-particle" : "", "parse-names" : false, "suffix" : "" } ], "id" : "ITEM-1", "issued" : { "date-parts" : [ [ "2011" ] ] }, "publisher-place" : "London", "title" : "Childhood obesity and educational attainment: a systematic review", "type" : "report" }, "uris" : [ "http://www.mendeley.com/documents/?uuid=42d43912-cc3c-4a69-81d8-6f5a52c9c659" ] } ], "mendeley" : { "formattedCitation" : "(Caird et al., 2011)", "plainTextFormattedCitation" : "(Caird et al., 2011)", "previouslyFormattedCitation" : "(Caird et al., 2011)" }, "properties" : { "noteIndex" : 0 }, "schema" : "https://github.com/citation-style-language/schema/raw/master/csl-citation.json" }</w:instrText>
      </w:r>
      <w:r w:rsidR="009E09CE" w:rsidRPr="009B3747">
        <w:rPr>
          <w:rFonts w:eastAsia="Times New Roman" w:cstheme="minorHAnsi"/>
          <w:color w:val="000000"/>
          <w:lang w:eastAsia="en-GB"/>
        </w:rPr>
        <w:fldChar w:fldCharType="separate"/>
      </w:r>
      <w:r w:rsidR="009E09CE" w:rsidRPr="009B3747">
        <w:rPr>
          <w:rFonts w:eastAsia="Times New Roman" w:cstheme="minorHAnsi"/>
          <w:noProof/>
          <w:color w:val="000000"/>
          <w:lang w:eastAsia="en-GB"/>
        </w:rPr>
        <w:t>(Caird et al., 2011)</w:t>
      </w:r>
      <w:r w:rsidR="009E09CE" w:rsidRPr="009B3747">
        <w:rPr>
          <w:rFonts w:eastAsia="Times New Roman" w:cstheme="minorHAnsi"/>
          <w:color w:val="000000"/>
          <w:lang w:eastAsia="en-GB"/>
        </w:rPr>
        <w:fldChar w:fldCharType="end"/>
      </w:r>
      <w:r w:rsidRPr="009B3747">
        <w:rPr>
          <w:rFonts w:eastAsia="Times New Roman" w:cstheme="minorHAnsi"/>
          <w:color w:val="000000"/>
          <w:lang w:eastAsia="en-GB"/>
        </w:rPr>
        <w:t>.  </w:t>
      </w:r>
    </w:p>
    <w:p w:rsidR="00F757C7" w:rsidRPr="009B3747" w:rsidRDefault="00F757C7" w:rsidP="00A16FA3">
      <w:pPr>
        <w:rPr>
          <w:rFonts w:eastAsia="Times New Roman" w:cstheme="minorHAnsi"/>
          <w:color w:val="000000"/>
          <w:lang w:eastAsia="en-GB"/>
        </w:rPr>
      </w:pPr>
    </w:p>
    <w:p w:rsidR="009E09CE" w:rsidRPr="009B3747" w:rsidRDefault="00A16FA3" w:rsidP="00A16FA3">
      <w:pPr>
        <w:rPr>
          <w:rFonts w:eastAsia="Times New Roman" w:cstheme="minorHAnsi"/>
          <w:color w:val="000000"/>
          <w:lang w:eastAsia="en-GB"/>
        </w:rPr>
      </w:pPr>
      <w:r w:rsidRPr="009B3747">
        <w:rPr>
          <w:rFonts w:eastAsia="Times New Roman" w:cstheme="minorHAnsi"/>
          <w:color w:val="000000"/>
          <w:lang w:eastAsia="en-GB"/>
        </w:rPr>
        <w:t>The increasing prioritisation of academic achievement in education</w:t>
      </w:r>
      <w:r w:rsidR="009E09CE" w:rsidRPr="009B3747">
        <w:rPr>
          <w:rFonts w:eastAsia="Times New Roman" w:cstheme="minorHAnsi"/>
          <w:color w:val="000000"/>
          <w:lang w:eastAsia="en-GB"/>
        </w:rPr>
        <w:t xml:space="preserve"> </w:t>
      </w:r>
      <w:r w:rsidR="009E09CE" w:rsidRPr="009B3747">
        <w:rPr>
          <w:rFonts w:eastAsia="Times New Roman" w:cstheme="minorHAnsi"/>
          <w:color w:val="000000"/>
          <w:lang w:eastAsia="en-GB"/>
        </w:rPr>
        <w:fldChar w:fldCharType="begin" w:fldLock="1"/>
      </w:r>
      <w:r w:rsidR="00B22CC4" w:rsidRPr="009B3747">
        <w:rPr>
          <w:rFonts w:eastAsia="Times New Roman" w:cstheme="minorHAnsi"/>
          <w:color w:val="000000"/>
          <w:lang w:eastAsia="en-GB"/>
        </w:rPr>
        <w:instrText>ADDIN CSL_CITATION { "citationItems" : [ { "id" : "ITEM-1", "itemData" : { "author" : [ { "dropping-particle" : "", "family" : "Bonell", "given" : "C", "non-dropping-particle" : "", "parse-names" : false, "suffix" : "" }, { "dropping-particle" : "", "family" : "Humphrey", "given" : "N", "non-dropping-particle" : "", "parse-names" : false, "suffix" : "" }, { "dropping-particle" : "", "family" : "Fletcher", "given" : "A", "non-dropping-particle" : "", "parse-names" : false, "suffix" : "" } ], "container-title" : "BMJ", "id" : "ITEM-1", "issue" : "13", "issued" : { "date-parts" : [ [ "2014" ] ] }, "title" : "Why schools should promote students' health and wellbeing", "type" : "article-journal", "volume" : "348" }, "uris" : [ "http://www.mendeley.com/documents/?uuid=dca5dbfa-95df-4e15-aaf7-44d4a78d1056" ] } ], "mendeley" : { "formattedCitation" : "(Bonell et al., 2014)", "plainTextFormattedCitation" : "(Bonell et al., 2014)", "previouslyFormattedCitation" : "(Bonell et al., 2014)" }, "properties" : { "noteIndex" : 0 }, "schema" : "https://github.com/citation-style-language/schema/raw/master/csl-citation.json" }</w:instrText>
      </w:r>
      <w:r w:rsidR="009E09CE" w:rsidRPr="009B3747">
        <w:rPr>
          <w:rFonts w:eastAsia="Times New Roman" w:cstheme="minorHAnsi"/>
          <w:color w:val="000000"/>
          <w:lang w:eastAsia="en-GB"/>
        </w:rPr>
        <w:fldChar w:fldCharType="separate"/>
      </w:r>
      <w:r w:rsidR="009E09CE" w:rsidRPr="009B3747">
        <w:rPr>
          <w:rFonts w:eastAsia="Times New Roman" w:cstheme="minorHAnsi"/>
          <w:noProof/>
          <w:color w:val="000000"/>
          <w:lang w:eastAsia="en-GB"/>
        </w:rPr>
        <w:t>(Bonell et al., 2014)</w:t>
      </w:r>
      <w:r w:rsidR="009E09CE" w:rsidRPr="009B3747">
        <w:rPr>
          <w:rFonts w:eastAsia="Times New Roman" w:cstheme="minorHAnsi"/>
          <w:color w:val="000000"/>
          <w:lang w:eastAsia="en-GB"/>
        </w:rPr>
        <w:fldChar w:fldCharType="end"/>
      </w:r>
      <w:r w:rsidR="00AF46FD">
        <w:rPr>
          <w:rFonts w:eastAsia="Times New Roman" w:cstheme="minorHAnsi"/>
          <w:color w:val="000000"/>
          <w:lang w:eastAsia="en-GB"/>
        </w:rPr>
        <w:t xml:space="preserve">, </w:t>
      </w:r>
      <w:r w:rsidRPr="009B3747">
        <w:rPr>
          <w:rFonts w:eastAsia="Times New Roman" w:cstheme="minorHAnsi"/>
          <w:color w:val="000000"/>
          <w:lang w:eastAsia="en-GB"/>
        </w:rPr>
        <w:t>means that for those leading and governing schools (i.e. headteachers and chairs of governors), the psycho-social outcomes of childhood and adolescent obesity, poor diet and low levels of physical activity poses a real threat to overall school performance</w:t>
      </w:r>
      <w:r w:rsidR="009E09CE" w:rsidRPr="009B3747">
        <w:rPr>
          <w:rFonts w:eastAsia="Times New Roman" w:cstheme="minorHAnsi"/>
          <w:color w:val="000000"/>
          <w:lang w:eastAsia="en-GB"/>
        </w:rPr>
        <w:t xml:space="preserve"> </w:t>
      </w:r>
      <w:r w:rsidR="009E09CE" w:rsidRPr="009B3747">
        <w:rPr>
          <w:rFonts w:eastAsia="Times New Roman" w:cstheme="minorHAnsi"/>
          <w:color w:val="000000"/>
          <w:lang w:eastAsia="en-GB"/>
        </w:rPr>
        <w:fldChar w:fldCharType="begin" w:fldLock="1"/>
      </w:r>
      <w:r w:rsidR="009E09CE" w:rsidRPr="009B3747">
        <w:rPr>
          <w:rFonts w:eastAsia="Times New Roman" w:cstheme="minorHAnsi"/>
          <w:color w:val="000000"/>
          <w:lang w:eastAsia="en-GB"/>
        </w:rPr>
        <w:instrText>ADDIN CSL_CITATION { "citationItems" : [ { "id" : "ITEM-1", "itemData" : { "DOI" : "10.1111/j.1746-1561.2005.00040.x", "ISSN" : "0022-4391", "PMID" : "16179079", "abstract" : "To review the state of research on the association between obesity among school-aged children and academic outcomes, the authors reviewed published studies investigating obesity, school performance, and rates of student absenteeism. A table with brief descriptions of each study's research methodology and outcomes is included. Research demonstrates that overweight and obesity are associated with poorer levels of academic achievement. Data on the association of child overweight or obesity with levels of attendance are too sparse to draw conclusions.", "author" : [ { "dropping-particle" : "", "family" : "Taras", "given" : "Howard", "non-dropping-particle" : "", "parse-names" : false, "suffix" : "" }, { "dropping-particle" : "", "family" : "Potts-Datema", "given" : "William", "non-dropping-particle" : "", "parse-names" : false, "suffix" : "" } ], "container-title" : "The Journal of school health", "id" : "ITEM-1", "issue" : "8", "issued" : { "date-parts" : [ [ "2005", "10" ] ] }, "page" : "291-5", "title" : "Obesity and student performance at school.", "type" : "article-journal", "volume" : "75" }, "uris" : [ "http://www.mendeley.com/documents/?uuid=a92bf9c1-277c-4d2f-abb9-ac3dc29f55f6" ] }, { "id" : "ITEM-2", "itemData" : { "DOI" : "10.1111/j.1746-1561.2008.00288.x", "ISSN" : "0022-4391", "PMID" : "18336680", "abstract" : "BACKGROUND: Although the effects of nutrition on health and school performance are often cited, few research studies have examined the effect of diet quality on the academic performance of children. This study examines the association between overall diet quality and academic performance.\n\nMETHODS: In 2003, 5200 grade 5 students in Nova Scotia, Canada, and their parents were surveyed as part of the Children's Lifestyle and School-performance Study. Information on dietary intake, height, and weight and sociodemographic variables were linked to results of a provincial standardized literacy assessment. Diet Quality Index-International was used to summarize overall diet quality. Multilevel regression methods were used to examine the association between indicators of diet quality and academic performance while adjusting for gender and socioeconomic characteristics of parents and residential neighborhoods.\n\nRESULTS: Across various indicators of diet quality, an association with academic performance was observed. Students with decreased overall diet quality were significantly more likely to perform poorly on the assessment. Girls performed better than boys as did children from socioeconomically advantaged families. Children attending better schools and living in wealthy neighborhoods also performed better.\n\nCONCLUSIONS: These findings demonstrate an association between diet quality and academic performance and identify specific dietary factors that contribute to this association. Additionally, this research supports the broader implementation and investment in effective school nutrition programs that have the potential to improve student access to healthy food choices, diet quality, academic performance, and, over the long term, health.", "author" : [ { "dropping-particle" : "", "family" : "Florence", "given" : "Michelle D", "non-dropping-particle" : "", "parse-names" : false, "suffix" : "" }, { "dropping-particle" : "", "family" : "Asbridge", "given" : "Mark", "non-dropping-particle" : "", "parse-names" : false, "suffix" : "" }, { "dropping-particle" : "", "family" : "Veugelers", "given" : "Paul J", "non-dropping-particle" : "", "parse-names" : false, "suffix" : "" } ], "container-title" : "The Journal of school health", "id" : "ITEM-2", "issue" : "4", "issued" : { "date-parts" : [ [ "2008", "4" ] ] }, "page" : "209-15; quiz 239-41", "title" : "Diet quality and academic performance.", "type" : "article-journal", "volume" : "78" }, "uris" : [ "http://www.mendeley.com/documents/?uuid=5c11be3d-019e-4506-ae0c-08064957492d" ] } ], "mendeley" : { "formattedCitation" : "(Taras and Potts-Datema, 2005; Florence et al., 2008)", "plainTextFormattedCitation" : "(Taras and Potts-Datema, 2005; Florence et al., 2008)", "previouslyFormattedCitation" : "(Taras and Potts-Datema, 2005; Florence et al., 2008)" }, "properties" : { "noteIndex" : 0 }, "schema" : "https://github.com/citation-style-language/schema/raw/master/csl-citation.json" }</w:instrText>
      </w:r>
      <w:r w:rsidR="009E09CE" w:rsidRPr="009B3747">
        <w:rPr>
          <w:rFonts w:eastAsia="Times New Roman" w:cstheme="minorHAnsi"/>
          <w:color w:val="000000"/>
          <w:lang w:eastAsia="en-GB"/>
        </w:rPr>
        <w:fldChar w:fldCharType="separate"/>
      </w:r>
      <w:r w:rsidR="009E09CE" w:rsidRPr="009B3747">
        <w:rPr>
          <w:rFonts w:eastAsia="Times New Roman" w:cstheme="minorHAnsi"/>
          <w:noProof/>
          <w:color w:val="000000"/>
          <w:lang w:eastAsia="en-GB"/>
        </w:rPr>
        <w:t>(Taras and Potts-Datema, 2005; Florence et al., 2008)</w:t>
      </w:r>
      <w:r w:rsidR="009E09CE" w:rsidRPr="009B3747">
        <w:rPr>
          <w:rFonts w:eastAsia="Times New Roman" w:cstheme="minorHAnsi"/>
          <w:color w:val="000000"/>
          <w:lang w:eastAsia="en-GB"/>
        </w:rPr>
        <w:fldChar w:fldCharType="end"/>
      </w:r>
      <w:r w:rsidR="009E09CE" w:rsidRPr="009B3747">
        <w:rPr>
          <w:rFonts w:eastAsia="Times New Roman" w:cstheme="minorHAnsi"/>
          <w:color w:val="000000"/>
          <w:lang w:eastAsia="en-GB"/>
        </w:rPr>
        <w:t>.</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5F1170" w:rsidRPr="009B3747" w:rsidRDefault="00A16FA3" w:rsidP="00A16FA3">
      <w:pPr>
        <w:rPr>
          <w:rFonts w:eastAsia="Times New Roman" w:cstheme="minorHAnsi"/>
          <w:color w:val="000000"/>
          <w:lang w:eastAsia="en-GB"/>
        </w:rPr>
      </w:pPr>
      <w:r w:rsidRPr="009B3747">
        <w:rPr>
          <w:rFonts w:eastAsia="Times New Roman" w:cstheme="minorHAnsi"/>
          <w:color w:val="000000"/>
          <w:lang w:eastAsia="en-GB"/>
        </w:rPr>
        <w:t>It is important to state that not all overweight or obese children and adolescents experience negative psychosocial outcomes and a child’s familial structure and social context has the potential to mitigate against their potentially detrimental impact</w:t>
      </w:r>
      <w:r w:rsidR="009E09CE" w:rsidRPr="009B3747">
        <w:rPr>
          <w:rFonts w:eastAsia="Times New Roman" w:cstheme="minorHAnsi"/>
          <w:color w:val="000000"/>
          <w:lang w:eastAsia="en-GB"/>
        </w:rPr>
        <w:t xml:space="preserve"> </w:t>
      </w:r>
      <w:r w:rsidR="009E09CE"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"Puder", "given" : "JJ", "non-dropping-particle" : "", "parse-names" : false, "suffix" : "" }, { "dropping-particle" : "", "family" : "Munsch", "given" : "S", "non-dropping-particle" : "", "parse-names" : false, "suffix" : "" } ], "container-title" : "International Journal of Obesity", "id" : "ITEM-1", "issue" : "Suppl 2", "issued" : { "date-parts" : [ [ "2010" ] ] }, "page" : "S37-43", "title" : "Psychological correlates of childhood obesity", "type" : "article-journal", "volume" : "34" }, "uris" : [ "http://www.mendeley.com/documents/?uuid=5c90b5f1-4917-4cf0-b666-486978b47057" ] } ], "mendeley" : { "formattedCitation" : "(Puder and Munsch, 2010)", "plainTextFormattedCitation" : "(Puder and Munsch, 2010)", "previouslyFormattedCitation" : "(Puder and Munsch, 2010)" }, "properties" : { "noteIndex" : 0 }, "schema" : "https://github.com/citation-style-language/schema/raw/master/csl-citation.json" }</w:instrText>
      </w:r>
      <w:r w:rsidR="009E09CE" w:rsidRPr="009B3747">
        <w:rPr>
          <w:rFonts w:eastAsia="Times New Roman" w:cstheme="minorHAnsi"/>
          <w:color w:val="000000"/>
          <w:lang w:eastAsia="en-GB"/>
        </w:rPr>
        <w:fldChar w:fldCharType="separate"/>
      </w:r>
      <w:r w:rsidR="009E09CE" w:rsidRPr="009B3747">
        <w:rPr>
          <w:rFonts w:eastAsia="Times New Roman" w:cstheme="minorHAnsi"/>
          <w:noProof/>
          <w:color w:val="000000"/>
          <w:lang w:eastAsia="en-GB"/>
        </w:rPr>
        <w:t>(Puder and Munsch, 2010)</w:t>
      </w:r>
      <w:r w:rsidR="009E09CE" w:rsidRPr="009B3747">
        <w:rPr>
          <w:rFonts w:eastAsia="Times New Roman" w:cstheme="minorHAnsi"/>
          <w:color w:val="000000"/>
          <w:lang w:eastAsia="en-GB"/>
        </w:rPr>
        <w:fldChar w:fldCharType="end"/>
      </w:r>
      <w:r w:rsidR="009E09CE" w:rsidRPr="009B3747">
        <w:rPr>
          <w:rFonts w:eastAsia="Times New Roman" w:cstheme="minorHAnsi"/>
          <w:color w:val="000000"/>
          <w:lang w:eastAsia="en-GB"/>
        </w:rPr>
        <w:t xml:space="preserve">.  </w:t>
      </w:r>
      <w:r w:rsidRPr="009B3747">
        <w:rPr>
          <w:rFonts w:eastAsia="Times New Roman" w:cstheme="minorHAnsi"/>
          <w:color w:val="000000"/>
          <w:lang w:eastAsia="en-GB"/>
        </w:rPr>
        <w:t>Despite this, obesity is considered the least socially accepted condition of childhood and the effects of bullying, victimisation, stigmatisation and discrimination attributed to childhood obesity</w:t>
      </w:r>
      <w:r w:rsidR="009E09CE" w:rsidRPr="009B3747">
        <w:rPr>
          <w:rFonts w:eastAsia="Times New Roman" w:cstheme="minorHAnsi"/>
          <w:color w:val="000000"/>
          <w:lang w:eastAsia="en-GB"/>
        </w:rPr>
        <w:t xml:space="preserve"> </w:t>
      </w:r>
      <w:r w:rsidR="009E09CE"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"Story", "given" : "MT", "non-dropping-particle" : "", "parse-names" : false, "suffix" : "" }, { "dropping-particle" : "", "family" : "Neumark-Stzainer", "given" : "DR", "non-dropping-particle" : "", "parse-names" : false, "suffix" : "" } ], "container-title" : "Pediatrics", "id" : "ITEM-1", "issue" : "Suppl 1", "issued" : { "date-parts" : [ [ "2002" ] ] }, "page" : "210-214", "title" : "Management of child and adolescent obesity: attitudes, barriers, skills, and training needs among health care professionals", "type" : "article-journal", "volume" : "110" }, "uris" : [ "http://www.mendeley.com/documents/?uuid=7c0b2cd4-26bb-441b-923b-cc9ffe82b402" ] }, { "id" : "ITEM-2", "itemData" : { "ISSN" : "1468-2044", "PMID" : "12937090", "abstract" : "The recent epidemic of childhood obesity(1) has raised concern because of the possible clinical and public health consequences.(2,)(3) However, there remains a widespread perception among health professionals that childhood obesity is a largely cosmetic problem, with minor clinical effects. No systematic review has yet focused on the diverse array of possible consequences of childhood obesity, though older non-systematic reviews are available.(4,)(5) In addition, no review to date has considered the vast body of evidence on the health impact of childhood obesity which has been published recently. The aim of the present review was therefore to provide a critically appraised, evidence based, summary of the consequences of childhood obesity in the short term (for the child) and longer term (in adulthood).", "author" : [ { "dropping-particle" : "", "family" : "Reilly", "given" : "J J", "non-dropping-particle" : "", "parse-names" : false, "suffix" : "" }, { "dropping-particle" : "", "family" : "Methven", "given" : "E", "non-dropping-particle" : "", "parse-names" : false, "suffix" : "" }, { "dropping-particle" : "", "family" : "McDowell", "given" : "Z C", "non-dropping-particle" : "", "parse-names" : false, "suffix" : "" }, { "dropping-particle" : "", "family" : "Hacking", "given" : "B", "non-dropping-particle" : "", "parse-names" : false, "suffix" : "" }, { "dropping-particle" : "", "family" : "Alexander", "given" : "D", "non-dropping-particle" : "", "parse-names" : false, "suffix" : "" }, { "dropping-particle" : "", "family" : "Stewart", "given" : "L", "non-dropping-particle" : "", "parse-names" : false, "suffix" : "" }, { "dropping-particle" : "", "family" : "Kelnar", "given" : "C J H", "non-dropping-particle" : "", "parse-names" : false, "suffix" : "" } ], "container-title" : "Archives of disease in childhood", "id" : "ITEM-2", "issue" : "9", "issued" : { "date-parts" : [ [ "2003", "9" ] ] }, "page" : "748-52", "title" : "Health consequences of obesity.", "type" : "article-journal", "volume" : "88" }, "uris" : [ "http://www.mendeley.com/documents/?uuid=2cfcfae3-33aa-38d3-a4cc-3ea355ee416e" ] }, { "id" : "ITEM-3", "itemData" : { "author" : [ { "dropping-particle" : "", "family" : "Tang\u2010P\u00e9ronard", "given" : "JL", "non-dropping-particle" : "", "parse-names" : false, "suffix" : "" }, { "dropping-particle" : "", "family" : "Heitmann", "given" : "BL", "non-dropping-particle" : "", "parse-names" : false, "suffix" : "" } ], "container-title" : "Obesity Reviews", "id" : "ITEM-3", "issue" : "6", "issued" : { "date-parts" : [ [ "2008" ] ] }, "page" : "522-534", "title" : "Stigmatization of obese children and adolescents, the importance of gender", "type" : "article-journal", "volume" : "9" }, "uris" : [ "http://www.mendeley.com/documents/?uuid=8637134d-66ce-49ea-97b2-fd9ca5bfd1ca" ] } ], "mendeley" : { "formattedCitation" : "(Story and Neumark-Stzainer, 2002; Reilly et al., 2003; Tang\u2010P\u00e9ronard and Heitmann, 2008)", "plainTextFormattedCitation" : "(Story and Neumark-Stzainer, 2002; Reilly et al., 2003; Tang\u2010P\u00e9ronard and Heitmann, 2008)", "previouslyFormattedCitation" : "(Story and Neumark-Stzainer, 2002; Reilly et al., 2003; Tang\u2010P\u00e9ronard and Heitmann, 2008)" }, "properties" : { "noteIndex" : 0 }, "schema" : "https://github.com/citation-style-language/schema/raw/master/csl-citation.json" }</w:instrText>
      </w:r>
      <w:r w:rsidR="009E09CE" w:rsidRPr="009B3747">
        <w:rPr>
          <w:rFonts w:eastAsia="Times New Roman" w:cstheme="minorHAnsi"/>
          <w:color w:val="000000"/>
          <w:lang w:eastAsia="en-GB"/>
        </w:rPr>
        <w:fldChar w:fldCharType="separate"/>
      </w:r>
      <w:r w:rsidR="009E09CE" w:rsidRPr="009B3747">
        <w:rPr>
          <w:rFonts w:eastAsia="Times New Roman" w:cstheme="minorHAnsi"/>
          <w:noProof/>
          <w:color w:val="000000"/>
          <w:lang w:eastAsia="en-GB"/>
        </w:rPr>
        <w:t>(Story and Neumark-Stzainer, 2002; Reilly et al., 2003; Tang‐Péronard and Heitmann, 2008)</w:t>
      </w:r>
      <w:r w:rsidR="009E09CE" w:rsidRPr="009B3747">
        <w:rPr>
          <w:rFonts w:eastAsia="Times New Roman" w:cstheme="minorHAnsi"/>
          <w:color w:val="000000"/>
          <w:lang w:eastAsia="en-GB"/>
        </w:rPr>
        <w:fldChar w:fldCharType="end"/>
      </w:r>
      <w:r w:rsidR="00AF46FD">
        <w:rPr>
          <w:rFonts w:eastAsia="Times New Roman" w:cstheme="minorHAnsi"/>
          <w:color w:val="000000"/>
          <w:lang w:eastAsia="en-GB"/>
        </w:rPr>
        <w:t>, c</w:t>
      </w:r>
      <w:r w:rsidRPr="009B3747">
        <w:rPr>
          <w:rFonts w:eastAsia="Times New Roman" w:cstheme="minorHAnsi"/>
          <w:color w:val="000000"/>
          <w:lang w:eastAsia="en-GB"/>
        </w:rPr>
        <w:t>an have an impact on whether and how an individual encounters lifelong health and social inequalities</w:t>
      </w:r>
      <w:r w:rsidR="007D586D" w:rsidRPr="009B3747">
        <w:rPr>
          <w:rFonts w:eastAsia="Times New Roman" w:cstheme="minorHAnsi"/>
          <w:color w:val="000000"/>
          <w:lang w:eastAsia="en-GB"/>
        </w:rPr>
        <w:t xml:space="preserve"> </w:t>
      </w:r>
      <w:r w:rsidR="007D586D"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"World Health Organization Regional Office for Europe", "given" : "", "non-dropping-particle" : "", "parse-names" : false, "suffix" : "" } ], "id" : "ITEM-1", "issued" : { "date-parts" : [ [ "2014" ] ] }, "publisher-place" : "Copenhagen", "title" : "Obesity and inequities - Guidance for addressing inequities in overweight and obesity", "type" : "report" }, "uris" : [ "http://www.mendeley.com/documents/?uuid=caff6bad-3812-4574-a91b-a6676d8de8c8" ] } ], "mendeley" : { "formattedCitation" : "(World Health Organization Regional Office for Europe, 2014)", "plainTextFormattedCitation" : "(World Health Organization Regional Office for Europe, 2014)", "previouslyFormattedCitation" : "(World Health Organization Regional Office for Europe, 2014)" }, "properties" : { "noteIndex" : 0 }, "schema" : "https://github.com/citation-style-language/schema/raw/master/csl-citation.json" }</w:instrText>
      </w:r>
      <w:r w:rsidR="007D586D" w:rsidRPr="009B3747">
        <w:rPr>
          <w:rFonts w:eastAsia="Times New Roman" w:cstheme="minorHAnsi"/>
          <w:color w:val="000000"/>
          <w:lang w:eastAsia="en-GB"/>
        </w:rPr>
        <w:fldChar w:fldCharType="separate"/>
      </w:r>
      <w:r w:rsidR="009C2ECF" w:rsidRPr="009B3747">
        <w:rPr>
          <w:rFonts w:eastAsia="Times New Roman" w:cstheme="minorHAnsi"/>
          <w:noProof/>
          <w:color w:val="000000"/>
          <w:lang w:eastAsia="en-GB"/>
        </w:rPr>
        <w:t>(World Health Organization Regional Office for Europe, 2014)</w:t>
      </w:r>
      <w:r w:rsidR="007D586D" w:rsidRPr="009B3747">
        <w:rPr>
          <w:rFonts w:eastAsia="Times New Roman" w:cstheme="minorHAnsi"/>
          <w:color w:val="000000"/>
          <w:lang w:eastAsia="en-GB"/>
        </w:rPr>
        <w:fldChar w:fldCharType="end"/>
      </w:r>
      <w:r w:rsidR="005F1170" w:rsidRPr="009B3747">
        <w:rPr>
          <w:rFonts w:eastAsia="Times New Roman" w:cstheme="minorHAnsi"/>
          <w:color w:val="000000"/>
          <w:lang w:eastAsia="en-GB"/>
        </w:rPr>
        <w:t>.</w:t>
      </w:r>
    </w:p>
    <w:p w:rsidR="005F1170" w:rsidRPr="009B3747" w:rsidRDefault="005F1170" w:rsidP="00A16FA3">
      <w:pPr>
        <w:rPr>
          <w:rFonts w:eastAsia="Times New Roman" w:cstheme="minorHAnsi"/>
          <w:color w:val="000000"/>
          <w:lang w:eastAsia="en-GB"/>
        </w:rPr>
      </w:pPr>
    </w:p>
    <w:p w:rsidR="00A16FA3" w:rsidRPr="009B3747" w:rsidRDefault="005A7786" w:rsidP="00A16FA3">
      <w:pPr>
        <w:rPr>
          <w:rFonts w:eastAsia="Times New Roman" w:cstheme="minorHAnsi"/>
          <w:color w:val="000000"/>
          <w:lang w:eastAsia="en-GB"/>
        </w:rPr>
      </w:pPr>
      <w:r w:rsidRPr="009B3747">
        <w:rPr>
          <w:rFonts w:eastAsia="Times New Roman" w:cstheme="minorHAnsi"/>
          <w:iCs/>
          <w:color w:val="000000"/>
          <w:lang w:eastAsia="en-GB"/>
        </w:rPr>
        <w:t>2.</w:t>
      </w:r>
      <w:r w:rsidR="008818AD" w:rsidRPr="009B3747">
        <w:rPr>
          <w:rFonts w:eastAsia="Times New Roman" w:cstheme="minorHAnsi"/>
          <w:iCs/>
          <w:color w:val="000000"/>
          <w:lang w:eastAsia="en-GB"/>
        </w:rPr>
        <w:t>5.2.3</w:t>
      </w:r>
      <w:r w:rsidRPr="009B3747">
        <w:rPr>
          <w:rFonts w:eastAsia="Times New Roman" w:cstheme="minorHAnsi"/>
          <w:iCs/>
          <w:color w:val="000000"/>
          <w:lang w:eastAsia="en-GB"/>
        </w:rPr>
        <w:t xml:space="preserve"> </w:t>
      </w:r>
      <w:r w:rsidR="00A16FA3" w:rsidRPr="009B3747">
        <w:rPr>
          <w:rFonts w:eastAsia="Times New Roman" w:cstheme="minorHAnsi"/>
          <w:iCs/>
          <w:color w:val="000000"/>
          <w:lang w:eastAsia="en-GB"/>
        </w:rPr>
        <w:t>Financial and economic</w:t>
      </w:r>
    </w:p>
    <w:p w:rsidR="00F757C7" w:rsidRPr="009B3747" w:rsidRDefault="00F757C7" w:rsidP="00A16FA3">
      <w:pPr>
        <w:rPr>
          <w:rFonts w:eastAsia="Times New Roman" w:cstheme="minorHAnsi"/>
          <w:sz w:val="24"/>
          <w:szCs w:val="24"/>
          <w:lang w:eastAsia="en-GB"/>
        </w:rPr>
      </w:pPr>
    </w:p>
    <w:p w:rsidR="00A16FA3" w:rsidRPr="009B3747" w:rsidRDefault="00A16FA3" w:rsidP="00A16FA3">
      <w:pPr>
        <w:jc w:val="both"/>
        <w:rPr>
          <w:rFonts w:eastAsia="Times New Roman" w:cstheme="minorHAnsi"/>
          <w:sz w:val="24"/>
          <w:szCs w:val="24"/>
          <w:lang w:eastAsia="en-GB"/>
        </w:rPr>
      </w:pPr>
      <w:r w:rsidRPr="009B3747">
        <w:rPr>
          <w:rFonts w:eastAsia="Times New Roman" w:cstheme="minorHAnsi"/>
          <w:color w:val="000000"/>
          <w:lang w:eastAsia="en-GB"/>
        </w:rPr>
        <w:t>Similarly to other countries across the world, the financial burden placed on healthcare systems by adult and childhood obesity in England has increased significantly</w:t>
      </w:r>
      <w:r w:rsidR="007D586D" w:rsidRPr="009B3747">
        <w:rPr>
          <w:rFonts w:eastAsia="Times New Roman" w:cstheme="minorHAnsi"/>
          <w:color w:val="000000"/>
          <w:lang w:eastAsia="en-GB"/>
        </w:rPr>
        <w:t xml:space="preserve"> </w:t>
      </w:r>
      <w:r w:rsidR="007D586D"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"Department of Health", "given" : "", "non-dropping-particle" : "", "parse-names" : false, "suffix" : "" } ], "container-title" : "London: Department of Health", "id" : "ITEM-1", "issued" : { "date-parts" : [ [ "2011" ] ] }, "publisher-place" : "London", "title" : "Healthy Lives, Healthy People: A Call to Action on Obesity in England", "type" : "report" }, "uris" : [ "http://www.mendeley.com/documents/?uuid=4cc3b3a8-0e69-41d7-bd60-1a13d047dc64" ] }, { "id" : "ITEM-2", "itemData" : { "author" : [ { "dropping-particle" : "", "family" : "Pelone", "given" : "F", "non-dropping-particle" : "", "parse-names" : false, "suffix" : "" }, { "dropping-particle" : "", "family" : "Specchia", "given" : "ML", "non-dropping-particle" : "", "parse-names" : false, "suffix" : "" } ], "container-title" : "Obesity reviews", "id" : "ITEM-2", "issue" : "5", "issued" : { "date-parts" : [ [ "2012" ] ] }, "page" : "431-440", "title" : "Economic impact of childhood obesity on health systems: a systematic review", "type" : "article-journal", "volume" : "13" }, "uris" : [ "http://www.mendeley.com/documents/?uuid=22bca51c-cf3d-410b-9c0e-544185f5d107" ] } ], "mendeley" : { "formattedCitation" : "(Department of Health, 2011; Pelone and Specchia, 2012)", "plainTextFormattedCitation" : "(Department of Health, 2011; Pelone and Specchia, 2012)", "previouslyFormattedCitation" : "(Department of Health, 2011; Pelone and Specchia, 2012)" }, "properties" : { "noteIndex" : 0 }, "schema" : "https://github.com/citation-style-language/schema/raw/master/csl-citation.json" }</w:instrText>
      </w:r>
      <w:r w:rsidR="007D586D" w:rsidRPr="009B3747">
        <w:rPr>
          <w:rFonts w:eastAsia="Times New Roman" w:cstheme="minorHAnsi"/>
          <w:color w:val="000000"/>
          <w:lang w:eastAsia="en-GB"/>
        </w:rPr>
        <w:fldChar w:fldCharType="separate"/>
      </w:r>
      <w:r w:rsidR="007D586D" w:rsidRPr="009B3747">
        <w:rPr>
          <w:rFonts w:eastAsia="Times New Roman" w:cstheme="minorHAnsi"/>
          <w:noProof/>
          <w:color w:val="000000"/>
          <w:lang w:eastAsia="en-GB"/>
        </w:rPr>
        <w:t>(Department of Health, 2011; Pelone and Specchia, 2012)</w:t>
      </w:r>
      <w:r w:rsidR="007D586D" w:rsidRPr="009B3747">
        <w:rPr>
          <w:rFonts w:eastAsia="Times New Roman" w:cstheme="minorHAnsi"/>
          <w:color w:val="000000"/>
          <w:lang w:eastAsia="en-GB"/>
        </w:rPr>
        <w:fldChar w:fldCharType="end"/>
      </w:r>
      <w:r w:rsidRPr="009B3747">
        <w:rPr>
          <w:rFonts w:eastAsia="Times New Roman" w:cstheme="minorHAnsi"/>
          <w:color w:val="000000"/>
          <w:lang w:eastAsia="en-GB"/>
        </w:rPr>
        <w:t>.  Preventing, managing and treating the effects of obesity requires significant public resources</w:t>
      </w:r>
      <w:r w:rsidR="007D586D" w:rsidRPr="009B3747">
        <w:rPr>
          <w:rFonts w:eastAsia="Times New Roman" w:cstheme="minorHAnsi"/>
          <w:color w:val="000000"/>
          <w:lang w:eastAsia="en-GB"/>
        </w:rPr>
        <w:t xml:space="preserve"> </w:t>
      </w:r>
      <w:r w:rsidR="007D586D"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"Butland", "given" : "B", "non-dropping-particle" : "", "parse-names" : false, "suffix" : "" }, { "dropping-particle" : "", "family" : "Jebb", "given" : "S", "non-dropping-particle" : "", "parse-names" : false, "suffix" : "" } ], "id" : "ITEM-1", "issued" : { "date-parts" : [ [ "2007" ] ] }, "title" : "Foresight. Tackling obesities: future choices. Project report.", "type" : "report" }, "uris" : [ "http://www.mendeley.com/documents/?uuid=8ae0e880-41d4-4b61-b434-dc36711dd306" ] } ], "mendeley" : { "formattedCitation" : "(Butland and Jebb, 2007)", "plainTextFormattedCitation" : "(Butland and Jebb, 2007)", "previouslyFormattedCitation" : "(Butland and Jebb, 2007)" }, "properties" : { "noteIndex" : 0 }, "schema" : "https://github.com/citation-style-language/schema/raw/master/csl-citation.json" }</w:instrText>
      </w:r>
      <w:r w:rsidR="007D586D" w:rsidRPr="009B3747">
        <w:rPr>
          <w:rFonts w:eastAsia="Times New Roman" w:cstheme="minorHAnsi"/>
          <w:color w:val="000000"/>
          <w:lang w:eastAsia="en-GB"/>
        </w:rPr>
        <w:fldChar w:fldCharType="separate"/>
      </w:r>
      <w:r w:rsidR="007D586D" w:rsidRPr="009B3747">
        <w:rPr>
          <w:rFonts w:eastAsia="Times New Roman" w:cstheme="minorHAnsi"/>
          <w:noProof/>
          <w:color w:val="000000"/>
          <w:lang w:eastAsia="en-GB"/>
        </w:rPr>
        <w:t>(Butland and Jebb, 2007)</w:t>
      </w:r>
      <w:r w:rsidR="007D586D" w:rsidRPr="009B3747">
        <w:rPr>
          <w:rFonts w:eastAsia="Times New Roman" w:cstheme="minorHAnsi"/>
          <w:color w:val="000000"/>
          <w:lang w:eastAsia="en-GB"/>
        </w:rPr>
        <w:fldChar w:fldCharType="end"/>
      </w:r>
      <w:r w:rsidR="007D586D" w:rsidRPr="009B3747">
        <w:rPr>
          <w:rFonts w:eastAsia="Times New Roman" w:cstheme="minorHAnsi"/>
          <w:color w:val="000000"/>
          <w:lang w:eastAsia="en-GB"/>
        </w:rPr>
        <w:t xml:space="preserve">.  </w:t>
      </w:r>
      <w:r w:rsidRPr="009B3747">
        <w:rPr>
          <w:rFonts w:eastAsia="Times New Roman" w:cstheme="minorHAnsi"/>
          <w:color w:val="000000"/>
          <w:lang w:eastAsia="en-GB"/>
        </w:rPr>
        <w:t>The NHS alone spends £5 billion per year on treating the effects of excess fat</w:t>
      </w:r>
      <w:r w:rsidR="007D586D" w:rsidRPr="009B3747">
        <w:rPr>
          <w:rFonts w:eastAsia="Times New Roman" w:cstheme="minorHAnsi"/>
          <w:color w:val="000000"/>
          <w:lang w:eastAsia="en-GB"/>
        </w:rPr>
        <w:t xml:space="preserve"> </w:t>
      </w:r>
      <w:r w:rsidR="007D586D"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"Department of Health", "given" : "", "non-dropping-particle" : "", "parse-names" : false, "suffix" : "" } ], "container-title" : "London: Department of Health", "id" : "ITEM-1", "issued" : { "date-parts" : [ [ "2011" ] ] }, "publisher-place" : "London", "title" : "Healthy Lives, Healthy People: A Call to Action on Obesity in England", "type" : "report" }, "uris" : [ "http://www.mendeley.com/documents/?uuid=4cc3b3a8-0e69-41d7-bd60-1a13d047dc64" ] } ], "mendeley" : { "formattedCitation" : "(Department of Health, 2011)", "plainTextFormattedCitation" : "(Department of Health, 2011)", "previouslyFormattedCitation" : "(Department of Health, 2011)" }, "properties" : { "noteIndex" : 0 }, "schema" : "https://github.com/citation-style-language/schema/raw/master/csl-citation.json" }</w:instrText>
      </w:r>
      <w:r w:rsidR="007D586D" w:rsidRPr="009B3747">
        <w:rPr>
          <w:rFonts w:eastAsia="Times New Roman" w:cstheme="minorHAnsi"/>
          <w:color w:val="000000"/>
          <w:lang w:eastAsia="en-GB"/>
        </w:rPr>
        <w:fldChar w:fldCharType="separate"/>
      </w:r>
      <w:r w:rsidR="007D586D" w:rsidRPr="009B3747">
        <w:rPr>
          <w:rFonts w:eastAsia="Times New Roman" w:cstheme="minorHAnsi"/>
          <w:noProof/>
          <w:color w:val="000000"/>
          <w:lang w:eastAsia="en-GB"/>
        </w:rPr>
        <w:t>(Department of Health, 2011)</w:t>
      </w:r>
      <w:r w:rsidR="007D586D" w:rsidRPr="009B3747">
        <w:rPr>
          <w:rFonts w:eastAsia="Times New Roman" w:cstheme="minorHAnsi"/>
          <w:color w:val="000000"/>
          <w:lang w:eastAsia="en-GB"/>
        </w:rPr>
        <w:fldChar w:fldCharType="end"/>
      </w:r>
      <w:r w:rsidRPr="009B3747">
        <w:rPr>
          <w:rFonts w:eastAsia="Times New Roman" w:cstheme="minorHAnsi"/>
          <w:color w:val="000000"/>
          <w:lang w:eastAsia="en-GB"/>
        </w:rPr>
        <w:t>.  In addition to pressures on the healthcare costs, obesity places escalating demands on the social care system, with severely obese people three times more likely to need social care than healthy weight people</w:t>
      </w:r>
      <w:r w:rsidR="007D586D" w:rsidRPr="009B3747">
        <w:rPr>
          <w:rFonts w:eastAsia="Times New Roman" w:cstheme="minorHAnsi"/>
          <w:color w:val="000000"/>
          <w:lang w:eastAsia="en-GB"/>
        </w:rPr>
        <w:t xml:space="preserve"> </w:t>
      </w:r>
      <w:r w:rsidR="007D586D"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"Han", "given" : "JC", "non-dropping-particle" : "", "parse-names" : false, "suffix" : "" }, { "dropping-particle" : "", "family" : "Lawlor", "given" : "DA", "non-dropping-particle" : "", "parse-names" : false, "suffix" : "" }, { "dropping-particle" : "", "family" : "Kimm", "given" : "SYS", "non-dropping-particle" : "", "parse-names" : false, "suffix" : "" } ], "container-title" : "The Lancet", "id" : "ITEM-1", "issue" : "9727", "issued" : { "date-parts" : [ [ "2010" ] ] }, "page" : "1737-48", "title" : "Childhood obesity", "type" : "article-journal", "volume" : "375" }, "uris" : [ "http://www.mendeley.com/documents/?uuid=6badc9a1-9de0-471e-b582-d0d9125ba7b7" ] } ], "mendeley" : { "formattedCitation" : "(Han et al., 2010)", "plainTextFormattedCitation" : "(Han et al., 2010)", "previouslyFormattedCitation" : "(Han et al., 2010)" }, "properties" : { "noteIndex" : 0 }, "schema" : "https://github.com/citation-style-language/schema/raw/master/csl-citation.json" }</w:instrText>
      </w:r>
      <w:r w:rsidR="007D586D" w:rsidRPr="009B3747">
        <w:rPr>
          <w:rFonts w:eastAsia="Times New Roman" w:cstheme="minorHAnsi"/>
          <w:color w:val="000000"/>
          <w:lang w:eastAsia="en-GB"/>
        </w:rPr>
        <w:fldChar w:fldCharType="separate"/>
      </w:r>
      <w:r w:rsidR="007D586D" w:rsidRPr="009B3747">
        <w:rPr>
          <w:rFonts w:eastAsia="Times New Roman" w:cstheme="minorHAnsi"/>
          <w:noProof/>
          <w:color w:val="000000"/>
          <w:lang w:eastAsia="en-GB"/>
        </w:rPr>
        <w:t>(Han et al., 2010)</w:t>
      </w:r>
      <w:r w:rsidR="007D586D" w:rsidRPr="009B3747">
        <w:rPr>
          <w:rFonts w:eastAsia="Times New Roman" w:cstheme="minorHAnsi"/>
          <w:color w:val="000000"/>
          <w:lang w:eastAsia="en-GB"/>
        </w:rPr>
        <w:fldChar w:fldCharType="end"/>
      </w:r>
      <w:r w:rsidR="007D586D" w:rsidRPr="009B3747">
        <w:rPr>
          <w:rFonts w:eastAsia="Times New Roman" w:cstheme="minorHAnsi"/>
          <w:color w:val="000000"/>
          <w:lang w:eastAsia="en-GB"/>
        </w:rPr>
        <w:t xml:space="preserve">.  </w:t>
      </w:r>
      <w:r w:rsidRPr="009B3747">
        <w:rPr>
          <w:rFonts w:eastAsia="Times New Roman" w:cstheme="minorHAnsi"/>
          <w:color w:val="000000"/>
          <w:lang w:eastAsia="en-GB"/>
        </w:rPr>
        <w:t>Whilst the direct costs are substantial, they do not reflect the extensive indirect costs of obesity to wider society - £27 billion a year in the UK by 2015</w:t>
      </w:r>
      <w:r w:rsidR="007D586D" w:rsidRPr="009B3747">
        <w:rPr>
          <w:rFonts w:eastAsia="Times New Roman" w:cstheme="minorHAnsi"/>
          <w:color w:val="000000"/>
          <w:lang w:eastAsia="en-GB"/>
        </w:rPr>
        <w:t xml:space="preserve"> </w:t>
      </w:r>
      <w:r w:rsidR="007D586D"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"Butland", "given" : "B", "non-dropping-particle" : "", "parse-names" : false, "suffix" : "" }, { "dropping-particle" : "", "family" : "Jebb", "given" : "S", "non-dropping-particle" : "", "parse-names" : false, "suffix" : "" } ], "id" : "ITEM-1", "issued" : { "date-parts" : [ [ "2007" ] ] }, "title" : "Foresight. Tackling obesities: future choices. Project report.", "type" : "report" }, "uris" : [ "http://www.mendeley.com/documents/?uuid=8ae0e880-41d4-4b61-b434-dc36711dd306" ] } ], "mendeley" : { "formattedCitation" : "(Butland and Jebb, 2007)", "plainTextFormattedCitation" : "(Butland and Jebb, 2007)", "previouslyFormattedCitation" : "(Butland and Jebb, 2007)" }, "properties" : { "noteIndex" : 0 }, "schema" : "https://github.com/citation-style-language/schema/raw/master/csl-citation.json" }</w:instrText>
      </w:r>
      <w:r w:rsidR="007D586D" w:rsidRPr="009B3747">
        <w:rPr>
          <w:rFonts w:eastAsia="Times New Roman" w:cstheme="minorHAnsi"/>
          <w:color w:val="000000"/>
          <w:lang w:eastAsia="en-GB"/>
        </w:rPr>
        <w:fldChar w:fldCharType="separate"/>
      </w:r>
      <w:r w:rsidR="007D586D" w:rsidRPr="009B3747">
        <w:rPr>
          <w:rFonts w:eastAsia="Times New Roman" w:cstheme="minorHAnsi"/>
          <w:noProof/>
          <w:color w:val="000000"/>
          <w:lang w:eastAsia="en-GB"/>
        </w:rPr>
        <w:t>(Butland and Jebb, 2007)</w:t>
      </w:r>
      <w:r w:rsidR="007D586D" w:rsidRPr="009B3747">
        <w:rPr>
          <w:rFonts w:eastAsia="Times New Roman" w:cstheme="minorHAnsi"/>
          <w:color w:val="000000"/>
          <w:lang w:eastAsia="en-GB"/>
        </w:rPr>
        <w:fldChar w:fldCharType="end"/>
      </w:r>
      <w:r w:rsidR="007D586D" w:rsidRPr="009B3747">
        <w:rPr>
          <w:rFonts w:eastAsia="Times New Roman" w:cstheme="minorHAnsi"/>
          <w:color w:val="000000"/>
          <w:lang w:eastAsia="en-GB"/>
        </w:rPr>
        <w:t xml:space="preserve">.  </w:t>
      </w:r>
      <w:r w:rsidRPr="009B3747">
        <w:rPr>
          <w:rFonts w:eastAsia="Times New Roman" w:cstheme="minorHAnsi"/>
          <w:color w:val="000000"/>
          <w:lang w:eastAsia="en-GB"/>
        </w:rPr>
        <w:t>These costs can be attributed to a loss of productivity, increases in absenteeism and disability benefits claims</w:t>
      </w:r>
      <w:r w:rsidR="007D586D" w:rsidRPr="009B3747">
        <w:rPr>
          <w:rFonts w:eastAsia="Times New Roman" w:cstheme="minorHAnsi"/>
          <w:color w:val="000000"/>
          <w:lang w:eastAsia="en-GB"/>
        </w:rPr>
        <w:t xml:space="preserve"> </w:t>
      </w:r>
      <w:r w:rsidR="007D586D"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"DOI" : "10.1016/S0140-6736(11)60814-3", "ISBN" : "1474-547X (Electronic)\\n0140-6736 (Linking)", "ISSN" : "01406736", "PMID" : "21872750", "abstract" : "Rising prevalence of obesity is a worldwide health concern because excess weight gain within populations forecasts an increased burden from several diseases, most notably cardiovascular diseases, diabetes, and cancers. In this report, we used a simulation model to project the probable health and economic consequences in the next two decades from a continued rise in obesity in two ageing populations - the USA and the UK. These trends project 65 million more obese adults in the USA and 11 million more obese adults in the UK by 2030, consequently accruing an additional 6-8\u00b75 million cases of diabetes, 5\u00b77-7\u00b73 million cases of heart disease and stroke, 492 000-669 000 additional cases of cancer, and 26-55 million quality-adjusted life years forgone for USA and UK combined. The combined medical costs associated with treatment of these preventable diseases are estimated to increase by $48-66 billion/year in the USA and by \u00a31\u00b79-2 billion/year in the UK by 2030. Hence, effective policies to promote healthier weight also have economic benefits. \u00a9 2011 Elsevier Ltd.", "author" : [ { "dropping-particle" : "", "family" : "Wang", "given" : "Y. Claire", "non-dropping-particle" : "", "parse-names" : false, "suffix" : "" }, { "dropping-particle" : "", "family" : "McPherson", "given" : "Klim", "non-dropping-particle" : "", "parse-names" : false, "suffix" : "" }, { "dropping-particle" : "", "family" : "Marsh", "given" : "Tim", "non-dropping-particle" : "", "parse-names" : false, "suffix" : "" }, { "dropping-particle" : "", "family" : "Gortmaker", "given" : "Steven L.", "non-dropping-particle" : "", "parse-names" : false, "suffix" : "" }, { "dropping-particle" : "", "family" : "Brown", "given" : "Martin", "non-dropping-particle" : "", "parse-names" : false, "suffix" : "" } ], "container-title" : "The Lancet", "id" : "ITEM-1", "issue" : "9793", "issued" : { "date-parts" : [ [ "2011" ] ] }, "page" : "815-825", "title" : "Health and economic burden of the projected obesity trends in the USA and the UK", "type" : "article-journal", "volume" : "378" }, "uris" : [ "http://www.mendeley.com/documents/?uuid=d847f100-977f-4bd7-8545-734bc0cf2667" ] } ], "mendeley" : { "formattedCitation" : "(Wang et al., 2011)", "manualFormatting" : "(Wang et al., 2011)", "plainTextFormattedCitation" : "(Wang et al., 2011)", "previouslyFormattedCitation" : "(Wang et al., 2011)" }, "properties" : { "noteIndex" : 0 }, "schema" : "https://github.com/citation-style-language/schema/raw/master/csl-citation.json" }</w:instrText>
      </w:r>
      <w:r w:rsidR="007D586D" w:rsidRPr="009B3747">
        <w:rPr>
          <w:rFonts w:eastAsia="Times New Roman" w:cstheme="minorHAnsi"/>
          <w:color w:val="000000"/>
          <w:lang w:eastAsia="en-GB"/>
        </w:rPr>
        <w:fldChar w:fldCharType="separate"/>
      </w:r>
      <w:r w:rsidR="007D586D" w:rsidRPr="009B3747">
        <w:rPr>
          <w:rFonts w:eastAsia="Times New Roman" w:cstheme="minorHAnsi"/>
          <w:noProof/>
          <w:color w:val="000000"/>
          <w:lang w:eastAsia="en-GB"/>
        </w:rPr>
        <w:t>(Wang et al., 2011)</w:t>
      </w:r>
      <w:r w:rsidR="007D586D" w:rsidRPr="009B3747">
        <w:rPr>
          <w:rFonts w:eastAsia="Times New Roman" w:cstheme="minorHAnsi"/>
          <w:color w:val="000000"/>
          <w:lang w:eastAsia="en-GB"/>
        </w:rPr>
        <w:fldChar w:fldCharType="end"/>
      </w:r>
      <w:r w:rsidR="007D586D" w:rsidRPr="009B3747">
        <w:rPr>
          <w:rFonts w:eastAsia="Times New Roman" w:cstheme="minorHAnsi"/>
          <w:color w:val="000000"/>
          <w:lang w:eastAsia="en-GB"/>
        </w:rPr>
        <w:t>.</w:t>
      </w:r>
    </w:p>
    <w:p w:rsidR="00F757C7" w:rsidRPr="009B3747" w:rsidRDefault="00F757C7" w:rsidP="00A16FA3">
      <w:pPr>
        <w:rPr>
          <w:rFonts w:eastAsia="Times New Roman" w:cstheme="minorHAnsi"/>
          <w:b/>
          <w:bCs/>
          <w:color w:val="000000"/>
          <w:sz w:val="24"/>
          <w:szCs w:val="24"/>
          <w:u w:val="single"/>
          <w:lang w:eastAsia="en-GB"/>
        </w:rPr>
      </w:pPr>
    </w:p>
    <w:p w:rsidR="00A16FA3" w:rsidRPr="009B3747" w:rsidRDefault="00C34D84" w:rsidP="00A16FA3">
      <w:pPr>
        <w:rPr>
          <w:rFonts w:eastAsia="Times New Roman" w:cstheme="minorHAnsi"/>
          <w:sz w:val="24"/>
          <w:szCs w:val="24"/>
          <w:lang w:eastAsia="en-GB"/>
        </w:rPr>
      </w:pPr>
      <w:r w:rsidRPr="009B3747">
        <w:rPr>
          <w:rFonts w:eastAsia="Times New Roman" w:cstheme="minorHAnsi"/>
          <w:b/>
          <w:bCs/>
          <w:color w:val="000000"/>
          <w:sz w:val="24"/>
          <w:szCs w:val="24"/>
          <w:u w:val="single"/>
          <w:lang w:eastAsia="en-GB"/>
        </w:rPr>
        <w:t>2</w:t>
      </w:r>
      <w:r w:rsidR="00F757C7" w:rsidRPr="009B3747">
        <w:rPr>
          <w:rFonts w:eastAsia="Times New Roman" w:cstheme="minorHAnsi"/>
          <w:b/>
          <w:bCs/>
          <w:color w:val="000000"/>
          <w:sz w:val="24"/>
          <w:szCs w:val="24"/>
          <w:u w:val="single"/>
          <w:lang w:eastAsia="en-GB"/>
        </w:rPr>
        <w:t xml:space="preserve">.6 </w:t>
      </w:r>
      <w:r w:rsidR="00A16FA3" w:rsidRPr="009B3747">
        <w:rPr>
          <w:rFonts w:eastAsia="Times New Roman" w:cstheme="minorHAnsi"/>
          <w:b/>
          <w:bCs/>
          <w:color w:val="000000"/>
          <w:sz w:val="24"/>
          <w:szCs w:val="24"/>
          <w:u w:val="single"/>
          <w:lang w:eastAsia="en-GB"/>
        </w:rPr>
        <w:t>National approach to tackling childhood and adolescent obesity</w:t>
      </w:r>
      <w:r w:rsidR="00A16FA3" w:rsidRPr="009B3747">
        <w:rPr>
          <w:rFonts w:eastAsia="Times New Roman" w:cstheme="minorHAnsi"/>
          <w:sz w:val="24"/>
          <w:szCs w:val="24"/>
          <w:lang w:eastAsia="en-GB"/>
        </w:rPr>
        <w:t> </w:t>
      </w:r>
    </w:p>
    <w:p w:rsidR="00F757C7" w:rsidRPr="009B3747" w:rsidRDefault="00F757C7" w:rsidP="00A16FA3">
      <w:pPr>
        <w:rPr>
          <w:rFonts w:eastAsia="Times New Roman" w:cstheme="minorHAnsi"/>
          <w:color w:val="000000"/>
          <w:lang w:eastAsia="en-GB"/>
        </w:rPr>
      </w:pPr>
    </w:p>
    <w:p w:rsidR="00F757C7" w:rsidRPr="009B3747" w:rsidRDefault="00A16FA3" w:rsidP="00A16FA3">
      <w:pPr>
        <w:rPr>
          <w:rFonts w:eastAsia="Times New Roman" w:cstheme="minorHAnsi"/>
          <w:color w:val="000000"/>
          <w:lang w:eastAsia="en-GB"/>
        </w:rPr>
      </w:pPr>
      <w:r w:rsidRPr="009B3747">
        <w:rPr>
          <w:rFonts w:eastAsia="Times New Roman" w:cstheme="minorHAnsi"/>
          <w:color w:val="000000"/>
          <w:lang w:eastAsia="en-GB"/>
        </w:rPr>
        <w:t>Since the early 1990s in England, obesity has been recognised as a threat significant enough to require the development of national population based policy actions to address it.  Within this time, both the policy context and political discourse of obesity has undergone considerable change in emphasis over the years</w:t>
      </w:r>
      <w:r w:rsidR="007D586D" w:rsidRPr="009B3747">
        <w:rPr>
          <w:rFonts w:eastAsia="Times New Roman" w:cstheme="minorHAnsi"/>
          <w:color w:val="000000"/>
          <w:lang w:eastAsia="en-GB"/>
        </w:rPr>
        <w:t xml:space="preserve"> </w:t>
      </w:r>
      <w:r w:rsidR="007D586D"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"Vallg\u00e5rda", "given" : "S", "non-dropping-particle" : "", "parse-names" : false, "suffix" : "" }, { "dropping-particle" : "", "family" : "Nielsen", "given" : "MEJ", "non-dropping-particle" : "", "parse-names" : false, "suffix" : "" } ], "container-title" : "European journal of Public Health", "id" : "ITEM-1", "issue" : "5", "issued" : { "date-parts" : [ [ "2015" ] ] }, "page" : "845-848", "title" : "Backward-and forward-looking responsibility for obesity: policies from WHO, the EU and England", "type" : "article-journal", "volume" : "25" }, "uris" : [ "http://www.mendeley.com/documents/?uuid=78ae7ec6-f61e-46a6-9570-cda32ec5c5b2" ] } ], "mendeley" : { "formattedCitation" : "(Vallg\u00e5rda and Nielsen, 2015)", "plainTextFormattedCitation" : "(Vallg\u00e5rda and Nielsen, 2015)", "previouslyFormattedCitation" : "(Vallg\u00e5rda and Nielsen, 2015)" }, "properties" : { "noteIndex" : 0 }, "schema" : "https://github.com/citation-style-language/schema/raw/master/csl-citation.json" }</w:instrText>
      </w:r>
      <w:r w:rsidR="007D586D" w:rsidRPr="009B3747">
        <w:rPr>
          <w:rFonts w:eastAsia="Times New Roman" w:cstheme="minorHAnsi"/>
          <w:color w:val="000000"/>
          <w:lang w:eastAsia="en-GB"/>
        </w:rPr>
        <w:fldChar w:fldCharType="separate"/>
      </w:r>
      <w:r w:rsidR="007D586D" w:rsidRPr="009B3747">
        <w:rPr>
          <w:rFonts w:eastAsia="Times New Roman" w:cstheme="minorHAnsi"/>
          <w:noProof/>
          <w:color w:val="000000"/>
          <w:lang w:eastAsia="en-GB"/>
        </w:rPr>
        <w:t>(Vallgårda and Nielsen, 2015)</w:t>
      </w:r>
      <w:r w:rsidR="007D586D" w:rsidRPr="009B3747">
        <w:rPr>
          <w:rFonts w:eastAsia="Times New Roman" w:cstheme="minorHAnsi"/>
          <w:color w:val="000000"/>
          <w:lang w:eastAsia="en-GB"/>
        </w:rPr>
        <w:fldChar w:fldCharType="end"/>
      </w:r>
      <w:r w:rsidRPr="009B3747">
        <w:rPr>
          <w:rFonts w:eastAsia="Times New Roman" w:cstheme="minorHAnsi"/>
          <w:color w:val="000000"/>
          <w:lang w:eastAsia="en-GB"/>
        </w:rPr>
        <w:t>.  Until 2007, regardless of the government administration, addressing obesity has featured periodically across the political agenda in a variety of public health strategies, reports and inquiries</w:t>
      </w:r>
      <w:r w:rsidR="007D586D" w:rsidRPr="009B3747">
        <w:rPr>
          <w:rFonts w:eastAsia="Times New Roman" w:cstheme="minorHAnsi"/>
          <w:color w:val="000000"/>
          <w:lang w:eastAsia="en-GB"/>
        </w:rPr>
        <w:t xml:space="preserve"> </w:t>
      </w:r>
      <w:r w:rsidR="007D586D"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"Jebb", "given" : "SA", "non-dropping-particle" : "", "parse-names" : false, "suffix" : "" }, { "dropping-particle" : "", "family" : "Aveyard", "given" : "PN", "non-dropping-particle" : "", "parse-names" : false, "suffix" : "" }, { "dropping-particle" : "", "family" : "Hawkes", "given" : "C", "non-dropping-particle" : "", "parse-names" : false, "suffix" : "" } ], "container-title" : "obesity reviews", "id" : "ITEM-1", "issue" : "S2", "issued" : { "date-parts" : [ [ "2013" ] ] }, "page" : "42-59", "title" : "The evolution of policy and actions to tackle obesity in England", "type" : "article-journal", "volume" : "14" }, "uris" : [ "http://www.mendeley.com/documents/?uuid=1a621344-3871-497d-9fef-f77922b7fa6b" ] } ], "mendeley" : { "formattedCitation" : "(Jebb et al., 2013)", "plainTextFormattedCitation" : "(Jebb et al., 2013)", "previouslyFormattedCitation" : "(Jebb et al., 2013)" }, "properties" : { "noteIndex" : 0 }, "schema" : "https://github.com/citation-style-language/schema/raw/master/csl-citation.json" }</w:instrText>
      </w:r>
      <w:r w:rsidR="007D586D" w:rsidRPr="009B3747">
        <w:rPr>
          <w:rFonts w:eastAsia="Times New Roman" w:cstheme="minorHAnsi"/>
          <w:color w:val="000000"/>
          <w:lang w:eastAsia="en-GB"/>
        </w:rPr>
        <w:fldChar w:fldCharType="separate"/>
      </w:r>
      <w:r w:rsidR="007D586D" w:rsidRPr="009B3747">
        <w:rPr>
          <w:rFonts w:eastAsia="Times New Roman" w:cstheme="minorHAnsi"/>
          <w:noProof/>
          <w:color w:val="000000"/>
          <w:lang w:eastAsia="en-GB"/>
        </w:rPr>
        <w:t>(Jebb et al., 2013)</w:t>
      </w:r>
      <w:r w:rsidR="007D586D" w:rsidRPr="009B3747">
        <w:rPr>
          <w:rFonts w:eastAsia="Times New Roman" w:cstheme="minorHAnsi"/>
          <w:color w:val="000000"/>
          <w:lang w:eastAsia="en-GB"/>
        </w:rPr>
        <w:fldChar w:fldCharType="end"/>
      </w:r>
      <w:r w:rsidRPr="009B3747">
        <w:rPr>
          <w:rFonts w:eastAsia="Times New Roman" w:cstheme="minorHAnsi"/>
          <w:color w:val="000000"/>
          <w:lang w:eastAsia="en-GB"/>
        </w:rPr>
        <w:t>.  </w:t>
      </w:r>
    </w:p>
    <w:p w:rsidR="00F757C7" w:rsidRPr="009B3747" w:rsidRDefault="00F757C7" w:rsidP="00A16FA3">
      <w:pPr>
        <w:rPr>
          <w:rFonts w:eastAsia="Times New Roman" w:cstheme="minorHAnsi"/>
          <w:color w:val="000000"/>
          <w:lang w:eastAsia="en-GB"/>
        </w:rPr>
      </w:pPr>
    </w:p>
    <w:p w:rsidR="00A16FA3" w:rsidRPr="009B3747" w:rsidRDefault="00A16FA3" w:rsidP="00A16FA3">
      <w:pPr>
        <w:rPr>
          <w:rFonts w:eastAsia="Times New Roman" w:cstheme="minorHAnsi"/>
          <w:sz w:val="24"/>
          <w:szCs w:val="24"/>
          <w:lang w:eastAsia="en-GB"/>
        </w:rPr>
      </w:pPr>
      <w:r w:rsidRPr="009B3747">
        <w:rPr>
          <w:rFonts w:eastAsia="Times New Roman" w:cstheme="minorHAnsi"/>
          <w:color w:val="000000"/>
          <w:lang w:eastAsia="en-GB"/>
        </w:rPr>
        <w:t>Alarm about the escalating severity of the challenge and scrutiny about the limited effectiveness of government action resulted in the publication of the influential Foresight report</w:t>
      </w:r>
      <w:r w:rsidR="007D586D" w:rsidRPr="009B3747">
        <w:rPr>
          <w:rFonts w:eastAsia="Times New Roman" w:cstheme="minorHAnsi"/>
          <w:color w:val="000000"/>
          <w:lang w:eastAsia="en-GB"/>
        </w:rPr>
        <w:t xml:space="preserve"> </w:t>
      </w:r>
      <w:r w:rsidR="007D586D"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"Butland", "given" : "B", "non-dropping-particle" : "", "parse-names" : false, "suffix" : "" }, { "dropping-particle" : "", "family" : "Jebb", "given" : "S", "non-dropping-particle" : "", "parse-names" : false, "suffix" : "" } ], "id" : "ITEM-1", "issued" : { "date-parts" : [ [ "2007" ] ] }, "title" : "Foresight. Tackling obesities: future choices. Project report.", "type" : "report" }, "uris" : [ "http://www.mendeley.com/documents/?uuid=8ae0e880-41d4-4b61-b434-dc36711dd306" ] } ], "mendeley" : { "formattedCitation" : "(Butland and Jebb, 2007)", "plainTextFormattedCitation" : "(Butland and Jebb, 2007)", "previouslyFormattedCitation" : "(Butland and Jebb, 2007)" }, "properties" : { "noteIndex" : 0 }, "schema" : "https://github.com/citation-style-language/schema/raw/master/csl-citation.json" }</w:instrText>
      </w:r>
      <w:r w:rsidR="007D586D" w:rsidRPr="009B3747">
        <w:rPr>
          <w:rFonts w:eastAsia="Times New Roman" w:cstheme="minorHAnsi"/>
          <w:color w:val="000000"/>
          <w:lang w:eastAsia="en-GB"/>
        </w:rPr>
        <w:fldChar w:fldCharType="separate"/>
      </w:r>
      <w:r w:rsidR="007D586D" w:rsidRPr="009B3747">
        <w:rPr>
          <w:rFonts w:eastAsia="Times New Roman" w:cstheme="minorHAnsi"/>
          <w:noProof/>
          <w:color w:val="000000"/>
          <w:lang w:eastAsia="en-GB"/>
        </w:rPr>
        <w:t>(Butland and Jebb, 2007)</w:t>
      </w:r>
      <w:r w:rsidR="007D586D"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and the first national strategy for obesity</w:t>
      </w:r>
      <w:r w:rsidR="007D586D" w:rsidRPr="009B3747">
        <w:rPr>
          <w:rFonts w:eastAsia="Times New Roman" w:cstheme="minorHAnsi"/>
          <w:color w:val="000000"/>
          <w:lang w:eastAsia="en-GB"/>
        </w:rPr>
        <w:t xml:space="preserve"> </w:t>
      </w:r>
      <w:r w:rsidR="007D586D"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"Department of Health", "given" : "", "non-dropping-particle" : "", "parse-names" : false, "suffix" : "" } ], "container-title" : "London: Department of Health", "id" : "ITEM-1", "issued" : { "date-parts" : [ [ "2008" ] ] }, "publisher-place" : "London", "title" : "Healthy weight, Healthy lives: a cross-government strategy for england", "type" : "report" }, "uris" : [ "http://www.mendeley.com/documents/?uuid=0c33aeb4-092b-494a-86d6-7021337f1a8c" ] } ], "mendeley" : { "formattedCitation" : "(Department of Health, 2008)", "plainTextFormattedCitation" : "(Department of Health, 2008)", "previouslyFormattedCitation" : "(Department of Health, 2008)" }, "properties" : { "noteIndex" : 0 }, "schema" : "https://github.com/citation-style-language/schema/raw/master/csl-citation.json" }</w:instrText>
      </w:r>
      <w:r w:rsidR="007D586D" w:rsidRPr="009B3747">
        <w:rPr>
          <w:rFonts w:eastAsia="Times New Roman" w:cstheme="minorHAnsi"/>
          <w:color w:val="000000"/>
          <w:lang w:eastAsia="en-GB"/>
        </w:rPr>
        <w:fldChar w:fldCharType="separate"/>
      </w:r>
      <w:r w:rsidR="007D586D" w:rsidRPr="009B3747">
        <w:rPr>
          <w:rFonts w:eastAsia="Times New Roman" w:cstheme="minorHAnsi"/>
          <w:noProof/>
          <w:color w:val="000000"/>
          <w:lang w:eastAsia="en-GB"/>
        </w:rPr>
        <w:t>(Department of Health, 2008)</w:t>
      </w:r>
      <w:r w:rsidR="007D586D" w:rsidRPr="009B3747">
        <w:rPr>
          <w:rFonts w:eastAsia="Times New Roman" w:cstheme="minorHAnsi"/>
          <w:color w:val="000000"/>
          <w:lang w:eastAsia="en-GB"/>
        </w:rPr>
        <w:fldChar w:fldCharType="end"/>
      </w:r>
      <w:r w:rsidRPr="009B3747">
        <w:rPr>
          <w:rFonts w:eastAsia="Times New Roman" w:cstheme="minorHAnsi"/>
          <w:color w:val="000000"/>
          <w:lang w:eastAsia="en-GB"/>
        </w:rPr>
        <w:t>.  Both brought about an important shift in how obesity was to be understood and tackled.  Preventing, managing and treating excess weight in children, adolescents and adults, became a cross-government responsibility, with a system-wide approach advocated in order for all sectors to play their crucial role</w:t>
      </w:r>
      <w:r w:rsidR="007D586D" w:rsidRPr="009B3747">
        <w:rPr>
          <w:rFonts w:eastAsia="Times New Roman" w:cstheme="minorHAnsi"/>
          <w:color w:val="000000"/>
          <w:lang w:eastAsia="en-GB"/>
        </w:rPr>
        <w:t xml:space="preserve"> </w:t>
      </w:r>
      <w:r w:rsidR="007D586D"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"Department of Health", "given" : "", "non-dropping-particle" : "", "parse-names" : false, "suffix" : "" } ], "container-title" : "London: Department of Health", "id" : "ITEM-1", "issued" : { "date-parts" : [ [ "2008" ] ] }, "publisher-place" : "London", "title" : "Healthy weight, Healthy lives: a cross-government strategy for england", "type" : "report" }, "uris" : [ "http://www.mendeley.com/documents/?uuid=0c33aeb4-092b-494a-86d6-7021337f1a8c" ] } ], "mendeley" : { "formattedCitation" : "(Department of Health, 2008)", "plainTextFormattedCitation" : "(Department of Health, 2008)", "previouslyFormattedCitation" : "(Department of Health, 2008)" }, "properties" : { "noteIndex" : 0 }, "schema" : "https://github.com/citation-style-language/schema/raw/master/csl-citation.json" }</w:instrText>
      </w:r>
      <w:r w:rsidR="007D586D" w:rsidRPr="009B3747">
        <w:rPr>
          <w:rFonts w:eastAsia="Times New Roman" w:cstheme="minorHAnsi"/>
          <w:color w:val="000000"/>
          <w:lang w:eastAsia="en-GB"/>
        </w:rPr>
        <w:fldChar w:fldCharType="separate"/>
      </w:r>
      <w:r w:rsidR="007D586D" w:rsidRPr="009B3747">
        <w:rPr>
          <w:rFonts w:eastAsia="Times New Roman" w:cstheme="minorHAnsi"/>
          <w:noProof/>
          <w:color w:val="000000"/>
          <w:lang w:eastAsia="en-GB"/>
        </w:rPr>
        <w:t>(Department of Health, 2008)</w:t>
      </w:r>
      <w:r w:rsidR="007D586D" w:rsidRPr="009B3747">
        <w:rPr>
          <w:rFonts w:eastAsia="Times New Roman" w:cstheme="minorHAnsi"/>
          <w:color w:val="000000"/>
          <w:lang w:eastAsia="en-GB"/>
        </w:rPr>
        <w:fldChar w:fldCharType="end"/>
      </w:r>
      <w:r w:rsidRPr="009B3747">
        <w:rPr>
          <w:rFonts w:eastAsia="Times New Roman" w:cstheme="minorHAnsi"/>
          <w:color w:val="000000"/>
          <w:lang w:eastAsia="en-GB"/>
        </w:rPr>
        <w:t>.  </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AF46FD" w:rsidRDefault="00A16FA3" w:rsidP="00A16FA3">
      <w:pPr>
        <w:rPr>
          <w:rFonts w:eastAsia="Times New Roman" w:cstheme="minorHAnsi"/>
          <w:color w:val="000000"/>
          <w:lang w:eastAsia="en-GB"/>
        </w:rPr>
      </w:pPr>
      <w:r w:rsidRPr="009B3747">
        <w:rPr>
          <w:rFonts w:eastAsia="Times New Roman" w:cstheme="minorHAnsi"/>
          <w:color w:val="000000"/>
          <w:lang w:eastAsia="en-GB"/>
        </w:rPr>
        <w:t>A change in political leadership in 2010, brought a refreshed strategy</w:t>
      </w:r>
      <w:r w:rsidR="007D586D" w:rsidRPr="009B3747">
        <w:rPr>
          <w:rFonts w:eastAsia="Times New Roman" w:cstheme="minorHAnsi"/>
          <w:color w:val="000000"/>
          <w:lang w:eastAsia="en-GB"/>
        </w:rPr>
        <w:t xml:space="preserve"> </w:t>
      </w:r>
      <w:r w:rsidR="007D586D"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"Department of Health", "given" : "", "non-dropping-particle" : "", "parse-names" : false, "suffix" : "" } ], "container-title" : "London: Department of Health", "id" : "ITEM-1", "issued" : { "date-parts" : [ [ "2011" ] ] }, "publisher-place" : "London", "title" : "Healthy Lives, Healthy People: A Call to Action on Obesity in England", "type" : "report" }, "uris" : [ "http://www.mendeley.com/documents/?uuid=4cc3b3a8-0e69-41d7-bd60-1a13d047dc64" ] } ], "mendeley" : { "formattedCitation" : "(Department of Health, 2011)", "plainTextFormattedCitation" : "(Department of Health, 2011)", "previouslyFormattedCitation" : "(Department of Health, 2011)" }, "properties" : { "noteIndex" : 0 }, "schema" : "https://github.com/citation-style-language/schema/raw/master/csl-citation.json" }</w:instrText>
      </w:r>
      <w:r w:rsidR="007D586D" w:rsidRPr="009B3747">
        <w:rPr>
          <w:rFonts w:eastAsia="Times New Roman" w:cstheme="minorHAnsi"/>
          <w:color w:val="000000"/>
          <w:lang w:eastAsia="en-GB"/>
        </w:rPr>
        <w:fldChar w:fldCharType="separate"/>
      </w:r>
      <w:r w:rsidR="007D586D" w:rsidRPr="009B3747">
        <w:rPr>
          <w:rFonts w:eastAsia="Times New Roman" w:cstheme="minorHAnsi"/>
          <w:noProof/>
          <w:color w:val="000000"/>
          <w:lang w:eastAsia="en-GB"/>
        </w:rPr>
        <w:t>(Department of Health, 2011)</w:t>
      </w:r>
      <w:r w:rsidR="007D586D" w:rsidRPr="009B3747">
        <w:rPr>
          <w:rFonts w:eastAsia="Times New Roman" w:cstheme="minorHAnsi"/>
          <w:color w:val="000000"/>
          <w:lang w:eastAsia="en-GB"/>
        </w:rPr>
        <w:fldChar w:fldCharType="end"/>
      </w:r>
      <w:r w:rsidR="007D586D"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which emphasized and advocated for personal autonomy, local action throughout the </w:t>
      </w:r>
      <w:r w:rsidR="00670813" w:rsidRPr="009B3747">
        <w:rPr>
          <w:rFonts w:eastAsia="Times New Roman" w:cstheme="minorHAnsi"/>
          <w:color w:val="000000"/>
          <w:lang w:eastAsia="en-GB"/>
        </w:rPr>
        <w:t>life course</w:t>
      </w:r>
      <w:r w:rsidRPr="009B3747">
        <w:rPr>
          <w:rFonts w:eastAsia="Times New Roman" w:cstheme="minorHAnsi"/>
          <w:color w:val="000000"/>
          <w:lang w:eastAsia="en-GB"/>
        </w:rPr>
        <w:t xml:space="preserve"> </w:t>
      </w:r>
      <w:r w:rsidRPr="009B3747">
        <w:rPr>
          <w:rFonts w:eastAsia="Times New Roman" w:cstheme="minorHAnsi"/>
          <w:color w:val="000000"/>
          <w:lang w:eastAsia="en-GB"/>
        </w:rPr>
        <w:lastRenderedPageBreak/>
        <w:t>and voluntary partnership arrangements across all sectors</w:t>
      </w:r>
      <w:r w:rsidR="007D586D" w:rsidRPr="009B3747">
        <w:rPr>
          <w:rFonts w:eastAsia="Times New Roman" w:cstheme="minorHAnsi"/>
          <w:color w:val="000000"/>
          <w:lang w:eastAsia="en-GB"/>
        </w:rPr>
        <w:t xml:space="preserve"> </w:t>
      </w:r>
      <w:r w:rsidR="007D586D"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"Rayner", "given" : "G", "non-dropping-particle" : "", "parse-names" : false, "suffix" : "" }, { "dropping-particle" : "", "family" : "Lang", "given" : "T", "non-dropping-particle" : "", "parse-names" : false, "suffix" : "" } ], "container-title" : "BMJ", "id" : "ITEM-1", "issued" : { "date-parts" : [ [ "2011" ] ] }, "title" : "Is nudge an effective public health strategy to tackle obesity? No", "type" : "article-journal" }, "uris" : [ "http://www.mendeley.com/documents/?uuid=8f66d804-1a31-4b22-8a1c-9dd1b0a1ccfc" ] }, { "id" : "ITEM-2", "itemData" : { "author" : [ { "dropping-particle" : "", "family" : "Swinburn", "given" : "B", "non-dropping-particle" : "", "parse-names" : false, "suffix" : "" }, { "dropping-particle" : "", "family" : "Kraak", "given" : "V", "non-dropping-particle" : "", "parse-names" : false, "suffix" : "" }, { "dropping-particle" : "", "family" : "Rutter", "given" : "H", "non-dropping-particle" : "", "parse-names" : false, "suffix" : "" } ], "container-title" : "The Lancet", "id" : "ITEM-2", "issue" : "9986", "issued" : { "date-parts" : [ [ "2015" ] ] }, "page" : "2534\u20132545,", "title" : "Strengthening of accountability systems to create healthy food environments and reduce global obesity", "type" : "article-journal", "volume" : "385" }, "uris" : [ "http://www.mendeley.com/documents/?uuid=50f69edf-f12f-409f-b544-302a66c391ef" ] } ], "mendeley" : { "formattedCitation" : "(Rayner and Lang, 2011; Swinburn et al., 2015)", "plainTextFormattedCitation" : "(Rayner and Lang, 2011; Swinburn et al., 2015)", "previouslyFormattedCitation" : "(Rayner and Lang, 2011; Swinburn et al., 2015)" }, "properties" : { "noteIndex" : 0 }, "schema" : "https://github.com/citation-style-language/schema/raw/master/csl-citation.json" }</w:instrText>
      </w:r>
      <w:r w:rsidR="007D586D" w:rsidRPr="009B3747">
        <w:rPr>
          <w:rFonts w:eastAsia="Times New Roman" w:cstheme="minorHAnsi"/>
          <w:color w:val="000000"/>
          <w:lang w:eastAsia="en-GB"/>
        </w:rPr>
        <w:fldChar w:fldCharType="separate"/>
      </w:r>
      <w:r w:rsidR="007D586D" w:rsidRPr="009B3747">
        <w:rPr>
          <w:rFonts w:eastAsia="Times New Roman" w:cstheme="minorHAnsi"/>
          <w:noProof/>
          <w:color w:val="000000"/>
          <w:lang w:eastAsia="en-GB"/>
        </w:rPr>
        <w:t>(Rayner and Lang, 2011; Swinburn et al., 2015)</w:t>
      </w:r>
      <w:r w:rsidR="007D586D"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This strategic approach </w:t>
      </w:r>
      <w:r w:rsidR="00E11E9D" w:rsidRPr="009B3747">
        <w:rPr>
          <w:rFonts w:eastAsia="Times New Roman" w:cstheme="minorHAnsi"/>
          <w:color w:val="000000"/>
          <w:lang w:eastAsia="en-GB"/>
        </w:rPr>
        <w:t>was and remained widely criticis</w:t>
      </w:r>
      <w:r w:rsidRPr="009B3747">
        <w:rPr>
          <w:rFonts w:eastAsia="Times New Roman" w:cstheme="minorHAnsi"/>
          <w:color w:val="000000"/>
          <w:lang w:eastAsia="en-GB"/>
        </w:rPr>
        <w:t>ed for failing to regard the complex multifactorial c</w:t>
      </w:r>
      <w:r w:rsidR="00E11E9D" w:rsidRPr="009B3747">
        <w:rPr>
          <w:rFonts w:eastAsia="Times New Roman" w:cstheme="minorHAnsi"/>
          <w:color w:val="000000"/>
          <w:lang w:eastAsia="en-GB"/>
        </w:rPr>
        <w:t>auses of obesity, and not utilis</w:t>
      </w:r>
      <w:r w:rsidRPr="009B3747">
        <w:rPr>
          <w:rFonts w:eastAsia="Times New Roman" w:cstheme="minorHAnsi"/>
          <w:color w:val="000000"/>
          <w:lang w:eastAsia="en-GB"/>
        </w:rPr>
        <w:t xml:space="preserve">ing state intervention to influence population </w:t>
      </w:r>
      <w:r w:rsidR="002337A3" w:rsidRPr="009B3747">
        <w:rPr>
          <w:rFonts w:eastAsia="Times New Roman" w:cstheme="minorHAnsi"/>
          <w:color w:val="000000"/>
          <w:lang w:eastAsia="en-GB"/>
        </w:rPr>
        <w:t xml:space="preserve">behaviour </w:t>
      </w:r>
      <w:r w:rsidR="002337A3"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"Mayor", "given" : "S", "non-dropping-particle" : "", "parse-names" : false, "suffix" : "" } ], "container-title" : "BMJ", "id" : "ITEM-1", "issue" : ":d6688", "issued" : { "date-parts" : [ [ "2011" ] ] }, "title" : "Specialists condemn government's obesity plan as too simplistic", "type" : "article-journal", "volume" : "343" }, "uris" : [ "http://www.mendeley.com/documents/?uuid=89c1d098-0f3f-4b96-ae67-ebe041230d06" ] }, { "id" : "ITEM-2", "itemData" : { "author" : [ { "dropping-particle" : "", "family" : "Gortmaker", "given" : "SL", "non-dropping-particle" : "", "parse-names" : false, "suffix" : "" }, { "dropping-particle" : "", "family" : "Swinburn", "given" : "BA", "non-dropping-particle" : "", "parse-names" : false, "suffix" : "" }, { "dropping-particle" : "", "family" : "Levy", "given" : "D", "non-dropping-particle" : "", "parse-names" : false, "suffix" : "" } ], "container-title" : "The Lancet", "id" : "ITEM-2", "issue" : "9793", "issued" : { "date-parts" : [ [ "2011" ] ] }, "page" : "838-847", "title" : "Changing the future of obesity: science, policy, and action", "type" : "article-journal", "volume" : "378" }, "uris" : [ "http://www.mendeley.com/documents/?uuid=236e01ca-8cb6-4d32-a9e7-e3a21950dbc1" ] }, { "id" : "ITEM-3", "itemData" : { "author" : [ { "dropping-particle" : "", "family" : "Swinburn", "given" : "BA", "non-dropping-particle" : "", "parse-names" : false, "suffix" : "" }, { "dropping-particle" : "", "family" : "Sacks", "given" : "G", "non-dropping-particle" : "", "parse-names" : false, "suffix" : "" }, { "dropping-particle" : "", "family" : "Hall", "given" : "KD", "non-dropping-particle" : "", "parse-names" : false, "suffix" : "" } ], "container-title" : "The Lancet", "id" : "ITEM-3", "issue" : "9793", "issued" : { "date-parts" : [ [ "2011" ] ] }, "page" : "804\u2013814", "title" : "The global obesity pandemic: shaped by global drivers and local environments", "type" : "article-journal", "volume" : "378" }, "uris" : [ "http://www.mendeley.com/documents/?uuid=32e46483-72ce-4885-84e3-55563f5489ac" ] } ], "mendeley" : { "formattedCitation" : "(Mayor, 2011; Gortmaker et al., 2011; Swinburn et al., 2011)", "plainTextFormattedCitation" : "(Mayor, 2011; Gortmaker et al., 2011; Swinburn et al., 2011)", "previouslyFormattedCitation" : "(Mayor, 2011; Gortmaker et al., 2011; Swinburn et al., 2011)" }, "properties" : { "noteIndex" : 0 }, "schema" : "https://github.com/citation-style-language/schema/raw/master/csl-citation.json" }</w:instrText>
      </w:r>
      <w:r w:rsidR="002337A3" w:rsidRPr="009B3747">
        <w:rPr>
          <w:rFonts w:eastAsia="Times New Roman" w:cstheme="minorHAnsi"/>
          <w:color w:val="000000"/>
          <w:lang w:eastAsia="en-GB"/>
        </w:rPr>
        <w:fldChar w:fldCharType="separate"/>
      </w:r>
      <w:r w:rsidR="002337A3" w:rsidRPr="009B3747">
        <w:rPr>
          <w:rFonts w:eastAsia="Times New Roman" w:cstheme="minorHAnsi"/>
          <w:noProof/>
          <w:color w:val="000000"/>
          <w:lang w:eastAsia="en-GB"/>
        </w:rPr>
        <w:t>(Mayor, 2011; Gortmaker et al., 2011; Swinburn et al., 2011)</w:t>
      </w:r>
      <w:r w:rsidR="002337A3" w:rsidRPr="009B3747">
        <w:rPr>
          <w:rFonts w:eastAsia="Times New Roman" w:cstheme="minorHAnsi"/>
          <w:color w:val="000000"/>
          <w:lang w:eastAsia="en-GB"/>
        </w:rPr>
        <w:fldChar w:fldCharType="end"/>
      </w:r>
      <w:r w:rsidR="002337A3" w:rsidRPr="009B3747">
        <w:rPr>
          <w:rFonts w:eastAsia="Times New Roman" w:cstheme="minorHAnsi"/>
          <w:color w:val="000000"/>
          <w:lang w:eastAsia="en-GB"/>
        </w:rPr>
        <w:t xml:space="preserve">.  </w:t>
      </w:r>
      <w:r w:rsidRPr="009B3747">
        <w:rPr>
          <w:rFonts w:eastAsia="Times New Roman" w:cstheme="minorHAnsi"/>
          <w:color w:val="000000"/>
          <w:lang w:eastAsia="en-GB"/>
        </w:rPr>
        <w:t>Despite areas of policy action evidencing promising outcomes</w:t>
      </w:r>
      <w:r w:rsidR="002337A3" w:rsidRPr="009B3747">
        <w:rPr>
          <w:rFonts w:eastAsia="Times New Roman" w:cstheme="minorHAnsi"/>
          <w:color w:val="000000"/>
          <w:lang w:eastAsia="en-GB"/>
        </w:rPr>
        <w:t xml:space="preserve"> </w:t>
      </w:r>
      <w:r w:rsidR="002337A3"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"Jebb", "given" : "SA", "non-dropping-particle" : "", "parse-names" : false, "suffix" : "" }, { "dropping-particle" : "", "family" : "Aveyard", "given" : "PN", "non-dropping-particle" : "", "parse-names" : false, "suffix" : "" }, { "dropping-particle" : "", "family" : "Hawkes", "given" : "C", "non-dropping-particle" : "", "parse-names" : false, "suffix" : "" } ], "container-title" : "obesity reviews", "id" : "ITEM-1", "issue" : "S2", "issued" : { "date-parts" : [ [ "2013" ] ] }, "page" : "42-59", "title" : "The evolution of policy and actions to tackle obesity in England", "type" : "article-journal", "volume" : "14" }, "uris" : [ "http://www.mendeley.com/documents/?uuid=1a621344-3871-497d-9fef-f77922b7fa6b" ] } ], "mendeley" : { "formattedCitation" : "(Jebb et al., 2013)", "plainTextFormattedCitation" : "(Jebb et al., 2013)", "previouslyFormattedCitation" : "(Jebb et al., 2013)" }, "properties" : { "noteIndex" : 0 }, "schema" : "https://github.com/citation-style-language/schema/raw/master/csl-citation.json" }</w:instrText>
      </w:r>
      <w:r w:rsidR="002337A3" w:rsidRPr="009B3747">
        <w:rPr>
          <w:rFonts w:eastAsia="Times New Roman" w:cstheme="minorHAnsi"/>
          <w:color w:val="000000"/>
          <w:lang w:eastAsia="en-GB"/>
        </w:rPr>
        <w:fldChar w:fldCharType="separate"/>
      </w:r>
      <w:r w:rsidR="002337A3" w:rsidRPr="009B3747">
        <w:rPr>
          <w:rFonts w:eastAsia="Times New Roman" w:cstheme="minorHAnsi"/>
          <w:noProof/>
          <w:color w:val="000000"/>
          <w:lang w:eastAsia="en-GB"/>
        </w:rPr>
        <w:t>(Jebb et al., 2013)</w:t>
      </w:r>
      <w:r w:rsidR="002337A3" w:rsidRPr="009B3747">
        <w:rPr>
          <w:rFonts w:eastAsia="Times New Roman" w:cstheme="minorHAnsi"/>
          <w:color w:val="000000"/>
          <w:lang w:eastAsia="en-GB"/>
        </w:rPr>
        <w:fldChar w:fldCharType="end"/>
      </w:r>
      <w:r w:rsidRPr="009B3747">
        <w:rPr>
          <w:rFonts w:eastAsia="Times New Roman" w:cstheme="minorHAnsi"/>
          <w:color w:val="000000"/>
          <w:lang w:eastAsia="en-GB"/>
        </w:rPr>
        <w:t>, the ambition to halt and reverse the rise in childhood obesity prevalence remains broadly unachieved</w:t>
      </w:r>
      <w:r w:rsidR="002337A3" w:rsidRPr="009B3747">
        <w:rPr>
          <w:rFonts w:eastAsia="Times New Roman" w:cstheme="minorHAnsi"/>
          <w:color w:val="000000"/>
          <w:lang w:eastAsia="en-GB"/>
        </w:rPr>
        <w:t xml:space="preserve"> </w:t>
      </w:r>
      <w:r w:rsidR="002337A3"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"NHS Digital", "given" : "", "non-dropping-particle" : "", "parse-names" : false, "suffix" : "" } ], "id" : "ITEM-1", "issued" : { "date-parts" : [ [ "2016" ] ] }, "publisher-place" : "London", "title" : "Health Survey for England 2015 - Children\u2019s body mass index, overweight and obesity", "type" : "report" }, "uris" : [ "http://www.mendeley.com/documents/?uuid=5a7638ee-a87e-4bc0-a4b3-e4740e162d11" ] } ], "mendeley" : { "formattedCitation" : "(NHS Digital, 2016a)", "plainTextFormattedCitation" : "(NHS Digital, 2016a)", "previouslyFormattedCitation" : "(NHS Digital, 2016a)" }, "properties" : { "noteIndex" : 0 }, "schema" : "https://github.com/citation-style-language/schema/raw/master/csl-citation.json" }</w:instrText>
      </w:r>
      <w:r w:rsidR="002337A3" w:rsidRPr="009B3747">
        <w:rPr>
          <w:rFonts w:eastAsia="Times New Roman" w:cstheme="minorHAnsi"/>
          <w:color w:val="000000"/>
          <w:lang w:eastAsia="en-GB"/>
        </w:rPr>
        <w:fldChar w:fldCharType="separate"/>
      </w:r>
      <w:r w:rsidR="002337A3" w:rsidRPr="009B3747">
        <w:rPr>
          <w:rFonts w:eastAsia="Times New Roman" w:cstheme="minorHAnsi"/>
          <w:noProof/>
          <w:color w:val="000000"/>
          <w:lang w:eastAsia="en-GB"/>
        </w:rPr>
        <w:t>(NHS Digital, 2016a)</w:t>
      </w:r>
      <w:r w:rsidR="002337A3" w:rsidRPr="009B3747">
        <w:rPr>
          <w:rFonts w:eastAsia="Times New Roman" w:cstheme="minorHAnsi"/>
          <w:color w:val="000000"/>
          <w:lang w:eastAsia="en-GB"/>
        </w:rPr>
        <w:fldChar w:fldCharType="end"/>
      </w:r>
      <w:r w:rsidR="002337A3" w:rsidRPr="009B3747">
        <w:rPr>
          <w:rFonts w:eastAsia="Times New Roman" w:cstheme="minorHAnsi"/>
          <w:color w:val="000000"/>
          <w:lang w:eastAsia="en-GB"/>
        </w:rPr>
        <w:t>.</w:t>
      </w:r>
    </w:p>
    <w:p w:rsidR="005F1170" w:rsidRPr="009B3747" w:rsidRDefault="002337A3" w:rsidP="00A16FA3">
      <w:pPr>
        <w:rPr>
          <w:rFonts w:eastAsia="Times New Roman" w:cstheme="minorHAnsi"/>
          <w:color w:val="000000"/>
          <w:lang w:eastAsia="en-GB"/>
        </w:rPr>
      </w:pPr>
      <w:r w:rsidRPr="009B3747">
        <w:rPr>
          <w:rFonts w:eastAsia="Times New Roman" w:cstheme="minorHAnsi"/>
          <w:color w:val="000000"/>
          <w:lang w:eastAsia="en-GB"/>
        </w:rPr>
        <w:t xml:space="preserve">  </w:t>
      </w:r>
    </w:p>
    <w:p w:rsidR="00F757C7" w:rsidRPr="009B3747" w:rsidRDefault="00A16FA3" w:rsidP="00A16FA3">
      <w:pPr>
        <w:rPr>
          <w:rFonts w:eastAsia="Times New Roman" w:cstheme="minorHAnsi"/>
          <w:color w:val="000000"/>
          <w:lang w:eastAsia="en-GB"/>
        </w:rPr>
      </w:pPr>
      <w:r w:rsidRPr="009B3747">
        <w:rPr>
          <w:rFonts w:eastAsia="Times New Roman" w:cstheme="minorHAnsi"/>
          <w:color w:val="000000"/>
          <w:lang w:eastAsia="en-GB"/>
        </w:rPr>
        <w:t>Explanations for this have been directed at the lack of long-t</w:t>
      </w:r>
      <w:r w:rsidR="00AF46FD">
        <w:rPr>
          <w:rFonts w:eastAsia="Times New Roman" w:cstheme="minorHAnsi"/>
          <w:color w:val="000000"/>
          <w:lang w:eastAsia="en-GB"/>
        </w:rPr>
        <w:t xml:space="preserve">erm and sustained interventions </w:t>
      </w:r>
      <w:r w:rsidRPr="009B3747">
        <w:rPr>
          <w:rFonts w:eastAsia="Times New Roman" w:cstheme="minorHAnsi"/>
          <w:color w:val="000000"/>
          <w:lang w:eastAsia="en-GB"/>
        </w:rPr>
        <w:t>and a failure by governments to truly embed the Foresight recommendations</w:t>
      </w:r>
      <w:r w:rsidR="002337A3" w:rsidRPr="009B3747">
        <w:rPr>
          <w:rFonts w:eastAsia="Times New Roman" w:cstheme="minorHAnsi"/>
          <w:color w:val="000000"/>
          <w:lang w:eastAsia="en-GB"/>
        </w:rPr>
        <w:t xml:space="preserve"> </w:t>
      </w:r>
      <w:r w:rsidR="002337A3"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"Butland", "given" : "B", "non-dropping-particle" : "", "parse-names" : false, "suffix" : "" }, { "dropping-particle" : "", "family" : "Jebb", "given" : "S", "non-dropping-particle" : "", "parse-names" : false, "suffix" : "" } ], "id" : "ITEM-1", "issued" : { "date-parts" : [ [ "2007" ] ] }, "title" : "Foresight. Tackling obesities: future choices. Project report.", "type" : "report" }, "uris" : [ "http://www.mendeley.com/documents/?uuid=8ae0e880-41d4-4b61-b434-dc36711dd306" ] } ], "mendeley" : { "formattedCitation" : "(Butland and Jebb, 2007)", "plainTextFormattedCitation" : "(Butland and Jebb, 2007)", "previouslyFormattedCitation" : "(Butland and Jebb, 2007)" }, "properties" : { "noteIndex" : 0 }, "schema" : "https://github.com/citation-style-language/schema/raw/master/csl-citation.json" }</w:instrText>
      </w:r>
      <w:r w:rsidR="002337A3" w:rsidRPr="009B3747">
        <w:rPr>
          <w:rFonts w:eastAsia="Times New Roman" w:cstheme="minorHAnsi"/>
          <w:color w:val="000000"/>
          <w:lang w:eastAsia="en-GB"/>
        </w:rPr>
        <w:fldChar w:fldCharType="separate"/>
      </w:r>
      <w:r w:rsidR="002337A3" w:rsidRPr="009B3747">
        <w:rPr>
          <w:rFonts w:eastAsia="Times New Roman" w:cstheme="minorHAnsi"/>
          <w:noProof/>
          <w:color w:val="000000"/>
          <w:lang w:eastAsia="en-GB"/>
        </w:rPr>
        <w:t>(Butland and Jebb, 2007)</w:t>
      </w:r>
      <w:r w:rsidR="002337A3"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of system-wide leadership, accountability and engagement across all government departments</w:t>
      </w:r>
      <w:r w:rsidR="002337A3" w:rsidRPr="009B3747">
        <w:rPr>
          <w:rFonts w:eastAsia="Times New Roman" w:cstheme="minorHAnsi"/>
          <w:color w:val="000000"/>
          <w:lang w:eastAsia="en-GB"/>
        </w:rPr>
        <w:t xml:space="preserve"> </w:t>
      </w:r>
      <w:r w:rsidR="002337A3"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"Hawkes", "given" : "C", "non-dropping-particle" : "", "parse-names" : false, "suffix" : "" }, { "dropping-particle" : "", "family" : "Smith", "given" : "TG", "non-dropping-particle" : "", "parse-names" : false, "suffix" : "" }, { "dropping-particle" : "", "family" : "Jewell", "given" : "J", "non-dropping-particle" : "", "parse-names" : false, "suffix" : "" }, { "dropping-particle" : "", "family" : "Wardle", "given" : "J", "non-dropping-particle" : "", "parse-names" : false, "suffix" : "" } ], "container-title" : "The Lancet", "id" : "ITEM-1", "issue" : "9985", "issued" : { "date-parts" : [ [ "2015" ] ] }, "page" : "2410-2421", "title" : "Smart food policies for obesity prevention", "type" : "article-journal", "volume" : "Volume 385" }, "uris" : [ "http://www.mendeley.com/documents/?uuid=26098570-31bb-45cf-bec6-6182283fbc37" ] }, { "id" : "ITEM-2", "itemData" : { "author" : [ { "dropping-particle" : "", "family" : "Roberto", "given" : "CA", "non-dropping-particle" : "", "parse-names" : false, "suffix" : "" }, { "dropping-particle" : "", "family" : "Swinburn", "given" : "B", "non-dropping-particle" : "", "parse-names" : false, "suffix" : "" }, { "dropping-particle" : "", "family" : "Hawkes", "given" : "C", "non-dropping-particle" : "", "parse-names" : false, "suffix" : "" } ], "container-title" : "The Lancet", "id" : "ITEM-2", "issue" : "9985", "issued" : { "date-parts" : [ [ "2015" ] ] }, "page" : "2400\u20132409", "title" : "Patchy progress on obesity prevention: emerging examples, entrenched barriers, and new thinking", "type" : "article-journal", "volume" : "385" }, "uris" : [ "http://www.mendeley.com/documents/?uuid=6815ad69-33a9-48c6-8e24-5ea4f9900a6e" ] } ], "mendeley" : { "formattedCitation" : "(Hawkes et al., 2015; Roberto et al., 2015)", "plainTextFormattedCitation" : "(Hawkes et al., 2015; Roberto et al., 2015)", "previouslyFormattedCitation" : "(Hawkes et al., 2015; Roberto et al., 2015)" }, "properties" : { "noteIndex" : 0 }, "schema" : "https://github.com/citation-style-language/schema/raw/master/csl-citation.json" }</w:instrText>
      </w:r>
      <w:r w:rsidR="002337A3" w:rsidRPr="009B3747">
        <w:rPr>
          <w:rFonts w:eastAsia="Times New Roman" w:cstheme="minorHAnsi"/>
          <w:color w:val="000000"/>
          <w:lang w:eastAsia="en-GB"/>
        </w:rPr>
        <w:fldChar w:fldCharType="separate"/>
      </w:r>
      <w:r w:rsidR="002337A3" w:rsidRPr="009B3747">
        <w:rPr>
          <w:rFonts w:eastAsia="Times New Roman" w:cstheme="minorHAnsi"/>
          <w:noProof/>
          <w:color w:val="000000"/>
          <w:lang w:eastAsia="en-GB"/>
        </w:rPr>
        <w:t>(Hawkes et al., 2015; Roberto et al., 2015)</w:t>
      </w:r>
      <w:r w:rsidR="002337A3"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Furthermore, it has been argued that a limited evidence base on what works and why, has often led to confusion and cautious action when attempting to tackle childhood obesity </w:t>
      </w:r>
      <w:r w:rsidR="002337A3" w:rsidRPr="009B3747">
        <w:rPr>
          <w:rFonts w:eastAsia="Times New Roman" w:cstheme="minorHAnsi"/>
          <w:color w:val="000000"/>
          <w:lang w:eastAsia="en-GB"/>
        </w:rPr>
        <w:fldChar w:fldCharType="begin" w:fldLock="1"/>
      </w:r>
      <w:r w:rsidR="00547971" w:rsidRPr="009B3747">
        <w:rPr>
          <w:rFonts w:eastAsia="Times New Roman" w:cstheme="minorHAnsi"/>
          <w:color w:val="000000"/>
          <w:lang w:eastAsia="en-GB"/>
        </w:rPr>
        <w:instrText>ADDIN CSL_CITATION { "citationItems" : [ { "id" : "ITEM-1", "itemData" : { "DOI" : "10.1111/j.1467-789X.2007.00338.x", "ISSN" : "1467-7881", "PMID" : "17316322", "author" : [ { "dropping-particle" : "", "family" : "Lang", "given" : "T", "non-dropping-particle" : "", "parse-names" : false, "suffix" : "" }, { "dropping-particle" : "", "family" : "Rayner", "given" : "G", "non-dropping-particle" : "", "parse-names" : false, "suffix" : "" } ], "container-title" : "Obesity reviews : an official journal of the International Association for the Study of Obesity", "id" : "ITEM-1", "issued" : { "date-parts" : [ [ "2007", "3" ] ] }, "page" : "165-81", "title" : "Overcoming policy cacophony on obesity: an ecological public health framework for policymakers.", "type" : "article-journal", "volume" : "8 Suppl 1" }, "uris" : [ "http://www.mendeley.com/documents/?uuid=c414b30a-1f50-4553-bada-51225850574b" ] } ], "mendeley" : { "formattedCitation" : "(Lang and Rayner, 2007)", "plainTextFormattedCitation" : "(Lang and Rayner, 2007)", "previouslyFormattedCitation" : "(Lang and Rayner, 2007)" }, "properties" : { "noteIndex" : 0 }, "schema" : "https://github.com/citation-style-language/schema/raw/master/csl-citation.json" }</w:instrText>
      </w:r>
      <w:r w:rsidR="002337A3" w:rsidRPr="009B3747">
        <w:rPr>
          <w:rFonts w:eastAsia="Times New Roman" w:cstheme="minorHAnsi"/>
          <w:color w:val="000000"/>
          <w:lang w:eastAsia="en-GB"/>
        </w:rPr>
        <w:fldChar w:fldCharType="separate"/>
      </w:r>
      <w:r w:rsidR="002337A3" w:rsidRPr="009B3747">
        <w:rPr>
          <w:rFonts w:eastAsia="Times New Roman" w:cstheme="minorHAnsi"/>
          <w:noProof/>
          <w:color w:val="000000"/>
          <w:lang w:eastAsia="en-GB"/>
        </w:rPr>
        <w:t>(Lang and Rayner, 2007)</w:t>
      </w:r>
      <w:r w:rsidR="002337A3" w:rsidRPr="009B3747">
        <w:rPr>
          <w:rFonts w:eastAsia="Times New Roman" w:cstheme="minorHAnsi"/>
          <w:color w:val="000000"/>
          <w:lang w:eastAsia="en-GB"/>
        </w:rPr>
        <w:fldChar w:fldCharType="end"/>
      </w:r>
      <w:r w:rsidR="002337A3" w:rsidRPr="009B3747">
        <w:rPr>
          <w:rFonts w:eastAsia="Times New Roman" w:cstheme="minorHAnsi"/>
          <w:color w:val="000000"/>
          <w:lang w:eastAsia="en-GB"/>
        </w:rPr>
        <w:t>.</w:t>
      </w:r>
    </w:p>
    <w:p w:rsidR="002337A3" w:rsidRPr="009B3747" w:rsidRDefault="002337A3" w:rsidP="00A16FA3">
      <w:pPr>
        <w:rPr>
          <w:rFonts w:eastAsia="Times New Roman" w:cstheme="minorHAnsi"/>
          <w:sz w:val="24"/>
          <w:szCs w:val="24"/>
          <w:lang w:eastAsia="en-GB"/>
        </w:rPr>
      </w:pPr>
    </w:p>
    <w:p w:rsidR="00A16FA3" w:rsidRPr="009B3747" w:rsidRDefault="00A16FA3" w:rsidP="00A16FA3">
      <w:pPr>
        <w:rPr>
          <w:rFonts w:eastAsia="Times New Roman" w:cstheme="minorHAnsi"/>
          <w:sz w:val="24"/>
          <w:szCs w:val="24"/>
          <w:lang w:eastAsia="en-GB"/>
        </w:rPr>
      </w:pPr>
      <w:r w:rsidRPr="009B3747">
        <w:rPr>
          <w:rFonts w:eastAsia="Times New Roman" w:cstheme="minorHAnsi"/>
          <w:color w:val="000000"/>
          <w:lang w:eastAsia="en-GB"/>
        </w:rPr>
        <w:t>More recently, further strategic attempts to tackle the issue at a national level have been made by a majority Conservative government.  In 2016, after a series of delays, they launched ‘Childhood o</w:t>
      </w:r>
      <w:r w:rsidR="00F757C7" w:rsidRPr="009B3747">
        <w:rPr>
          <w:rFonts w:eastAsia="Times New Roman" w:cstheme="minorHAnsi"/>
          <w:color w:val="000000"/>
          <w:lang w:eastAsia="en-GB"/>
        </w:rPr>
        <w:t xml:space="preserve">besity: a plan for action’ </w:t>
      </w:r>
      <w:r w:rsidR="00547971" w:rsidRPr="009B3747">
        <w:rPr>
          <w:rFonts w:eastAsia="Times New Roman" w:cstheme="minorHAnsi"/>
          <w:color w:val="000000"/>
          <w:lang w:eastAsia="en-GB"/>
        </w:rPr>
        <w:fldChar w:fldCharType="begin" w:fldLock="1"/>
      </w:r>
      <w:r w:rsidR="00547971" w:rsidRPr="009B3747">
        <w:rPr>
          <w:rFonts w:eastAsia="Times New Roman" w:cstheme="minorHAnsi"/>
          <w:color w:val="000000"/>
          <w:lang w:eastAsia="en-GB"/>
        </w:rPr>
        <w:instrText>ADDIN CSL_CITATION { "citationItems" : [ { "id" : "ITEM-1", "itemData" : { "author" : [ { "dropping-particle" : "", "family" : "HM Government", "given" : "", "non-dropping-particle" : "", "parse-names" : false, "suffix" : "" } ], "id" : "ITEM-1", "issued" : { "date-parts" : [ [ "2016" ] ] }, "title" : "Childhood obesity - A plan for action", "type" : "report" }, "uris" : [ "http://www.mendeley.com/documents/?uuid=b98f114e-5233-47f8-a635-d7641b44ba3f" ] } ], "mendeley" : { "formattedCitation" : "(HM Government, 2016)", "plainTextFormattedCitation" : "(HM Government, 2016)", "previouslyFormattedCitation" : "(HM Government, 2016)" }, "properties" : { "noteIndex" : 0 }, "schema" : "https://github.com/citation-style-language/schema/raw/master/csl-citation.json" }</w:instrText>
      </w:r>
      <w:r w:rsidR="00547971" w:rsidRPr="009B3747">
        <w:rPr>
          <w:rFonts w:eastAsia="Times New Roman" w:cstheme="minorHAnsi"/>
          <w:color w:val="000000"/>
          <w:lang w:eastAsia="en-GB"/>
        </w:rPr>
        <w:fldChar w:fldCharType="separate"/>
      </w:r>
      <w:r w:rsidR="00547971" w:rsidRPr="009B3747">
        <w:rPr>
          <w:rFonts w:eastAsia="Times New Roman" w:cstheme="minorHAnsi"/>
          <w:noProof/>
          <w:color w:val="000000"/>
          <w:lang w:eastAsia="en-GB"/>
        </w:rPr>
        <w:t>(HM Government, 2016)</w:t>
      </w:r>
      <w:r w:rsidR="00547971" w:rsidRPr="009B3747">
        <w:rPr>
          <w:rFonts w:eastAsia="Times New Roman" w:cstheme="minorHAnsi"/>
          <w:color w:val="000000"/>
          <w:lang w:eastAsia="en-GB"/>
        </w:rPr>
        <w:fldChar w:fldCharType="end"/>
      </w:r>
      <w:r w:rsidR="00547971" w:rsidRPr="009B3747">
        <w:rPr>
          <w:rFonts w:eastAsia="Times New Roman" w:cstheme="minorHAnsi"/>
          <w:color w:val="000000"/>
          <w:lang w:eastAsia="en-GB"/>
        </w:rPr>
        <w:t>,</w:t>
      </w:r>
      <w:r w:rsidRPr="009B3747">
        <w:rPr>
          <w:rFonts w:eastAsia="Times New Roman" w:cstheme="minorHAnsi"/>
          <w:color w:val="000000"/>
          <w:lang w:eastAsia="en-GB"/>
        </w:rPr>
        <w:t xml:space="preserve"> which whilst falling short of a strategy</w:t>
      </w:r>
      <w:r w:rsidR="00547971" w:rsidRPr="009B3747">
        <w:rPr>
          <w:rFonts w:eastAsia="Times New Roman" w:cstheme="minorHAnsi"/>
          <w:color w:val="000000"/>
          <w:lang w:eastAsia="en-GB"/>
        </w:rPr>
        <w:t xml:space="preserve"> </w:t>
      </w:r>
      <w:r w:rsidR="00547971" w:rsidRPr="009B3747">
        <w:rPr>
          <w:rFonts w:eastAsia="Times New Roman" w:cstheme="minorHAnsi"/>
          <w:color w:val="000000"/>
          <w:lang w:eastAsia="en-GB"/>
        </w:rPr>
        <w:fldChar w:fldCharType="begin" w:fldLock="1"/>
      </w:r>
      <w:r w:rsidR="00547971" w:rsidRPr="009B3747">
        <w:rPr>
          <w:rFonts w:eastAsia="Times New Roman" w:cstheme="minorHAnsi"/>
          <w:color w:val="000000"/>
          <w:lang w:eastAsia="en-GB"/>
        </w:rPr>
        <w:instrText>ADDIN CSL_CITATION { "citationItems" : [ { "id" : "ITEM-1", "itemData" : { "DOI" : "10.1016/S0140-6736(16)31471-4", "ISSN" : "01406736", "PMID" : "27597454", "author" : [ { "dropping-particle" : "", "family" : "Lobstein", "given" : "Tim", "non-dropping-particle" : "", "parse-names" : false, "suffix" : "" }, { "dropping-particle" : "", "family" : "McPherson", "given" : "Klim", "non-dropping-particle" : "", "parse-names" : false, "suffix" : "" } ], "container-title" : "The Lancet", "id" : "ITEM-1", "issue" : "10047", "issued" : { "date-parts" : [ [ "2016", "8", "27" ] ] }, "page" : "853-854", "title" : "Nothing new in UK's strategy on childhood obesity", "type" : "article-journal", "volume" : "388" }, "uris" : [ "http://www.mendeley.com/documents/?uuid=74346242-5c21-35c1-bff5-a083b8be702d" ] } ], "mendeley" : { "formattedCitation" : "(Lobstein and McPherson, 2016)", "plainTextFormattedCitation" : "(Lobstein and McPherson, 2016)", "previouslyFormattedCitation" : "(Lobstein and McPherson, 2016)" }, "properties" : { "noteIndex" : 0 }, "schema" : "https://github.com/citation-style-language/schema/raw/master/csl-citation.json" }</w:instrText>
      </w:r>
      <w:r w:rsidR="00547971" w:rsidRPr="009B3747">
        <w:rPr>
          <w:rFonts w:eastAsia="Times New Roman" w:cstheme="minorHAnsi"/>
          <w:color w:val="000000"/>
          <w:lang w:eastAsia="en-GB"/>
        </w:rPr>
        <w:fldChar w:fldCharType="separate"/>
      </w:r>
      <w:r w:rsidR="00547971" w:rsidRPr="009B3747">
        <w:rPr>
          <w:rFonts w:eastAsia="Times New Roman" w:cstheme="minorHAnsi"/>
          <w:noProof/>
          <w:color w:val="000000"/>
          <w:lang w:eastAsia="en-GB"/>
        </w:rPr>
        <w:t>(Lobstein and McPherson, 2016)</w:t>
      </w:r>
      <w:r w:rsidR="00547971" w:rsidRPr="009B3747">
        <w:rPr>
          <w:rFonts w:eastAsia="Times New Roman" w:cstheme="minorHAnsi"/>
          <w:color w:val="000000"/>
          <w:lang w:eastAsia="en-GB"/>
        </w:rPr>
        <w:fldChar w:fldCharType="end"/>
      </w:r>
      <w:r w:rsidRPr="009B3747">
        <w:rPr>
          <w:rFonts w:eastAsia="Times New Roman" w:cstheme="minorHAnsi"/>
          <w:color w:val="000000"/>
          <w:lang w:eastAsia="en-GB"/>
        </w:rPr>
        <w:t>, sets out the government’s approach to tackling the national childhood obesi</w:t>
      </w:r>
      <w:r w:rsidR="008818AD" w:rsidRPr="009B3747">
        <w:rPr>
          <w:rFonts w:eastAsia="Times New Roman" w:cstheme="minorHAnsi"/>
          <w:color w:val="000000"/>
          <w:lang w:eastAsia="en-GB"/>
        </w:rPr>
        <w:t xml:space="preserve">ty epidemic.  Actions include, </w:t>
      </w:r>
      <w:r w:rsidR="00547971" w:rsidRPr="009B3747">
        <w:rPr>
          <w:rFonts w:eastAsia="Times New Roman" w:cstheme="minorHAnsi"/>
          <w:color w:val="000000"/>
          <w:lang w:eastAsia="en-GB"/>
        </w:rPr>
        <w:t>an</w:t>
      </w:r>
      <w:r w:rsidRPr="009B3747">
        <w:rPr>
          <w:rFonts w:eastAsia="Times New Roman" w:cstheme="minorHAnsi"/>
          <w:color w:val="000000"/>
          <w:lang w:eastAsia="en-GB"/>
        </w:rPr>
        <w:t xml:space="preserve"> industry levy on soft drinks, a voluntary sugar reduction programme of specific foods, a commitment to making healthier options available in the public sector and a significant emphasis on the roles that schools (particularly primary) and early years settings will continue to play in the provision of healthy foods and physical activity for children.  </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A16FA3" w:rsidRPr="009B3747" w:rsidRDefault="00A16FA3" w:rsidP="00A16FA3">
      <w:pPr>
        <w:rPr>
          <w:rFonts w:eastAsia="Times New Roman" w:cstheme="minorHAnsi"/>
          <w:color w:val="000000"/>
          <w:lang w:eastAsia="en-GB"/>
        </w:rPr>
      </w:pPr>
      <w:r w:rsidRPr="009B3747">
        <w:rPr>
          <w:rFonts w:eastAsia="Times New Roman" w:cstheme="minorHAnsi"/>
          <w:color w:val="000000"/>
          <w:lang w:eastAsia="en-GB"/>
        </w:rPr>
        <w:t xml:space="preserve">Whilst being eagerly anticipated the plan has been heavily </w:t>
      </w:r>
      <w:r w:rsidR="00AE6A9E" w:rsidRPr="009B3747">
        <w:rPr>
          <w:rFonts w:eastAsia="Times New Roman" w:cstheme="minorHAnsi"/>
          <w:color w:val="000000"/>
          <w:lang w:eastAsia="en-GB"/>
        </w:rPr>
        <w:t>criticised as</w:t>
      </w:r>
      <w:r w:rsidR="00AE6A9E" w:rsidRPr="009B3747">
        <w:rPr>
          <w:rFonts w:eastAsia="Times New Roman" w:cstheme="minorHAnsi"/>
          <w:i/>
          <w:color w:val="000000"/>
          <w:lang w:eastAsia="en-GB"/>
        </w:rPr>
        <w:t xml:space="preserve"> “</w:t>
      </w:r>
      <w:r w:rsidRPr="009B3747">
        <w:rPr>
          <w:rFonts w:eastAsia="Times New Roman" w:cstheme="minorHAnsi"/>
          <w:i/>
          <w:color w:val="000000"/>
          <w:lang w:eastAsia="en-GB"/>
        </w:rPr>
        <w:t>weak, disappointing, watered down, and underwhelming by doctors leaders, dentists, local government, national</w:t>
      </w:r>
      <w:r w:rsidR="00AE6A9E" w:rsidRPr="009B3747">
        <w:rPr>
          <w:rFonts w:eastAsia="Times New Roman" w:cstheme="minorHAnsi"/>
          <w:i/>
          <w:color w:val="000000"/>
          <w:lang w:eastAsia="en-GB"/>
        </w:rPr>
        <w:t xml:space="preserve"> charities, and campaign groups”</w:t>
      </w:r>
      <w:r w:rsidR="00547971" w:rsidRPr="009B3747">
        <w:rPr>
          <w:rFonts w:eastAsia="Times New Roman" w:cstheme="minorHAnsi"/>
          <w:color w:val="000000"/>
          <w:lang w:eastAsia="en-GB"/>
        </w:rPr>
        <w:t xml:space="preserve"> </w:t>
      </w:r>
      <w:r w:rsidR="00547971"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"O\u2019Dowd", "given" : "Adrian", "non-dropping-particle" : "", "parse-names" : false, "suffix" : "" } ], "container-title" : "BMJ", "id" : "ITEM-1", "issue" : "i4576", "issued" : { "date-parts" : [ [ "2016" ] ] }, "title" : "Clinicians underwhelmed by \u201cwatered down\u201d childhood obesity strategy", "type" : "article-journal", "volume" : "354" }, "uris" : [ "http://www.mendeley.com/documents/?uuid=d46cea63-c39b-372b-910a-aa4ef9b80311" ] } ], "mendeley" : { "formattedCitation" : "(O\u2019Dowd, 2016)", "manualFormatting" : "(O\u2019Dowd, 2016, p.1)", "plainTextFormattedCitation" : "(O\u2019Dowd, 2016)", "previouslyFormattedCitation" : "(O\u2019Dowd, 2016)" }, "properties" : { "noteIndex" : 0 }, "schema" : "https://github.com/citation-style-language/schema/raw/master/csl-citation.json" }</w:instrText>
      </w:r>
      <w:r w:rsidR="00547971" w:rsidRPr="009B3747">
        <w:rPr>
          <w:rFonts w:eastAsia="Times New Roman" w:cstheme="minorHAnsi"/>
          <w:color w:val="000000"/>
          <w:lang w:eastAsia="en-GB"/>
        </w:rPr>
        <w:fldChar w:fldCharType="separate"/>
      </w:r>
      <w:r w:rsidR="00547971" w:rsidRPr="009B3747">
        <w:rPr>
          <w:rFonts w:eastAsia="Times New Roman" w:cstheme="minorHAnsi"/>
          <w:noProof/>
          <w:color w:val="000000"/>
          <w:lang w:eastAsia="en-GB"/>
        </w:rPr>
        <w:t>(O’Dowd, 2016</w:t>
      </w:r>
      <w:r w:rsidR="00AE6A9E" w:rsidRPr="009B3747">
        <w:rPr>
          <w:rFonts w:eastAsia="Times New Roman" w:cstheme="minorHAnsi"/>
          <w:noProof/>
          <w:color w:val="000000"/>
          <w:lang w:eastAsia="en-GB"/>
        </w:rPr>
        <w:t>, p.</w:t>
      </w:r>
      <w:r w:rsidR="00547971" w:rsidRPr="009B3747">
        <w:rPr>
          <w:rFonts w:eastAsia="Times New Roman" w:cstheme="minorHAnsi"/>
          <w:noProof/>
          <w:color w:val="000000"/>
          <w:lang w:eastAsia="en-GB"/>
        </w:rPr>
        <w:t>1)</w:t>
      </w:r>
      <w:r w:rsidR="00547971" w:rsidRPr="009B3747">
        <w:rPr>
          <w:rFonts w:eastAsia="Times New Roman" w:cstheme="minorHAnsi"/>
          <w:color w:val="000000"/>
          <w:lang w:eastAsia="en-GB"/>
        </w:rPr>
        <w:fldChar w:fldCharType="end"/>
      </w:r>
      <w:r w:rsidRPr="009B3747">
        <w:rPr>
          <w:rFonts w:eastAsia="Times New Roman" w:cstheme="minorHAnsi"/>
          <w:color w:val="000000"/>
          <w:lang w:eastAsia="en-GB"/>
        </w:rPr>
        <w:t>.  Furthermore, academics have deemed its publ</w:t>
      </w:r>
      <w:r w:rsidR="00AF46FD">
        <w:rPr>
          <w:rFonts w:eastAsia="Times New Roman" w:cstheme="minorHAnsi"/>
          <w:color w:val="000000"/>
          <w:lang w:eastAsia="en-GB"/>
        </w:rPr>
        <w:t xml:space="preserve">ication as a missed opportunity, </w:t>
      </w:r>
      <w:r w:rsidRPr="009B3747">
        <w:rPr>
          <w:rFonts w:eastAsia="Times New Roman" w:cstheme="minorHAnsi"/>
          <w:color w:val="000000"/>
          <w:lang w:eastAsia="en-GB"/>
        </w:rPr>
        <w:t>given its failure to meet key recommendations from both the Health Select Committee</w:t>
      </w:r>
      <w:r w:rsidR="00547971" w:rsidRPr="009B3747">
        <w:rPr>
          <w:rFonts w:eastAsia="Times New Roman" w:cstheme="minorHAnsi"/>
          <w:color w:val="000000"/>
          <w:lang w:eastAsia="en-GB"/>
        </w:rPr>
        <w:t xml:space="preserve"> </w:t>
      </w:r>
      <w:r w:rsidR="00547971"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"House of Commons Health Select Committee", "given" : "", "non-dropping-particle" : "", "parse-names" : false, "suffix" : "" } ], "id" : "ITEM-1", "issued" : { "date-parts" : [ [ "2017" ] ] }, "publisher-place" : "London", "title" : "Childhood obesity: follow up", "type" : "report" }, "uris" : [ "http://www.mendeley.com/documents/?uuid=fd352f61-9c4e-4fcc-b7ea-be308c47a62e" ] } ], "mendeley" : { "formattedCitation" : "(House of Commons Health Select Committee, 2017)", "plainTextFormattedCitation" : "(House of Commons Health Select Committee, 2017)", "previouslyFormattedCitation" : "(House of Commons Health Select Committee, 2017)" }, "properties" : { "noteIndex" : 0 }, "schema" : "https://github.com/citation-style-language/schema/raw/master/csl-citation.json" }</w:instrText>
      </w:r>
      <w:r w:rsidR="00547971" w:rsidRPr="009B3747">
        <w:rPr>
          <w:rFonts w:eastAsia="Times New Roman" w:cstheme="minorHAnsi"/>
          <w:color w:val="000000"/>
          <w:lang w:eastAsia="en-GB"/>
        </w:rPr>
        <w:fldChar w:fldCharType="separate"/>
      </w:r>
      <w:r w:rsidR="00547971" w:rsidRPr="009B3747">
        <w:rPr>
          <w:rFonts w:eastAsia="Times New Roman" w:cstheme="minorHAnsi"/>
          <w:noProof/>
          <w:color w:val="000000"/>
          <w:lang w:eastAsia="en-GB"/>
        </w:rPr>
        <w:t>(House of Commons Health Select Committee, 2017)</w:t>
      </w:r>
      <w:r w:rsidR="00547971" w:rsidRPr="009B3747">
        <w:rPr>
          <w:rFonts w:eastAsia="Times New Roman" w:cstheme="minorHAnsi"/>
          <w:color w:val="000000"/>
          <w:lang w:eastAsia="en-GB"/>
        </w:rPr>
        <w:fldChar w:fldCharType="end"/>
      </w:r>
      <w:r w:rsidR="00547971" w:rsidRPr="009B3747">
        <w:rPr>
          <w:rFonts w:eastAsia="Times New Roman" w:cstheme="minorHAnsi"/>
          <w:color w:val="000000"/>
          <w:lang w:eastAsia="en-GB"/>
        </w:rPr>
        <w:t xml:space="preserve"> and WHO </w:t>
      </w:r>
      <w:r w:rsidR="00547971"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"DOI" : "ISBN 978 92 4 151006 6", "ISBN" : "978 92 4 151006 6 \u00a9", "abstract" : "1. Over the past decade, the World Health Assembly, the governing body of the World Health Organization (WHO), and the United Nations General Assembly have adopted a series of resolutions1 that acknowledge noncommunicable diseases (NCDs) as a major challenge for development in the 21st century and have identified prevention and control as a core priority. The proposed Sustainable Development Goals propose a target on reducing premature mortality from NCDs2. 2. Among the NCD risk factors, obesity is particularly concerning. In children (aged under 19 years) it is associated with a wide range of health complications and an increased risk of premature onset of illnesses, including diabetes and heart disease. Preventing childhood obesity is a key approach to the primary prevention of NCDs. 3. Childhood obesity has complex origins and progress in tackling the issue has to date been slow. It is clear that a combination of scientific research, government leadership and community partnerships is necessary in order to develop the best recommendations and implement them worldwide. 4. In order to develop a comprehensive response to childhood obesity, the WHO Director- General established a high-level Commission on Ending Childhood Obesity (ECHO), which comprises 15 accomplished and eminent individuals from a variety of relevant backgrounds. The Commission has reviewed, built upon and addressed gaps in existing mandates and strategies with the support of two ad hoc working groups, one on science and evidence for ending childhood obesity (WGSE), and one on implementation, monitoring and accountability for ending childhood obesity (WGIMA). An Interim Report was developed for feedback through a series of regional consultations and hearings with Member States and non-State actors, and an online process for the submission of comments from relevant stakeholders. The Commission has reviewed these inputs and developed this draft final report, which will form the basis for a final round of regional and global consultation.", "author" : [ { "dropping-particle" : "", "family" : "World Health Organization", "given" : "", "non-dropping-particle" : "", "parse-names" : false, "suffix" : "" } ], "id" : "ITEM-1", "issued" : { "date-parts" : [ [ "2016" ] ] }, "publisher-place" : "Geneva", "title" : "Report of the Commission on Ending Childhood Obesity", "type" : "report" }, "uris" : [ "http://www.mendeley.com/documents/?uuid=fc7d72ef-f520-4e44-854a-cc82b135b368" ] } ], "mendeley" : { "formattedCitation" : "(World Health Organization, 2016c)", "plainTextFormattedCitation" : "(World Health Organization, 2016c)", "previouslyFormattedCitation" : "(World Health Organization, 2016c)" }, "properties" : { "noteIndex" : 0 }, "schema" : "https://github.com/citation-style-language/schema/raw/master/csl-citation.json" }</w:instrText>
      </w:r>
      <w:r w:rsidR="00547971" w:rsidRPr="009B3747">
        <w:rPr>
          <w:rFonts w:eastAsia="Times New Roman" w:cstheme="minorHAnsi"/>
          <w:color w:val="000000"/>
          <w:lang w:eastAsia="en-GB"/>
        </w:rPr>
        <w:fldChar w:fldCharType="separate"/>
      </w:r>
      <w:r w:rsidR="00547971" w:rsidRPr="009B3747">
        <w:rPr>
          <w:rFonts w:eastAsia="Times New Roman" w:cstheme="minorHAnsi"/>
          <w:noProof/>
          <w:color w:val="000000"/>
          <w:lang w:eastAsia="en-GB"/>
        </w:rPr>
        <w:t>(World Health Organization, 2016c)</w:t>
      </w:r>
      <w:r w:rsidR="00547971"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on how to tackle childhood obesity</w:t>
      </w:r>
      <w:r w:rsidR="00547971" w:rsidRPr="009B3747">
        <w:rPr>
          <w:rFonts w:eastAsia="Times New Roman" w:cstheme="minorHAnsi"/>
          <w:color w:val="000000"/>
          <w:lang w:eastAsia="en-GB"/>
        </w:rPr>
        <w:t xml:space="preserve"> </w:t>
      </w:r>
      <w:r w:rsidR="00547971" w:rsidRPr="009B3747">
        <w:rPr>
          <w:rFonts w:eastAsia="Times New Roman" w:cstheme="minorHAnsi"/>
          <w:color w:val="000000"/>
          <w:lang w:eastAsia="en-GB"/>
        </w:rPr>
        <w:fldChar w:fldCharType="begin" w:fldLock="1"/>
      </w:r>
      <w:r w:rsidR="00547971" w:rsidRPr="009B3747">
        <w:rPr>
          <w:rFonts w:eastAsia="Times New Roman" w:cstheme="minorHAnsi"/>
          <w:color w:val="000000"/>
          <w:lang w:eastAsia="en-GB"/>
        </w:rPr>
        <w:instrText>ADDIN CSL_CITATION { "citationItems" : [ { "id" : "ITEM-1", "itemData" : { "DOI" : "10.1016/S0140-6736(16)31471-4", "ISSN" : "01406736", "PMID" : "27597454", "author" : [ { "dropping-particle" : "", "family" : "Lobstein", "given" : "Tim", "non-dropping-particle" : "", "parse-names" : false, "suffix" : "" }, { "dropping-particle" : "", "family" : "McPherson", "given" : "Klim", "non-dropping-particle" : "", "parse-names" : false, "suffix" : "" } ], "container-title" : "The Lancet", "id" : "ITEM-1", "issue" : "10047", "issued" : { "date-parts" : [ [ "2016", "8", "27" ] ] }, "page" : "853-854", "title" : "Nothing new in UK's strategy on childhood obesity", "type" : "article-journal", "volume" : "388" }, "uris" : [ "http://www.mendeley.com/documents/?uuid=74346242-5c21-35c1-bff5-a083b8be702d" ] } ], "mendeley" : { "formattedCitation" : "(Lobstein and McPherson, 2016)", "plainTextFormattedCitation" : "(Lobstein and McPherson, 2016)", "previouslyFormattedCitation" : "(Lobstein and McPherson, 2016)" }, "properties" : { "noteIndex" : 0 }, "schema" : "https://github.com/citation-style-language/schema/raw/master/csl-citation.json" }</w:instrText>
      </w:r>
      <w:r w:rsidR="00547971" w:rsidRPr="009B3747">
        <w:rPr>
          <w:rFonts w:eastAsia="Times New Roman" w:cstheme="minorHAnsi"/>
          <w:color w:val="000000"/>
          <w:lang w:eastAsia="en-GB"/>
        </w:rPr>
        <w:fldChar w:fldCharType="separate"/>
      </w:r>
      <w:r w:rsidR="00547971" w:rsidRPr="009B3747">
        <w:rPr>
          <w:rFonts w:eastAsia="Times New Roman" w:cstheme="minorHAnsi"/>
          <w:noProof/>
          <w:color w:val="000000"/>
          <w:lang w:eastAsia="en-GB"/>
        </w:rPr>
        <w:t>(Lobstein and McPherson, 2016)</w:t>
      </w:r>
      <w:r w:rsidR="00547971" w:rsidRPr="009B3747">
        <w:rPr>
          <w:rFonts w:eastAsia="Times New Roman" w:cstheme="minorHAnsi"/>
          <w:color w:val="000000"/>
          <w:lang w:eastAsia="en-GB"/>
        </w:rPr>
        <w:fldChar w:fldCharType="end"/>
      </w:r>
      <w:r w:rsidRPr="009B3747">
        <w:rPr>
          <w:rFonts w:eastAsia="Times New Roman" w:cstheme="minorHAnsi"/>
          <w:color w:val="000000"/>
          <w:lang w:eastAsia="en-GB"/>
        </w:rPr>
        <w:t>.  Examples of which include the failure to impose controls on marketing and price promotions of unhealthy foods and aside from the levy, the continued reliance on voluntary partnerships with organisations across sectors</w:t>
      </w:r>
      <w:r w:rsidR="00FE4357">
        <w:rPr>
          <w:rFonts w:eastAsia="Times New Roman" w:cstheme="minorHAnsi"/>
          <w:color w:val="000000"/>
          <w:lang w:eastAsia="en-GB"/>
        </w:rPr>
        <w:t>,</w:t>
      </w:r>
      <w:r w:rsidRPr="009B3747">
        <w:rPr>
          <w:rFonts w:eastAsia="Times New Roman" w:cstheme="minorHAnsi"/>
          <w:color w:val="000000"/>
          <w:lang w:eastAsia="en-GB"/>
        </w:rPr>
        <w:t xml:space="preserve"> i.e. food</w:t>
      </w:r>
      <w:r w:rsidR="00E11E9D" w:rsidRPr="009B3747">
        <w:rPr>
          <w:rFonts w:eastAsia="Times New Roman" w:cstheme="minorHAnsi"/>
          <w:color w:val="000000"/>
          <w:lang w:eastAsia="en-GB"/>
        </w:rPr>
        <w:t xml:space="preserve"> </w:t>
      </w:r>
      <w:r w:rsidR="00547971"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"Knai", "given" : "C\u00e9cile", "non-dropping-particle" : "", "parse-names" : false, "suffix" : "" }, { "dropping-particle" : "", "family" : "Petticrew", "given" : "Mark", "non-dropping-particle" : "", "parse-names" : false, "suffix" : "" }, { "dropping-particle" : "", "family" : "Mays", "given" : "Nicholas", "non-dropping-particle" : "", "parse-names" : false, "suffix" : "" } ], "container-title" : "BMJ", "id" : "ITEM-1", "issue" : "4613", "issued" : { "date-parts" : [ [ "2016" ] ] }, "title" : "The childhood obesity strategy", "type" : "article-journal", "volume" : "354" }, "uris" : [ "http://www.mendeley.com/documents/?uuid=e902396d-cc3d-3910-b150-50296986947c" ] }, { "id" : "ITEM-2", "itemData" : { "author" : [ { "dropping-particle" : "", "family" : "O\u2019Dowd", "given" : "Adrian", "non-dropping-particle" : "", "parse-names" : false, "suffix" : "" } ], "container-title" : "BMJ", "id" : "ITEM-2", "issue" : "i4576", "issued" : { "date-parts" : [ [ "2016" ] ] }, "title" : "Clinicians underwhelmed by \u201cwatered down\u201d childhood obesity strategy", "type" : "article-journal", "volume" : "354" }, "uris" : [ "http://www.mendeley.com/documents/?uuid=d46cea63-c39b-372b-910a-aa4ef9b80311" ] } ], "mendeley" : { "formattedCitation" : "(Knai et al., 2016; O\u2019Dowd, 2016)", "plainTextFormattedCitation" : "(Knai et al., 2016; O\u2019Dowd, 2016)", "previouslyFormattedCitation" : "(Knai et al., 2016; O\u2019Dowd, 2016)" }, "properties" : { "noteIndex" : 0 }, "schema" : "https://github.com/citation-style-language/schema/raw/master/csl-citation.json" }</w:instrText>
      </w:r>
      <w:r w:rsidR="00547971" w:rsidRPr="009B3747">
        <w:rPr>
          <w:rFonts w:eastAsia="Times New Roman" w:cstheme="minorHAnsi"/>
          <w:color w:val="000000"/>
          <w:lang w:eastAsia="en-GB"/>
        </w:rPr>
        <w:fldChar w:fldCharType="separate"/>
      </w:r>
      <w:r w:rsidR="00547971" w:rsidRPr="009B3747">
        <w:rPr>
          <w:rFonts w:eastAsia="Times New Roman" w:cstheme="minorHAnsi"/>
          <w:noProof/>
          <w:color w:val="000000"/>
          <w:lang w:eastAsia="en-GB"/>
        </w:rPr>
        <w:t>(Knai et al., 2016; O’Dowd, 2016)</w:t>
      </w:r>
      <w:r w:rsidR="00547971" w:rsidRPr="009B3747">
        <w:rPr>
          <w:rFonts w:eastAsia="Times New Roman" w:cstheme="minorHAnsi"/>
          <w:color w:val="000000"/>
          <w:lang w:eastAsia="en-GB"/>
        </w:rPr>
        <w:fldChar w:fldCharType="end"/>
      </w:r>
      <w:r w:rsidR="00547971" w:rsidRPr="009B3747">
        <w:rPr>
          <w:rFonts w:eastAsia="Times New Roman" w:cstheme="minorHAnsi"/>
          <w:color w:val="000000"/>
          <w:lang w:eastAsia="en-GB"/>
        </w:rPr>
        <w:t>.</w:t>
      </w:r>
    </w:p>
    <w:p w:rsidR="00F757C7" w:rsidRPr="009B3747" w:rsidRDefault="00F757C7" w:rsidP="00A16FA3">
      <w:pPr>
        <w:rPr>
          <w:rFonts w:eastAsia="Times New Roman" w:cstheme="minorHAnsi"/>
          <w:sz w:val="24"/>
          <w:szCs w:val="24"/>
          <w:lang w:eastAsia="en-GB"/>
        </w:rPr>
      </w:pPr>
    </w:p>
    <w:p w:rsidR="00A16FA3" w:rsidRPr="009B3747" w:rsidRDefault="00A16FA3" w:rsidP="00A16FA3">
      <w:pPr>
        <w:rPr>
          <w:rFonts w:eastAsia="Times New Roman" w:cstheme="minorHAnsi"/>
          <w:color w:val="000000"/>
          <w:lang w:eastAsia="en-GB"/>
        </w:rPr>
      </w:pPr>
      <w:r w:rsidRPr="009B3747">
        <w:rPr>
          <w:rFonts w:eastAsia="Times New Roman" w:cstheme="minorHAnsi"/>
          <w:color w:val="000000"/>
          <w:lang w:eastAsia="en-GB"/>
        </w:rPr>
        <w:lastRenderedPageBreak/>
        <w:t>In spite of the emerging concerns and strong scepticism</w:t>
      </w:r>
      <w:r w:rsidR="00547971" w:rsidRPr="009B3747">
        <w:rPr>
          <w:rFonts w:eastAsia="Times New Roman" w:cstheme="minorHAnsi"/>
          <w:color w:val="000000"/>
          <w:lang w:eastAsia="en-GB"/>
        </w:rPr>
        <w:t xml:space="preserve"> </w:t>
      </w:r>
      <w:r w:rsidR="00547971" w:rsidRPr="009B3747">
        <w:rPr>
          <w:rFonts w:eastAsia="Times New Roman" w:cstheme="minorHAnsi"/>
          <w:color w:val="000000"/>
          <w:lang w:eastAsia="en-GB"/>
        </w:rPr>
        <w:fldChar w:fldCharType="begin" w:fldLock="1"/>
      </w:r>
      <w:r w:rsidR="00547971" w:rsidRPr="009B3747">
        <w:rPr>
          <w:rFonts w:eastAsia="Times New Roman" w:cstheme="minorHAnsi"/>
          <w:color w:val="000000"/>
          <w:lang w:eastAsia="en-GB"/>
        </w:rPr>
        <w:instrText>ADDIN CSL_CITATION { "citationItems" : [ { "id" : "ITEM-1", "itemData" : { "DOI" : "10.1016/S0140-6736(16)31471-4", "ISSN" : "01406736", "PMID" : "27597454", "author" : [ { "dropping-particle" : "", "family" : "Lobstein", "given" : "Tim", "non-dropping-particle" : "", "parse-names" : false, "suffix" : "" }, { "dropping-particle" : "", "family" : "McPherson", "given" : "Klim", "non-dropping-particle" : "", "parse-names" : false, "suffix" : "" } ], "container-title" : "The Lancet", "id" : "ITEM-1", "issue" : "10047", "issued" : { "date-parts" : [ [ "2016", "8", "27" ] ] }, "page" : "853-854", "title" : "Nothing new in UK's strategy on childhood obesity", "type" : "article-journal", "volume" : "388" }, "uris" : [ "http://www.mendeley.com/documents/?uuid=74346242-5c21-35c1-bff5-a083b8be702d" ] } ], "mendeley" : { "formattedCitation" : "(Lobstein and McPherson, 2016)", "plainTextFormattedCitation" : "(Lobstein and McPherson, 2016)", "previouslyFormattedCitation" : "(Lobstein and McPherson, 2016)" }, "properties" : { "noteIndex" : 0 }, "schema" : "https://github.com/citation-style-language/schema/raw/master/csl-citation.json" }</w:instrText>
      </w:r>
      <w:r w:rsidR="00547971" w:rsidRPr="009B3747">
        <w:rPr>
          <w:rFonts w:eastAsia="Times New Roman" w:cstheme="minorHAnsi"/>
          <w:color w:val="000000"/>
          <w:lang w:eastAsia="en-GB"/>
        </w:rPr>
        <w:fldChar w:fldCharType="separate"/>
      </w:r>
      <w:r w:rsidR="00547971" w:rsidRPr="009B3747">
        <w:rPr>
          <w:rFonts w:eastAsia="Times New Roman" w:cstheme="minorHAnsi"/>
          <w:noProof/>
          <w:color w:val="000000"/>
          <w:lang w:eastAsia="en-GB"/>
        </w:rPr>
        <w:t>(Lobstein and McPherson, 2016)</w:t>
      </w:r>
      <w:r w:rsidR="00547971" w:rsidRPr="009B3747">
        <w:rPr>
          <w:rFonts w:eastAsia="Times New Roman" w:cstheme="minorHAnsi"/>
          <w:color w:val="000000"/>
          <w:lang w:eastAsia="en-GB"/>
        </w:rPr>
        <w:fldChar w:fldCharType="end"/>
      </w:r>
      <w:r w:rsidR="00547971" w:rsidRPr="009B3747">
        <w:rPr>
          <w:rFonts w:eastAsia="Times New Roman" w:cstheme="minorHAnsi"/>
          <w:color w:val="000000"/>
          <w:lang w:eastAsia="en-GB"/>
        </w:rPr>
        <w:t xml:space="preserve">, </w:t>
      </w:r>
      <w:r w:rsidR="00AE6A9E" w:rsidRPr="009B3747">
        <w:rPr>
          <w:rFonts w:eastAsia="Times New Roman" w:cstheme="minorHAnsi"/>
          <w:color w:val="000000"/>
          <w:lang w:eastAsia="en-GB"/>
        </w:rPr>
        <w:t xml:space="preserve">the plan is proposed as </w:t>
      </w:r>
      <w:r w:rsidR="00AE6A9E" w:rsidRPr="009B3747">
        <w:rPr>
          <w:rFonts w:eastAsia="Times New Roman" w:cstheme="minorHAnsi"/>
          <w:i/>
          <w:color w:val="000000"/>
          <w:lang w:eastAsia="en-GB"/>
        </w:rPr>
        <w:t>“</w:t>
      </w:r>
      <w:r w:rsidRPr="009B3747">
        <w:rPr>
          <w:rFonts w:eastAsia="Times New Roman" w:cstheme="minorHAnsi"/>
          <w:i/>
          <w:color w:val="000000"/>
          <w:lang w:eastAsia="en-GB"/>
        </w:rPr>
        <w:t>the start of a conversat</w:t>
      </w:r>
      <w:r w:rsidR="00AE6A9E" w:rsidRPr="009B3747">
        <w:rPr>
          <w:rFonts w:eastAsia="Times New Roman" w:cstheme="minorHAnsi"/>
          <w:i/>
          <w:color w:val="000000"/>
          <w:lang w:eastAsia="en-GB"/>
        </w:rPr>
        <w:t>ion, rather than the final word”</w:t>
      </w:r>
      <w:r w:rsidR="00547971" w:rsidRPr="009B3747">
        <w:rPr>
          <w:rFonts w:eastAsia="Times New Roman" w:cstheme="minorHAnsi"/>
          <w:i/>
          <w:color w:val="000000"/>
          <w:lang w:eastAsia="en-GB"/>
        </w:rPr>
        <w:t xml:space="preserve"> </w:t>
      </w:r>
      <w:r w:rsidR="00547971" w:rsidRPr="009B3747">
        <w:rPr>
          <w:rFonts w:eastAsia="Times New Roman" w:cstheme="minorHAnsi"/>
          <w:color w:val="000000"/>
          <w:lang w:eastAsia="en-GB"/>
        </w:rPr>
        <w:fldChar w:fldCharType="begin" w:fldLock="1"/>
      </w:r>
      <w:r w:rsidR="00224C9C" w:rsidRPr="009B3747">
        <w:rPr>
          <w:rFonts w:eastAsia="Times New Roman" w:cstheme="minorHAnsi"/>
          <w:color w:val="000000"/>
          <w:lang w:eastAsia="en-GB"/>
        </w:rPr>
        <w:instrText>ADDIN CSL_CITATION { "citationItems" : [ { "id" : "ITEM-1", "itemData" : { "author" : [ { "dropping-particle" : "", "family" : "HM Government", "given" : "", "non-dropping-particle" : "", "parse-names" : false, "suffix" : "" } ], "id" : "ITEM-1", "issued" : { "date-parts" : [ [ "2016" ] ] }, "title" : "Childhood obesity - A plan for action", "type" : "report" }, "uris" : [ "http://www.mendeley.com/documents/?uuid=b98f114e-5233-47f8-a635-d7641b44ba3f" ] } ], "mendeley" : { "formattedCitation" : "(HM Government, 2016)", "manualFormatting" : "(HM Government, 2016, p.3)", "plainTextFormattedCitation" : "(HM Government, 2016)", "previouslyFormattedCitation" : "(HM Government, 2016)" }, "properties" : { "noteIndex" : 0 }, "schema" : "https://github.com/citation-style-language/schema/raw/master/csl-citation.json" }</w:instrText>
      </w:r>
      <w:r w:rsidR="00547971" w:rsidRPr="009B3747">
        <w:rPr>
          <w:rFonts w:eastAsia="Times New Roman" w:cstheme="minorHAnsi"/>
          <w:color w:val="000000"/>
          <w:lang w:eastAsia="en-GB"/>
        </w:rPr>
        <w:fldChar w:fldCharType="separate"/>
      </w:r>
      <w:r w:rsidR="00547971" w:rsidRPr="009B3747">
        <w:rPr>
          <w:rFonts w:eastAsia="Times New Roman" w:cstheme="minorHAnsi"/>
          <w:noProof/>
          <w:color w:val="000000"/>
          <w:lang w:eastAsia="en-GB"/>
        </w:rPr>
        <w:t>(HM Government, 2016</w:t>
      </w:r>
      <w:r w:rsidR="00AE6A9E" w:rsidRPr="009B3747">
        <w:rPr>
          <w:rFonts w:eastAsia="Times New Roman" w:cstheme="minorHAnsi"/>
          <w:noProof/>
          <w:color w:val="000000"/>
          <w:lang w:eastAsia="en-GB"/>
        </w:rPr>
        <w:t>, p.</w:t>
      </w:r>
      <w:r w:rsidR="00547971" w:rsidRPr="009B3747">
        <w:rPr>
          <w:rFonts w:eastAsia="Times New Roman" w:cstheme="minorHAnsi"/>
          <w:noProof/>
          <w:color w:val="000000"/>
          <w:lang w:eastAsia="en-GB"/>
        </w:rPr>
        <w:t>3)</w:t>
      </w:r>
      <w:r w:rsidR="00547971" w:rsidRPr="009B3747">
        <w:rPr>
          <w:rFonts w:eastAsia="Times New Roman" w:cstheme="minorHAnsi"/>
          <w:color w:val="000000"/>
          <w:lang w:eastAsia="en-GB"/>
        </w:rPr>
        <w:fldChar w:fldCharType="end"/>
      </w:r>
      <w:r w:rsidR="00F757C7" w:rsidRPr="009B3747">
        <w:rPr>
          <w:rFonts w:eastAsia="Times New Roman" w:cstheme="minorHAnsi"/>
          <w:color w:val="000000"/>
          <w:lang w:eastAsia="en-GB"/>
        </w:rPr>
        <w:t>.  Consequently,  </w:t>
      </w:r>
      <w:r w:rsidRPr="009B3747">
        <w:rPr>
          <w:rFonts w:eastAsia="Times New Roman" w:cstheme="minorHAnsi"/>
          <w:color w:val="000000"/>
          <w:lang w:eastAsia="en-GB"/>
        </w:rPr>
        <w:t xml:space="preserve">the Chief Executive of Public Health England argues </w:t>
      </w:r>
      <w:r w:rsidR="00F757C7" w:rsidRPr="009B3747">
        <w:rPr>
          <w:rFonts w:eastAsia="Times New Roman" w:cstheme="minorHAnsi"/>
          <w:color w:val="000000"/>
          <w:lang w:eastAsia="en-GB"/>
        </w:rPr>
        <w:t>its</w:t>
      </w:r>
      <w:r w:rsidR="00AE6A9E" w:rsidRPr="009B3747">
        <w:rPr>
          <w:rFonts w:eastAsia="Times New Roman" w:cstheme="minorHAnsi"/>
          <w:color w:val="000000"/>
          <w:lang w:eastAsia="en-GB"/>
        </w:rPr>
        <w:t xml:space="preserve"> existence marks </w:t>
      </w:r>
      <w:r w:rsidR="00AE6A9E" w:rsidRPr="009B3747">
        <w:rPr>
          <w:rFonts w:eastAsia="Times New Roman" w:cstheme="minorHAnsi"/>
          <w:i/>
          <w:color w:val="000000"/>
          <w:lang w:eastAsia="en-GB"/>
        </w:rPr>
        <w:t>“a very significant step forward”</w:t>
      </w:r>
      <w:r w:rsidRPr="009B3747">
        <w:rPr>
          <w:rFonts w:eastAsia="Times New Roman" w:cstheme="minorHAnsi"/>
          <w:color w:val="000000"/>
          <w:lang w:eastAsia="en-GB"/>
        </w:rPr>
        <w:t>, for tackling childhood obesity across the country</w:t>
      </w:r>
      <w:r w:rsidR="00547971" w:rsidRPr="009B3747">
        <w:rPr>
          <w:rFonts w:eastAsia="Times New Roman" w:cstheme="minorHAnsi"/>
          <w:color w:val="000000"/>
          <w:lang w:eastAsia="en-GB"/>
        </w:rPr>
        <w:t xml:space="preserve"> </w:t>
      </w:r>
      <w:r w:rsidR="00547971" w:rsidRPr="009B3747">
        <w:rPr>
          <w:rFonts w:eastAsia="Times New Roman" w:cstheme="minorHAnsi"/>
          <w:color w:val="000000"/>
          <w:lang w:eastAsia="en-GB"/>
        </w:rPr>
        <w:fldChar w:fldCharType="begin" w:fldLock="1"/>
      </w:r>
      <w:r w:rsidR="00547971" w:rsidRPr="009B3747">
        <w:rPr>
          <w:rFonts w:eastAsia="Times New Roman" w:cstheme="minorHAnsi"/>
          <w:color w:val="000000"/>
          <w:lang w:eastAsia="en-GB"/>
        </w:rPr>
        <w:instrText>ADDIN CSL_CITATION { "citationItems" : [ { "id" : "ITEM-1", "itemData" : { "author" : [ { "dropping-particle" : "", "family" : "Civil Service World", "given" : "", "non-dropping-particle" : "", "parse-names" : false, "suffix" : "" } ], "id" : "ITEM-1", "issued" : { "date-parts" : [ [ "2016" ] ] }, "title" : "Public Health England chief exec Duncan Selbie reviews the year and looks ahead to 2017", "type" : "article-magazine" }, "uris" : [ "http://www.mendeley.com/documents/?uuid=24398ec6-10ff-49b2-a31c-e058cd8171f7" ] } ], "mendeley" : { "formattedCitation" : "(Civil Service World, 2016)", "plainTextFormattedCitation" : "(Civil Service World, 2016)", "previouslyFormattedCitation" : "(Civil Service World, 2016)" }, "properties" : { "noteIndex" : 0 }, "schema" : "https://github.com/citation-style-language/schema/raw/master/csl-citation.json" }</w:instrText>
      </w:r>
      <w:r w:rsidR="00547971" w:rsidRPr="009B3747">
        <w:rPr>
          <w:rFonts w:eastAsia="Times New Roman" w:cstheme="minorHAnsi"/>
          <w:color w:val="000000"/>
          <w:lang w:eastAsia="en-GB"/>
        </w:rPr>
        <w:fldChar w:fldCharType="separate"/>
      </w:r>
      <w:r w:rsidR="00547971" w:rsidRPr="009B3747">
        <w:rPr>
          <w:rFonts w:eastAsia="Times New Roman" w:cstheme="minorHAnsi"/>
          <w:noProof/>
          <w:color w:val="000000"/>
          <w:lang w:eastAsia="en-GB"/>
        </w:rPr>
        <w:t>(Civil Service World, 2016)</w:t>
      </w:r>
      <w:r w:rsidR="00547971" w:rsidRPr="009B3747">
        <w:rPr>
          <w:rFonts w:eastAsia="Times New Roman" w:cstheme="minorHAnsi"/>
          <w:color w:val="000000"/>
          <w:lang w:eastAsia="en-GB"/>
        </w:rPr>
        <w:fldChar w:fldCharType="end"/>
      </w:r>
      <w:r w:rsidR="00547971" w:rsidRPr="009B3747">
        <w:rPr>
          <w:rFonts w:eastAsia="Times New Roman" w:cstheme="minorHAnsi"/>
          <w:color w:val="000000"/>
          <w:lang w:eastAsia="en-GB"/>
        </w:rPr>
        <w:t>.</w:t>
      </w:r>
    </w:p>
    <w:p w:rsidR="00AF46FD" w:rsidRDefault="00AF46FD" w:rsidP="00A16FA3">
      <w:pPr>
        <w:rPr>
          <w:rFonts w:eastAsia="Times New Roman" w:cstheme="minorHAnsi"/>
          <w:sz w:val="24"/>
          <w:szCs w:val="24"/>
          <w:lang w:eastAsia="en-GB"/>
        </w:rPr>
      </w:pPr>
      <w:r>
        <w:rPr>
          <w:rFonts w:eastAsia="Times New Roman" w:cstheme="minorHAnsi"/>
          <w:sz w:val="24"/>
          <w:szCs w:val="24"/>
          <w:lang w:eastAsia="en-GB"/>
        </w:rPr>
        <w:t> </w:t>
      </w:r>
    </w:p>
    <w:p w:rsidR="00A16FA3" w:rsidRPr="00AF46FD" w:rsidRDefault="00C34D84" w:rsidP="00A16FA3">
      <w:pPr>
        <w:rPr>
          <w:rFonts w:eastAsia="Times New Roman" w:cstheme="minorHAnsi"/>
          <w:sz w:val="24"/>
          <w:szCs w:val="24"/>
          <w:lang w:eastAsia="en-GB"/>
        </w:rPr>
      </w:pPr>
      <w:r w:rsidRPr="009B3747">
        <w:rPr>
          <w:rFonts w:eastAsia="Times New Roman" w:cstheme="minorHAnsi"/>
          <w:color w:val="000000"/>
          <w:u w:val="single"/>
          <w:lang w:eastAsia="en-GB"/>
        </w:rPr>
        <w:t>2</w:t>
      </w:r>
      <w:r w:rsidR="00F757C7" w:rsidRPr="009B3747">
        <w:rPr>
          <w:rFonts w:eastAsia="Times New Roman" w:cstheme="minorHAnsi"/>
          <w:color w:val="000000"/>
          <w:u w:val="single"/>
          <w:lang w:eastAsia="en-GB"/>
        </w:rPr>
        <w:t xml:space="preserve">.6.1 </w:t>
      </w:r>
      <w:r w:rsidR="00A16FA3" w:rsidRPr="009B3747">
        <w:rPr>
          <w:rFonts w:eastAsia="Times New Roman" w:cstheme="minorHAnsi"/>
          <w:color w:val="000000"/>
          <w:u w:val="single"/>
          <w:lang w:eastAsia="en-GB"/>
        </w:rPr>
        <w:t xml:space="preserve">Preventing childhood and adolescent obesity </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E11E9D" w:rsidRPr="009B3747" w:rsidRDefault="00A16FA3" w:rsidP="00A16FA3">
      <w:pPr>
        <w:rPr>
          <w:rFonts w:eastAsia="Times New Roman" w:cstheme="minorHAnsi"/>
          <w:color w:val="000000"/>
          <w:lang w:eastAsia="en-GB"/>
        </w:rPr>
      </w:pPr>
      <w:r w:rsidRPr="009B3747">
        <w:rPr>
          <w:rFonts w:eastAsia="Times New Roman" w:cstheme="minorHAnsi"/>
          <w:color w:val="000000"/>
          <w:lang w:eastAsia="en-GB"/>
        </w:rPr>
        <w:t>Within both historic and current national approaches to tackling the obesity epidemic, prevention has remained a fundamental strategic priority</w:t>
      </w:r>
      <w:r w:rsidR="00547971" w:rsidRPr="009B3747">
        <w:rPr>
          <w:rFonts w:eastAsia="Times New Roman" w:cstheme="minorHAnsi"/>
          <w:color w:val="000000"/>
          <w:lang w:eastAsia="en-GB"/>
        </w:rPr>
        <w:t xml:space="preserve"> </w:t>
      </w:r>
      <w:r w:rsidR="00547971"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"Department of Health", "given" : "", "non-dropping-particle" : "", "parse-names" : false, "suffix" : "" } ], "container-title" : "London: Department of Health", "id" : "ITEM-1", "issued" : { "date-parts" : [ [ "2008" ] ] }, "publisher-place" : "London", "title" : "Healthy weight, Healthy lives: a cross-government strategy for england", "type" : "report" }, "uris" : [ "http://www.mendeley.com/documents/?uuid=0c33aeb4-092b-494a-86d6-7021337f1a8c" ] }, { "id" : "ITEM-2", "itemData" : { "author" : [ { "dropping-particle" : "", "family" : "Department of Health", "given" : "", "non-dropping-particle" : "", "parse-names" : false, "suffix" : "" } ], "container-title" : "London: Department of Health", "id" : "ITEM-2", "issued" : { "date-parts" : [ [ "2011" ] ] }, "publisher-place" : "London", "title" : "Healthy Lives, Healthy People: A Call to Action on Obesity in England", "type" : "report" }, "uris" : [ "http://www.mendeley.com/documents/?uuid=4cc3b3a8-0e69-41d7-bd60-1a13d047dc64" ] }, { "id" : "ITEM-3", "itemData" : { "author" : [ { "dropping-particle" : "", "family" : "HM Government", "given" : "", "non-dropping-particle" : "", "parse-names" : false, "suffix" : "" } ], "id" : "ITEM-3", "issued" : { "date-parts" : [ [ "2016" ] ] }, "title" : "Childhood obesity - A plan for action", "type" : "report" }, "uris" : [ "http://www.mendeley.com/documents/?uuid=b98f114e-5233-47f8-a635-d7641b44ba3f" ] } ], "mendeley" : { "formattedCitation" : "(Department of Health, 2008, 2011; HM Government, 2016)", "plainTextFormattedCitation" : "(Department of Health, 2008, 2011; HM Government, 2016)", "previouslyFormattedCitation" : "(Department of Health, 2008, 2011; HM Government, 2016)" }, "properties" : { "noteIndex" : 0 }, "schema" : "https://github.com/citation-style-language/schema/raw/master/csl-citation.json" }</w:instrText>
      </w:r>
      <w:r w:rsidR="00547971" w:rsidRPr="009B3747">
        <w:rPr>
          <w:rFonts w:eastAsia="Times New Roman" w:cstheme="minorHAnsi"/>
          <w:color w:val="000000"/>
          <w:lang w:eastAsia="en-GB"/>
        </w:rPr>
        <w:fldChar w:fldCharType="separate"/>
      </w:r>
      <w:r w:rsidR="00547971" w:rsidRPr="009B3747">
        <w:rPr>
          <w:rFonts w:eastAsia="Times New Roman" w:cstheme="minorHAnsi"/>
          <w:noProof/>
          <w:color w:val="000000"/>
          <w:lang w:eastAsia="en-GB"/>
        </w:rPr>
        <w:t>(Department of Health, 2008, 2011; HM Government, 2016)</w:t>
      </w:r>
      <w:r w:rsidR="00547971" w:rsidRPr="009B3747">
        <w:rPr>
          <w:rFonts w:eastAsia="Times New Roman" w:cstheme="minorHAnsi"/>
          <w:color w:val="000000"/>
          <w:lang w:eastAsia="en-GB"/>
        </w:rPr>
        <w:fldChar w:fldCharType="end"/>
      </w:r>
      <w:r w:rsidRPr="009B3747">
        <w:rPr>
          <w:rFonts w:eastAsia="Times New Roman" w:cstheme="minorHAnsi"/>
          <w:color w:val="000000"/>
          <w:lang w:eastAsia="en-GB"/>
        </w:rPr>
        <w:t>.  Whilst treating childhood and adolescent obesity is of critical importance in order to preclude morbidity into adulthood</w:t>
      </w:r>
      <w:r w:rsidR="00547971" w:rsidRPr="009B3747">
        <w:rPr>
          <w:rFonts w:eastAsia="Times New Roman" w:cstheme="minorHAnsi"/>
          <w:color w:val="000000"/>
          <w:lang w:eastAsia="en-GB"/>
        </w:rPr>
        <w:t xml:space="preserve"> </w:t>
      </w:r>
      <w:r w:rsidR="00547971"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"Uli", "given" : "N", "non-dropping-particle" : "", "parse-names" : false, "suffix" : "" }, { "dropping-particle" : "", "family" : "Sundararajan", "given" : "S", "non-dropping-particle" : "", "parse-names" : false, "suffix" : "" }, { "dropping-particle" : "", "family" : "Cuttler", "given" : "L", "non-dropping-particle" : "", "parse-names" : false, "suffix" : "" } ], "container-title" : "Current Opinion in Endocrinology, Diabetes &amp; Obesity", "id" : "ITEM-1", "issue" : "1", "issued" : { "date-parts" : [ [ "2008" ] ] }, "page" : "37-47", "title" : "Treatment of childhood obesity", "type" : "article-journal", "volume" : "15" }, "uris" : [ "http://www.mendeley.com/documents/?uuid=e2592dc8-333a-47cb-9a58-9147c234c5f5" ] }, { "id" : "ITEM-2", "itemData" : { "author" : [ { "dropping-particle" : "", "family" : "Dietz", "given" : "WH", "non-dropping-particle" : "", "parse-names" : false, "suffix" : "" }, { "dropping-particle" : "", "family" : "Baur", "given" : "LA", "non-dropping-particle" : "", "parse-names" : false, "suffix" : "" }, { "dropping-particle" : "", "family" : "Hall", "given" : "K", "non-dropping-particle" : "", "parse-names" : false, "suffix" : "" }, { "dropping-particle" : "", "family" : "Puhl", "given" : "RM", "non-dropping-particle" : "", "parse-names" : false, "suffix" : "" } ], "container-title" : "The Lancet", "id" : "ITEM-2", "issue" : "9986", "issued" : { "date-parts" : [ [ "2015" ] ] }, "page" : "2521-33", "title" : "Management of obesity: improvement of health-care training and systems for prevention and care", "type" : "article-journal", "volume" : "385" }, "uris" : [ "http://www.mendeley.com/documents/?uuid=f746615e-760c-42d0-bf6c-6f2e73321c7f" ] } ], "mendeley" : { "formattedCitation" : "(Uli et al., 2008; Dietz et al., 2015)", "plainTextFormattedCitation" : "(Uli et al., 2008; Dietz et al., 2015)", "previouslyFormattedCitation" : "(Uli et al., 2008; Dietz et al., 2015)" }, "properties" : { "noteIndex" : 0 }, "schema" : "https://github.com/citation-style-language/schema/raw/master/csl-citation.json" }</w:instrText>
      </w:r>
      <w:r w:rsidR="00547971" w:rsidRPr="009B3747">
        <w:rPr>
          <w:rFonts w:eastAsia="Times New Roman" w:cstheme="minorHAnsi"/>
          <w:color w:val="000000"/>
          <w:lang w:eastAsia="en-GB"/>
        </w:rPr>
        <w:fldChar w:fldCharType="separate"/>
      </w:r>
      <w:r w:rsidR="00547971" w:rsidRPr="009B3747">
        <w:rPr>
          <w:rFonts w:eastAsia="Times New Roman" w:cstheme="minorHAnsi"/>
          <w:noProof/>
          <w:color w:val="000000"/>
          <w:lang w:eastAsia="en-GB"/>
        </w:rPr>
        <w:t>(Uli et al., 2008; Dietz et al., 2015)</w:t>
      </w:r>
      <w:r w:rsidR="00547971" w:rsidRPr="009B3747">
        <w:rPr>
          <w:rFonts w:eastAsia="Times New Roman" w:cstheme="minorHAnsi"/>
          <w:color w:val="000000"/>
          <w:lang w:eastAsia="en-GB"/>
        </w:rPr>
        <w:fldChar w:fldCharType="end"/>
      </w:r>
      <w:r w:rsidR="00547971" w:rsidRPr="009B3747">
        <w:rPr>
          <w:rFonts w:eastAsia="Times New Roman" w:cstheme="minorHAnsi"/>
          <w:color w:val="000000"/>
          <w:lang w:eastAsia="en-GB"/>
        </w:rPr>
        <w:t xml:space="preserve">, </w:t>
      </w:r>
      <w:r w:rsidRPr="009B3747">
        <w:rPr>
          <w:rFonts w:eastAsia="Times New Roman" w:cstheme="minorHAnsi"/>
          <w:color w:val="000000"/>
          <w:lang w:eastAsia="en-GB"/>
        </w:rPr>
        <w:t>it is argued that treatment alone cannot impact on enough of the population to make a meaningful difference to prevalence levels</w:t>
      </w:r>
      <w:r w:rsidR="00547971" w:rsidRPr="009B3747">
        <w:rPr>
          <w:rFonts w:eastAsia="Times New Roman" w:cstheme="minorHAnsi"/>
          <w:color w:val="000000"/>
          <w:lang w:eastAsia="en-GB"/>
        </w:rPr>
        <w:t xml:space="preserve"> </w:t>
      </w:r>
      <w:r w:rsidR="00547971"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"Kumanyika", "given" : "SK", "non-dropping-particle" : "", "parse-names" : false, "suffix" : "" }, { "dropping-particle" : "", "family" : "Obarzanek", "given" : "E", "non-dropping-particle" : "", "parse-names" : false, "suffix" : "" }, { "dropping-particle" : "", "family" : "Stettler", "given" : "N", "non-dropping-particle" : "", "parse-names" : false, "suffix" : "" } ], "container-title" : "Circulation", "id" : "ITEM-1", "issue" : "4", "issued" : { "date-parts" : [ [ "2008" ] ] }, "page" : "428-64", "title" : "Population-based prevention of obesity the need for comprehensive promotion of healthful eating, physical activity, and energy balance: A scientific statement from", "type" : "article-journal", "volume" : "118" }, "uris" : [ "http://www.mendeley.com/documents/?uuid=3b96913b-b09b-455d-86c8-b4bd6c86b699" ] } ], "mendeley" : { "formattedCitation" : "(Kumanyika et al., 2008)", "plainTextFormattedCitation" : "(Kumanyika et al., 2008)", "previouslyFormattedCitation" : "(Kumanyika et al., 2008)" }, "properties" : { "noteIndex" : 0 }, "schema" : "https://github.com/citation-style-language/schema/raw/master/csl-citation.json" }</w:instrText>
      </w:r>
      <w:r w:rsidR="00547971" w:rsidRPr="009B3747">
        <w:rPr>
          <w:rFonts w:eastAsia="Times New Roman" w:cstheme="minorHAnsi"/>
          <w:color w:val="000000"/>
          <w:lang w:eastAsia="en-GB"/>
        </w:rPr>
        <w:fldChar w:fldCharType="separate"/>
      </w:r>
      <w:r w:rsidR="00547971" w:rsidRPr="009B3747">
        <w:rPr>
          <w:rFonts w:eastAsia="Times New Roman" w:cstheme="minorHAnsi"/>
          <w:noProof/>
          <w:color w:val="000000"/>
          <w:lang w:eastAsia="en-GB"/>
        </w:rPr>
        <w:t>(Kumanyika et al., 2008)</w:t>
      </w:r>
      <w:r w:rsidR="00547971" w:rsidRPr="009B3747">
        <w:rPr>
          <w:rFonts w:eastAsia="Times New Roman" w:cstheme="minorHAnsi"/>
          <w:color w:val="000000"/>
          <w:lang w:eastAsia="en-GB"/>
        </w:rPr>
        <w:fldChar w:fldCharType="end"/>
      </w:r>
      <w:r w:rsidRPr="009B3747">
        <w:rPr>
          <w:rFonts w:eastAsia="Times New Roman" w:cstheme="minorHAnsi"/>
          <w:color w:val="000000"/>
          <w:lang w:eastAsia="en-GB"/>
        </w:rPr>
        <w:t>.  </w:t>
      </w:r>
    </w:p>
    <w:p w:rsidR="00E11E9D" w:rsidRPr="009B3747" w:rsidRDefault="00E11E9D" w:rsidP="00A16FA3">
      <w:pPr>
        <w:rPr>
          <w:rFonts w:eastAsia="Times New Roman" w:cstheme="minorHAnsi"/>
          <w:color w:val="000000"/>
          <w:lang w:eastAsia="en-GB"/>
        </w:rPr>
      </w:pPr>
    </w:p>
    <w:p w:rsidR="00A16FA3" w:rsidRPr="009B3747" w:rsidRDefault="00A16FA3" w:rsidP="00A16FA3">
      <w:pPr>
        <w:rPr>
          <w:rFonts w:eastAsia="Times New Roman" w:cstheme="minorHAnsi"/>
          <w:sz w:val="24"/>
          <w:szCs w:val="24"/>
          <w:lang w:eastAsia="en-GB"/>
        </w:rPr>
      </w:pPr>
      <w:r w:rsidRPr="009B3747">
        <w:rPr>
          <w:rFonts w:eastAsia="Times New Roman" w:cstheme="minorHAnsi"/>
          <w:color w:val="000000"/>
          <w:lang w:eastAsia="en-GB"/>
        </w:rPr>
        <w:t>Furthermore, obesity treatment is perceived as a complex, costly and challenging process, with significant variations in actual long-term benefits evidenced</w:t>
      </w:r>
      <w:r w:rsidR="008C1733" w:rsidRPr="009B3747">
        <w:rPr>
          <w:rFonts w:eastAsia="Times New Roman" w:cstheme="minorHAnsi"/>
          <w:color w:val="000000"/>
          <w:lang w:eastAsia="en-GB"/>
        </w:rPr>
        <w:t xml:space="preserve"> </w:t>
      </w:r>
      <w:r w:rsidR="008C1733"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"Ebbeling", "given" : "CB", "non-dropping-particle" : "", "parse-names" : false, "suffix" : "" }, { "dropping-particle" : "", "family" : "Pawlak", "given" : "DB", "non-dropping-particle" : "", "parse-names" : false, "suffix" : "" }, { "dropping-particle" : "", "family" : "Ludwig", "given" : "DS", "non-dropping-particle" : "", "parse-names" : false, "suffix" : "" } ], "container-title" : "The lancet", "id" : "ITEM-1", "issue" : "9331", "issued" : { "date-parts" : [ [ "2002" ] ] }, "page" : "473-482", "title" : "Childhood obesity: public-health crisis, common sense cure", "type" : "article-journal", "volume" : "360" }, "uris" : [ "http://www.mendeley.com/documents/?uuid=170d16d6-47bb-497e-ad62-092f44b77542" ] }, { "id" : "ITEM-2", "itemData" : { "author" : [ { "dropping-particle" : "", "family" : "Han", "given" : "JC", "non-dropping-particle" : "", "parse-names" : false, "suffix" : "" }, { "dropping-particle" : "", "family" : "Lawlor", "given" : "DA", "non-dropping-particle" : "", "parse-names" : false, "suffix" : "" }, { "dropping-particle" : "", "family" : "Kimm", "given" : "SYS", "non-dropping-particle" : "", "parse-names" : false, "suffix" : "" } ], "container-title" : "The Lancet", "id" : "ITEM-2", "issue" : "9727", "issued" : { "date-parts" : [ [ "2010" ] ] }, "page" : "1737-48", "title" : "Childhood obesity", "type" : "article-journal", "volume" : "375" }, "uris" : [ "http://www.mendeley.com/documents/?uuid=6badc9a1-9de0-471e-b582-d0d9125ba7b7" ] }, { "id" : "ITEM-3", "itemData" : { "author" : [ { "dropping-particle" : "", "family" : "Reinehr", "given" : "T", "non-dropping-particle" : "", "parse-names" : false, "suffix" : "" } ], "container-title" : "Nature Reviews Endocrinology", "id" : "ITEM-3", "issue" : "10", "issued" : { "date-parts" : [ [ "2013" ] ] }, "page" : "607-14", "title" : "Lifestyle intervention in childhood obesity: changes and challenges", "type" : "article-journal", "volume" : "9" }, "uris" : [ "http://www.mendeley.com/documents/?uuid=201a0bb2-4d0a-46c8-bce7-7e5e1ef60f73" ] } ], "mendeley" : { "formattedCitation" : "(Ebbeling et al., 2002; Han et al., 2010; Reinehr, 2013)", "plainTextFormattedCitation" : "(Ebbeling et al., 2002; Han et al., 2010; Reinehr, 2013)", "previouslyFormattedCitation" : "(Ebbeling et al., 2002; Han et al., 2010; Reinehr, 2013)" }, "properties" : { "noteIndex" : 0 }, "schema" : "https://github.com/citation-style-language/schema/raw/master/csl-citation.json" }</w:instrText>
      </w:r>
      <w:r w:rsidR="008C1733" w:rsidRPr="009B3747">
        <w:rPr>
          <w:rFonts w:eastAsia="Times New Roman" w:cstheme="minorHAnsi"/>
          <w:color w:val="000000"/>
          <w:lang w:eastAsia="en-GB"/>
        </w:rPr>
        <w:fldChar w:fldCharType="separate"/>
      </w:r>
      <w:r w:rsidR="008C1733" w:rsidRPr="009B3747">
        <w:rPr>
          <w:rFonts w:eastAsia="Times New Roman" w:cstheme="minorHAnsi"/>
          <w:noProof/>
          <w:color w:val="000000"/>
          <w:lang w:eastAsia="en-GB"/>
        </w:rPr>
        <w:t>(Ebbeling et al., 2002; Han et al., 2010; Reinehr, 2013)</w:t>
      </w:r>
      <w:r w:rsidR="008C1733" w:rsidRPr="009B3747">
        <w:rPr>
          <w:rFonts w:eastAsia="Times New Roman" w:cstheme="minorHAnsi"/>
          <w:color w:val="000000"/>
          <w:lang w:eastAsia="en-GB"/>
        </w:rPr>
        <w:fldChar w:fldCharType="end"/>
      </w:r>
      <w:r w:rsidR="008C1733" w:rsidRPr="009B3747">
        <w:rPr>
          <w:rFonts w:eastAsia="Times New Roman" w:cstheme="minorHAnsi"/>
          <w:color w:val="000000"/>
          <w:lang w:eastAsia="en-GB"/>
        </w:rPr>
        <w:t xml:space="preserve">.  </w:t>
      </w:r>
      <w:r w:rsidRPr="009B3747">
        <w:rPr>
          <w:rFonts w:eastAsia="Times New Roman" w:cstheme="minorHAnsi"/>
          <w:color w:val="000000"/>
          <w:lang w:eastAsia="en-GB"/>
        </w:rPr>
        <w:t>Consequently, a substantial body of literature advocates for a major emphasis on preventing childhood and adolescent obesity</w:t>
      </w:r>
      <w:r w:rsidR="008C1733" w:rsidRPr="009B3747">
        <w:rPr>
          <w:rFonts w:eastAsia="Times New Roman" w:cstheme="minorHAnsi"/>
          <w:color w:val="000000"/>
          <w:lang w:eastAsia="en-GB"/>
        </w:rPr>
        <w:t xml:space="preserve"> </w:t>
      </w:r>
      <w:r w:rsidR="008C1733"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"Kumanyika", "given" : "SK", "non-dropping-particle" : "", "parse-names" : false, "suffix" : "" }, { "dropping-particle" : "", "family" : "Obarzanek", "given" : "E", "non-dropping-particle" : "", "parse-names" : false, "suffix" : "" }, { "dropping-particle" : "", "family" : "Stettler", "given" : "N", "non-dropping-particle" : "", "parse-names" : false, "suffix" : "" } ], "container-title" : "Circulation", "id" : "ITEM-1", "issue" : "4", "issued" : { "date-parts" : [ [ "2008" ] ] }, "page" : "428-64", "title" : "Population-based prevention of obesity the need for comprehensive promotion of healthful eating, physical activity, and energy balance: A scientific statement from", "type" : "article-journal", "volume" : "118" }, "uris" : [ "http://www.mendeley.com/documents/?uuid=3b96913b-b09b-455d-86c8-b4bd6c86b699" ] }, { "id" : "ITEM-2", "itemData" : { "author" : [ { "dropping-particle" : "", "family" : "Han", "given" : "JC", "non-dropping-particle" : "", "parse-names" : false, "suffix" : "" }, { "dropping-particle" : "", "family" : "Lawlor", "given" : "DA", "non-dropping-particle" : "", "parse-names" : false, "suffix" : "" }, { "dropping-particle" : "", "family" : "Kimm", "given" : "SYS", "non-dropping-particle" : "", "parse-names" : false, "suffix" : "" } ], "container-title" : "The Lancet", "id" : "ITEM-2", "issue" : "9727", "issued" : { "date-parts" : [ [ "2010" ] ] }, "page" : "1737-48", "title" : "Childhood obesity", "type" : "article-journal", "volume" : "375" }, "uris" : [ "http://www.mendeley.com/documents/?uuid=6badc9a1-9de0-471e-b582-d0d9125ba7b7" ] }, { "id" : "ITEM-3", "itemData" : { "author" : [ { "dropping-particle" : "", "family" : "Lobstein", "given" : "T", "non-dropping-particle" : "", "parse-names" : false, "suffix" : "" }, { "dropping-particle" : "", "family" : "Jackson-Leach", "given" : "R", "non-dropping-particle" : "", "parse-names" : false, "suffix" : "" }, { "dropping-particle" : "", "family" : "Moodie", "given" : "ML", "non-dropping-particle" : "", "parse-names" : false, "suffix" : "" } ], "container-title" : "The Lancet", "id" : "ITEM-3", "issue" : "9986", "issued" : { "date-parts" : [ [ "2015" ] ] }, "page" : "2510-2520", "title" : "Child and adolescent obesity: part of a bigger picture", "type" : "article-journal", "volume" : "385" }, "uris" : [ "http://www.mendeley.com/documents/?uuid=e072a246-f28d-4879-b95a-10b312372cee" ] }, { "id" : "ITEM-4", "itemData" : { "author" : [ { "dropping-particle" : "", "family" : "National Institute of Health and Care Excellence", "given" : "", "non-dropping-particle" : "", "parse-names" : false, "suffix" : "" } ], "id" : "ITEM-4", "issued" : { "date-parts" : [ [ "2015" ] ] }, "publisher-place" : "London", "title" : "Obesity in children and young people: prevention and lifestyle weight management programmes", "type" : "report" }, "uris" : [ "http://www.mendeley.com/documents/?uuid=572b7eec-0d9f-4bd1-8da0-2229d1fa31a3" ] }, { "id" : "ITEM-5", "itemData" : { "DOI" : "ISBN 978 92 4 151006 6", "ISBN" : "978 92 4 151006 6 \u00a9", "abstract" : "1. Over the past decade, the World Health Assembly, the governing body of the World Health Organization (WHO), and the United Nations General Assembly have adopted a series of resolutions1 that acknowledge noncommunicable diseases (NCDs) as a major challenge for development in the 21st century and have identified prevention and control as a core priority. The proposed Sustainable Development Goals propose a target on reducing premature mortality from NCDs2. 2. Among the NCD risk factors, obesity is particularly concerning. In children (aged under 19 years) it is associated with a wide range of health complications and an increased risk of premature onset of illnesses, including diabetes and heart disease. Preventing childhood obesity is a key approach to the primary prevention of NCDs. 3. Childhood obesity has complex origins and progress in tackling the issue has to date been slow. It is clear that a combination of scientific research, government leadership and community partnerships is necessary in order to develop the best recommendations and implement them worldwide. 4. In order to develop a comprehensive response to childhood obesity, the WHO Director- General established a high-level Commission on Ending Childhood Obesity (ECHO), which comprises 15 accomplished and eminent individuals from a variety of relevant backgrounds. The Commission has reviewed, built upon and addressed gaps in existing mandates and strategies with the support of two ad hoc working groups, one on science and evidence for ending childhood obesity (WGSE), and one on implementation, monitoring and accountability for ending childhood obesity (WGIMA). An Interim Report was developed for feedback through a series of regional consultations and hearings with Member States and non-State actors, and an online process for the submission of comments from relevant stakeholders. The Commission has reviewed these inputs and developed this draft final report, which will form the basis for a final round of regional and global consultation.", "author" : [ { "dropping-particle" : "", "family" : "World Health Organization", "given" : "", "non-dropping-particle" : "", "parse-names" : false, "suffix" : "" } ], "id" : "ITEM-5", "issued" : { "date-parts" : [ [ "2016" ] ] }, "publisher-place" : "Geneva", "title" : "Report of the Commission on Ending Childhood Obesity", "type" : "report" }, "uris" : [ "http://www.mendeley.com/documents/?uuid=fc7d72ef-f520-4e44-854a-cc82b135b368" ] } ], "mendeley" : { "formattedCitation" : "(Kumanyika et al., 2008; Han et al., 2010; Lobstein et al., 2015; National Institute of Health and Care Excellence, 2015b; World Health Organization, 2016c)", "plainTextFormattedCitation" : "(Kumanyika et al., 2008; Han et al., 2010; Lobstein et al., 2015; National Institute of Health and Care Excellence, 2015b; World Health Organization, 2016c)", "previouslyFormattedCitation" : "(Kumanyika et al., 2008; Han et al., 2010; Lobstein et al., 2015; National Institute of Health and Care Excellence, 2015b; World Health Organization, 2016c)" }, "properties" : { "noteIndex" : 0 }, "schema" : "https://github.com/citation-style-language/schema/raw/master/csl-citation.json" }</w:instrText>
      </w:r>
      <w:r w:rsidR="008C1733" w:rsidRPr="009B3747">
        <w:rPr>
          <w:rFonts w:eastAsia="Times New Roman" w:cstheme="minorHAnsi"/>
          <w:color w:val="000000"/>
          <w:lang w:eastAsia="en-GB"/>
        </w:rPr>
        <w:fldChar w:fldCharType="separate"/>
      </w:r>
      <w:r w:rsidR="008C1733" w:rsidRPr="009B3747">
        <w:rPr>
          <w:rFonts w:eastAsia="Times New Roman" w:cstheme="minorHAnsi"/>
          <w:noProof/>
          <w:color w:val="000000"/>
          <w:lang w:eastAsia="en-GB"/>
        </w:rPr>
        <w:t>(Kumanyika et al., 2008; Han et al., 2010; Lobstein et al., 2015; National Institute of Health and Care Excellence, 2015b; World Health Organization, 2016c)</w:t>
      </w:r>
      <w:r w:rsidR="008C1733" w:rsidRPr="009B3747">
        <w:rPr>
          <w:rFonts w:eastAsia="Times New Roman" w:cstheme="minorHAnsi"/>
          <w:color w:val="000000"/>
          <w:lang w:eastAsia="en-GB"/>
        </w:rPr>
        <w:fldChar w:fldCharType="end"/>
      </w:r>
      <w:r w:rsidR="008C1733" w:rsidRPr="009B3747">
        <w:rPr>
          <w:rFonts w:eastAsia="Times New Roman" w:cstheme="minorHAnsi"/>
          <w:color w:val="000000"/>
          <w:lang w:eastAsia="en-GB"/>
        </w:rPr>
        <w:t>.</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F757C7" w:rsidRPr="009B3747" w:rsidRDefault="00A16FA3" w:rsidP="00F757C7">
      <w:pPr>
        <w:rPr>
          <w:rFonts w:eastAsia="Times New Roman" w:cstheme="minorHAnsi"/>
          <w:color w:val="000000"/>
          <w:lang w:eastAsia="en-GB"/>
        </w:rPr>
      </w:pPr>
      <w:r w:rsidRPr="009B3747">
        <w:rPr>
          <w:rFonts w:eastAsia="Times New Roman" w:cstheme="minorHAnsi"/>
          <w:color w:val="000000"/>
          <w:lang w:eastAsia="en-GB"/>
        </w:rPr>
        <w:t xml:space="preserve">Crucial to preventative approaches, is the recognition that the time </w:t>
      </w:r>
      <w:r w:rsidR="00AE6A9E" w:rsidRPr="009B3747">
        <w:rPr>
          <w:rFonts w:eastAsia="Times New Roman" w:cstheme="minorHAnsi"/>
          <w:color w:val="000000"/>
          <w:lang w:eastAsia="en-GB"/>
        </w:rPr>
        <w:t xml:space="preserve">to consider obesity prevention </w:t>
      </w:r>
      <w:r w:rsidR="00AE6A9E" w:rsidRPr="009B3747">
        <w:rPr>
          <w:rFonts w:eastAsia="Times New Roman" w:cstheme="minorHAnsi"/>
          <w:i/>
          <w:color w:val="000000"/>
          <w:lang w:eastAsia="en-GB"/>
        </w:rPr>
        <w:t>“</w:t>
      </w:r>
      <w:r w:rsidRPr="009B3747">
        <w:rPr>
          <w:rFonts w:eastAsia="Times New Roman" w:cstheme="minorHAnsi"/>
          <w:i/>
          <w:color w:val="000000"/>
          <w:lang w:eastAsia="en-GB"/>
        </w:rPr>
        <w:t>is from early life and continues through</w:t>
      </w:r>
      <w:r w:rsidR="00AE6A9E" w:rsidRPr="009B3747">
        <w:rPr>
          <w:rFonts w:eastAsia="Times New Roman" w:cstheme="minorHAnsi"/>
          <w:i/>
          <w:color w:val="000000"/>
          <w:lang w:eastAsia="en-GB"/>
        </w:rPr>
        <w:t xml:space="preserve"> every stage of the life course”</w:t>
      </w:r>
      <w:r w:rsidR="008C1733" w:rsidRPr="009B3747">
        <w:rPr>
          <w:rFonts w:eastAsia="Times New Roman" w:cstheme="minorHAnsi"/>
          <w:i/>
          <w:color w:val="000000"/>
          <w:lang w:eastAsia="en-GB"/>
        </w:rPr>
        <w:t xml:space="preserve"> </w:t>
      </w:r>
      <w:r w:rsidR="008C1733"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"DOI" : "10.1002/9781444318517.ch3", "ISBN" : "9781444318517", "author" : [ { "dropping-particle" : "", "family" : "Uauy", "given" : "Ricardo", "non-dropping-particle" : "", "parse-names" : false, "suffix" : "" }, { "dropping-particle" : "", "family" : "Caleyachetty", "given" : "Rishi", "non-dropping-particle" : "", "parse-names" : false, "suffix" : "" }, { "dropping-particle" : "", "family" : "Swinburn", "given" : "Boyd", "non-dropping-particle" : "", "parse-names" : false, "suffix" : "" } ], "container-title" : "Preventing Childhood Obesity: Evidence Policy and Practice", "editor" : [ { "dropping-particle" : "", "family" : "Waters", "given" : "E", "non-dropping-particle" : "", "parse-names" : false, "suffix" : "" }, { "dropping-particle" : "", "family" : "Swinburn", "given" : "B", "non-dropping-particle" : "", "parse-names" : false, "suffix" : "" }, { "dropping-particle" : "", "family" : "Seidell", "given" : "J", "non-dropping-particle" : "", "parse-names" : false, "suffix" : "" }, { "dropping-particle" : "", "family" : "Uauy", "given" : "R", "non-dropping-particle" : "", "parse-names" : false, "suffix" : "" } ], "id" : "ITEM-1", "issued" : { "date-parts" : [ [ "2010", "5", "5" ] ] }, "page" : "22-30", "publisher" : "Wiley-Blackwell", "publisher-place" : "Oxford, UK", "title" : "Childhood Obesity Prevention Overview", "type" : "chapter" }, "uris" : [ "http://www.mendeley.com/documents/?uuid=4258d760-ba15-3228-9934-d91cc7dd847c" ] } ], "mendeley" : { "formattedCitation" : "(Uauy et al., 2010)", "manualFormatting" : "(Uauy et al., 2010, p.23)", "plainTextFormattedCitation" : "(Uauy et al., 2010)", "previouslyFormattedCitation" : "(Uauy et al., 2010)" }, "properties" : { "noteIndex" : 0 }, "schema" : "https://github.com/citation-style-language/schema/raw/master/csl-citation.json" }</w:instrText>
      </w:r>
      <w:r w:rsidR="008C1733" w:rsidRPr="009B3747">
        <w:rPr>
          <w:rFonts w:eastAsia="Times New Roman" w:cstheme="minorHAnsi"/>
          <w:color w:val="000000"/>
          <w:lang w:eastAsia="en-GB"/>
        </w:rPr>
        <w:fldChar w:fldCharType="separate"/>
      </w:r>
      <w:r w:rsidR="008C1733" w:rsidRPr="009B3747">
        <w:rPr>
          <w:rFonts w:eastAsia="Times New Roman" w:cstheme="minorHAnsi"/>
          <w:noProof/>
          <w:color w:val="000000"/>
          <w:lang w:eastAsia="en-GB"/>
        </w:rPr>
        <w:t>(Uauy et al., 2010</w:t>
      </w:r>
      <w:r w:rsidR="00AE6A9E" w:rsidRPr="009B3747">
        <w:rPr>
          <w:rFonts w:eastAsia="Times New Roman" w:cstheme="minorHAnsi"/>
          <w:noProof/>
          <w:color w:val="000000"/>
          <w:lang w:eastAsia="en-GB"/>
        </w:rPr>
        <w:t>, p.</w:t>
      </w:r>
      <w:r w:rsidR="008C1733" w:rsidRPr="009B3747">
        <w:rPr>
          <w:rFonts w:eastAsia="Times New Roman" w:cstheme="minorHAnsi"/>
          <w:noProof/>
          <w:color w:val="000000"/>
          <w:lang w:eastAsia="en-GB"/>
        </w:rPr>
        <w:t>23)</w:t>
      </w:r>
      <w:r w:rsidR="008C1733" w:rsidRPr="009B3747">
        <w:rPr>
          <w:rFonts w:eastAsia="Times New Roman" w:cstheme="minorHAnsi"/>
          <w:color w:val="000000"/>
          <w:lang w:eastAsia="en-GB"/>
        </w:rPr>
        <w:fldChar w:fldCharType="end"/>
      </w:r>
      <w:r w:rsidR="008C1733"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Evidence indicates </w:t>
      </w:r>
      <w:r w:rsidR="008818AD"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"Butland", "given" : "B", "non-dropping-particle" : "", "parse-names" : false, "suffix" : "" }, { "dropping-particle" : "", "family" : "Jebb", "given" : "S", "non-dropping-particle" : "", "parse-names" : false, "suffix" : "" } ], "id" : "ITEM-1", "issued" : { "date-parts" : [ [ "2007" ] ] }, "title" : "Foresight. Tackling obesities: future choices. Project report.", "type" : "report" }, "uris" : [ "http://www.mendeley.com/documents/?uuid=8ae0e880-41d4-4b61-b434-dc36711dd306" ] } ], "mendeley" : { "formattedCitation" : "(Butland and Jebb, 2007)", "plainTextFormattedCitation" : "(Butland and Jebb, 2007)", "previouslyFormattedCitation" : "(Butland and Jebb, 2007)" }, "properties" : { "noteIndex" : 0 }, "schema" : "https://github.com/citation-style-language/schema/raw/master/csl-citation.json" }</w:instrText>
      </w:r>
      <w:r w:rsidR="008818AD" w:rsidRPr="009B3747">
        <w:rPr>
          <w:rFonts w:eastAsia="Times New Roman" w:cstheme="minorHAnsi"/>
          <w:color w:val="000000"/>
          <w:lang w:eastAsia="en-GB"/>
        </w:rPr>
        <w:fldChar w:fldCharType="separate"/>
      </w:r>
      <w:r w:rsidR="008818AD" w:rsidRPr="009B3747">
        <w:rPr>
          <w:rFonts w:eastAsia="Times New Roman" w:cstheme="minorHAnsi"/>
          <w:noProof/>
          <w:color w:val="000000"/>
          <w:lang w:eastAsia="en-GB"/>
        </w:rPr>
        <w:t>(Butland and Jebb, 2007)</w:t>
      </w:r>
      <w:r w:rsidR="008818AD" w:rsidRPr="009B3747">
        <w:rPr>
          <w:rFonts w:eastAsia="Times New Roman" w:cstheme="minorHAnsi"/>
          <w:color w:val="000000"/>
          <w:lang w:eastAsia="en-GB"/>
        </w:rPr>
        <w:fldChar w:fldCharType="end"/>
      </w:r>
      <w:r w:rsidR="008818AD"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that a number of points in an individual’s life course exist where there are opportunities to influence behaviour </w:t>
      </w:r>
      <w:r w:rsidR="008818AD" w:rsidRPr="009B3747">
        <w:rPr>
          <w:rFonts w:eastAsia="Times New Roman" w:cstheme="minorHAnsi"/>
          <w:color w:val="000000"/>
          <w:lang w:eastAsia="en-GB"/>
        </w:rPr>
        <w:t>and therefore prevent obesity (</w:t>
      </w:r>
      <w:r w:rsidR="008C1733" w:rsidRPr="009B3747">
        <w:rPr>
          <w:rFonts w:eastAsia="Times New Roman" w:cstheme="minorHAnsi"/>
          <w:color w:val="000000"/>
          <w:lang w:eastAsia="en-GB"/>
        </w:rPr>
        <w:t>Tabl</w:t>
      </w:r>
      <w:r w:rsidR="008818AD" w:rsidRPr="009B3747">
        <w:rPr>
          <w:rFonts w:eastAsia="Times New Roman" w:cstheme="minorHAnsi"/>
          <w:color w:val="000000"/>
          <w:lang w:eastAsia="en-GB"/>
        </w:rPr>
        <w:t>e 2)</w:t>
      </w:r>
      <w:r w:rsidRPr="009B3747">
        <w:rPr>
          <w:rFonts w:eastAsia="Times New Roman" w:cstheme="minorHAnsi"/>
          <w:color w:val="000000"/>
          <w:lang w:eastAsia="en-GB"/>
        </w:rPr>
        <w:t>.</w:t>
      </w:r>
      <w:r w:rsidR="00F757C7" w:rsidRPr="009B3747">
        <w:rPr>
          <w:rFonts w:eastAsia="Times New Roman" w:cstheme="minorHAnsi"/>
          <w:color w:val="000000"/>
          <w:lang w:eastAsia="en-GB"/>
        </w:rPr>
        <w:t xml:space="preserve">  These points or ‘critical periods’</w:t>
      </w:r>
      <w:r w:rsidR="008C1733" w:rsidRPr="009B3747">
        <w:rPr>
          <w:rFonts w:eastAsia="Times New Roman" w:cstheme="minorHAnsi"/>
          <w:color w:val="000000"/>
          <w:lang w:eastAsia="en-GB"/>
        </w:rPr>
        <w:t xml:space="preserve"> </w:t>
      </w:r>
      <w:r w:rsidR="008C1733" w:rsidRPr="009B3747">
        <w:rPr>
          <w:rFonts w:eastAsia="Times New Roman" w:cstheme="minorHAnsi"/>
          <w:color w:val="000000"/>
          <w:lang w:eastAsia="en-GB"/>
        </w:rPr>
        <w:fldChar w:fldCharType="begin" w:fldLock="1"/>
      </w:r>
      <w:r w:rsidR="008C1733" w:rsidRPr="009B3747">
        <w:rPr>
          <w:rFonts w:eastAsia="Times New Roman" w:cstheme="minorHAnsi"/>
          <w:color w:val="000000"/>
          <w:lang w:eastAsia="en-GB"/>
        </w:rPr>
        <w:instrText>ADDIN CSL_CITATION { "citationItems" : [ { "id" : "ITEM-1", "itemData" : { "ISSN" : "0002-9165", "PMID" : "8172099", "abstract" : "Critical periods of development have been well recognized for many behavioral and developmental processes. However, as others have pointed out, such periods have not been widely reported for nutritional diseases. Many observations suggest that two and possibly three critical periods exist for the development of obesity and its complications. These include gestation and early infancy, the period of adiposity rebound that occurs between 5 and 7 y of age, and adolescence. Obesity that begins at these periods appears to increase the risk of persistent obesity and its complications. The mechanisms that account for the increased risk associated with obesity at these ages remain unclear. Nonetheless, the existence of critical periods should serve to focus preventive efforts on these developmental stages.", "author" : [ { "dropping-particle" : "", "family" : "Dietz", "given" : "W H", "non-dropping-particle" : "", "parse-names" : false, "suffix" : "" } ], "container-title" : "The American journal of clinical nutrition", "id" : "ITEM-1", "issue" : "5", "issued" : { "date-parts" : [ [ "1994", "5" ] ] }, "page" : "955-9", "title" : "Critical periods in childhood for the development of obesity.", "type" : "article-journal", "volume" : "59" }, "uris" : [ "http://www.mendeley.com/documents/?uuid=0c28f555-20d0-3ef3-9493-3855eb08c3c4" ] }, { "id" : "ITEM-2", "itemData" : { "DOI" : "10.1161/01.CIR.0000161369.71722.10", "ISSN" : "0009-7322", "PMID" : "15837955", "abstract" : "The prevalence of overweight among children and adolescents has dramatically increased. There may be vulnerable periods for weight gain during childhood and adolescence that also offer opportunities for prevention of overweight. Overweight in children and adolescents can result in a variety of adverse health outcomes, including type 2 diabetes, obstructive sleep apnea, hypertension, dyslipidemia, and the metabolic syndrome. The best approach to this problem is prevention of abnormal weight gain. Several strategies for prevention are presented. In addition, treatment approaches are presented, including behavioral, pharmacological, and surgical treatment. Childhood and adolescent overweight is one of the most important current public health concerns.", "author" : [ { "dropping-particle" : "", "family" : "Daniels", "given" : "S. R.", "non-dropping-particle" : "", "parse-names" : false, "suffix" : "" }, { "dropping-particle" : "", "family" : "Arnett", "given" : "Donna K", "non-dropping-particle" : "", "parse-names" : false, "suffix" : "" }, { "dropping-particle" : "", "family" : "Eckel", "given" : "Robert H", "non-dropping-particle" : "", "parse-names" : false, "suffix" : "" }, { "dropping-particle" : "", "family" : "Gidding", "given" : "Samuel S", "non-dropping-particle" : "", "parse-names" : false, "suffix" : "" }, { "dropping-particle" : "", "family" : "Hayman", "given" : "Laura L", "non-dropping-particle" : "", "parse-names" : false, "suffix" : "" }, { "dropping-particle" : "", "family" : "Kumanyika", "given" : "Shiriki", "non-dropping-particle" : "", "parse-names" : false, "suffix" : "" }, { "dropping-particle" : "", "family" : "Robinson", "given" : "Thomas N", "non-dropping-particle" : "", "parse-names" : false, "suffix" : "" }, { "dropping-particle" : "", "family" : "Scott", "given" : "Barbara J", "non-dropping-particle" : "", "parse-names" : false, "suffix" : "" }, { "dropping-particle" : "", "family" : "St Jeor", "given" : "Sachiko", "non-dropping-particle" : "", "parse-names" : false, "suffix" : "" }, { "dropping-particle" : "", "family" : "Williams", "given" : "Christine L", "non-dropping-particle" : "", "parse-names" : false, "suffix" : "" } ], "container-title" : "Circulation", "id" : "ITEM-2", "issue" : "15", "issued" : { "date-parts" : [ [ "2005", "4", "19" ] ] }, "page" : "1999-2012", "title" : "Overweight in Children and Adolescents: Pathophysiology, Consequences, Prevention, and Treatment", "type" : "article-journal", "volume" : "111" }, "uris" : [ "http://www.mendeley.com/documents/?uuid=8eae4695-77a0-3011-97af-e10f0bf18ed1" ] } ], "mendeley" : { "formattedCitation" : "(Dietz, 1994; Daniels et al., 2005)", "plainTextFormattedCitation" : "(Dietz, 1994; Daniels et al., 2005)", "previouslyFormattedCitation" : "(Dietz, 1994; Daniels et al., 2005)" }, "properties" : { "noteIndex" : 0 }, "schema" : "https://github.com/citation-style-language/schema/raw/master/csl-citation.json" }</w:instrText>
      </w:r>
      <w:r w:rsidR="008C1733" w:rsidRPr="009B3747">
        <w:rPr>
          <w:rFonts w:eastAsia="Times New Roman" w:cstheme="minorHAnsi"/>
          <w:color w:val="000000"/>
          <w:lang w:eastAsia="en-GB"/>
        </w:rPr>
        <w:fldChar w:fldCharType="separate"/>
      </w:r>
      <w:r w:rsidR="008C1733" w:rsidRPr="009B3747">
        <w:rPr>
          <w:rFonts w:eastAsia="Times New Roman" w:cstheme="minorHAnsi"/>
          <w:noProof/>
          <w:color w:val="000000"/>
          <w:lang w:eastAsia="en-GB"/>
        </w:rPr>
        <w:t>(Dietz, 1994; Daniels et al., 2005)</w:t>
      </w:r>
      <w:r w:rsidR="008C1733" w:rsidRPr="009B3747">
        <w:rPr>
          <w:rFonts w:eastAsia="Times New Roman" w:cstheme="minorHAnsi"/>
          <w:color w:val="000000"/>
          <w:lang w:eastAsia="en-GB"/>
        </w:rPr>
        <w:fldChar w:fldCharType="end"/>
      </w:r>
      <w:r w:rsidR="008C1733" w:rsidRPr="009B3747">
        <w:rPr>
          <w:rFonts w:eastAsia="Times New Roman" w:cstheme="minorHAnsi"/>
          <w:color w:val="000000"/>
          <w:lang w:eastAsia="en-GB"/>
        </w:rPr>
        <w:t xml:space="preserve">, </w:t>
      </w:r>
      <w:r w:rsidR="00F757C7" w:rsidRPr="009B3747">
        <w:rPr>
          <w:rFonts w:eastAsia="Times New Roman" w:cstheme="minorHAnsi"/>
          <w:color w:val="000000"/>
          <w:lang w:eastAsia="en-GB"/>
        </w:rPr>
        <w:t>relate to notable changes in individual physiology and obesity related behaviour</w:t>
      </w:r>
      <w:r w:rsidR="008C1733" w:rsidRPr="009B3747">
        <w:rPr>
          <w:rFonts w:eastAsia="Times New Roman" w:cstheme="minorHAnsi"/>
          <w:color w:val="000000"/>
          <w:lang w:eastAsia="en-GB"/>
        </w:rPr>
        <w:t xml:space="preserve"> </w:t>
      </w:r>
      <w:r w:rsidR="008C1733" w:rsidRPr="009B3747">
        <w:rPr>
          <w:rFonts w:eastAsia="Times New Roman" w:cstheme="minorHAnsi"/>
          <w:color w:val="000000"/>
          <w:lang w:eastAsia="en-GB"/>
        </w:rPr>
        <w:fldChar w:fldCharType="begin" w:fldLock="1"/>
      </w:r>
      <w:r w:rsidR="008C1733" w:rsidRPr="009B3747">
        <w:rPr>
          <w:rFonts w:eastAsia="Times New Roman" w:cstheme="minorHAnsi"/>
          <w:color w:val="000000"/>
          <w:lang w:eastAsia="en-GB"/>
        </w:rPr>
        <w:instrText>ADDIN CSL_CITATION { "citationItems" : [ { "id" : "ITEM-1", "itemData" : { "DOI" : "10.1093/ije/dyi309", "ISSN" : "0300-5771", "PMID" : "16396899", "author" : [ { "dropping-particle" : "", "family" : "Lawlor", "given" : "D. A", "non-dropping-particle" : "", "parse-names" : false, "suffix" : "" }, { "dropping-particle" : "", "family" : "Chaturvedi", "given" : "Nish", "non-dropping-particle" : "", "parse-names" : false, "suffix" : "" } ], "container-title" : "International Journal of Epidemiology", "id" : "ITEM-1", "issue" : "1", "issued" : { "date-parts" : [ [ "2005", "7", "4" ] ] }, "page" : "3-9", "title" : "Treatment and prevention of obesity--are there critical periods for intervention?", "type" : "article-journal", "volume" : "35" }, "uris" : [ "http://www.mendeley.com/documents/?uuid=cc43bbe9-c495-39d6-b451-0507376974d0" ] } ], "mendeley" : { "formattedCitation" : "(Lawlor and Chaturvedi, 2005)", "plainTextFormattedCitation" : "(Lawlor and Chaturvedi, 2005)", "previouslyFormattedCitation" : "(Lawlor and Chaturvedi, 2005)" }, "properties" : { "noteIndex" : 0 }, "schema" : "https://github.com/citation-style-language/schema/raw/master/csl-citation.json" }</w:instrText>
      </w:r>
      <w:r w:rsidR="008C1733" w:rsidRPr="009B3747">
        <w:rPr>
          <w:rFonts w:eastAsia="Times New Roman" w:cstheme="minorHAnsi"/>
          <w:color w:val="000000"/>
          <w:lang w:eastAsia="en-GB"/>
        </w:rPr>
        <w:fldChar w:fldCharType="separate"/>
      </w:r>
      <w:r w:rsidR="008C1733" w:rsidRPr="009B3747">
        <w:rPr>
          <w:rFonts w:eastAsia="Times New Roman" w:cstheme="minorHAnsi"/>
          <w:noProof/>
          <w:color w:val="000000"/>
          <w:lang w:eastAsia="en-GB"/>
        </w:rPr>
        <w:t>(Lawlor and Chaturvedi, 2005)</w:t>
      </w:r>
      <w:r w:rsidR="008C1733" w:rsidRPr="009B3747">
        <w:rPr>
          <w:rFonts w:eastAsia="Times New Roman" w:cstheme="minorHAnsi"/>
          <w:color w:val="000000"/>
          <w:lang w:eastAsia="en-GB"/>
        </w:rPr>
        <w:fldChar w:fldCharType="end"/>
      </w:r>
      <w:r w:rsidR="008C1733" w:rsidRPr="009B3747">
        <w:rPr>
          <w:rFonts w:eastAsia="Times New Roman" w:cstheme="minorHAnsi"/>
          <w:color w:val="000000"/>
          <w:lang w:eastAsia="en-GB"/>
        </w:rPr>
        <w:t>.</w:t>
      </w:r>
    </w:p>
    <w:p w:rsidR="00E11E9D" w:rsidRPr="009B3747" w:rsidRDefault="00E11E9D" w:rsidP="00F757C7">
      <w:pPr>
        <w:rPr>
          <w:rFonts w:eastAsia="Times New Roman" w:cstheme="minorHAnsi"/>
          <w:color w:val="000000"/>
          <w:lang w:eastAsia="en-GB"/>
        </w:rPr>
      </w:pPr>
    </w:p>
    <w:p w:rsidR="00E11E9D" w:rsidRPr="009B3747" w:rsidRDefault="00E11E9D" w:rsidP="00E11E9D">
      <w:pPr>
        <w:rPr>
          <w:rFonts w:eastAsia="Times New Roman" w:cstheme="minorHAnsi"/>
          <w:lang w:eastAsia="en-GB"/>
        </w:rPr>
      </w:pPr>
      <w:r w:rsidRPr="009B3747">
        <w:rPr>
          <w:rFonts w:eastAsia="Times New Roman" w:cstheme="minorHAnsi"/>
          <w:lang w:eastAsia="en-GB"/>
        </w:rPr>
        <w:t xml:space="preserve">2.6.1.1 </w:t>
      </w:r>
      <w:r w:rsidRPr="009B3747">
        <w:rPr>
          <w:rFonts w:eastAsia="Times New Roman" w:cstheme="minorHAnsi"/>
          <w:iCs/>
          <w:color w:val="000000"/>
          <w:lang w:eastAsia="en-GB"/>
        </w:rPr>
        <w:t xml:space="preserve">Critical period for obesity prevention - adolescence </w:t>
      </w:r>
    </w:p>
    <w:p w:rsidR="00E11E9D" w:rsidRPr="009B3747" w:rsidRDefault="00E11E9D" w:rsidP="00E11E9D">
      <w:pPr>
        <w:spacing w:before="340"/>
        <w:rPr>
          <w:rFonts w:eastAsia="Times New Roman" w:cstheme="minorHAnsi"/>
          <w:color w:val="000000"/>
          <w:lang w:eastAsia="en-GB"/>
        </w:rPr>
      </w:pPr>
      <w:r w:rsidRPr="009B3747">
        <w:rPr>
          <w:rFonts w:eastAsia="Times New Roman" w:cstheme="minorHAnsi"/>
          <w:color w:val="000000"/>
          <w:lang w:eastAsia="en-GB"/>
        </w:rPr>
        <w:t xml:space="preserve">Whilst a number of critical periods exist for the development of obesity that persists into adulthood </w:t>
      </w:r>
      <w:r w:rsidRPr="009B3747">
        <w:rPr>
          <w:rFonts w:eastAsia="Times New Roman" w:cstheme="minorHAnsi"/>
          <w:color w:val="000000"/>
          <w:lang w:eastAsia="en-GB"/>
        </w:rPr>
        <w:fldChar w:fldCharType="begin" w:fldLock="1"/>
      </w:r>
      <w:r w:rsidRPr="009B3747">
        <w:rPr>
          <w:rFonts w:eastAsia="Times New Roman" w:cstheme="minorHAnsi"/>
          <w:color w:val="000000"/>
          <w:lang w:eastAsia="en-GB"/>
        </w:rPr>
        <w:instrText>ADDIN CSL_CITATION { "citationItems" : [ { "id" : "ITEM-1", "itemData" : { "ISSN" : "0002-9165", "PMID" : "8172099", "abstract" : "Critical periods of development have been well recognized for many behavioral and developmental processes. However, as others have pointed out, such periods have not been widely reported for nutritional diseases. Many observations suggest that two and possibly three critical periods exist for the development of obesity and its complications. These include gestation and early infancy, the period of adiposity rebound that occurs between 5 and 7 y of age, and adolescence. Obesity that begins at these periods appears to increase the risk of persistent obesity and its complications. The mechanisms that account for the increased risk associated with obesity at these ages remain unclear. Nonetheless, the existence of critical periods should serve to focus preventive efforts on these developmental stages.", "author" : [ { "dropping-particle" : "", "family" : "Dietz", "given" : "W H", "non-dropping-particle" : "", "parse-names" : false, "suffix" : "" } ], "container-title" : "The American journal of clinical nutrition", "id" : "ITEM-1", "issue" : "5", "issued" : { "date-parts" : [ [ "1994", "5" ] ] }, "page" : "955-9", "title" : "Critical periods in childhood for the development of obesity.", "type" : "article-journal", "volume" : "59" }, "uris" : [ "http://www.mendeley.com/documents/?uuid=0c28f555-20d0-3ef3-9493-3855eb08c3c4" ] } ], "mendeley" : { "formattedCitation" : "(Dietz, 1994)", "plainTextFormattedCitation" : "(Dietz, 1994)", "previouslyFormattedCitation" : "(Dietz, 1994)" }, "properties" : { "noteIndex" : 0 }, "schema" : "https://github.com/citation-style-language/schema/raw/master/csl-citation.json" }</w:instrText>
      </w:r>
      <w:r w:rsidRPr="009B3747">
        <w:rPr>
          <w:rFonts w:eastAsia="Times New Roman" w:cstheme="minorHAnsi"/>
          <w:color w:val="000000"/>
          <w:lang w:eastAsia="en-GB"/>
        </w:rPr>
        <w:fldChar w:fldCharType="separate"/>
      </w:r>
      <w:r w:rsidRPr="009B3747">
        <w:rPr>
          <w:rFonts w:eastAsia="Times New Roman" w:cstheme="minorHAnsi"/>
          <w:noProof/>
          <w:color w:val="000000"/>
          <w:lang w:eastAsia="en-GB"/>
        </w:rPr>
        <w:t>(Dietz, 1994)</w:t>
      </w:r>
      <w:r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academics have argued that the three most notable are the prenatal period, the </w:t>
      </w:r>
      <w:r w:rsidRPr="009B3747">
        <w:rPr>
          <w:rFonts w:eastAsia="Times New Roman" w:cstheme="minorHAnsi"/>
          <w:color w:val="000000"/>
          <w:lang w:eastAsia="en-GB"/>
        </w:rPr>
        <w:lastRenderedPageBreak/>
        <w:t>period of adiposity rebound (between ages 3 to 5 years) and of direct r</w:t>
      </w:r>
      <w:r w:rsidR="007A3FA5" w:rsidRPr="009B3747">
        <w:rPr>
          <w:rFonts w:eastAsia="Times New Roman" w:cstheme="minorHAnsi"/>
          <w:color w:val="000000"/>
          <w:lang w:eastAsia="en-GB"/>
        </w:rPr>
        <w:t xml:space="preserve">elevant to this doctoral study – </w:t>
      </w:r>
      <w:r w:rsidRPr="009B3747">
        <w:rPr>
          <w:rFonts w:eastAsia="Times New Roman" w:cstheme="minorHAnsi"/>
          <w:color w:val="000000"/>
          <w:lang w:eastAsia="en-GB"/>
        </w:rPr>
        <w:t xml:space="preserve">the period of adolescence </w:t>
      </w:r>
      <w:r w:rsidRPr="009B3747">
        <w:rPr>
          <w:rFonts w:eastAsia="Times New Roman" w:cstheme="minorHAnsi"/>
          <w:color w:val="000000"/>
          <w:lang w:eastAsia="en-GB"/>
        </w:rPr>
        <w:fldChar w:fldCharType="begin" w:fldLock="1"/>
      </w:r>
      <w:r w:rsidRPr="009B3747">
        <w:rPr>
          <w:rFonts w:eastAsia="Times New Roman" w:cstheme="minorHAnsi"/>
          <w:color w:val="000000"/>
          <w:lang w:eastAsia="en-GB"/>
        </w:rPr>
        <w:instrText>ADDIN CSL_CITATION { "citationItems" : [ { "id" : "ITEM-1", "itemData" : { "ISSN" : "0002-9165", "PMID" : "8172099", "abstract" : "Critical periods of development have been well recognized for many behavioral and developmental processes. However, as others have pointed out, such periods have not been widely reported for nutritional diseases. Many observations suggest that two and possibly three critical periods exist for the development of obesity and its complications. These include gestation and early infancy, the period of adiposity rebound that occurs between 5 and 7 y of age, and adolescence. Obesity that begins at these periods appears to increase the risk of persistent obesity and its complications. The mechanisms that account for the increased risk associated with obesity at these ages remain unclear. Nonetheless, the existence of critical periods should serve to focus preventive efforts on these developmental stages.", "author" : [ { "dropping-particle" : "", "family" : "Dietz", "given" : "W H", "non-dropping-particle" : "", "parse-names" : false, "suffix" : "" } ], "container-title" : "The American journal of clinical nutrition", "id" : "ITEM-1", "issue" : "5", "issued" : { "date-parts" : [ [ "1994", "5" ] ] }, "page" : "955-9", "title" : "Critical periods in childhood for the development of obesity.", "type" : "article-journal", "volume" : "59" }, "uris" : [ "http://www.mendeley.com/documents/?uuid=0c28f555-20d0-3ef3-9493-3855eb08c3c4" ] }, { "id" : "ITEM-2", "itemData" : { "DOI" : "10.1093/ije/dyi309", "ISSN" : "0300-5771", "PMID" : "16396899", "author" : [ { "dropping-particle" : "", "family" : "Lawlor", "given" : "D. A", "non-dropping-particle" : "", "parse-names" : false, "suffix" : "" }, { "dropping-particle" : "", "family" : "Chaturvedi", "given" : "Nish", "non-dropping-particle" : "", "parse-names" : false, "suffix" : "" } ], "container-title" : "International Journal of Epidemiology", "id" : "ITEM-2", "issue" : "1", "issued" : { "date-parts" : [ [ "2005", "7", "4" ] ] }, "page" : "3-9", "title" : "Treatment and prevention of obesity--are there critical periods for intervention?", "type" : "article-journal", "volume" : "35" }, "uris" : [ "http://www.mendeley.com/documents/?uuid=cc43bbe9-c495-39d6-b451-0507376974d0" ] } ], "mendeley" : { "formattedCitation" : "(Dietz, 1994; Lawlor and Chaturvedi, 2005)", "plainTextFormattedCitation" : "(Dietz, 1994; Lawlor and Chaturvedi, 2005)", "previouslyFormattedCitation" : "(Dietz, 1994; Lawlor and Chaturvedi, 2005)" }, "properties" : { "noteIndex" : 0 }, "schema" : "https://github.com/citation-style-language/schema/raw/master/csl-citation.json" }</w:instrText>
      </w:r>
      <w:r w:rsidRPr="009B3747">
        <w:rPr>
          <w:rFonts w:eastAsia="Times New Roman" w:cstheme="minorHAnsi"/>
          <w:color w:val="000000"/>
          <w:lang w:eastAsia="en-GB"/>
        </w:rPr>
        <w:fldChar w:fldCharType="separate"/>
      </w:r>
      <w:r w:rsidRPr="009B3747">
        <w:rPr>
          <w:rFonts w:eastAsia="Times New Roman" w:cstheme="minorHAnsi"/>
          <w:noProof/>
          <w:color w:val="000000"/>
          <w:lang w:eastAsia="en-GB"/>
        </w:rPr>
        <w:t>(Dietz, 1994; Lawlor and Chaturvedi, 2005)</w:t>
      </w:r>
      <w:r w:rsidRPr="009B3747">
        <w:rPr>
          <w:rFonts w:eastAsia="Times New Roman" w:cstheme="minorHAnsi"/>
          <w:color w:val="000000"/>
          <w:lang w:eastAsia="en-GB"/>
        </w:rPr>
        <w:fldChar w:fldCharType="end"/>
      </w:r>
      <w:r w:rsidRPr="009B3747">
        <w:rPr>
          <w:rFonts w:eastAsia="Times New Roman" w:cstheme="minorHAnsi"/>
          <w:color w:val="000000"/>
          <w:lang w:eastAsia="en-GB"/>
        </w:rPr>
        <w:t>.</w:t>
      </w:r>
    </w:p>
    <w:p w:rsidR="00E11E9D" w:rsidRPr="009B3747" w:rsidRDefault="00E11E9D" w:rsidP="00E11E9D">
      <w:pPr>
        <w:spacing w:before="340"/>
        <w:rPr>
          <w:rFonts w:eastAsia="Times New Roman" w:cstheme="minorHAnsi"/>
          <w:sz w:val="24"/>
          <w:szCs w:val="24"/>
          <w:lang w:eastAsia="en-GB"/>
        </w:rPr>
      </w:pPr>
      <w:r w:rsidRPr="009B3747">
        <w:rPr>
          <w:rFonts w:eastAsia="Times New Roman" w:cstheme="minorHAnsi"/>
          <w:color w:val="000000"/>
          <w:lang w:eastAsia="en-GB"/>
        </w:rPr>
        <w:t>Adolescence represents a unique and dynamic period of time in an individual's life</w:t>
      </w:r>
      <w:r w:rsidR="0071085A">
        <w:rPr>
          <w:rFonts w:eastAsia="Times New Roman" w:cstheme="minorHAnsi"/>
          <w:color w:val="000000"/>
          <w:lang w:eastAsia="en-GB"/>
        </w:rPr>
        <w:t>,</w:t>
      </w:r>
      <w:r w:rsidRPr="009B3747">
        <w:rPr>
          <w:rFonts w:eastAsia="Times New Roman" w:cstheme="minorHAnsi"/>
          <w:color w:val="000000"/>
          <w:lang w:eastAsia="en-GB"/>
        </w:rPr>
        <w:t xml:space="preserve"> which dictates future risk of non-communicable disease and development of mental health problems </w:t>
      </w:r>
      <w:r w:rsidRPr="009B3747">
        <w:rPr>
          <w:rFonts w:eastAsia="Times New Roman" w:cstheme="minorHAnsi"/>
          <w:color w:val="000000"/>
          <w:lang w:eastAsia="en-GB"/>
        </w:rPr>
        <w:fldChar w:fldCharType="begin" w:fldLock="1"/>
      </w:r>
      <w:r w:rsidRPr="009B3747">
        <w:rPr>
          <w:rFonts w:eastAsia="Times New Roman" w:cstheme="minorHAnsi"/>
          <w:color w:val="000000"/>
          <w:lang w:eastAsia="en-GB"/>
        </w:rPr>
        <w:instrText>ADDIN CSL_CITATION { "citationItems" : [ { "id" : "ITEM-1", "itemData" : { "DOI" : "10.1016/S0140-6736(16)30298-7", "ISSN" : "1474-547X", "PMID" : "27174308", "author" : [ { "dropping-particle" : "", "family" : "Gates", "given" : "Melinda", "non-dropping-particle" : "", "parse-names" : false, "suffix" : "" }, { "dropping-particle" : "", "family" : "Sawyer", "given" : "SM", "non-dropping-particle" : "", "parse-names" : false, "suffix" : "" }, { "dropping-particle" : "", "family" : "Santelli", "given" : "JS", "non-dropping-particle" : "", "parse-names" : false, "suffix" : "" }, { "dropping-particle" : "", "family" : "al.", "given" : "et", "non-dropping-particle" : "", "parse-names" : false, "suffix" : "" } ], "container-title" : "Lancet (London, England)", "id" : "ITEM-1", "issue" : "10036", "issued" : { "date-parts" : [ [ "2016", "6", "11" ] ] }, "page" : "2358-9", "publisher" : "The United Nations Population Fund, New York", "title" : "Advancing the adolescent health agenda.", "type" : "article-journal", "volume" : "387" }, "uris" : [ "http://www.mendeley.com/documents/?uuid=8f94eeb9-1fa9-3586-aab8-dc3e0b88fb64" ] }, { "id" : "ITEM-2", "itemData" : { "DOI" : "10.1016/S0140-6736(16)30297-5", "ISSN" : "1474-547X", "PMID" : "27174303", "author" : [ { "dropping-particle" : "", "family" : "Kleinert", "given" : "Sabine", "non-dropping-particle" : "", "parse-names" : false, "suffix" : "" }, { "dropping-particle" : "", "family" : "Horton", "given" : "Richard", "non-dropping-particle" : "", "parse-names" : false, "suffix" : "" }, { "dropping-particle" : "", "family" : "Ejdemyr", "given" : "S", "non-dropping-particle" : "", "parse-names" : false, "suffix" : "" }, { "dropping-particle" : "", "family" : "al.", "given" : "et", "non-dropping-particle" : "", "parse-names" : false, "suffix" : "" }, { "dropping-particle" : "", "family" : "Patton", "given" : "GC", "non-dropping-particle" : "", "parse-names" : false, "suffix" : "" } ], "container-title" : "Lancet (London, England)", "id" : "ITEM-2", "issue" : "10036", "issued" : { "date-parts" : [ [ "2016", "6", "11" ] ] }, "page" : "2355-6", "publisher" : "World Health Organization, Geneva", "title" : "Adolescent health and wellbeing: a key to a sustainable future.", "type" : "article-journal", "volume" : "387" }, "uris" : [ "http://www.mendeley.com/documents/?uuid=2ace6e70-7ee2-362c-8782-b94082ee1d87" ] } ], "mendeley" : { "formattedCitation" : "(Gates et al., 2016; Kleinert et al., 2016)", "plainTextFormattedCitation" : "(Gates et al., 2016; Kleinert et al., 2016)", "previouslyFormattedCitation" : "(Gates et al., 2016; Kleinert et al., 2016)" }, "properties" : { "noteIndex" : 0 }, "schema" : "https://github.com/citation-style-language/schema/raw/master/csl-citation.json" }</w:instrText>
      </w:r>
      <w:r w:rsidRPr="009B3747">
        <w:rPr>
          <w:rFonts w:eastAsia="Times New Roman" w:cstheme="minorHAnsi"/>
          <w:color w:val="000000"/>
          <w:lang w:eastAsia="en-GB"/>
        </w:rPr>
        <w:fldChar w:fldCharType="separate"/>
      </w:r>
      <w:r w:rsidRPr="009B3747">
        <w:rPr>
          <w:rFonts w:eastAsia="Times New Roman" w:cstheme="minorHAnsi"/>
          <w:noProof/>
          <w:color w:val="000000"/>
          <w:lang w:eastAsia="en-GB"/>
        </w:rPr>
        <w:t>(Gates et al., 2016; Kleinert et al., 2016)</w:t>
      </w:r>
      <w:r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Referred to as the ‘transitional period’, </w:t>
      </w:r>
      <w:r w:rsidRPr="009B3747">
        <w:rPr>
          <w:rFonts w:eastAsia="Times New Roman" w:cstheme="minorHAnsi"/>
          <w:color w:val="000000"/>
          <w:shd w:val="clear" w:color="auto" w:fill="FFFFFF"/>
          <w:lang w:eastAsia="en-GB"/>
        </w:rPr>
        <w:t xml:space="preserve">adolescence begins with puberty and is marked by dynamic and significant physiological and psychological changes </w:t>
      </w:r>
      <w:r w:rsidRPr="009B3747">
        <w:rPr>
          <w:rFonts w:eastAsia="Times New Roman" w:cstheme="minorHAnsi"/>
          <w:color w:val="000000"/>
          <w:shd w:val="clear" w:color="auto" w:fill="FFFFFF"/>
          <w:lang w:eastAsia="en-GB"/>
        </w:rPr>
        <w:fldChar w:fldCharType="begin" w:fldLock="1"/>
      </w:r>
      <w:r w:rsidRPr="009B3747">
        <w:rPr>
          <w:rFonts w:eastAsia="Times New Roman" w:cstheme="minorHAnsi"/>
          <w:color w:val="000000"/>
          <w:shd w:val="clear" w:color="auto" w:fill="FFFFFF"/>
          <w:lang w:eastAsia="en-GB"/>
        </w:rPr>
        <w:instrText>ADDIN CSL_CITATION { "citationItems" : [ { "id" : "ITEM-1", "itemData" : { "DOI" : "10.1161/01.CIR.0000161369.71722.10", "ISSN" : "0009-7322", "PMID" : "15837955", "abstract" : "The prevalence of overweight among children and adolescents has dramatically increased. There may be vulnerable periods for weight gain during childhood and adolescence that also offer opportunities for prevention of overweight. Overweight in children and adolescents can result in a variety of adverse health outcomes, including type 2 diabetes, obstructive sleep apnea, hypertension, dyslipidemia, and the metabolic syndrome. The best approach to this problem is prevention of abnormal weight gain. Several strategies for prevention are presented. In addition, treatment approaches are presented, including behavioral, pharmacological, and surgical treatment. Childhood and adolescent overweight is one of the most important current public health concerns.", "author" : [ { "dropping-particle" : "", "family" : "Daniels", "given" : "S. R.", "non-dropping-particle" : "", "parse-names" : false, "suffix" : "" }, { "dropping-particle" : "", "family" : "Arnett", "given" : "Donna K", "non-dropping-particle" : "", "parse-names" : false, "suffix" : "" }, { "dropping-particle" : "", "family" : "Eckel", "given" : "Robert H", "non-dropping-particle" : "", "parse-names" : false, "suffix" : "" }, { "dropping-particle" : "", "family" : "Gidding", "given" : "Samuel S", "non-dropping-particle" : "", "parse-names" : false, "suffix" : "" }, { "dropping-particle" : "", "family" : "Hayman", "given" : "Laura L", "non-dropping-particle" : "", "parse-names" : false, "suffix" : "" }, { "dropping-particle" : "", "family" : "Kumanyika", "given" : "Shiriki", "non-dropping-particle" : "", "parse-names" : false, "suffix" : "" }, { "dropping-particle" : "", "family" : "Robinson", "given" : "Thomas N", "non-dropping-particle" : "", "parse-names" : false, "suffix" : "" }, { "dropping-particle" : "", "family" : "Scott", "given" : "Barbara J", "non-dropping-particle" : "", "parse-names" : false, "suffix" : "" }, { "dropping-particle" : "", "family" : "St Jeor", "given" : "Sachiko", "non-dropping-particle" : "", "parse-names" : false, "suffix" : "" }, { "dropping-particle" : "", "family" : "Williams", "given" : "Christine L", "non-dropping-particle" : "", "parse-names" : false, "suffix" : "" } ], "container-title" : "Circulation", "id" : "ITEM-1", "issue" : "15", "issued" : { "date-parts" : [ [ "2005", "4", "19" ] ] }, "page" : "1999-2012", "title" : "Overweight in Children and Adolescents: Pathophysiology, Consequences, Prevention, and Treatment", "type" : "article-journal", "volume" : "111" }, "uris" : [ "http://www.mendeley.com/documents/?uuid=8eae4695-77a0-3011-97af-e10f0bf18ed1" ] } ], "mendeley" : { "formattedCitation" : "(Daniels et al., 2005)", "plainTextFormattedCitation" : "(Daniels et al., 2005)", "previouslyFormattedCitation" : "(Daniels et al., 2005)" }, "properties" : { "noteIndex" : 0 }, "schema" : "https://github.com/citation-style-language/schema/raw/master/csl-citation.json" }</w:instrText>
      </w:r>
      <w:r w:rsidRPr="009B3747">
        <w:rPr>
          <w:rFonts w:eastAsia="Times New Roman" w:cstheme="minorHAnsi"/>
          <w:color w:val="000000"/>
          <w:shd w:val="clear" w:color="auto" w:fill="FFFFFF"/>
          <w:lang w:eastAsia="en-GB"/>
        </w:rPr>
        <w:fldChar w:fldCharType="separate"/>
      </w:r>
      <w:r w:rsidRPr="009B3747">
        <w:rPr>
          <w:rFonts w:eastAsia="Times New Roman" w:cstheme="minorHAnsi"/>
          <w:noProof/>
          <w:color w:val="000000"/>
          <w:shd w:val="clear" w:color="auto" w:fill="FFFFFF"/>
          <w:lang w:eastAsia="en-GB"/>
        </w:rPr>
        <w:t>(Daniels et al., 2005)</w:t>
      </w:r>
      <w:r w:rsidRPr="009B3747">
        <w:rPr>
          <w:rFonts w:eastAsia="Times New Roman" w:cstheme="minorHAnsi"/>
          <w:color w:val="000000"/>
          <w:shd w:val="clear" w:color="auto" w:fill="FFFFFF"/>
          <w:lang w:eastAsia="en-GB"/>
        </w:rPr>
        <w:fldChar w:fldCharType="end"/>
      </w:r>
      <w:r w:rsidRPr="009B3747">
        <w:rPr>
          <w:rFonts w:eastAsia="Times New Roman" w:cstheme="minorHAnsi"/>
          <w:color w:val="000000"/>
          <w:shd w:val="clear" w:color="auto" w:fill="FFFFFF"/>
          <w:lang w:eastAsia="en-GB"/>
        </w:rPr>
        <w:t xml:space="preserve">.  During this period, increasing social and economic independence occurs as does the development of personal identity </w:t>
      </w:r>
      <w:r w:rsidRPr="009B3747">
        <w:rPr>
          <w:rFonts w:eastAsia="Times New Roman" w:cstheme="minorHAnsi"/>
          <w:color w:val="000000"/>
          <w:shd w:val="clear" w:color="auto" w:fill="FFFFFF"/>
          <w:lang w:eastAsia="en-GB"/>
        </w:rPr>
        <w:fldChar w:fldCharType="begin" w:fldLock="1"/>
      </w:r>
      <w:r w:rsidRPr="009B3747">
        <w:rPr>
          <w:rFonts w:eastAsia="Times New Roman" w:cstheme="minorHAnsi"/>
          <w:color w:val="000000"/>
          <w:shd w:val="clear" w:color="auto" w:fill="FFFFFF"/>
          <w:lang w:eastAsia="en-GB"/>
        </w:rPr>
        <w:instrText>ADDIN CSL_CITATION { "citationItems" : [ { "id" : "ITEM-1", "itemData" : { "URL" : "http://apps.who.int/adolescent/second-decade/section2/page5/adolescence-psychological-and-social-changes.html", "author" : [ { "dropping-particle" : "", "family" : "World Health Organization", "given" : "", "non-dropping-particle" : "", "parse-names" : false, "suffix" : "" } ], "id" : "ITEM-1", "issued" : { "date-parts" : [ [ "2014" ] ] }, "title" : "Adolescence: psychological and social changes", "type" : "webpage" }, "uris" : [ "http://www.mendeley.com/documents/?uuid=ea9edc7c-2ed0-4695-916a-74691facd374" ] } ], "mendeley" : { "formattedCitation" : "(World Health Organization, 2014)", "plainTextFormattedCitation" : "(World Health Organization, 2014)", "previouslyFormattedCitation" : "(World Health Organization, 2014)" }, "properties" : { "noteIndex" : 0 }, "schema" : "https://github.com/citation-style-language/schema/raw/master/csl-citation.json" }</w:instrText>
      </w:r>
      <w:r w:rsidRPr="009B3747">
        <w:rPr>
          <w:rFonts w:eastAsia="Times New Roman" w:cstheme="minorHAnsi"/>
          <w:color w:val="000000"/>
          <w:shd w:val="clear" w:color="auto" w:fill="FFFFFF"/>
          <w:lang w:eastAsia="en-GB"/>
        </w:rPr>
        <w:fldChar w:fldCharType="separate"/>
      </w:r>
      <w:r w:rsidRPr="009B3747">
        <w:rPr>
          <w:rFonts w:eastAsia="Times New Roman" w:cstheme="minorHAnsi"/>
          <w:noProof/>
          <w:color w:val="000000"/>
          <w:shd w:val="clear" w:color="auto" w:fill="FFFFFF"/>
          <w:lang w:eastAsia="en-GB"/>
        </w:rPr>
        <w:t>(World Health Organization, 2014)</w:t>
      </w:r>
      <w:r w:rsidRPr="009B3747">
        <w:rPr>
          <w:rFonts w:eastAsia="Times New Roman" w:cstheme="minorHAnsi"/>
          <w:color w:val="000000"/>
          <w:shd w:val="clear" w:color="auto" w:fill="FFFFFF"/>
          <w:lang w:eastAsia="en-GB"/>
        </w:rPr>
        <w:fldChar w:fldCharType="end"/>
      </w:r>
      <w:r w:rsidRPr="009B3747">
        <w:rPr>
          <w:rFonts w:eastAsia="Times New Roman" w:cstheme="minorHAnsi"/>
          <w:color w:val="000000"/>
          <w:shd w:val="clear" w:color="auto" w:fill="FFFFFF"/>
          <w:lang w:eastAsia="en-GB"/>
        </w:rPr>
        <w:t xml:space="preserve">, therefore adolescence presents both distinct opportunities and challenges for influencing health and well-being </w:t>
      </w:r>
      <w:r w:rsidRPr="009B3747">
        <w:rPr>
          <w:rFonts w:eastAsia="Times New Roman" w:cstheme="minorHAnsi"/>
          <w:color w:val="000000"/>
          <w:shd w:val="clear" w:color="auto" w:fill="FFFFFF"/>
          <w:lang w:eastAsia="en-GB"/>
        </w:rPr>
        <w:fldChar w:fldCharType="begin" w:fldLock="1"/>
      </w:r>
      <w:r w:rsidRPr="009B3747">
        <w:rPr>
          <w:rFonts w:eastAsia="Times New Roman" w:cstheme="minorHAnsi"/>
          <w:color w:val="000000"/>
          <w:shd w:val="clear" w:color="auto" w:fill="FFFFFF"/>
          <w:lang w:eastAsia="en-GB"/>
        </w:rPr>
        <w:instrText>ADDIN CSL_CITATION { "citationItems" : [ { "id" : "ITEM-1", "itemData" : { "DOI" : "10.1016/S0140-6736(12)60072-5", "ISSN" : "01406736", "PMID" : "22538178", "abstract" : "Adolescence is a life phase in which the opportunities for health are great and future patterns of adult health are established. Health in adolescence is the result of interactions between prenatal and early childhood development and the specific biological and social-role changes that accompany puberty, shaped by social determinants and risk and protective factors that affect the uptake of health-related behaviours. The shape of adolescence is rapidly changing-the age of onset of puberty is decreasing and the age at which mature social roles are achieved is rising. New understandings of the diverse and dynamic effects on adolescent health include insights into the effects of puberty and brain development, together with social media. A focus on adolescence is central to the success of many public health agendas, including the Millennium Development Goals aiming to reduce child and maternal mortality and HIV/AIDS, and the more recent emphases on mental health, injuries, and non-communicable diseases. Greater attention to adolescence is needed within each of these public health domains if global health targets are to be met. Strategies that place the adolescent years centre stage-rather than focusing only on specific health agendas-provide important opportunities to improve health, both in adolescence and later in life.", "author" : [ { "dropping-particle" : "", "family" : "Sawyer", "given" : "Susan M", "non-dropping-particle" : "", "parse-names" : false, "suffix" : "" }, { "dropping-particle" : "", "family" : "Afifi", "given" : "Rima A", "non-dropping-particle" : "", "parse-names" : false, "suffix" : "" }, { "dropping-particle" : "", "family" : "Bearinger", "given" : "Linda H", "non-dropping-particle" : "", "parse-names" : false, "suffix" : "" }, { "dropping-particle" : "", "family" : "Blakemore", "given" : "Sarah-Jayne", "non-dropping-particle" : "", "parse-names" : false, "suffix" : "" }, { "dropping-particle" : "", "family" : "Dick", "given" : "Bruce", "non-dropping-particle" : "", "parse-names" : false, "suffix" : "" }, { "dropping-particle" : "", "family" : "Ezeh", "given" : "Alex C", "non-dropping-particle" : "", "parse-names" : false, "suffix" : "" }, { "dropping-particle" : "", "family" : "Patton", "given" : "George C", "non-dropping-particle" : "", "parse-names" : false, "suffix" : "" } ], "container-title" : "The Lancet", "id" : "ITEM-1", "issue" : "9826", "issued" : { "date-parts" : [ [ "2012", "4", "28" ] ] }, "page" : "1630-1640", "title" : "Adolescence: a foundation for future health", "type" : "article-journal", "volume" : "379" }, "uris" : [ "http://www.mendeley.com/documents/?uuid=86337351-c66e-3f53-9515-0f26d19a19aa" ] }, { "id" : "ITEM-2", "itemData" : { "DOI" : "10.1016/S0140-6736(13)62116-9", "ISSN" : "01406736", "author" : [ { "dropping-particle" : "", "family" : "Patton", "given" : "George C", "non-dropping-particle" : "", "parse-names" : false, "suffix" : "" }, { "dropping-particle" : "", "family" : "Coffey", "given" : "Carolyn", "non-dropping-particle" : "", "parse-names" : false, "suffix" : "" }, { "dropping-particle" : "", "family" : "Romaniuk", "given" : "Helena", "non-dropping-particle" : "", "parse-names" : false, "suffix" : "" }, { "dropping-particle" : "", "family" : "Mackinnon", "given" : "Andrew", "non-dropping-particle" : "", "parse-names" : false, "suffix" : "" }, { "dropping-particle" : "", "family" : "Carlin", "given" : "John B", "non-dropping-particle" : "", "parse-names" : false, "suffix" : "" }, { "dropping-particle" : "", "family" : "Degenhardt", "given" : "Louisa", "non-dropping-particle" : "", "parse-names" : false, "suffix" : "" }, { "dropping-particle" : "", "family" : "Olsson", "given" : "Craig A", "non-dropping-particle" : "", "parse-names" : false, "suffix" : "" }, { "dropping-particle" : "", "family" : "Moran", "given" : "Paul", "non-dropping-particle" : "", "parse-names" : false, "suffix" : "" } ], "container-title" : "The Lancet", "id" : "ITEM-2", "issue" : "9926", "issued" : { "date-parts" : [ [ "2014", "4" ] ] }, "page" : "1404-1411", "title" : "The prognosis of common mental disorders in adolescents: a 14-year prospective cohort study", "type" : "article-journal", "volume" : "383" }, "uris" : [ "http://www.mendeley.com/documents/?uuid=e59f4857-1522-36c2-89d6-44abc430dc07" ] } ], "mendeley" : { "formattedCitation" : "(Sawyer et al., 2012; Patton et al., 2014)", "manualFormatting" : "(Sawyer et al., 2012; Patton et al., 2014)", "plainTextFormattedCitation" : "(Sawyer et al., 2012; Patton et al., 2014)", "previouslyFormattedCitation" : "(Sawyer et al., 2012; Patton et al., 2014)" }, "properties" : { "noteIndex" : 0 }, "schema" : "https://github.com/citation-style-language/schema/raw/master/csl-citation.json" }</w:instrText>
      </w:r>
      <w:r w:rsidRPr="009B3747">
        <w:rPr>
          <w:rFonts w:eastAsia="Times New Roman" w:cstheme="minorHAnsi"/>
          <w:color w:val="000000"/>
          <w:shd w:val="clear" w:color="auto" w:fill="FFFFFF"/>
          <w:lang w:eastAsia="en-GB"/>
        </w:rPr>
        <w:fldChar w:fldCharType="separate"/>
      </w:r>
      <w:r w:rsidRPr="009B3747">
        <w:rPr>
          <w:rFonts w:eastAsia="Times New Roman" w:cstheme="minorHAnsi"/>
          <w:noProof/>
          <w:color w:val="000000"/>
          <w:shd w:val="clear" w:color="auto" w:fill="FFFFFF"/>
          <w:lang w:eastAsia="en-GB"/>
        </w:rPr>
        <w:t>(Sawyer et al., 2012; Patton et al., 2014)</w:t>
      </w:r>
      <w:r w:rsidRPr="009B3747">
        <w:rPr>
          <w:rFonts w:eastAsia="Times New Roman" w:cstheme="minorHAnsi"/>
          <w:color w:val="000000"/>
          <w:shd w:val="clear" w:color="auto" w:fill="FFFFFF"/>
          <w:lang w:eastAsia="en-GB"/>
        </w:rPr>
        <w:fldChar w:fldCharType="end"/>
      </w:r>
      <w:r w:rsidRPr="009B3747">
        <w:rPr>
          <w:rFonts w:eastAsia="Times New Roman" w:cstheme="minorHAnsi"/>
          <w:color w:val="000000"/>
          <w:shd w:val="clear" w:color="auto" w:fill="FFFFFF"/>
          <w:lang w:eastAsia="en-GB"/>
        </w:rPr>
        <w:t>.</w:t>
      </w:r>
    </w:p>
    <w:p w:rsidR="00E11E9D" w:rsidRPr="009B3747" w:rsidRDefault="00E11E9D" w:rsidP="00F757C7">
      <w:pPr>
        <w:rPr>
          <w:rFonts w:eastAsia="Times New Roman" w:cstheme="minorHAnsi"/>
          <w:sz w:val="24"/>
          <w:szCs w:val="24"/>
          <w:lang w:eastAsia="en-GB"/>
        </w:rPr>
      </w:pPr>
    </w:p>
    <w:p w:rsidR="00F757C7" w:rsidRPr="009B3747" w:rsidRDefault="00F757C7" w:rsidP="00F757C7">
      <w:pPr>
        <w:spacing w:line="240" w:lineRule="auto"/>
        <w:rPr>
          <w:rFonts w:eastAsia="Times New Roman" w:cstheme="minorHAnsi"/>
          <w:color w:val="000000"/>
          <w:u w:val="single"/>
          <w:lang w:eastAsia="en-GB"/>
        </w:rPr>
      </w:pPr>
      <w:r w:rsidRPr="009B3747">
        <w:rPr>
          <w:rFonts w:eastAsia="Times New Roman" w:cstheme="minorHAnsi"/>
          <w:color w:val="000000"/>
          <w:u w:val="single"/>
          <w:lang w:eastAsia="en-GB"/>
        </w:rPr>
        <w:t>Table 2</w:t>
      </w:r>
      <w:r w:rsidR="00846B21" w:rsidRPr="009B3747">
        <w:rPr>
          <w:rFonts w:eastAsia="Times New Roman" w:cstheme="minorHAnsi"/>
          <w:color w:val="000000"/>
          <w:u w:val="single"/>
          <w:lang w:eastAsia="en-GB"/>
        </w:rPr>
        <w:t>.2</w:t>
      </w:r>
      <w:r w:rsidRPr="009B3747">
        <w:rPr>
          <w:rFonts w:eastAsia="Times New Roman" w:cstheme="minorHAnsi"/>
          <w:color w:val="000000"/>
          <w:u w:val="single"/>
          <w:lang w:eastAsia="en-GB"/>
        </w:rPr>
        <w:t xml:space="preserve"> – Critical opportunities in the life course to influence behaviour</w:t>
      </w:r>
    </w:p>
    <w:p w:rsidR="00F757C7" w:rsidRPr="009B3747" w:rsidRDefault="00F757C7" w:rsidP="00F757C7">
      <w:pPr>
        <w:spacing w:line="240" w:lineRule="auto"/>
        <w:rPr>
          <w:rFonts w:eastAsia="Times New Roman" w:cstheme="minorHAnsi"/>
          <w:color w:val="000000"/>
          <w:lang w:eastAsia="en-GB"/>
        </w:rPr>
      </w:pPr>
    </w:p>
    <w:p w:rsidR="00A16FA3" w:rsidRPr="009B3747" w:rsidRDefault="00A16FA3" w:rsidP="00F757C7">
      <w:pPr>
        <w:spacing w:line="240" w:lineRule="auto"/>
        <w:rPr>
          <w:rFonts w:eastAsia="Times New Roman" w:cstheme="minorHAnsi"/>
          <w:sz w:val="24"/>
          <w:szCs w:val="24"/>
          <w:lang w:eastAsia="en-GB"/>
        </w:rPr>
      </w:pPr>
      <w:r w:rsidRPr="009B3747">
        <w:rPr>
          <w:rFonts w:eastAsia="Times New Roman" w:cstheme="minorHAnsi"/>
          <w:color w:val="000000"/>
          <w:lang w:eastAsia="en-GB"/>
        </w:rPr>
        <w:t xml:space="preserve">  </w:t>
      </w:r>
      <w:r w:rsidRPr="009B3747">
        <w:rPr>
          <w:rFonts w:eastAsia="Times New Roman" w:cstheme="minorHAnsi"/>
          <w:sz w:val="24"/>
          <w:szCs w:val="24"/>
          <w:lang w:eastAsia="en-GB"/>
        </w:rPr>
        <w:t> </w:t>
      </w:r>
      <w:r w:rsidRPr="009B3747">
        <w:rPr>
          <w:rFonts w:eastAsia="Times New Roman" w:cstheme="minorHAnsi"/>
          <w:noProof/>
          <w:sz w:val="24"/>
          <w:szCs w:val="24"/>
          <w:lang w:eastAsia="en-GB"/>
        </w:rPr>
        <w:drawing>
          <wp:inline distT="0" distB="0" distL="0" distR="0">
            <wp:extent cx="4476750" cy="4496870"/>
            <wp:effectExtent l="0" t="0" r="0" b="0"/>
            <wp:docPr id="1" name="Picture 1" descr="https://lh3.googleusercontent.com/ULF0wo9HuBgJa84vSRn92pS0xyYZ78RYoYVmjLYLNMvcpRMc9yBIf_oo9KWvv-XcxCrmpEQt4-2bRmAdIksZvJexF-Rf_bn9io5y71qZ0suQe1nWTxNZqW7Cdps6OxVEaMeoF3Z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ULF0wo9HuBgJa84vSRn92pS0xyYZ78RYoYVmjLYLNMvcpRMc9yBIf_oo9KWvv-XcxCrmpEQt4-2bRmAdIksZvJexF-Rf_bn9io5y71qZ0suQe1nWTxNZqW7Cdps6OxVEaMeoF3ZF"/>
                    <pic:cNvPicPr>
                      <a:picLocks noChangeAspect="1" noChangeArrowheads="1"/>
                    </pic:cNvPicPr>
                  </pic:nvPicPr>
                  <pic:blipFill rotWithShape="1">
                    <a:blip r:embed="rId11">
                      <a:extLst>
                        <a:ext uri="{28A0092B-C50C-407E-A947-70E740481C1C}">
                          <a14:useLocalDpi xmlns:a14="http://schemas.microsoft.com/office/drawing/2010/main" val="0"/>
                        </a:ext>
                      </a:extLst>
                    </a:blip>
                    <a:srcRect l="31408" t="16284" r="16246" b="10779"/>
                    <a:stretch/>
                  </pic:blipFill>
                  <pic:spPr bwMode="auto">
                    <a:xfrm>
                      <a:off x="0" y="0"/>
                      <a:ext cx="4483816" cy="4503968"/>
                    </a:xfrm>
                    <a:prstGeom prst="rect">
                      <a:avLst/>
                    </a:prstGeom>
                    <a:noFill/>
                    <a:ln>
                      <a:noFill/>
                    </a:ln>
                    <a:extLst>
                      <a:ext uri="{53640926-AAD7-44D8-BBD7-CCE9431645EC}">
                        <a14:shadowObscured xmlns:a14="http://schemas.microsoft.com/office/drawing/2010/main"/>
                      </a:ext>
                    </a:extLst>
                  </pic:spPr>
                </pic:pic>
              </a:graphicData>
            </a:graphic>
          </wp:inline>
        </w:drawing>
      </w:r>
    </w:p>
    <w:p w:rsidR="00A16FA3" w:rsidRPr="009B3747" w:rsidRDefault="005F1170" w:rsidP="007A3FA5">
      <w:pPr>
        <w:ind w:left="3600" w:firstLine="720"/>
        <w:rPr>
          <w:rFonts w:eastAsia="Times New Roman" w:cstheme="minorHAnsi"/>
          <w:sz w:val="20"/>
          <w:szCs w:val="20"/>
          <w:lang w:eastAsia="en-GB"/>
        </w:rPr>
      </w:pPr>
      <w:r w:rsidRPr="009B3747">
        <w:rPr>
          <w:rFonts w:eastAsia="Times New Roman" w:cstheme="minorHAnsi"/>
          <w:color w:val="000000"/>
          <w:sz w:val="20"/>
          <w:szCs w:val="20"/>
          <w:lang w:eastAsia="en-GB"/>
        </w:rPr>
        <w:t>(</w:t>
      </w:r>
      <w:r w:rsidR="007A3FA5" w:rsidRPr="009B3747">
        <w:rPr>
          <w:rFonts w:eastAsia="Times New Roman" w:cstheme="minorHAnsi"/>
          <w:color w:val="000000"/>
          <w:sz w:val="20"/>
          <w:szCs w:val="20"/>
          <w:lang w:eastAsia="en-GB"/>
        </w:rPr>
        <w:t xml:space="preserve">Source - </w:t>
      </w:r>
      <w:r w:rsidR="00F757C7" w:rsidRPr="009B3747">
        <w:rPr>
          <w:rFonts w:eastAsia="Times New Roman" w:cstheme="minorHAnsi"/>
          <w:color w:val="000000"/>
          <w:sz w:val="20"/>
          <w:szCs w:val="20"/>
          <w:lang w:eastAsia="en-GB"/>
        </w:rPr>
        <w:t>Butland and Jebb, 2007</w:t>
      </w:r>
      <w:r w:rsidRPr="009B3747">
        <w:rPr>
          <w:rFonts w:eastAsia="Times New Roman" w:cstheme="minorHAnsi"/>
          <w:sz w:val="20"/>
          <w:szCs w:val="20"/>
          <w:lang w:eastAsia="en-GB"/>
        </w:rPr>
        <w:t>)</w:t>
      </w:r>
    </w:p>
    <w:p w:rsidR="00E11E9D" w:rsidRPr="009B3747" w:rsidRDefault="00E11E9D" w:rsidP="00E11E9D">
      <w:pPr>
        <w:rPr>
          <w:rFonts w:eastAsia="Times New Roman" w:cstheme="minorHAnsi"/>
          <w:sz w:val="24"/>
          <w:szCs w:val="24"/>
          <w:lang w:eastAsia="en-GB"/>
        </w:rPr>
      </w:pPr>
      <w:r w:rsidRPr="009B3747">
        <w:rPr>
          <w:rFonts w:eastAsia="Times New Roman" w:cstheme="minorHAnsi"/>
          <w:sz w:val="24"/>
          <w:szCs w:val="24"/>
          <w:lang w:eastAsia="en-GB"/>
        </w:rPr>
        <w:t> </w:t>
      </w:r>
    </w:p>
    <w:p w:rsidR="00A16FA3" w:rsidRPr="009B3747" w:rsidRDefault="00A16FA3" w:rsidP="00E11E9D">
      <w:pPr>
        <w:rPr>
          <w:rFonts w:eastAsia="Times New Roman" w:cstheme="minorHAnsi"/>
          <w:sz w:val="24"/>
          <w:szCs w:val="24"/>
          <w:lang w:eastAsia="en-GB"/>
        </w:rPr>
      </w:pPr>
      <w:r w:rsidRPr="009B3747">
        <w:rPr>
          <w:rFonts w:eastAsia="Times New Roman" w:cstheme="minorHAnsi"/>
          <w:color w:val="000000"/>
          <w:shd w:val="clear" w:color="auto" w:fill="FFFFFF"/>
          <w:lang w:eastAsia="en-GB"/>
        </w:rPr>
        <w:lastRenderedPageBreak/>
        <w:t xml:space="preserve">Despite this, and the fact that an estimated 70% of premature deaths in adults can be attributed to behaviours started in adolescence, this critical </w:t>
      </w:r>
      <w:r w:rsidRPr="009B3747">
        <w:rPr>
          <w:rFonts w:eastAsia="Times New Roman" w:cstheme="minorHAnsi"/>
          <w:color w:val="000000"/>
          <w:lang w:eastAsia="en-GB"/>
        </w:rPr>
        <w:t>period remains largely invisible, with an almost exclusive focus evident on children and adults within existing systems and structures</w:t>
      </w:r>
      <w:r w:rsidR="008C1733" w:rsidRPr="009B3747">
        <w:rPr>
          <w:rFonts w:eastAsia="Times New Roman" w:cstheme="minorHAnsi"/>
          <w:color w:val="000000"/>
          <w:lang w:eastAsia="en-GB"/>
        </w:rPr>
        <w:t xml:space="preserve"> </w:t>
      </w:r>
      <w:r w:rsidR="008C1733"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"DOI" : "10.1016/S0140-6736(12)60072-5", "ISSN" : "01406736", "PMID" : "22538178", "abstract" : "Adolescence is a life phase in which the opportunities for health are great and future patterns of adult health are established. Health in adolescence is the result of interactions between prenatal and early childhood development and the specific biological and social-role changes that accompany puberty, shaped by social determinants and risk and protective factors that affect the uptake of health-related behaviours. The shape of adolescence is rapidly changing-the age of onset of puberty is decreasing and the age at which mature social roles are achieved is rising. New understandings of the diverse and dynamic effects on adolescent health include insights into the effects of puberty and brain development, together with social media. A focus on adolescence is central to the success of many public health agendas, including the Millennium Development Goals aiming to reduce child and maternal mortality and HIV/AIDS, and the more recent emphases on mental health, injuries, and non-communicable diseases. Greater attention to adolescence is needed within each of these public health domains if global health targets are to be met. Strategies that place the adolescent years centre stage-rather than focusing only on specific health agendas-provide important opportunities to improve health, both in adolescence and later in life.", "author" : [ { "dropping-particle" : "", "family" : "Sawyer", "given" : "Susan M", "non-dropping-particle" : "", "parse-names" : false, "suffix" : "" }, { "dropping-particle" : "", "family" : "Afifi", "given" : "Rima A", "non-dropping-particle" : "", "parse-names" : false, "suffix" : "" }, { "dropping-particle" : "", "family" : "Bearinger", "given" : "Linda H", "non-dropping-particle" : "", "parse-names" : false, "suffix" : "" }, { "dropping-particle" : "", "family" : "Blakemore", "given" : "Sarah-Jayne", "non-dropping-particle" : "", "parse-names" : false, "suffix" : "" }, { "dropping-particle" : "", "family" : "Dick", "given" : "Bruce", "non-dropping-particle" : "", "parse-names" : false, "suffix" : "" }, { "dropping-particle" : "", "family" : "Ezeh", "given" : "Alex C", "non-dropping-particle" : "", "parse-names" : false, "suffix" : "" }, { "dropping-particle" : "", "family" : "Patton", "given" : "George C", "non-dropping-particle" : "", "parse-names" : false, "suffix" : "" } ], "container-title" : "The Lancet", "id" : "ITEM-1", "issue" : "9826", "issued" : { "date-parts" : [ [ "2012", "4", "28" ] ] }, "page" : "1630-1640", "title" : "Adolescence: a foundation for future health", "type" : "article-journal", "volume" : "379" }, "uris" : [ "http://www.mendeley.com/documents/?uuid=86337351-c66e-3f53-9515-0f26d19a19aa" ] }, { "id" : "ITEM-2", "itemData" : { "DOI" : "10.1016/S0140-6736(16)30298-7", "ISSN" : "1474-547X", "PMID" : "27174308", "author" : [ { "dropping-particle" : "", "family" : "Gates", "given" : "Melinda", "non-dropping-particle" : "", "parse-names" : false, "suffix" : "" }, { "dropping-particle" : "", "family" : "Sawyer", "given" : "SM", "non-dropping-particle" : "", "parse-names" : false, "suffix" : "" }, { "dropping-particle" : "", "family" : "Santelli", "given" : "JS", "non-dropping-particle" : "", "parse-names" : false, "suffix" : "" }, { "dropping-particle" : "", "family" : "al.", "given" : "et", "non-dropping-particle" : "", "parse-names" : false, "suffix" : "" } ], "container-title" : "Lancet (London, England)", "id" : "ITEM-2", "issue" : "10036", "issued" : { "date-parts" : [ [ "2016", "6", "11" ] ] }, "page" : "2358-9", "publisher" : "The United Nations Population Fund, New York", "title" : "Advancing the adolescent health agenda.", "type" : "article-journal", "volume" : "387" }, "uris" : [ "http://www.mendeley.com/documents/?uuid=8f94eeb9-1fa9-3586-aab8-dc3e0b88fb64" ] } ], "mendeley" : { "formattedCitation" : "(Sawyer et al., 2012; Gates et al., 2016)", "manualFormatting" : "(Sawyer et al., 2012; Gates et al., 2016)", "plainTextFormattedCitation" : "(Sawyer et al., 2012; Gates et al., 2016)", "previouslyFormattedCitation" : "(Sawyer et al., 2012; Gates et al., 2016)" }, "properties" : { "noteIndex" : 0 }, "schema" : "https://github.com/citation-style-language/schema/raw/master/csl-citation.json" }</w:instrText>
      </w:r>
      <w:r w:rsidR="008C1733" w:rsidRPr="009B3747">
        <w:rPr>
          <w:rFonts w:eastAsia="Times New Roman" w:cstheme="minorHAnsi"/>
          <w:color w:val="000000"/>
          <w:lang w:eastAsia="en-GB"/>
        </w:rPr>
        <w:fldChar w:fldCharType="separate"/>
      </w:r>
      <w:r w:rsidR="00090345" w:rsidRPr="009B3747">
        <w:rPr>
          <w:rFonts w:eastAsia="Times New Roman" w:cstheme="minorHAnsi"/>
          <w:noProof/>
          <w:color w:val="000000"/>
          <w:lang w:eastAsia="en-GB"/>
        </w:rPr>
        <w:t>(</w:t>
      </w:r>
      <w:r w:rsidR="008C1733" w:rsidRPr="009B3747">
        <w:rPr>
          <w:rFonts w:eastAsia="Times New Roman" w:cstheme="minorHAnsi"/>
          <w:noProof/>
          <w:color w:val="000000"/>
          <w:lang w:eastAsia="en-GB"/>
        </w:rPr>
        <w:t>Sawyer et al., 2012; Gates et al., 2016)</w:t>
      </w:r>
      <w:r w:rsidR="008C1733" w:rsidRPr="009B3747">
        <w:rPr>
          <w:rFonts w:eastAsia="Times New Roman" w:cstheme="minorHAnsi"/>
          <w:color w:val="000000"/>
          <w:lang w:eastAsia="en-GB"/>
        </w:rPr>
        <w:fldChar w:fldCharType="end"/>
      </w:r>
      <w:r w:rsidR="008C1733" w:rsidRPr="009B3747">
        <w:rPr>
          <w:rFonts w:eastAsia="Times New Roman" w:cstheme="minorHAnsi"/>
          <w:color w:val="000000"/>
          <w:lang w:eastAsia="en-GB"/>
        </w:rPr>
        <w:t xml:space="preserve">.  </w:t>
      </w:r>
      <w:r w:rsidRPr="009B3747">
        <w:rPr>
          <w:rFonts w:eastAsia="Times New Roman" w:cstheme="minorHAnsi"/>
          <w:color w:val="000000"/>
          <w:lang w:eastAsia="en-GB"/>
        </w:rPr>
        <w:t>Consequently the recent Lancet Commission on adolescent health and wellbeing (2016), highlights the importance of advancing the adolescent health agenda, especially given th</w:t>
      </w:r>
      <w:r w:rsidR="008C1733" w:rsidRPr="009B3747">
        <w:rPr>
          <w:rFonts w:eastAsia="Times New Roman" w:cstheme="minorHAnsi"/>
          <w:color w:val="000000"/>
          <w:lang w:eastAsia="en-GB"/>
        </w:rPr>
        <w:t>at</w:t>
      </w:r>
      <w:r w:rsidR="00AE6A9E" w:rsidRPr="009B3747">
        <w:rPr>
          <w:rFonts w:eastAsia="Times New Roman" w:cstheme="minorHAnsi"/>
          <w:color w:val="000000"/>
          <w:lang w:eastAsia="en-GB"/>
        </w:rPr>
        <w:t xml:space="preserve"> </w:t>
      </w:r>
      <w:r w:rsidR="00FB5B00" w:rsidRPr="009B3747">
        <w:rPr>
          <w:rFonts w:eastAsia="Times New Roman" w:cstheme="minorHAnsi"/>
          <w:i/>
          <w:color w:val="000000"/>
          <w:lang w:eastAsia="en-GB"/>
        </w:rPr>
        <w:t>“</w:t>
      </w:r>
      <w:r w:rsidRPr="009B3747">
        <w:rPr>
          <w:rFonts w:eastAsia="Times New Roman" w:cstheme="minorHAnsi"/>
          <w:i/>
          <w:color w:val="000000"/>
          <w:lang w:eastAsia="en-GB"/>
        </w:rPr>
        <w:t>risks for cancer and cardiovascular disease in later life commonly start in adolescence (</w:t>
      </w:r>
      <w:r w:rsidR="008C1733" w:rsidRPr="009B3747">
        <w:rPr>
          <w:rFonts w:eastAsia="Times New Roman" w:cstheme="minorHAnsi"/>
          <w:i/>
          <w:color w:val="000000"/>
          <w:lang w:eastAsia="en-GB"/>
        </w:rPr>
        <w:t>e.g.</w:t>
      </w:r>
      <w:r w:rsidRPr="009B3747">
        <w:rPr>
          <w:rFonts w:eastAsia="Times New Roman" w:cstheme="minorHAnsi"/>
          <w:i/>
          <w:color w:val="000000"/>
          <w:lang w:eastAsia="en-GB"/>
        </w:rPr>
        <w:t xml:space="preserve"> tobacco and alcohol use), or intensify during these years (</w:t>
      </w:r>
      <w:r w:rsidR="008C1733" w:rsidRPr="009B3747">
        <w:rPr>
          <w:rFonts w:eastAsia="Times New Roman" w:cstheme="minorHAnsi"/>
          <w:i/>
          <w:color w:val="000000"/>
          <w:lang w:eastAsia="en-GB"/>
        </w:rPr>
        <w:t>e.g.</w:t>
      </w:r>
      <w:r w:rsidRPr="009B3747">
        <w:rPr>
          <w:rFonts w:eastAsia="Times New Roman" w:cstheme="minorHAnsi"/>
          <w:i/>
          <w:color w:val="000000"/>
          <w:lang w:eastAsia="en-GB"/>
        </w:rPr>
        <w:t xml:space="preserve"> overweight and obesity, physical inactivity, a</w:t>
      </w:r>
      <w:r w:rsidR="00FB5B00" w:rsidRPr="009B3747">
        <w:rPr>
          <w:rFonts w:eastAsia="Times New Roman" w:cstheme="minorHAnsi"/>
          <w:i/>
          <w:color w:val="000000"/>
          <w:lang w:eastAsia="en-GB"/>
        </w:rPr>
        <w:t>nd poor diet)”</w:t>
      </w:r>
      <w:r w:rsidRPr="009B3747">
        <w:rPr>
          <w:rFonts w:eastAsia="Times New Roman" w:cstheme="minorHAnsi"/>
          <w:i/>
          <w:color w:val="000000"/>
          <w:lang w:eastAsia="en-GB"/>
        </w:rPr>
        <w:t>,</w:t>
      </w:r>
      <w:r w:rsidRPr="009B3747">
        <w:rPr>
          <w:rFonts w:eastAsia="Times New Roman" w:cstheme="minorHAnsi"/>
          <w:color w:val="000000"/>
          <w:lang w:eastAsia="en-GB"/>
        </w:rPr>
        <w:t xml:space="preserve"> </w:t>
      </w:r>
      <w:r w:rsidR="008C1733" w:rsidRPr="009B3747">
        <w:rPr>
          <w:rFonts w:eastAsia="Times New Roman" w:cstheme="minorHAnsi"/>
          <w:color w:val="000000"/>
          <w:lang w:eastAsia="en-GB"/>
        </w:rPr>
        <w:fldChar w:fldCharType="begin" w:fldLock="1"/>
      </w:r>
      <w:r w:rsidR="00224C9C" w:rsidRPr="009B3747">
        <w:rPr>
          <w:rFonts w:eastAsia="Times New Roman" w:cstheme="minorHAnsi"/>
          <w:color w:val="000000"/>
          <w:lang w:eastAsia="en-GB"/>
        </w:rPr>
        <w:instrText>ADDIN CSL_CITATION { "citationItems" : [ { "id" : "ITEM-1", "itemData" : { "DOI" : "10.1016/S0140-6736(13)62116-9", "ISSN" : "01406736", "author" : [ { "dropping-particle" : "", "family" : "Patton", "given" : "George C", "non-dropping-particle" : "", "parse-names" : false, "suffix" : "" }, { "dropping-particle" : "", "family" : "Coffey", "given" : "Carolyn", "non-dropping-particle" : "", "parse-names" : false, "suffix" : "" }, { "dropping-particle" : "", "family" : "Romaniuk", "given" : "Helena", "non-dropping-particle" : "", "parse-names" : false, "suffix" : "" }, { "dropping-particle" : "", "family" : "Mackinnon", "given" : "Andrew", "non-dropping-particle" : "", "parse-names" : false, "suffix" : "" }, { "dropping-particle" : "", "family" : "Carlin", "given" : "John B", "non-dropping-particle" : "", "parse-names" : false, "suffix" : "" }, { "dropping-particle" : "", "family" : "Degenhardt", "given" : "Louisa", "non-dropping-particle" : "", "parse-names" : false, "suffix" : "" }, { "dropping-particle" : "", "family" : "Olsson", "given" : "Craig A", "non-dropping-particle" : "", "parse-names" : false, "suffix" : "" }, { "dropping-particle" : "", "family" : "Moran", "given" : "Paul", "non-dropping-particle" : "", "parse-names" : false, "suffix" : "" } ], "container-title" : "The Lancet", "id" : "ITEM-1", "issue" : "9926", "issued" : { "date-parts" : [ [ "2014", "4" ] ] }, "page" : "1404-1411", "title" : "The prognosis of common mental disorders in adolescents: a 14-year prospective cohort study", "type" : "article-journal", "volume" : "383" }, "uris" : [ "http://www.mendeley.com/documents/?uuid=e59f4857-1522-36c2-89d6-44abc430dc07" ] } ], "mendeley" : { "formattedCitation" : "(Patton et al., 2014)", "manualFormatting" : "(Patton et al., 2014, p.385)", "plainTextFormattedCitation" : "(Patton et al., 2014)", "previouslyFormattedCitation" : "(Patton et al., 2014)" }, "properties" : { "noteIndex" : 0 }, "schema" : "https://github.com/citation-style-language/schema/raw/master/csl-citation.json" }</w:instrText>
      </w:r>
      <w:r w:rsidR="008C1733" w:rsidRPr="009B3747">
        <w:rPr>
          <w:rFonts w:eastAsia="Times New Roman" w:cstheme="minorHAnsi"/>
          <w:color w:val="000000"/>
          <w:lang w:eastAsia="en-GB"/>
        </w:rPr>
        <w:fldChar w:fldCharType="separate"/>
      </w:r>
      <w:r w:rsidR="008C1733" w:rsidRPr="009B3747">
        <w:rPr>
          <w:rFonts w:eastAsia="Times New Roman" w:cstheme="minorHAnsi"/>
          <w:noProof/>
          <w:color w:val="000000"/>
          <w:lang w:eastAsia="en-GB"/>
        </w:rPr>
        <w:t>(Patton et al., 2014</w:t>
      </w:r>
      <w:r w:rsidR="00FB5B00" w:rsidRPr="009B3747">
        <w:rPr>
          <w:rFonts w:eastAsia="Times New Roman" w:cstheme="minorHAnsi"/>
          <w:noProof/>
          <w:color w:val="000000"/>
          <w:lang w:eastAsia="en-GB"/>
        </w:rPr>
        <w:t>, p.</w:t>
      </w:r>
      <w:r w:rsidR="008C1733" w:rsidRPr="009B3747">
        <w:rPr>
          <w:rFonts w:eastAsia="Times New Roman" w:cstheme="minorHAnsi"/>
          <w:noProof/>
          <w:color w:val="000000"/>
          <w:lang w:eastAsia="en-GB"/>
        </w:rPr>
        <w:t>385)</w:t>
      </w:r>
      <w:r w:rsidR="008C1733" w:rsidRPr="009B3747">
        <w:rPr>
          <w:rFonts w:eastAsia="Times New Roman" w:cstheme="minorHAnsi"/>
          <w:color w:val="000000"/>
          <w:lang w:eastAsia="en-GB"/>
        </w:rPr>
        <w:fldChar w:fldCharType="end"/>
      </w:r>
      <w:r w:rsidR="008C1733" w:rsidRPr="009B3747">
        <w:rPr>
          <w:rFonts w:eastAsia="Times New Roman" w:cstheme="minorHAnsi"/>
          <w:color w:val="000000"/>
          <w:lang w:eastAsia="en-GB"/>
        </w:rPr>
        <w:t>.</w:t>
      </w:r>
    </w:p>
    <w:p w:rsidR="00A16FA3" w:rsidRPr="009B3747" w:rsidRDefault="00A16FA3" w:rsidP="00A16FA3">
      <w:pPr>
        <w:spacing w:before="340"/>
        <w:rPr>
          <w:rFonts w:eastAsia="Times New Roman" w:cstheme="minorHAnsi"/>
          <w:sz w:val="24"/>
          <w:szCs w:val="24"/>
          <w:lang w:eastAsia="en-GB"/>
        </w:rPr>
      </w:pPr>
      <w:r w:rsidRPr="009B3747">
        <w:rPr>
          <w:rFonts w:eastAsia="Times New Roman" w:cstheme="minorHAnsi"/>
          <w:color w:val="000000"/>
          <w:lang w:eastAsia="en-GB"/>
        </w:rPr>
        <w:t>In spite of increased global advocacy calling for countries to meet the unique health and well-being needs of adolescents</w:t>
      </w:r>
      <w:r w:rsidR="00821841" w:rsidRPr="009B3747">
        <w:rPr>
          <w:rFonts w:eastAsia="Times New Roman" w:cstheme="minorHAnsi"/>
          <w:color w:val="000000"/>
          <w:lang w:eastAsia="en-GB"/>
        </w:rPr>
        <w:t xml:space="preserve"> </w:t>
      </w:r>
      <w:r w:rsidR="00821841" w:rsidRPr="009B3747">
        <w:rPr>
          <w:rFonts w:eastAsia="Times New Roman" w:cstheme="minorHAnsi"/>
          <w:color w:val="000000"/>
          <w:lang w:eastAsia="en-GB"/>
        </w:rPr>
        <w:fldChar w:fldCharType="begin" w:fldLock="1"/>
      </w:r>
      <w:r w:rsidR="00821841" w:rsidRPr="009B3747">
        <w:rPr>
          <w:rFonts w:eastAsia="Times New Roman" w:cstheme="minorHAnsi"/>
          <w:color w:val="000000"/>
          <w:lang w:eastAsia="en-GB"/>
        </w:rPr>
        <w:instrText>ADDIN CSL_CITATION { "citationItems" : [ { "id" : "ITEM-1", "itemData" : { "DOI" : "10.1016/S0140-6736(16)30298-7", "ISSN" : "1474-547X", "PMID" : "27174308", "author" : [ { "dropping-particle" : "", "family" : "Gates", "given" : "Melinda", "non-dropping-particle" : "", "parse-names" : false, "suffix" : "" }, { "dropping-particle" : "", "family" : "Sawyer", "given" : "SM", "non-dropping-particle" : "", "parse-names" : false, "suffix" : "" }, { "dropping-particle" : "", "family" : "Santelli", "given" : "JS", "non-dropping-particle" : "", "parse-names" : false, "suffix" : "" }, { "dropping-particle" : "", "family" : "al.", "given" : "et", "non-dropping-particle" : "", "parse-names" : false, "suffix" : "" } ], "container-title" : "Lancet (London, England)", "id" : "ITEM-1", "issue" : "10036", "issued" : { "date-parts" : [ [ "2016", "6", "11" ] ] }, "page" : "2358-9", "publisher" : "The United Nations Population Fund, New York", "title" : "Advancing the adolescent health agenda.", "type" : "article-journal", "volume" : "387" }, "uris" : [ "http://www.mendeley.com/documents/?uuid=8f94eeb9-1fa9-3586-aab8-dc3e0b88fb64" ] }, { "id" : "ITEM-2", "itemData" : { "DOI" : "10.1016/S0140-6736(16)30297-5", "ISSN" : "1474-547X", "PMID" : "27174303", "author" : [ { "dropping-particle" : "", "family" : "Kleinert", "given" : "Sabine", "non-dropping-particle" : "", "parse-names" : false, "suffix" : "" }, { "dropping-particle" : "", "family" : "Horton", "given" : "Richard", "non-dropping-particle" : "", "parse-names" : false, "suffix" : "" }, { "dropping-particle" : "", "family" : "Ejdemyr", "given" : "S", "non-dropping-particle" : "", "parse-names" : false, "suffix" : "" }, { "dropping-particle" : "", "family" : "al.", "given" : "et", "non-dropping-particle" : "", "parse-names" : false, "suffix" : "" }, { "dropping-particle" : "", "family" : "Patton", "given" : "GC", "non-dropping-particle" : "", "parse-names" : false, "suffix" : "" } ], "container-title" : "Lancet (London, England)", "id" : "ITEM-2", "issue" : "10036", "issued" : { "date-parts" : [ [ "2016", "6", "11" ] ] }, "page" : "2355-6", "publisher" : "World Health Organization, Geneva", "title" : "Adolescent health and wellbeing: a key to a sustainable future.", "type" : "article-journal", "volume" : "387" }, "uris" : [ "http://www.mendeley.com/documents/?uuid=2ace6e70-7ee2-362c-8782-b94082ee1d87" ] } ], "mendeley" : { "formattedCitation" : "(Gates et al., 2016; Kleinert et al., 2016)", "plainTextFormattedCitation" : "(Gates et al., 2016; Kleinert et al., 2016)", "previouslyFormattedCitation" : "(Gates et al., 2016; Kleinert et al., 2016)" }, "properties" : { "noteIndex" : 0 }, "schema" : "https://github.com/citation-style-language/schema/raw/master/csl-citation.json" }</w:instrText>
      </w:r>
      <w:r w:rsidR="00821841" w:rsidRPr="009B3747">
        <w:rPr>
          <w:rFonts w:eastAsia="Times New Roman" w:cstheme="minorHAnsi"/>
          <w:color w:val="000000"/>
          <w:lang w:eastAsia="en-GB"/>
        </w:rPr>
        <w:fldChar w:fldCharType="separate"/>
      </w:r>
      <w:r w:rsidR="00821841" w:rsidRPr="009B3747">
        <w:rPr>
          <w:rFonts w:eastAsia="Times New Roman" w:cstheme="minorHAnsi"/>
          <w:noProof/>
          <w:color w:val="000000"/>
          <w:lang w:eastAsia="en-GB"/>
        </w:rPr>
        <w:t>(Gates et al., 2016; Kleinert et al., 2016)</w:t>
      </w:r>
      <w:r w:rsidR="00821841" w:rsidRPr="009B3747">
        <w:rPr>
          <w:rFonts w:eastAsia="Times New Roman" w:cstheme="minorHAnsi"/>
          <w:color w:val="000000"/>
          <w:lang w:eastAsia="en-GB"/>
        </w:rPr>
        <w:fldChar w:fldCharType="end"/>
      </w:r>
      <w:r w:rsidRPr="009B3747">
        <w:rPr>
          <w:rFonts w:eastAsia="Times New Roman" w:cstheme="minorHAnsi"/>
          <w:color w:val="000000"/>
          <w:lang w:eastAsia="en-GB"/>
        </w:rPr>
        <w:t>, the recent national strategic approach to preventing obesity</w:t>
      </w:r>
      <w:r w:rsidR="00821841" w:rsidRPr="009B3747">
        <w:rPr>
          <w:rFonts w:eastAsia="Times New Roman" w:cstheme="minorHAnsi"/>
          <w:color w:val="000000"/>
          <w:lang w:eastAsia="en-GB"/>
        </w:rPr>
        <w:t xml:space="preserve"> </w:t>
      </w:r>
      <w:r w:rsidR="00821841" w:rsidRPr="009B3747">
        <w:rPr>
          <w:rFonts w:eastAsia="Times New Roman" w:cstheme="minorHAnsi"/>
          <w:color w:val="000000"/>
          <w:lang w:eastAsia="en-GB"/>
        </w:rPr>
        <w:fldChar w:fldCharType="begin" w:fldLock="1"/>
      </w:r>
      <w:r w:rsidR="00821841" w:rsidRPr="009B3747">
        <w:rPr>
          <w:rFonts w:eastAsia="Times New Roman" w:cstheme="minorHAnsi"/>
          <w:color w:val="000000"/>
          <w:lang w:eastAsia="en-GB"/>
        </w:rPr>
        <w:instrText>ADDIN CSL_CITATION { "citationItems" : [ { "id" : "ITEM-1", "itemData" : { "author" : [ { "dropping-particle" : "", "family" : "HM Government", "given" : "", "non-dropping-particle" : "", "parse-names" : false, "suffix" : "" } ], "id" : "ITEM-1", "issued" : { "date-parts" : [ [ "2016" ] ] }, "title" : "Childhood obesity - A plan for action", "type" : "report" }, "uris" : [ "http://www.mendeley.com/documents/?uuid=b98f114e-5233-47f8-a635-d7641b44ba3f" ] } ], "mendeley" : { "formattedCitation" : "(HM Government, 2016)", "plainTextFormattedCitation" : "(HM Government, 2016)", "previouslyFormattedCitation" : "(HM Government, 2016)" }, "properties" : { "noteIndex" : 0 }, "schema" : "https://github.com/citation-style-language/schema/raw/master/csl-citation.json" }</w:instrText>
      </w:r>
      <w:r w:rsidR="00821841" w:rsidRPr="009B3747">
        <w:rPr>
          <w:rFonts w:eastAsia="Times New Roman" w:cstheme="minorHAnsi"/>
          <w:color w:val="000000"/>
          <w:lang w:eastAsia="en-GB"/>
        </w:rPr>
        <w:fldChar w:fldCharType="separate"/>
      </w:r>
      <w:r w:rsidR="00821841" w:rsidRPr="009B3747">
        <w:rPr>
          <w:rFonts w:eastAsia="Times New Roman" w:cstheme="minorHAnsi"/>
          <w:noProof/>
          <w:color w:val="000000"/>
          <w:lang w:eastAsia="en-GB"/>
        </w:rPr>
        <w:t>(HM Government, 2016)</w:t>
      </w:r>
      <w:r w:rsidR="00821841" w:rsidRPr="009B3747">
        <w:rPr>
          <w:rFonts w:eastAsia="Times New Roman" w:cstheme="minorHAnsi"/>
          <w:color w:val="000000"/>
          <w:lang w:eastAsia="en-GB"/>
        </w:rPr>
        <w:fldChar w:fldCharType="end"/>
      </w:r>
      <w:r w:rsidR="00821841"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fails to explicitly reference or acknowledge this critical period.  Whilst referencing the prevalence of overweight </w:t>
      </w:r>
      <w:r w:rsidR="00AF46FD">
        <w:rPr>
          <w:rFonts w:eastAsia="Times New Roman" w:cstheme="minorHAnsi"/>
          <w:color w:val="000000"/>
          <w:lang w:eastAsia="en-GB"/>
        </w:rPr>
        <w:t>and obesity in children aged 2</w:t>
      </w:r>
      <w:r w:rsidR="007A3FA5" w:rsidRPr="009B3747">
        <w:rPr>
          <w:rFonts w:eastAsia="Times New Roman" w:cstheme="minorHAnsi"/>
          <w:color w:val="000000"/>
          <w:lang w:eastAsia="en-GB"/>
        </w:rPr>
        <w:t xml:space="preserve"> to 15 years</w:t>
      </w:r>
      <w:r w:rsidRPr="009B3747">
        <w:rPr>
          <w:rFonts w:eastAsia="Times New Roman" w:cstheme="minorHAnsi"/>
          <w:color w:val="000000"/>
          <w:lang w:eastAsia="en-GB"/>
        </w:rPr>
        <w:t>, the plan does not distinguish between actions aimed at childhood and adolescence and the overriding focus remains on interv</w:t>
      </w:r>
      <w:r w:rsidR="007A3FA5" w:rsidRPr="009B3747">
        <w:rPr>
          <w:rFonts w:eastAsia="Times New Roman" w:cstheme="minorHAnsi"/>
          <w:color w:val="000000"/>
          <w:lang w:eastAsia="en-GB"/>
        </w:rPr>
        <w:t xml:space="preserve">ention at primary school age (4 to </w:t>
      </w:r>
      <w:r w:rsidRPr="009B3747">
        <w:rPr>
          <w:rFonts w:eastAsia="Times New Roman" w:cstheme="minorHAnsi"/>
          <w:color w:val="000000"/>
          <w:lang w:eastAsia="en-GB"/>
        </w:rPr>
        <w:t>11 years).  Despite this, undoubtedly a number of proposed actions support the obesity prevention agenda in adolescence and furthermore, programmes and policies intended to enhance maternal, infant, and child health will also positively influence the health of adolescents</w:t>
      </w:r>
      <w:r w:rsidR="00821841" w:rsidRPr="009B3747">
        <w:rPr>
          <w:rFonts w:eastAsia="Times New Roman" w:cstheme="minorHAnsi"/>
          <w:color w:val="000000"/>
          <w:lang w:eastAsia="en-GB"/>
        </w:rPr>
        <w:t xml:space="preserve"> </w:t>
      </w:r>
      <w:r w:rsidR="00821841" w:rsidRPr="009B3747">
        <w:rPr>
          <w:rFonts w:eastAsia="Times New Roman" w:cstheme="minorHAnsi"/>
          <w:color w:val="000000"/>
          <w:lang w:eastAsia="en-GB"/>
        </w:rPr>
        <w:fldChar w:fldCharType="begin" w:fldLock="1"/>
      </w:r>
      <w:r w:rsidR="00E8432F" w:rsidRPr="009B3747">
        <w:rPr>
          <w:rFonts w:eastAsia="Times New Roman" w:cstheme="minorHAnsi"/>
          <w:color w:val="000000"/>
          <w:lang w:eastAsia="en-GB"/>
        </w:rPr>
        <w:instrText>ADDIN CSL_CITATION { "citationItems" : [ { "id" : "ITEM-1", "itemData" : { "DOI" : "10.1016/S0140-6736(12)60238-4", "ISSN" : "01406736", "PMID" : "22538180", "abstract" : "The burden of morbidity and mortality from non-communicable disease has risen worldwide and is accelerating in low-income and middle-income countries, whereas the burden from infectious diseases has declined. Since this transition, the prevention of non-communicable disease as well as communicable disease causes of adolescent mortality has risen in importance. Problem behaviours that increase the short-term or long-term likelihood of morbidity and mortality, including alcohol, tobacco, and other drug misuse, mental health problems, unsafe sex, risky and unsafe driving, and violence are largely preventable. In the past 30 years new discoveries have led to prevention science being established as a discipline designed to mitigate these problem behaviours. Longitudinal studies have provided an understanding of risk and protective factors across the life course for many of these problem behaviours. Risks cluster across development to produce early accumulation of risk in childhood and more pervasive risk in adolescence. This understanding has led to the construction of developmentally appropriate prevention policies and programmes that have shown short-term and long-term reductions in these adolescent problem behaviours. We describe the principles of prevention science, provide examples of efficacious preventive interventions, describe challenges and potential solutions to take efficacious prevention policies and programmes to scale, and conclude with recommendations to reduce the burden of adolescent mortality and morbidity worldwide through preventive intervention.", "author" : [ { "dropping-particle" : "", "family" : "Catalano", "given" : "Richard F", "non-dropping-particle" : "", "parse-names" : false, "suffix" : "" }, { "dropping-particle" : "", "family" : "Fagan", "given" : "Abigail A", "non-dropping-particle" : "", "parse-names" : false, "suffix" : "" }, { "dropping-particle" : "", "family" : "Gavin", "given" : "Loretta E", "non-dropping-particle" : "", "parse-names" : false, "suffix" : "" }, { "dropping-particle" : "", "family" : "Greenberg", "given" : "Mark T", "non-dropping-particle" : "", "parse-names" : false, "suffix" : "" }, { "dropping-particle" : "", "family" : "Irwin", "given" : "Charles E", "non-dropping-particle" : "", "parse-names" : false, "suffix" : "" }, { "dropping-particle" : "", "family" : "Ross", "given" : "David A", "non-dropping-particle" : "", "parse-names" : false, "suffix" : "" }, { "dropping-particle" : "", "family" : "Shek", "given" : "Daniel TL", "non-dropping-particle" : "", "parse-names" : false, "suffix" : "" } ], "container-title" : "The Lancet", "id" : "ITEM-1", "issue" : "9826", "issued" : { "date-parts" : [ [ "2012", "4", "28" ] ] }, "page" : "1653-1664", "title" : "Worldwide application of prevention science in adolescent health", "type" : "article-journal", "volume" : "379" }, "uris" : [ "http://www.mendeley.com/documents/?uuid=80209d5f-9aee-31e8-86d1-bd47410f15a2" ] } ], "mendeley" : { "formattedCitation" : "(Catalano et al., 2012)", "plainTextFormattedCitation" : "(Catalano et al., 2012)", "previouslyFormattedCitation" : "(Catalano et al., 2012)" }, "properties" : { "noteIndex" : 0 }, "schema" : "https://github.com/citation-style-language/schema/raw/master/csl-citation.json" }</w:instrText>
      </w:r>
      <w:r w:rsidR="00821841" w:rsidRPr="009B3747">
        <w:rPr>
          <w:rFonts w:eastAsia="Times New Roman" w:cstheme="minorHAnsi"/>
          <w:color w:val="000000"/>
          <w:lang w:eastAsia="en-GB"/>
        </w:rPr>
        <w:fldChar w:fldCharType="separate"/>
      </w:r>
      <w:r w:rsidR="00821841" w:rsidRPr="009B3747">
        <w:rPr>
          <w:rFonts w:eastAsia="Times New Roman" w:cstheme="minorHAnsi"/>
          <w:noProof/>
          <w:color w:val="000000"/>
          <w:lang w:eastAsia="en-GB"/>
        </w:rPr>
        <w:t>(Catalano et al., 2012)</w:t>
      </w:r>
      <w:r w:rsidR="00821841" w:rsidRPr="009B3747">
        <w:rPr>
          <w:rFonts w:eastAsia="Times New Roman" w:cstheme="minorHAnsi"/>
          <w:color w:val="000000"/>
          <w:lang w:eastAsia="en-GB"/>
        </w:rPr>
        <w:fldChar w:fldCharType="end"/>
      </w:r>
      <w:r w:rsidR="00821841" w:rsidRPr="009B3747">
        <w:rPr>
          <w:rFonts w:eastAsia="Times New Roman" w:cstheme="minorHAnsi"/>
          <w:color w:val="000000"/>
          <w:lang w:eastAsia="en-GB"/>
        </w:rPr>
        <w:t>.</w:t>
      </w:r>
    </w:p>
    <w:p w:rsidR="00B37AD3" w:rsidRPr="009B3747" w:rsidRDefault="00B37AD3" w:rsidP="00A16FA3">
      <w:pPr>
        <w:rPr>
          <w:rFonts w:eastAsia="Times New Roman" w:cstheme="minorHAnsi"/>
          <w:sz w:val="24"/>
          <w:szCs w:val="24"/>
          <w:lang w:eastAsia="en-GB"/>
        </w:rPr>
      </w:pPr>
    </w:p>
    <w:p w:rsidR="00A16FA3" w:rsidRPr="009B3747" w:rsidRDefault="008818AD" w:rsidP="00A16FA3">
      <w:pPr>
        <w:rPr>
          <w:rFonts w:eastAsia="Times New Roman" w:cstheme="minorHAnsi"/>
          <w:sz w:val="24"/>
          <w:szCs w:val="24"/>
          <w:lang w:eastAsia="en-GB"/>
        </w:rPr>
      </w:pPr>
      <w:r w:rsidRPr="009B3747">
        <w:rPr>
          <w:rFonts w:eastAsia="Times New Roman" w:cstheme="minorHAnsi"/>
          <w:color w:val="000000"/>
          <w:lang w:eastAsia="en-GB"/>
        </w:rPr>
        <w:t xml:space="preserve">2.6.1.2 </w:t>
      </w:r>
      <w:r w:rsidR="00A16FA3" w:rsidRPr="009B3747">
        <w:rPr>
          <w:rFonts w:eastAsia="Times New Roman" w:cstheme="minorHAnsi"/>
          <w:color w:val="000000"/>
          <w:lang w:eastAsia="en-GB"/>
        </w:rPr>
        <w:t>Approaches to childhood and adolescent prevention</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A16FA3" w:rsidRPr="009B3747" w:rsidRDefault="00A16FA3" w:rsidP="00A16FA3">
      <w:pPr>
        <w:rPr>
          <w:rFonts w:eastAsia="Times New Roman" w:cstheme="minorHAnsi"/>
          <w:sz w:val="24"/>
          <w:szCs w:val="24"/>
          <w:lang w:eastAsia="en-GB"/>
        </w:rPr>
      </w:pPr>
      <w:r w:rsidRPr="009B3747">
        <w:rPr>
          <w:rFonts w:eastAsia="Times New Roman" w:cstheme="minorHAnsi"/>
          <w:color w:val="000000"/>
          <w:lang w:eastAsia="en-GB"/>
        </w:rPr>
        <w:t>Identify</w:t>
      </w:r>
      <w:r w:rsidR="00FB5B00" w:rsidRPr="009B3747">
        <w:rPr>
          <w:rFonts w:eastAsia="Times New Roman" w:cstheme="minorHAnsi"/>
          <w:color w:val="000000"/>
          <w:lang w:eastAsia="en-GB"/>
        </w:rPr>
        <w:t xml:space="preserve">ing and implementing </w:t>
      </w:r>
      <w:r w:rsidR="00FB5B00" w:rsidRPr="009B3747">
        <w:rPr>
          <w:rFonts w:eastAsia="Times New Roman" w:cstheme="minorHAnsi"/>
          <w:i/>
          <w:color w:val="000000"/>
          <w:lang w:eastAsia="en-GB"/>
        </w:rPr>
        <w:t>“</w:t>
      </w:r>
      <w:r w:rsidRPr="009B3747">
        <w:rPr>
          <w:rFonts w:eastAsia="Times New Roman" w:cstheme="minorHAnsi"/>
          <w:i/>
          <w:color w:val="000000"/>
          <w:lang w:eastAsia="en-GB"/>
        </w:rPr>
        <w:t>the most effective population-level obesity prevention strategies is among the most profound ch</w:t>
      </w:r>
      <w:r w:rsidR="00FB5B00" w:rsidRPr="009B3747">
        <w:rPr>
          <w:rFonts w:eastAsia="Times New Roman" w:cstheme="minorHAnsi"/>
          <w:i/>
          <w:color w:val="000000"/>
          <w:lang w:eastAsia="en-GB"/>
        </w:rPr>
        <w:t>allenges in public health today”</w:t>
      </w:r>
      <w:r w:rsidR="00E8432F" w:rsidRPr="009B3747">
        <w:rPr>
          <w:rFonts w:eastAsia="Times New Roman" w:cstheme="minorHAnsi"/>
          <w:color w:val="000000"/>
          <w:lang w:eastAsia="en-GB"/>
        </w:rPr>
        <w:t xml:space="preserve"> </w:t>
      </w:r>
      <w:r w:rsidR="00E8432F" w:rsidRPr="009B3747">
        <w:rPr>
          <w:rFonts w:eastAsia="Times New Roman" w:cstheme="minorHAnsi"/>
          <w:color w:val="000000"/>
          <w:lang w:eastAsia="en-GB"/>
        </w:rPr>
        <w:fldChar w:fldCharType="begin" w:fldLock="1"/>
      </w:r>
      <w:r w:rsidR="00224C9C" w:rsidRPr="009B3747">
        <w:rPr>
          <w:rFonts w:eastAsia="Times New Roman" w:cstheme="minorHAnsi"/>
          <w:color w:val="000000"/>
          <w:lang w:eastAsia="en-GB"/>
        </w:rPr>
        <w:instrText>ADDIN CSL_CITATION { "citationItems" : [ { "id" : "ITEM-1", "itemData" : { "DOI" : "10.1001/jama.300.15.1811", "ISSN" : "0098-7484", "PMID" : "18854544", "author" : [ { "dropping-particle" : "", "family" : "Huang", "given" : "Terry T.-K.", "non-dropping-particle" : "", "parse-names" : false, "suffix" : "" }, { "dropping-particle" : "", "family" : "Glass", "given" : "Thomas A", "non-dropping-particle" : "", "parse-names" : false, "suffix" : "" } ], "container-title" : "JAMA", "id" : "ITEM-1", "issue" : "15", "issued" : { "date-parts" : [ [ "2008", "10", "15" ] ] }, "page" : "1811", "title" : "Transforming Research Strategies for Understanding and Preventing Obesity", "type" : "article-journal", "volume" : "300" }, "uris" : [ "http://www.mendeley.com/documents/?uuid=2288bc36-fb6b-3207-a8a0-ae54babd33b1" ] } ], "mendeley" : { "formattedCitation" : "(Huang and Glass, 2008)", "manualFormatting" : "(Huang and Glass, 2008, p.1811)", "plainTextFormattedCitation" : "(Huang and Glass, 2008)", "previouslyFormattedCitation" : "(Huang and Glass, 2008)" }, "properties" : { "noteIndex" : 0 }, "schema" : "https://github.com/citation-style-language/schema/raw/master/csl-citation.json" }</w:instrText>
      </w:r>
      <w:r w:rsidR="00E8432F" w:rsidRPr="009B3747">
        <w:rPr>
          <w:rFonts w:eastAsia="Times New Roman" w:cstheme="minorHAnsi"/>
          <w:color w:val="000000"/>
          <w:lang w:eastAsia="en-GB"/>
        </w:rPr>
        <w:fldChar w:fldCharType="separate"/>
      </w:r>
      <w:r w:rsidR="00E8432F" w:rsidRPr="009B3747">
        <w:rPr>
          <w:rFonts w:eastAsia="Times New Roman" w:cstheme="minorHAnsi"/>
          <w:noProof/>
          <w:color w:val="000000"/>
          <w:lang w:eastAsia="en-GB"/>
        </w:rPr>
        <w:t>(Huang and Glass, 2008</w:t>
      </w:r>
      <w:r w:rsidR="00FB5B00" w:rsidRPr="009B3747">
        <w:rPr>
          <w:rFonts w:eastAsia="Times New Roman" w:cstheme="minorHAnsi"/>
          <w:noProof/>
          <w:color w:val="000000"/>
          <w:lang w:eastAsia="en-GB"/>
        </w:rPr>
        <w:t>, p.</w:t>
      </w:r>
      <w:r w:rsidR="00E8432F" w:rsidRPr="009B3747">
        <w:rPr>
          <w:rFonts w:eastAsia="Times New Roman" w:cstheme="minorHAnsi"/>
          <w:noProof/>
          <w:color w:val="000000"/>
          <w:lang w:eastAsia="en-GB"/>
        </w:rPr>
        <w:t>1811)</w:t>
      </w:r>
      <w:r w:rsidR="00E8432F" w:rsidRPr="009B3747">
        <w:rPr>
          <w:rFonts w:eastAsia="Times New Roman" w:cstheme="minorHAnsi"/>
          <w:color w:val="000000"/>
          <w:lang w:eastAsia="en-GB"/>
        </w:rPr>
        <w:fldChar w:fldCharType="end"/>
      </w:r>
      <w:r w:rsidR="00E8432F" w:rsidRPr="009B3747">
        <w:rPr>
          <w:rFonts w:eastAsia="Times New Roman" w:cstheme="minorHAnsi"/>
          <w:color w:val="000000"/>
          <w:lang w:eastAsia="en-GB"/>
        </w:rPr>
        <w:t xml:space="preserve">.  </w:t>
      </w:r>
      <w:r w:rsidRPr="009B3747">
        <w:rPr>
          <w:rFonts w:eastAsia="Times New Roman" w:cstheme="minorHAnsi"/>
          <w:color w:val="000000"/>
          <w:lang w:eastAsia="en-GB"/>
        </w:rPr>
        <w:t>Approaches to prevention largely aim to modify the diet, physical activity or sedentary behaviour of children and adolescents</w:t>
      </w:r>
      <w:r w:rsidR="00E8432F" w:rsidRPr="009B3747">
        <w:rPr>
          <w:rFonts w:eastAsia="Times New Roman" w:cstheme="minorHAnsi"/>
          <w:color w:val="000000"/>
          <w:lang w:eastAsia="en-GB"/>
        </w:rPr>
        <w:t xml:space="preserve"> </w:t>
      </w:r>
      <w:r w:rsidR="00E8432F"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"Han", "given" : "JC", "non-dropping-particle" : "", "parse-names" : false, "suffix" : "" }, { "dropping-particle" : "", "family" : "Lawlor", "given" : "DA", "non-dropping-particle" : "", "parse-names" : false, "suffix" : "" }, { "dropping-particle" : "", "family" : "Kimm", "given" : "SYS", "non-dropping-particle" : "", "parse-names" : false, "suffix" : "" } ], "container-title" : "The Lancet", "id" : "ITEM-1", "issue" : "9727", "issued" : { "date-parts" : [ [ "2010" ] ] }, "page" : "1737-48", "title" : "Childhood obesity", "type" : "article-journal", "volume" : "375" }, "uris" : [ "http://www.mendeley.com/documents/?uuid=6badc9a1-9de0-471e-b582-d0d9125ba7b7" ] }, { "id" : "ITEM-2", "itemData" : { "DOI" : "10.1002/9781444318517.ch3", "ISBN" : "9781444318517", "author" : [ { "dropping-particle" : "", "family" : "Uauy", "given" : "Ricardo", "non-dropping-particle" : "", "parse-names" : false, "suffix" : "" }, { "dropping-particle" : "", "family" : "Caleyachetty", "given" : "Rishi", "non-dropping-particle" : "", "parse-names" : false, "suffix" : "" }, { "dropping-particle" : "", "family" : "Swinburn", "given" : "Boyd", "non-dropping-particle" : "", "parse-names" : false, "suffix" : "" } ], "container-title" : "Preventing Childhood Obesity: Evidence Policy and Practice", "editor" : [ { "dropping-particle" : "", "family" : "Waters", "given" : "E", "non-dropping-particle" : "", "parse-names" : false, "suffix" : "" }, { "dropping-particle" : "", "family" : "Swinburn", "given" : "B", "non-dropping-particle" : "", "parse-names" : false, "suffix" : "" }, { "dropping-particle" : "", "family" : "Seidell", "given" : "J", "non-dropping-particle" : "", "parse-names" : false, "suffix" : "" }, { "dropping-particle" : "", "family" : "Uauy", "given" : "R", "non-dropping-particle" : "", "parse-names" : false, "suffix" : "" } ], "id" : "ITEM-2", "issued" : { "date-parts" : [ [ "2010", "5", "5" ] ] }, "page" : "22-30", "publisher" : "Wiley-Blackwell", "publisher-place" : "Oxford, UK", "title" : "Childhood Obesity Prevention Overview", "type" : "chapter" }, "uris" : [ "http://www.mendeley.com/documents/?uuid=4258d760-ba15-3228-9934-d91cc7dd847c" ] }, { "id" : "ITEM-3", "itemData" : { "DOI" : "ISBN 978 92 4 151006 6", "ISBN" : "978 92 4 151006 6 \u00a9", "abstract" : "1. Over the past decade, the World Health Assembly, the governing body of the World Health Organization (WHO), and the United Nations General Assembly have adopted a series of resolutions1 that acknowledge noncommunicable diseases (NCDs) as a major challenge for development in the 21st century and have identified prevention and control as a core priority. The proposed Sustainable Development Goals propose a target on reducing premature mortality from NCDs2. 2. Among the NCD risk factors, obesity is particularly concerning. In children (aged under 19 years) it is associated with a wide range of health complications and an increased risk of premature onset of illnesses, including diabetes and heart disease. Preventing childhood obesity is a key approach to the primary prevention of NCDs. 3. Childhood obesity has complex origins and progress in tackling the issue has to date been slow. It is clear that a combination of scientific research, government leadership and community partnerships is necessary in order to develop the best recommendations and implement them worldwide. 4. In order to develop a comprehensive response to childhood obesity, the WHO Director- General established a high-level Commission on Ending Childhood Obesity (ECHO), which comprises 15 accomplished and eminent individuals from a variety of relevant backgrounds. The Commission has reviewed, built upon and addressed gaps in existing mandates and strategies with the support of two ad hoc working groups, one on science and evidence for ending childhood obesity (WGSE), and one on implementation, monitoring and accountability for ending childhood obesity (WGIMA). An Interim Report was developed for feedback through a series of regional consultations and hearings with Member States and non-State actors, and an online process for the submission of comments from relevant stakeholders. The Commission has reviewed these inputs and developed this draft final report, which will form the basis for a final round of regional and global consultation.", "author" : [ { "dropping-particle" : "", "family" : "World Health Organization", "given" : "", "non-dropping-particle" : "", "parse-names" : false, "suffix" : "" } ], "id" : "ITEM-3", "issued" : { "date-parts" : [ [ "2016" ] ] }, "publisher-place" : "Geneva", "title" : "Report of the Commission on Ending Childhood Obesity", "type" : "report" }, "uris" : [ "http://www.mendeley.com/documents/?uuid=fc7d72ef-f520-4e44-854a-cc82b135b368" ] } ], "mendeley" : { "formattedCitation" : "(Han et al., 2010; Uauy et al., 2010; World Health Organization, 2016c)", "plainTextFormattedCitation" : "(Han et al., 2010; Uauy et al., 2010; World Health Organization, 2016c)", "previouslyFormattedCitation" : "(Han et al., 2010; Uauy et al., 2010; World Health Organization, 2016c)" }, "properties" : { "noteIndex" : 0 }, "schema" : "https://github.com/citation-style-language/schema/raw/master/csl-citation.json" }</w:instrText>
      </w:r>
      <w:r w:rsidR="00E8432F" w:rsidRPr="009B3747">
        <w:rPr>
          <w:rFonts w:eastAsia="Times New Roman" w:cstheme="minorHAnsi"/>
          <w:color w:val="000000"/>
          <w:lang w:eastAsia="en-GB"/>
        </w:rPr>
        <w:fldChar w:fldCharType="separate"/>
      </w:r>
      <w:r w:rsidR="00E8432F" w:rsidRPr="009B3747">
        <w:rPr>
          <w:rFonts w:eastAsia="Times New Roman" w:cstheme="minorHAnsi"/>
          <w:noProof/>
          <w:color w:val="000000"/>
          <w:lang w:eastAsia="en-GB"/>
        </w:rPr>
        <w:t>(Han et al., 2010; Uauy et al., 2010; World Health Organization, 2016c)</w:t>
      </w:r>
      <w:r w:rsidR="00E8432F" w:rsidRPr="009B3747">
        <w:rPr>
          <w:rFonts w:eastAsia="Times New Roman" w:cstheme="minorHAnsi"/>
          <w:color w:val="000000"/>
          <w:lang w:eastAsia="en-GB"/>
        </w:rPr>
        <w:fldChar w:fldCharType="end"/>
      </w:r>
      <w:r w:rsidRPr="009B3747">
        <w:rPr>
          <w:rFonts w:eastAsia="Times New Roman" w:cstheme="minorHAnsi"/>
          <w:color w:val="000000"/>
          <w:lang w:eastAsia="en-GB"/>
        </w:rPr>
        <w:t>.  Interventions range from upstream, which aim to influence the wider social and environmental determinants of obesity to middle and downstream interventions implemented at a settings level to support individual behaviour change</w:t>
      </w:r>
      <w:r w:rsidR="00E8432F" w:rsidRPr="009B3747">
        <w:rPr>
          <w:rFonts w:eastAsia="Times New Roman" w:cstheme="minorHAnsi"/>
          <w:color w:val="000000"/>
          <w:lang w:eastAsia="en-GB"/>
        </w:rPr>
        <w:t xml:space="preserve"> </w:t>
      </w:r>
      <w:r w:rsidR="00E8432F"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"Swinburn", "given" : "BA", "non-dropping-particle" : "", "parse-names" : false, "suffix" : "" }, { "dropping-particle" : "", "family" : "Sacks", "given" : "G", "non-dropping-particle" : "", "parse-names" : false, "suffix" : "" }, { "dropping-particle" : "", "family" : "Hall", "given" : "KD", "non-dropping-particle" : "", "parse-names" : false, "suffix" : "" } ], "container-title" : "The Lancet", "id" : "ITEM-1", "issue" : "9793", "issued" : { "date-parts" : [ [ "2011" ] ] }, "page" : "804\u2013814", "title" : "The global obesity pandemic: shaped by global drivers and local environments", "type" : "article-journal", "volume" : "378" }, "uris" : [ "http://www.mendeley.com/documents/?uuid=32e46483-72ce-4885-84e3-55563f5489ac" ] }, { "id" : "ITEM-2", "itemData" : { "author" : [ { "dropping-particle" : "", "family" : "Roberto", "given" : "CA", "non-dropping-particle" : "", "parse-names" : false, "suffix" : "" }, { "dropping-particle" : "", "family" : "Swinburn", "given" : "B", "non-dropping-particle" : "", "parse-names" : false, "suffix" : "" }, { "dropping-particle" : "", "family" : "Hawkes", "given" : "C", "non-dropping-particle" : "", "parse-names" : false, "suffix" : "" } ], "container-title" : "The Lancet", "id" : "ITEM-2", "issue" : "9985", "issued" : { "date-parts" : [ [ "2015" ] ] }, "page" : "2400\u20132409", "title" : "Patchy progress on obesity prevention: emerging examples, entrenched barriers, and new thinking", "type" : "article-journal", "volume" : "385" }, "uris" : [ "http://www.mendeley.com/documents/?uuid=6815ad69-33a9-48c6-8e24-5ea4f9900a6e" ] } ], "mendeley" : { "formattedCitation" : "(Swinburn et al., 2011; Roberto et al., 2015)", "plainTextFormattedCitation" : "(Swinburn et al., 2011; Roberto et al., 2015)", "previouslyFormattedCitation" : "(Swinburn et al., 2011; Roberto et al., 2015)" }, "properties" : { "noteIndex" : 0 }, "schema" : "https://github.com/citation-style-language/schema/raw/master/csl-citation.json" }</w:instrText>
      </w:r>
      <w:r w:rsidR="00E8432F" w:rsidRPr="009B3747">
        <w:rPr>
          <w:rFonts w:eastAsia="Times New Roman" w:cstheme="minorHAnsi"/>
          <w:color w:val="000000"/>
          <w:lang w:eastAsia="en-GB"/>
        </w:rPr>
        <w:fldChar w:fldCharType="separate"/>
      </w:r>
      <w:r w:rsidR="00E8432F" w:rsidRPr="009B3747">
        <w:rPr>
          <w:rFonts w:eastAsia="Times New Roman" w:cstheme="minorHAnsi"/>
          <w:noProof/>
          <w:color w:val="000000"/>
          <w:lang w:eastAsia="en-GB"/>
        </w:rPr>
        <w:t>(Swinburn et al., 2011; Roberto et al., 2015)</w:t>
      </w:r>
      <w:r w:rsidR="00E8432F"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(Swinburn et al., 2011; Roberto et al., 2015). </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E8432F" w:rsidRPr="009B3747" w:rsidRDefault="00A16FA3" w:rsidP="00A16FA3">
      <w:pPr>
        <w:rPr>
          <w:rFonts w:eastAsia="Times New Roman" w:cstheme="minorHAnsi"/>
          <w:color w:val="000000"/>
          <w:lang w:eastAsia="en-GB"/>
        </w:rPr>
      </w:pPr>
      <w:r w:rsidRPr="009B3747">
        <w:rPr>
          <w:rFonts w:eastAsia="Times New Roman" w:cstheme="minorHAnsi"/>
          <w:color w:val="000000"/>
          <w:lang w:eastAsia="en-GB"/>
        </w:rPr>
        <w:t>To date, an extensive range of national policy actions have been developed to facilitate population-wide prevention of childhood and adolescent obesity including, the creation of the Healthy Child Programme, a robust monitoring system (NCMP), restrictions on food adv</w:t>
      </w:r>
      <w:r w:rsidR="00090345" w:rsidRPr="009B3747">
        <w:rPr>
          <w:rFonts w:eastAsia="Times New Roman" w:cstheme="minorHAnsi"/>
          <w:color w:val="000000"/>
          <w:lang w:eastAsia="en-GB"/>
        </w:rPr>
        <w:t>ertising, cross-sector public health</w:t>
      </w:r>
      <w:r w:rsidRPr="009B3747">
        <w:rPr>
          <w:rFonts w:eastAsia="Times New Roman" w:cstheme="minorHAnsi"/>
          <w:color w:val="000000"/>
          <w:lang w:eastAsia="en-GB"/>
        </w:rPr>
        <w:t xml:space="preserve"> networks (e.g. public health responsibility deal), social marketing initiatives (e.g. </w:t>
      </w:r>
      <w:r w:rsidRPr="009B3747">
        <w:rPr>
          <w:rFonts w:eastAsia="Times New Roman" w:cstheme="minorHAnsi"/>
          <w:color w:val="000000"/>
          <w:lang w:eastAsia="en-GB"/>
        </w:rPr>
        <w:lastRenderedPageBreak/>
        <w:t>Change4Life, Start4Life), school programmes and standards (e.g</w:t>
      </w:r>
      <w:r w:rsidR="00090345" w:rsidRPr="009B3747">
        <w:rPr>
          <w:rFonts w:eastAsia="Times New Roman" w:cstheme="minorHAnsi"/>
          <w:color w:val="000000"/>
          <w:lang w:eastAsia="en-GB"/>
        </w:rPr>
        <w:t>.</w:t>
      </w:r>
      <w:r w:rsidRPr="009B3747">
        <w:rPr>
          <w:rFonts w:eastAsia="Times New Roman" w:cstheme="minorHAnsi"/>
          <w:color w:val="000000"/>
          <w:lang w:eastAsia="en-GB"/>
        </w:rPr>
        <w:t xml:space="preserve"> school sport funding, nutritional standards) and the development of weight management resources (e.g. NHS Choices)</w:t>
      </w:r>
      <w:r w:rsidR="00E8432F" w:rsidRPr="009B3747">
        <w:rPr>
          <w:rFonts w:eastAsia="Times New Roman" w:cstheme="minorHAnsi"/>
          <w:color w:val="000000"/>
          <w:lang w:eastAsia="en-GB"/>
        </w:rPr>
        <w:t xml:space="preserve"> </w:t>
      </w:r>
      <w:r w:rsidR="00E8432F"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"Jebb", "given" : "SA", "non-dropping-particle" : "", "parse-names" : false, "suffix" : "" }, { "dropping-particle" : "", "family" : "Aveyard", "given" : "PN", "non-dropping-particle" : "", "parse-names" : false, "suffix" : "" }, { "dropping-particle" : "", "family" : "Hawkes", "given" : "C", "non-dropping-particle" : "", "parse-names" : false, "suffix" : "" } ], "container-title" : "obesity reviews", "id" : "ITEM-1", "issue" : "S2", "issued" : { "date-parts" : [ [ "2013" ] ] }, "page" : "42-59", "title" : "The evolution of policy and actions to tackle obesity in England", "type" : "article-journal", "volume" : "14" }, "uris" : [ "http://www.mendeley.com/documents/?uuid=1a621344-3871-497d-9fef-f77922b7fa6b" ] } ], "mendeley" : { "formattedCitation" : "(Jebb et al., 2013)", "plainTextFormattedCitation" : "(Jebb et al., 2013)", "previouslyFormattedCitation" : "(Jebb et al., 2013)" }, "properties" : { "noteIndex" : 0 }, "schema" : "https://github.com/citation-style-language/schema/raw/master/csl-citation.json" }</w:instrText>
      </w:r>
      <w:r w:rsidR="00E8432F" w:rsidRPr="009B3747">
        <w:rPr>
          <w:rFonts w:eastAsia="Times New Roman" w:cstheme="minorHAnsi"/>
          <w:color w:val="000000"/>
          <w:lang w:eastAsia="en-GB"/>
        </w:rPr>
        <w:fldChar w:fldCharType="separate"/>
      </w:r>
      <w:r w:rsidR="00E8432F" w:rsidRPr="009B3747">
        <w:rPr>
          <w:rFonts w:eastAsia="Times New Roman" w:cstheme="minorHAnsi"/>
          <w:noProof/>
          <w:color w:val="000000"/>
          <w:lang w:eastAsia="en-GB"/>
        </w:rPr>
        <w:t>(Jebb et al., 2013)</w:t>
      </w:r>
      <w:r w:rsidR="00E8432F" w:rsidRPr="009B3747">
        <w:rPr>
          <w:rFonts w:eastAsia="Times New Roman" w:cstheme="minorHAnsi"/>
          <w:color w:val="000000"/>
          <w:lang w:eastAsia="en-GB"/>
        </w:rPr>
        <w:fldChar w:fldCharType="end"/>
      </w:r>
      <w:r w:rsidR="00E8432F" w:rsidRPr="009B3747">
        <w:rPr>
          <w:rFonts w:eastAsia="Times New Roman" w:cstheme="minorHAnsi"/>
          <w:color w:val="000000"/>
          <w:lang w:eastAsia="en-GB"/>
        </w:rPr>
        <w:t xml:space="preserve">.  </w:t>
      </w:r>
      <w:r w:rsidRPr="009B3747">
        <w:rPr>
          <w:rFonts w:eastAsia="Times New Roman" w:cstheme="minorHAnsi"/>
          <w:color w:val="000000"/>
          <w:lang w:eastAsia="en-GB"/>
        </w:rPr>
        <w:t>More recently and as previously discussed, is the government's new action plan to tackle childhood obesity</w:t>
      </w:r>
      <w:r w:rsidR="00E8432F" w:rsidRPr="009B3747">
        <w:rPr>
          <w:rFonts w:eastAsia="Times New Roman" w:cstheme="minorHAnsi"/>
          <w:color w:val="000000"/>
          <w:lang w:eastAsia="en-GB"/>
        </w:rPr>
        <w:t xml:space="preserve">  </w:t>
      </w:r>
      <w:r w:rsidR="00E8432F" w:rsidRPr="009B3747">
        <w:rPr>
          <w:rFonts w:eastAsia="Times New Roman" w:cstheme="minorHAnsi"/>
          <w:color w:val="000000"/>
          <w:lang w:eastAsia="en-GB"/>
        </w:rPr>
        <w:fldChar w:fldCharType="begin" w:fldLock="1"/>
      </w:r>
      <w:r w:rsidR="00E8432F" w:rsidRPr="009B3747">
        <w:rPr>
          <w:rFonts w:eastAsia="Times New Roman" w:cstheme="minorHAnsi"/>
          <w:color w:val="000000"/>
          <w:lang w:eastAsia="en-GB"/>
        </w:rPr>
        <w:instrText>ADDIN CSL_CITATION { "citationItems" : [ { "id" : "ITEM-1", "itemData" : { "author" : [ { "dropping-particle" : "", "family" : "HM Government", "given" : "", "non-dropping-particle" : "", "parse-names" : false, "suffix" : "" } ], "id" : "ITEM-1", "issued" : { "date-parts" : [ [ "2016" ] ] }, "title" : "Childhood obesity - A plan for action", "type" : "report" }, "uris" : [ "http://www.mendeley.com/documents/?uuid=b98f114e-5233-47f8-a635-d7641b44ba3f" ] } ], "mendeley" : { "formattedCitation" : "(HM Government, 2016)", "plainTextFormattedCitation" : "(HM Government, 2016)", "previouslyFormattedCitation" : "(HM Government, 2016)" }, "properties" : { "noteIndex" : 0 }, "schema" : "https://github.com/citation-style-language/schema/raw/master/csl-citation.json" }</w:instrText>
      </w:r>
      <w:r w:rsidR="00E8432F" w:rsidRPr="009B3747">
        <w:rPr>
          <w:rFonts w:eastAsia="Times New Roman" w:cstheme="minorHAnsi"/>
          <w:color w:val="000000"/>
          <w:lang w:eastAsia="en-GB"/>
        </w:rPr>
        <w:fldChar w:fldCharType="separate"/>
      </w:r>
      <w:r w:rsidR="00E8432F" w:rsidRPr="009B3747">
        <w:rPr>
          <w:rFonts w:eastAsia="Times New Roman" w:cstheme="minorHAnsi"/>
          <w:noProof/>
          <w:color w:val="000000"/>
          <w:lang w:eastAsia="en-GB"/>
        </w:rPr>
        <w:t>(HM Government, 2016)</w:t>
      </w:r>
      <w:r w:rsidR="00E8432F" w:rsidRPr="009B3747">
        <w:rPr>
          <w:rFonts w:eastAsia="Times New Roman" w:cstheme="minorHAnsi"/>
          <w:color w:val="000000"/>
          <w:lang w:eastAsia="en-GB"/>
        </w:rPr>
        <w:fldChar w:fldCharType="end"/>
      </w:r>
      <w:r w:rsidRPr="009B3747">
        <w:rPr>
          <w:rFonts w:eastAsia="Times New Roman" w:cstheme="minorHAnsi"/>
          <w:color w:val="000000"/>
          <w:lang w:eastAsia="en-GB"/>
        </w:rPr>
        <w:t>.  This builds on existing preventative action</w:t>
      </w:r>
      <w:r w:rsidR="00E8432F" w:rsidRPr="009B3747">
        <w:rPr>
          <w:rFonts w:eastAsia="Times New Roman" w:cstheme="minorHAnsi"/>
          <w:color w:val="000000"/>
          <w:lang w:eastAsia="en-GB"/>
        </w:rPr>
        <w:t xml:space="preserve"> </w:t>
      </w:r>
      <w:r w:rsidR="00E8432F" w:rsidRPr="009B3747">
        <w:rPr>
          <w:rFonts w:eastAsia="Times New Roman" w:cstheme="minorHAnsi"/>
          <w:color w:val="000000"/>
          <w:lang w:eastAsia="en-GB"/>
        </w:rPr>
        <w:fldChar w:fldCharType="begin" w:fldLock="1"/>
      </w:r>
      <w:r w:rsidR="00E8432F" w:rsidRPr="009B3747">
        <w:rPr>
          <w:rFonts w:eastAsia="Times New Roman" w:cstheme="minorHAnsi"/>
          <w:color w:val="000000"/>
          <w:lang w:eastAsia="en-GB"/>
        </w:rPr>
        <w:instrText>ADDIN CSL_CITATION { "citationItems" : [ { "id" : "ITEM-1", "itemData" : { "DOI" : "10.1016/S0140-6736(16)31471-4", "ISSN" : "01406736", "PMID" : "27597454", "author" : [ { "dropping-particle" : "", "family" : "Lobstein", "given" : "Tim", "non-dropping-particle" : "", "parse-names" : false, "suffix" : "" }, { "dropping-particle" : "", "family" : "McPherson", "given" : "Klim", "non-dropping-particle" : "", "parse-names" : false, "suffix" : "" } ], "container-title" : "The Lancet", "id" : "ITEM-1", "issue" : "10047", "issued" : { "date-parts" : [ [ "2016", "8", "27" ] ] }, "page" : "853-854", "title" : "Nothing new in UK's strategy on childhood obesity", "type" : "article-journal", "volume" : "388" }, "uris" : [ "http://www.mendeley.com/documents/?uuid=74346242-5c21-35c1-bff5-a083b8be702d" ] } ], "mendeley" : { "formattedCitation" : "(Lobstein and McPherson, 2016)", "plainTextFormattedCitation" : "(Lobstein and McPherson, 2016)", "previouslyFormattedCitation" : "(Lobstein and McPherson, 2016)" }, "properties" : { "noteIndex" : 0 }, "schema" : "https://github.com/citation-style-language/schema/raw/master/csl-citation.json" }</w:instrText>
      </w:r>
      <w:r w:rsidR="00E8432F" w:rsidRPr="009B3747">
        <w:rPr>
          <w:rFonts w:eastAsia="Times New Roman" w:cstheme="minorHAnsi"/>
          <w:color w:val="000000"/>
          <w:lang w:eastAsia="en-GB"/>
        </w:rPr>
        <w:fldChar w:fldCharType="separate"/>
      </w:r>
      <w:r w:rsidR="00E8432F" w:rsidRPr="009B3747">
        <w:rPr>
          <w:rFonts w:eastAsia="Times New Roman" w:cstheme="minorHAnsi"/>
          <w:noProof/>
          <w:color w:val="000000"/>
          <w:lang w:eastAsia="en-GB"/>
        </w:rPr>
        <w:t>(Lobstein and McPherson, 2016)</w:t>
      </w:r>
      <w:r w:rsidR="00E8432F" w:rsidRPr="009B3747">
        <w:rPr>
          <w:rFonts w:eastAsia="Times New Roman" w:cstheme="minorHAnsi"/>
          <w:color w:val="000000"/>
          <w:lang w:eastAsia="en-GB"/>
        </w:rPr>
        <w:fldChar w:fldCharType="end"/>
      </w:r>
      <w:r w:rsidR="00E8432F"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in addition to introducing </w:t>
      </w:r>
      <w:r w:rsidRPr="009B3747">
        <w:rPr>
          <w:rFonts w:eastAsia="Times New Roman" w:cstheme="minorHAnsi"/>
          <w:i/>
          <w:color w:val="000000"/>
          <w:lang w:eastAsia="en-GB"/>
        </w:rPr>
        <w:t>‘’two world-leading measures: the sugar levy, and a programme to take 20% of sugar out of food g</w:t>
      </w:r>
      <w:r w:rsidR="00090345" w:rsidRPr="009B3747">
        <w:rPr>
          <w:rFonts w:eastAsia="Times New Roman" w:cstheme="minorHAnsi"/>
          <w:i/>
          <w:color w:val="000000"/>
          <w:lang w:eastAsia="en-GB"/>
        </w:rPr>
        <w:t>roups most consumed by children”</w:t>
      </w:r>
      <w:r w:rsidR="00E8432F" w:rsidRPr="009B3747">
        <w:rPr>
          <w:rFonts w:eastAsia="Times New Roman" w:cstheme="minorHAnsi"/>
          <w:color w:val="000000"/>
          <w:lang w:eastAsia="en-GB"/>
        </w:rPr>
        <w:t xml:space="preserve"> </w:t>
      </w:r>
      <w:r w:rsidR="00E8432F" w:rsidRPr="009B3747">
        <w:rPr>
          <w:rFonts w:eastAsia="Times New Roman" w:cstheme="minorHAnsi"/>
          <w:color w:val="000000"/>
          <w:lang w:eastAsia="en-GB"/>
        </w:rPr>
        <w:fldChar w:fldCharType="begin" w:fldLock="1"/>
      </w:r>
      <w:r w:rsidR="00E8432F" w:rsidRPr="009B3747">
        <w:rPr>
          <w:rFonts w:eastAsia="Times New Roman" w:cstheme="minorHAnsi"/>
          <w:color w:val="000000"/>
          <w:lang w:eastAsia="en-GB"/>
        </w:rPr>
        <w:instrText>ADDIN CSL_CITATION { "citationItems" : [ { "id" : "ITEM-1", "itemData" : { "author" : [ { "dropping-particle" : "", "family" : "Civil Service World", "given" : "", "non-dropping-particle" : "", "parse-names" : false, "suffix" : "" } ], "id" : "ITEM-1", "issued" : { "date-parts" : [ [ "2016" ] ] }, "title" : "Public Health England chief exec Duncan Selbie reviews the year and looks ahead to 2017", "type" : "article-magazine" }, "uris" : [ "http://www.mendeley.com/documents/?uuid=24398ec6-10ff-49b2-a31c-e058cd8171f7" ] } ], "mendeley" : { "formattedCitation" : "(Civil Service World, 2016)", "plainTextFormattedCitation" : "(Civil Service World, 2016)", "previouslyFormattedCitation" : "(Civil Service World, 2016)" }, "properties" : { "noteIndex" : 0 }, "schema" : "https://github.com/citation-style-language/schema/raw/master/csl-citation.json" }</w:instrText>
      </w:r>
      <w:r w:rsidR="00E8432F" w:rsidRPr="009B3747">
        <w:rPr>
          <w:rFonts w:eastAsia="Times New Roman" w:cstheme="minorHAnsi"/>
          <w:color w:val="000000"/>
          <w:lang w:eastAsia="en-GB"/>
        </w:rPr>
        <w:fldChar w:fldCharType="separate"/>
      </w:r>
      <w:r w:rsidR="00E8432F" w:rsidRPr="009B3747">
        <w:rPr>
          <w:rFonts w:eastAsia="Times New Roman" w:cstheme="minorHAnsi"/>
          <w:noProof/>
          <w:color w:val="000000"/>
          <w:lang w:eastAsia="en-GB"/>
        </w:rPr>
        <w:t>(Civil Service World, 2016)</w:t>
      </w:r>
      <w:r w:rsidR="00E8432F" w:rsidRPr="009B3747">
        <w:rPr>
          <w:rFonts w:eastAsia="Times New Roman" w:cstheme="minorHAnsi"/>
          <w:color w:val="000000"/>
          <w:lang w:eastAsia="en-GB"/>
        </w:rPr>
        <w:fldChar w:fldCharType="end"/>
      </w:r>
      <w:r w:rsidR="00E8432F" w:rsidRPr="009B3747">
        <w:rPr>
          <w:rFonts w:eastAsia="Times New Roman" w:cstheme="minorHAnsi"/>
          <w:color w:val="000000"/>
          <w:lang w:eastAsia="en-GB"/>
        </w:rPr>
        <w:t>.</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A16FA3" w:rsidRPr="009B3747" w:rsidRDefault="00A16FA3" w:rsidP="00A16FA3">
      <w:pPr>
        <w:rPr>
          <w:rFonts w:eastAsia="Times New Roman" w:cstheme="minorHAnsi"/>
          <w:sz w:val="24"/>
          <w:szCs w:val="24"/>
          <w:lang w:eastAsia="en-GB"/>
        </w:rPr>
      </w:pPr>
      <w:r w:rsidRPr="009B3747">
        <w:rPr>
          <w:rFonts w:eastAsia="Times New Roman" w:cstheme="minorHAnsi"/>
          <w:color w:val="000000"/>
          <w:lang w:eastAsia="en-GB"/>
        </w:rPr>
        <w:t>Assessing the effectiveness of upstream government policies on preventing childhood and adolescent obesity is challenging</w:t>
      </w:r>
      <w:r w:rsidR="00E8432F" w:rsidRPr="009B3747">
        <w:rPr>
          <w:rFonts w:eastAsia="Times New Roman" w:cstheme="minorHAnsi"/>
          <w:color w:val="000000"/>
          <w:lang w:eastAsia="en-GB"/>
        </w:rPr>
        <w:t xml:space="preserve"> </w:t>
      </w:r>
      <w:r w:rsidR="00E8432F"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"Lobstein", "given" : "T", "non-dropping-particle" : "", "parse-names" : false, "suffix" : "" }, { "dropping-particle" : "", "family" : "Baur", "given" : "LA", "non-dropping-particle" : "", "parse-names" : false, "suffix" : "" } ], "container-title" : "The European Journal of Public Health", "id" : "ITEM-1", "issue" : "6", "issued" : { "date-parts" : [ [ "2005" ] ] }, "page" : "576-579", "title" : "Policies to prevent childhood obesity in the European Union", "type" : "article-journal", "volume" : "15" }, "uris" : [ "http://www.mendeley.com/documents/?uuid=fed31892-bf28-483b-ba62-213380bdd72e" ] } ], "mendeley" : { "formattedCitation" : "(Lobstein and Baur, 2005)", "plainTextFormattedCitation" : "(Lobstein and Baur, 2005)", "previouslyFormattedCitation" : "(Lobstein and Baur, 2005)" }, "properties" : { "noteIndex" : 0 }, "schema" : "https://github.com/citation-style-language/schema/raw/master/csl-citation.json" }</w:instrText>
      </w:r>
      <w:r w:rsidR="00E8432F" w:rsidRPr="009B3747">
        <w:rPr>
          <w:rFonts w:eastAsia="Times New Roman" w:cstheme="minorHAnsi"/>
          <w:color w:val="000000"/>
          <w:lang w:eastAsia="en-GB"/>
        </w:rPr>
        <w:fldChar w:fldCharType="separate"/>
      </w:r>
      <w:r w:rsidR="00E8432F" w:rsidRPr="009B3747">
        <w:rPr>
          <w:rFonts w:eastAsia="Times New Roman" w:cstheme="minorHAnsi"/>
          <w:noProof/>
          <w:color w:val="000000"/>
          <w:lang w:eastAsia="en-GB"/>
        </w:rPr>
        <w:t>(Lobstein and Baur, 2005)</w:t>
      </w:r>
      <w:r w:rsidR="00E8432F" w:rsidRPr="009B3747">
        <w:rPr>
          <w:rFonts w:eastAsia="Times New Roman" w:cstheme="minorHAnsi"/>
          <w:color w:val="000000"/>
          <w:lang w:eastAsia="en-GB"/>
        </w:rPr>
        <w:fldChar w:fldCharType="end"/>
      </w:r>
      <w:r w:rsidRPr="009B3747">
        <w:rPr>
          <w:rFonts w:eastAsia="Times New Roman" w:cstheme="minorHAnsi"/>
          <w:color w:val="000000"/>
          <w:lang w:eastAsia="en-GB"/>
        </w:rPr>
        <w:t>.  Difficulties are often experienced in providing robust evidence both before and after population-wide initiatives are implemented</w:t>
      </w:r>
      <w:r w:rsidR="00E8432F" w:rsidRPr="009B3747">
        <w:rPr>
          <w:rFonts w:eastAsia="Times New Roman" w:cstheme="minorHAnsi"/>
          <w:color w:val="000000"/>
          <w:lang w:eastAsia="en-GB"/>
        </w:rPr>
        <w:t xml:space="preserve"> </w:t>
      </w:r>
      <w:r w:rsidR="00E8432F"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"Gortmaker", "given" : "SL", "non-dropping-particle" : "", "parse-names" : false, "suffix" : "" }, { "dropping-particle" : "", "family" : "Swinburn", "given" : "BA", "non-dropping-particle" : "", "parse-names" : false, "suffix" : "" }, { "dropping-particle" : "", "family" : "Levy", "given" : "D", "non-dropping-particle" : "", "parse-names" : false, "suffix" : "" } ], "container-title" : "The Lancet", "id" : "ITEM-1", "issue" : "9793", "issued" : { "date-parts" : [ [ "2011" ] ] }, "page" : "838-847", "title" : "Changing the future of obesity: science, policy, and action", "type" : "article-journal", "volume" : "378" }, "uris" : [ "http://www.mendeley.com/documents/?uuid=236e01ca-8cb6-4d32-a9e7-e3a21950dbc1" ] }, { "id" : "ITEM-2", "itemData" : { "author" : [ { "dropping-particle" : "", "family" : "Brinsden", "given" : "H", "non-dropping-particle" : "", "parse-names" : false, "suffix" : "" }, { "dropping-particle" : "", "family" : "Lobstein", "given" : "T", "non-dropping-particle" : "", "parse-names" : false, "suffix" : "" } ], "container-title" : "Pediatric obesity", "id" : "ITEM-2", "issue" : "4", "issued" : { "date-parts" : [ [ "2013" ] ] }, "page" : "325-327", "title" : "Comparison of nutrient profiling schemes for restricting the marketing of food and drink to children", "type" : "article-journal", "volume" : "8" }, "uris" : [ "http://www.mendeley.com/documents/?uuid=654069e8-e1b8-4fed-abc8-3fbeedb399cd" ] }, { "id" : "ITEM-3", "itemData" : { "author" : [ { "dropping-particle" : "", "family" : "National Institute of Health and Care Excellence", "given" : "", "non-dropping-particle" : "", "parse-names" : false, "suffix" : "" } ], "id" : "ITEM-3", "issued" : { "date-parts" : [ [ "2015" ] ] }, "publisher-place" : "London", "title" : "Obesity in children and young people: prevention and lifestyle weight management programmes", "type" : "report" }, "uris" : [ "http://www.mendeley.com/documents/?uuid=572b7eec-0d9f-4bd1-8da0-2229d1fa31a3" ] } ], "mendeley" : { "formattedCitation" : "(Gortmaker et al., 2011; Brinsden and Lobstein, 2013; National Institute of Health and Care Excellence, 2015b)", "plainTextFormattedCitation" : "(Gortmaker et al., 2011; Brinsden and Lobstein, 2013; National Institute of Health and Care Excellence, 2015b)", "previouslyFormattedCitation" : "(Gortmaker et al., 2011; Brinsden and Lobstein, 2013; National Institute of Health and Care Excellence, 2015b)" }, "properties" : { "noteIndex" : 0 }, "schema" : "https://github.com/citation-style-language/schema/raw/master/csl-citation.json" }</w:instrText>
      </w:r>
      <w:r w:rsidR="00E8432F" w:rsidRPr="009B3747">
        <w:rPr>
          <w:rFonts w:eastAsia="Times New Roman" w:cstheme="minorHAnsi"/>
          <w:color w:val="000000"/>
          <w:lang w:eastAsia="en-GB"/>
        </w:rPr>
        <w:fldChar w:fldCharType="separate"/>
      </w:r>
      <w:r w:rsidR="00E8432F" w:rsidRPr="009B3747">
        <w:rPr>
          <w:rFonts w:eastAsia="Times New Roman" w:cstheme="minorHAnsi"/>
          <w:noProof/>
          <w:color w:val="000000"/>
          <w:lang w:eastAsia="en-GB"/>
        </w:rPr>
        <w:t>(Gortmaker et al., 2011; Brinsden and Lobstein, 2013; National Institute of Health and Care Excellence, 2015b)</w:t>
      </w:r>
      <w:r w:rsidR="00E8432F" w:rsidRPr="009B3747">
        <w:rPr>
          <w:rFonts w:eastAsia="Times New Roman" w:cstheme="minorHAnsi"/>
          <w:color w:val="000000"/>
          <w:lang w:eastAsia="en-GB"/>
        </w:rPr>
        <w:fldChar w:fldCharType="end"/>
      </w:r>
      <w:r w:rsidRPr="009B3747">
        <w:rPr>
          <w:rFonts w:eastAsia="Times New Roman" w:cstheme="minorHAnsi"/>
          <w:color w:val="000000"/>
          <w:lang w:eastAsia="en-GB"/>
        </w:rPr>
        <w:t>.  In comparison, a plethora of research exists evaluating midstream and downstream level interventions across community, home and school settings</w:t>
      </w:r>
      <w:r w:rsidR="00C60130" w:rsidRPr="009B3747">
        <w:rPr>
          <w:rFonts w:eastAsia="Times New Roman" w:cstheme="minorHAnsi"/>
          <w:color w:val="000000"/>
          <w:lang w:eastAsia="en-GB"/>
        </w:rPr>
        <w:t xml:space="preserve"> </w:t>
      </w:r>
      <w:r w:rsidR="00C60130"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"Doak", "given" : "CM", "non-dropping-particle" : "", "parse-names" : false, "suffix" : "" }, { "dropping-particle" : "", "family" : "Visscher", "given" : "TLS", "non-dropping-particle" : "", "parse-names" : false, "suffix" : "" } ], "container-title" : "Obesity reviews", "id" : "ITEM-1", "issue" : "1", "issued" : { "date-parts" : [ [ "2006" ] ] }, "page" : "111-136", "title" : "The prevention of overweight and obesity in children and adolescents: a review of interventions and programmes", "type" : "article-journal", "volume" : "7" }, "uris" : [ "http://www.mendeley.com/documents/?uuid=85b0cc74-369d-4256-93dc-c94435a10bb7" ] }, { "id" : "ITEM-2", "itemData" : { "author" : [ { "dropping-particle" : "", "family" : "Waters", "given" : "E", "non-dropping-particle" : "", "parse-names" : false, "suffix" : "" }, { "dropping-particle" : "de", "family" : "Silva-Sanigorski", "given" : "A", "non-dropping-particle" : "", "parse-names" : false, "suffix" : "" } ], "container-title" : "Cochrane Database of Systematic Reviews", "id" : "ITEM-2", "issue" : "12", "issued" : { "date-parts" : [ [ "2011" ] ] }, "title" : "Interventions for preventing obesity in children", "type" : "article-journal" }, "uris" : [ "http://www.mendeley.com/documents/?uuid=edceb688-e3c5-459d-b1d2-e8f0aa963cd2" ] }, { "id" : "ITEM-3", "itemData" : { "author" : [ { "dropping-particle" : "", "family" : "National Institute of Health and Care Excellence", "given" : "", "non-dropping-particle" : "", "parse-names" : false, "suffix" : "" } ], "id" : "ITEM-3", "issued" : { "date-parts" : [ [ "2015" ] ] }, "publisher-place" : "London", "title" : "Obesity in children and young people: prevention and lifestyle weight management programmes", "type" : "report" }, "uris" : [ "http://www.mendeley.com/documents/?uuid=572b7eec-0d9f-4bd1-8da0-2229d1fa31a3" ] }, { "id" : "ITEM-4", "itemData" : { "author" : [ { "dropping-particle" : "", "family" : "Wang", "given" : "Y", "non-dropping-particle" : "", "parse-names" : false, "suffix" : "" }, { "dropping-particle" : "", "family" : "Wu", "given" : "Y", "non-dropping-particle" : "", "parse-names" : false, "suffix" : "" }, { "dropping-particle" : "", "family" : "Wilson", "given" : "RF", "non-dropping-particle" : "", "parse-names" : false, "suffix" : "" }, { "dropping-particle" : "", "family" : "Bleich", "given" : "S", "non-dropping-particle" : "", "parse-names" : false, "suffix" : "" } ], "container-title" : "Comparative Effectiveness Reviews", "id" : "ITEM-4", "issued" : { "date-parts" : [ [ "2013" ] ] }, "title" : "Childhood obesity prevention programs: comparative effectiveness review and meta-analysis", "type" : "article-journal", "volume" : "115" }, "uris" : [ "http://www.mendeley.com/documents/?uuid=9766fbad-3d9c-402c-8f12-e60cec010d28" ] }, { "id" : "ITEM-5", "itemData" : { "DOI" : "10.1111/obr.12277", "ISSN" : "14677881", "PMID" : "25893796", "abstract" : "Previous reviews of childhood obesity prevention have focused largely on schools and findings have been inconsistent. Funded by the US Agency for Healthcare Research and Quality (AHRQ) and the National Institutes of Health, we systematically evaluated the effectiveness of childhood obesity prevention programmes conducted in high-income countries and implemented in various settings. We searched MEDLINE\u00ae, Embase, PsycINFO, CINAHL\u00ae, ClinicalTrials.gov and the Cochrane Library from inception through 22 April 2013 for relevant studies, including randomized controlled trials, quasi-experimental studies and natural experiments, targeting diet, physical activity or both, and conducted in children aged 2-18 in high-income countries. Two reviewers independently abstracted the data. The strength of evidence (SOE) supporting interventions was graded for each study setting (e.g. home, school). Meta-analyses were performed on studies judged sufficiently similar and appropriate to pool using random effect models. This paper reported our findings on various adiposity-related outcomes. We identified 147 articles (139 intervention studies) of which 115 studies were primarily school based, although\u2009other settings could have been involved. Most were conducted in the United States and within the past decade. SOE was high for physical activity-only interventions delivered in schools with home involvement or combined diet-physical activity interventions delivered in schools with both home and community components. SOE was moderate for school-based interventions targeting either diet or physical activity, combined interventions delivered in schools with home or community components or combined interventions delivered in the community with a school component. SOE was low for combined interventions in childcare or home settings. Evidence was insufficient for other interventions. In conclusion, at least moderately strong evidence supports the effectiveness of school-based interventions for preventing childhood obesity. More research is needed to evaluate programmes in other settings or of other design types, especially environmental, policy and consumer health informatics-oriented interventions.", "author" : [ { "dropping-particle" : "", "family" : "Wang", "given" : "Y.", "non-dropping-particle" : "", "parse-names" : false, "suffix" : "" }, { "dropping-particle" : "", "family" : "Cai", "given" : "L.", "non-dropping-particle" : "", "parse-names" : false, "suffix" : "" }, { "dropping-particle" : "", "family" : "Wu", "given" : "Y.", "non-dropping-particle" : "", "parse-names" : false, "suffix" : "" }, { "dropping-particle" : "", "family" : "Wilson", "given" : "R. F.", "non-dropping-particle" : "", "parse-names" : false, "suffix" : "" }, { "dropping-particle" : "", "family" : "Weston", "given" : "C.", "non-dropping-particle" : "", "parse-names" : false, "suffix" : "" }, { "dropping-particle" : "", "family" : "Fawole", "given" : "O.", "non-dropping-particle" : "", "parse-names" : false, "suffix" : "" }, { "dropping-particle" : "", "family" : "Bleich", "given" : "S. N.", "non-dropping-particle" : "", "parse-names" : false, "suffix" : "" }, { "dropping-particle" : "", "family" : "Cheskin", "given" : "L. J.", "non-dropping-particle" : "", "parse-names" : false, "suffix" : "" }, { "dropping-particle" : "", "family" : "Showell", "given" : "N. N.", "non-dropping-particle" : "", "parse-names" : false, "suffix" : "" }, { "dropping-particle" : "", "family" : "Lau", "given" : "B. D.", "non-dropping-particle" : "", "parse-names" : false, "suffix" : "" }, { "dropping-particle" : "", "family" : "Chiu", "given" : "D. T.", "non-dropping-particle" : "", "parse-names" : false, "suffix" : "" }, { "dropping-particle" : "", "family" : "Zhang", "given" : "A.", "non-dropping-particle" : "", "parse-names" : false, "suffix" : "" }, { "dropping-particle" : "", "family" : "Segal", "given" : "J.", "non-dropping-particle" : "", "parse-names" : false, "suffix" : "" } ], "container-title" : "Obesity Reviews", "id" : "ITEM-5", "issue" : "7", "issued" : { "date-parts" : [ [ "2015", "7", "20" ] ] }, "page" : "547-565", "title" : "What childhood obesity prevention programmes work? A systematic review and meta-analysis", "type" : "article-journal", "volume" : "16" }, "uris" : [ "http://www.mendeley.com/documents/?uuid=6062d135-073b-40bc-a5de-04435d42cd04" ] } ], "mendeley" : { "formattedCitation" : "(Doak and Visscher, 2006; Waters and Silva-Sanigorski, 2011; National Institute of Health and Care Excellence, 2015b; Wang et al., 2013, 2015)", "plainTextFormattedCitation" : "(Doak and Visscher, 2006; Waters and Silva-Sanigorski, 2011; National Institute of Health and Care Excellence, 2015b; Wang et al., 2013, 2015)", "previouslyFormattedCitation" : "(Doak and Visscher, 2006; Waters and Silva-Sanigorski, 2011; National Institute of Health and Care Excellence, 2015b; Wang et al., 2013, 2015)" }, "properties" : { "noteIndex" : 0 }, "schema" : "https://github.com/citation-style-language/schema/raw/master/csl-citation.json" }</w:instrText>
      </w:r>
      <w:r w:rsidR="00C60130" w:rsidRPr="009B3747">
        <w:rPr>
          <w:rFonts w:eastAsia="Times New Roman" w:cstheme="minorHAnsi"/>
          <w:color w:val="000000"/>
          <w:lang w:eastAsia="en-GB"/>
        </w:rPr>
        <w:fldChar w:fldCharType="separate"/>
      </w:r>
      <w:r w:rsidR="00C60130" w:rsidRPr="009B3747">
        <w:rPr>
          <w:rFonts w:eastAsia="Times New Roman" w:cstheme="minorHAnsi"/>
          <w:noProof/>
          <w:color w:val="000000"/>
          <w:lang w:eastAsia="en-GB"/>
        </w:rPr>
        <w:t>(Doak and Visscher, 2006; Waters and Silva-Sanigorski, 2011; National Institute of Health and Care Excellence, 2015b; Wang et al., 2013, 2015)</w:t>
      </w:r>
      <w:r w:rsidR="00C60130" w:rsidRPr="009B3747">
        <w:rPr>
          <w:rFonts w:eastAsia="Times New Roman" w:cstheme="minorHAnsi"/>
          <w:color w:val="000000"/>
          <w:lang w:eastAsia="en-GB"/>
        </w:rPr>
        <w:fldChar w:fldCharType="end"/>
      </w:r>
      <w:r w:rsidR="00C60130" w:rsidRPr="009B3747">
        <w:rPr>
          <w:rFonts w:eastAsia="Times New Roman" w:cstheme="minorHAnsi"/>
          <w:color w:val="000000"/>
          <w:lang w:eastAsia="en-GB"/>
        </w:rPr>
        <w:t xml:space="preserve">.  </w:t>
      </w:r>
      <w:r w:rsidRPr="009B3747">
        <w:rPr>
          <w:rFonts w:eastAsia="Times New Roman" w:cstheme="minorHAnsi"/>
          <w:color w:val="000000"/>
          <w:lang w:eastAsia="en-GB"/>
        </w:rPr>
        <w:t>Findings identified modest</w:t>
      </w:r>
      <w:r w:rsidR="00281979">
        <w:rPr>
          <w:rFonts w:eastAsia="Times New Roman" w:cstheme="minorHAnsi"/>
          <w:color w:val="000000"/>
          <w:lang w:eastAsia="en-GB"/>
        </w:rPr>
        <w:t>,</w:t>
      </w:r>
      <w:r w:rsidRPr="009B3747">
        <w:rPr>
          <w:rFonts w:eastAsia="Times New Roman" w:cstheme="minorHAnsi"/>
          <w:color w:val="000000"/>
          <w:lang w:eastAsia="en-GB"/>
        </w:rPr>
        <w:t xml:space="preserve"> but at times significant evidence for preventative interventions in school settings, where a home or community element was included, and when both diet and physical activity were addressed.  However due to the complex environmental and social drivers of obesity</w:t>
      </w:r>
      <w:r w:rsidR="00C60130" w:rsidRPr="009B3747">
        <w:rPr>
          <w:rFonts w:eastAsia="Times New Roman" w:cstheme="minorHAnsi"/>
          <w:color w:val="000000"/>
          <w:lang w:eastAsia="en-GB"/>
        </w:rPr>
        <w:t xml:space="preserve"> </w:t>
      </w:r>
      <w:r w:rsidR="00C60130"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"Butland", "given" : "B", "non-dropping-particle" : "", "parse-names" : false, "suffix" : "" }, { "dropping-particle" : "", "family" : "Jebb", "given" : "S", "non-dropping-particle" : "", "parse-names" : false, "suffix" : "" } ], "id" : "ITEM-1", "issued" : { "date-parts" : [ [ "2007" ] ] }, "title" : "Foresight. Tackling obesities: future choices. Project report.", "type" : "report" }, "uris" : [ "http://www.mendeley.com/documents/?uuid=8ae0e880-41d4-4b61-b434-dc36711dd306" ] } ], "mendeley" : { "formattedCitation" : "(Butland and Jebb, 2007)", "plainTextFormattedCitation" : "(Butland and Jebb, 2007)", "previouslyFormattedCitation" : "(Butland and Jebb, 2007)" }, "properties" : { "noteIndex" : 0 }, "schema" : "https://github.com/citation-style-language/schema/raw/master/csl-citation.json" }</w:instrText>
      </w:r>
      <w:r w:rsidR="00C60130" w:rsidRPr="009B3747">
        <w:rPr>
          <w:rFonts w:eastAsia="Times New Roman" w:cstheme="minorHAnsi"/>
          <w:color w:val="000000"/>
          <w:lang w:eastAsia="en-GB"/>
        </w:rPr>
        <w:fldChar w:fldCharType="separate"/>
      </w:r>
      <w:r w:rsidR="00C60130" w:rsidRPr="009B3747">
        <w:rPr>
          <w:rFonts w:eastAsia="Times New Roman" w:cstheme="minorHAnsi"/>
          <w:noProof/>
          <w:color w:val="000000"/>
          <w:lang w:eastAsia="en-GB"/>
        </w:rPr>
        <w:t>(Butland and Jebb, 2007)</w:t>
      </w:r>
      <w:r w:rsidR="00C60130" w:rsidRPr="009B3747">
        <w:rPr>
          <w:rFonts w:eastAsia="Times New Roman" w:cstheme="minorHAnsi"/>
          <w:color w:val="000000"/>
          <w:lang w:eastAsia="en-GB"/>
        </w:rPr>
        <w:fldChar w:fldCharType="end"/>
      </w:r>
      <w:r w:rsidR="00C60130"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it is important to reflect that </w:t>
      </w:r>
      <w:r w:rsidR="00CD7979" w:rsidRPr="009B3747">
        <w:rPr>
          <w:rFonts w:eastAsia="Times New Roman" w:cstheme="minorHAnsi"/>
          <w:i/>
          <w:iCs/>
          <w:color w:val="000000"/>
          <w:lang w:eastAsia="en-GB"/>
        </w:rPr>
        <w:t>“</w:t>
      </w:r>
      <w:r w:rsidRPr="009B3747">
        <w:rPr>
          <w:rFonts w:eastAsia="Times New Roman" w:cstheme="minorHAnsi"/>
          <w:i/>
          <w:iCs/>
          <w:color w:val="000000"/>
          <w:lang w:eastAsia="en-GB"/>
        </w:rPr>
        <w:t>schools may not be effective in reducing the</w:t>
      </w:r>
      <w:r w:rsidR="00CD7979" w:rsidRPr="009B3747">
        <w:rPr>
          <w:rFonts w:eastAsia="Times New Roman" w:cstheme="minorHAnsi"/>
          <w:i/>
          <w:iCs/>
          <w:color w:val="000000"/>
          <w:lang w:eastAsia="en-GB"/>
        </w:rPr>
        <w:t xml:space="preserve"> risks posted in other settings</w:t>
      </w:r>
      <w:r w:rsidR="00CD7979" w:rsidRPr="009B3747">
        <w:rPr>
          <w:rFonts w:eastAsia="Times New Roman" w:cstheme="minorHAnsi"/>
          <w:iCs/>
          <w:color w:val="000000"/>
          <w:lang w:eastAsia="en-GB"/>
        </w:rPr>
        <w:t>”</w:t>
      </w:r>
      <w:r w:rsidRPr="009B3747">
        <w:rPr>
          <w:rFonts w:eastAsia="Times New Roman" w:cstheme="minorHAnsi"/>
          <w:iCs/>
          <w:color w:val="000000"/>
          <w:lang w:eastAsia="en-GB"/>
        </w:rPr>
        <w:t xml:space="preserve">  </w:t>
      </w:r>
      <w:r w:rsidRPr="009B3747">
        <w:rPr>
          <w:rFonts w:eastAsia="Times New Roman" w:cstheme="minorHAnsi"/>
          <w:color w:val="000000"/>
          <w:lang w:eastAsia="en-GB"/>
        </w:rPr>
        <w:t>(Wang et al, 2013, p155).  Despite this, in England the role of schools remains a focal point for action to improve healthy lifestyle behaviours and prevent childhood and adol</w:t>
      </w:r>
      <w:r w:rsidR="00FA6BC1" w:rsidRPr="009B3747">
        <w:rPr>
          <w:rFonts w:eastAsia="Times New Roman" w:cstheme="minorHAnsi"/>
          <w:color w:val="000000"/>
          <w:lang w:eastAsia="en-GB"/>
        </w:rPr>
        <w:t>escent obesity (NICE, 2015a; 2015b, HM Government,</w:t>
      </w:r>
      <w:r w:rsidRPr="009B3747">
        <w:rPr>
          <w:rFonts w:eastAsia="Times New Roman" w:cstheme="minorHAnsi"/>
          <w:color w:val="000000"/>
          <w:lang w:eastAsia="en-GB"/>
        </w:rPr>
        <w:t xml:space="preserve"> 2016).  </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A16FA3" w:rsidRPr="009B3747" w:rsidRDefault="00C34D84" w:rsidP="00A16FA3">
      <w:pPr>
        <w:rPr>
          <w:rFonts w:eastAsia="Times New Roman" w:cstheme="minorHAnsi"/>
          <w:sz w:val="24"/>
          <w:szCs w:val="24"/>
          <w:lang w:eastAsia="en-GB"/>
        </w:rPr>
      </w:pPr>
      <w:r w:rsidRPr="009B3747">
        <w:rPr>
          <w:rFonts w:eastAsia="Times New Roman" w:cstheme="minorHAnsi"/>
          <w:b/>
          <w:bCs/>
          <w:color w:val="000000"/>
          <w:sz w:val="24"/>
          <w:szCs w:val="24"/>
          <w:u w:val="single"/>
          <w:lang w:eastAsia="en-GB"/>
        </w:rPr>
        <w:t>2</w:t>
      </w:r>
      <w:r w:rsidR="00F757C7" w:rsidRPr="009B3747">
        <w:rPr>
          <w:rFonts w:eastAsia="Times New Roman" w:cstheme="minorHAnsi"/>
          <w:b/>
          <w:bCs/>
          <w:color w:val="000000"/>
          <w:sz w:val="24"/>
          <w:szCs w:val="24"/>
          <w:u w:val="single"/>
          <w:lang w:eastAsia="en-GB"/>
        </w:rPr>
        <w:t xml:space="preserve">.7 </w:t>
      </w:r>
      <w:r w:rsidR="00A16FA3" w:rsidRPr="009B3747">
        <w:rPr>
          <w:rFonts w:eastAsia="Times New Roman" w:cstheme="minorHAnsi"/>
          <w:b/>
          <w:bCs/>
          <w:color w:val="000000"/>
          <w:sz w:val="24"/>
          <w:szCs w:val="24"/>
          <w:u w:val="single"/>
          <w:lang w:eastAsia="en-GB"/>
        </w:rPr>
        <w:t>Health promoting schools</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A16FA3" w:rsidRPr="009B3747" w:rsidRDefault="00A16FA3" w:rsidP="00A16FA3">
      <w:pPr>
        <w:rPr>
          <w:rFonts w:eastAsia="Times New Roman" w:cstheme="minorHAnsi"/>
          <w:sz w:val="24"/>
          <w:szCs w:val="24"/>
          <w:lang w:eastAsia="en-GB"/>
        </w:rPr>
      </w:pPr>
      <w:r w:rsidRPr="009B3747">
        <w:rPr>
          <w:rFonts w:eastAsia="Times New Roman" w:cstheme="minorHAnsi"/>
          <w:color w:val="000000"/>
          <w:lang w:eastAsia="en-GB"/>
        </w:rPr>
        <w:t xml:space="preserve">As previously identified, childhood and adolescence presents crucial periods of </w:t>
      </w:r>
      <w:r w:rsidR="00E379EE" w:rsidRPr="009B3747">
        <w:rPr>
          <w:rFonts w:eastAsia="Times New Roman" w:cstheme="minorHAnsi"/>
          <w:i/>
          <w:iCs/>
          <w:color w:val="000000"/>
          <w:lang w:eastAsia="en-GB"/>
        </w:rPr>
        <w:t>“</w:t>
      </w:r>
      <w:r w:rsidRPr="009B3747">
        <w:rPr>
          <w:rFonts w:eastAsia="Times New Roman" w:cstheme="minorHAnsi"/>
          <w:i/>
          <w:iCs/>
          <w:color w:val="000000"/>
          <w:lang w:eastAsia="en-GB"/>
        </w:rPr>
        <w:t>biological and s</w:t>
      </w:r>
      <w:r w:rsidR="00E379EE" w:rsidRPr="009B3747">
        <w:rPr>
          <w:rFonts w:eastAsia="Times New Roman" w:cstheme="minorHAnsi"/>
          <w:i/>
          <w:iCs/>
          <w:color w:val="000000"/>
          <w:lang w:eastAsia="en-GB"/>
        </w:rPr>
        <w:t>ocial change”</w:t>
      </w:r>
      <w:r w:rsidR="00981B68" w:rsidRPr="009B3747">
        <w:rPr>
          <w:rFonts w:eastAsia="Times New Roman" w:cstheme="minorHAnsi"/>
          <w:iCs/>
          <w:color w:val="000000"/>
          <w:lang w:eastAsia="en-GB"/>
        </w:rPr>
        <w:t xml:space="preserve"> </w:t>
      </w:r>
      <w:r w:rsidR="00981B68" w:rsidRPr="009B3747">
        <w:rPr>
          <w:rFonts w:eastAsia="Times New Roman" w:cstheme="minorHAnsi"/>
          <w:iCs/>
          <w:color w:val="000000"/>
          <w:lang w:eastAsia="en-GB"/>
        </w:rPr>
        <w:fldChar w:fldCharType="begin" w:fldLock="1"/>
      </w:r>
      <w:r w:rsidR="00395650" w:rsidRPr="009B3747">
        <w:rPr>
          <w:rFonts w:eastAsia="Times New Roman" w:cstheme="minorHAnsi"/>
          <w:iCs/>
          <w:color w:val="000000"/>
          <w:lang w:eastAsia="en-GB"/>
        </w:rPr>
        <w:instrText>ADDIN CSL_CITATION { "citationItems" : [ { "id" : "ITEM-1", "itemData" : { "author" : [ { "dropping-particle" : "", "family" : "Langford", "given" : "R", "non-dropping-particle" : "", "parse-names" : false, "suffix" : "" }, { "dropping-particle" : "", "family" : "Bonell", "given" : "C", "non-dropping-particle" : "", "parse-names" : false, "suffix" : "" } ], "container-title" : "International Journal of Behavioral Nutrition and Physical Activity", "id" : "ITEM-1", "issue" : "15", "issued" : { "date-parts" : [ [ "2015" ] ] }, "title" : "Obesity prevention and the Health promoting Schools framework: essential components and barriers to success", "type" : "article-journal", "volume" : "12" }, "uris" : [ "http://www.mendeley.com/documents/?uuid=33a18f66-3855-47de-96c1-ab2efb0e4b0c" ] } ], "mendeley" : { "formattedCitation" : "(Langford and Bonell, 2015)", "manualFormatting" : "(Langford and Bonell, 2015, p.2)", "plainTextFormattedCitation" : "(Langford and Bonell, 2015)", "previouslyFormattedCitation" : "(Langford and Bonell, 2015)" }, "properties" : { "noteIndex" : 0 }, "schema" : "https://github.com/citation-style-language/schema/raw/master/csl-citation.json" }</w:instrText>
      </w:r>
      <w:r w:rsidR="00981B68" w:rsidRPr="009B3747">
        <w:rPr>
          <w:rFonts w:eastAsia="Times New Roman" w:cstheme="minorHAnsi"/>
          <w:iCs/>
          <w:color w:val="000000"/>
          <w:lang w:eastAsia="en-GB"/>
        </w:rPr>
        <w:fldChar w:fldCharType="separate"/>
      </w:r>
      <w:r w:rsidR="00981B68" w:rsidRPr="009B3747">
        <w:rPr>
          <w:rFonts w:eastAsia="Times New Roman" w:cstheme="minorHAnsi"/>
          <w:iCs/>
          <w:noProof/>
          <w:color w:val="000000"/>
          <w:lang w:eastAsia="en-GB"/>
        </w:rPr>
        <w:t>(Langford and Bonel</w:t>
      </w:r>
      <w:r w:rsidR="00FB5B00" w:rsidRPr="009B3747">
        <w:rPr>
          <w:rFonts w:eastAsia="Times New Roman" w:cstheme="minorHAnsi"/>
          <w:iCs/>
          <w:noProof/>
          <w:color w:val="000000"/>
          <w:lang w:eastAsia="en-GB"/>
        </w:rPr>
        <w:t>l, 2015, p.</w:t>
      </w:r>
      <w:r w:rsidR="00981B68" w:rsidRPr="009B3747">
        <w:rPr>
          <w:rFonts w:eastAsia="Times New Roman" w:cstheme="minorHAnsi"/>
          <w:iCs/>
          <w:noProof/>
          <w:color w:val="000000"/>
          <w:lang w:eastAsia="en-GB"/>
        </w:rPr>
        <w:t>2)</w:t>
      </w:r>
      <w:r w:rsidR="00981B68" w:rsidRPr="009B3747">
        <w:rPr>
          <w:rFonts w:eastAsia="Times New Roman" w:cstheme="minorHAnsi"/>
          <w:iCs/>
          <w:color w:val="000000"/>
          <w:lang w:eastAsia="en-GB"/>
        </w:rPr>
        <w:fldChar w:fldCharType="end"/>
      </w:r>
      <w:r w:rsidR="00AF46FD">
        <w:rPr>
          <w:rFonts w:eastAsia="Times New Roman" w:cstheme="minorHAnsi"/>
          <w:iCs/>
          <w:color w:val="000000"/>
          <w:lang w:eastAsia="en-GB"/>
        </w:rPr>
        <w:t>,</w:t>
      </w:r>
      <w:r w:rsidRPr="009B3747">
        <w:rPr>
          <w:rFonts w:eastAsia="Times New Roman" w:cstheme="minorHAnsi"/>
          <w:i/>
          <w:iCs/>
          <w:color w:val="000000"/>
          <w:lang w:eastAsia="en-GB"/>
        </w:rPr>
        <w:t xml:space="preserve"> </w:t>
      </w:r>
      <w:r w:rsidRPr="009B3747">
        <w:rPr>
          <w:rFonts w:eastAsia="Times New Roman" w:cstheme="minorHAnsi"/>
          <w:color w:val="000000"/>
          <w:lang w:eastAsia="en-GB"/>
        </w:rPr>
        <w:t>where during this time experiences have the potential to affect health, economic and social outcomes in adulthood</w:t>
      </w:r>
      <w:r w:rsidR="00981B68" w:rsidRPr="009B3747">
        <w:rPr>
          <w:rFonts w:eastAsia="Times New Roman" w:cstheme="minorHAnsi"/>
          <w:color w:val="000000"/>
          <w:lang w:eastAsia="en-GB"/>
        </w:rPr>
        <w:t xml:space="preserve"> </w:t>
      </w:r>
      <w:r w:rsidR="00981B68"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"Kelder", "given" : "SH", "non-dropping-particle" : "", "parse-names" : false, "suffix" : "" }, { "dropping-particle" : "", "family" : "Perry", "given" : "CL", "non-dropping-particle" : "", "parse-names" : false, "suffix" : "" } ], "container-title" : "American journal of public health", "id" : "ITEM-1", "issue" : "7", "issued" : { "date-parts" : [ [ "1994" ] ] }, "page" : "1121-1126", "title" : "Longitudinal tracking of adolescent smoking, physical activity, and food choice behaviors.", "type" : "article-journal", "volume" : "84" }, "uris" : [ "http://www.mendeley.com/documents/?uuid=97d15e41-f789-4ac6-a01d-ed00e2fd1eea" ] }, { "id" : "ITEM-2", "itemData" : { "author" : [ { "dropping-particle" : "", "family" : "Wadsworth", "given" : "MEJ", "non-dropping-particle" : "", "parse-names" : false, "suffix" : "" }, { "dropping-particle" : "", "family" : "Kuh", "given" : "DJL", "non-dropping-particle" : "", "parse-names" : false, "suffix" : "" } ], "container-title" : "Paediatric and perinatal \u2026", "id" : "ITEM-2", "issue" : "1", "issued" : { "date-parts" : [ [ "1997" ] ] }, "page" : "2-20", "title" : "Childhood influences on adult health: a review of recent work from the British 1946 national birth cohort study, the MRC National Survey of Health and Development", "type" : "article-journal", "volume" : "11" }, "uris" : [ "http://www.mendeley.com/documents/?uuid=60cbb264-697c-4de2-9370-000511d8edd6" ] }, { "id" : "ITEM-3", "itemData" : { "author" : [ { "dropping-particle" : "", "family" : "Singh", "given" : "AS", "non-dropping-particle" : "", "parse-names" : false, "suffix" : "" }, { "dropping-particle" : "", "family" : "Mulder", "given" : "C", "non-dropping-particle" : "", "parse-names" : false, "suffix" : "" } ], "container-title" : "Obesity \u2026", "id" : "ITEM-3", "issue" : "5", "issued" : { "date-parts" : [ [ "2008" ] ] }, "page" : "474-488", "title" : "Tracking of childhood overweight into adulthood: a systematic review of the literature", "type" : "article-journal", "volume" : "9" }, "uris" : [ "http://www.mendeley.com/documents/?uuid=81eacab3-c964-4816-81a9-c3734a5177d0" ] }, { "id" : "ITEM-4", "itemData" : { "author" : [ { "dropping-particle" : "", "family" : "Kessler", "given" : "RC", "non-dropping-particle" : "", "parse-names" : false, "suffix" : "" }, { "dropping-particle" : "", "family" : "McLaughlin", "given" : "KA", "non-dropping-particle" : "", "parse-names" : false, "suffix" : "" }, { "dropping-particle" : "", "family" : "Green", "given" : "JG", "non-dropping-particle" : "", "parse-names" : false, "suffix" : "" } ], "container-title" : "The British Journal of Psychiatry", "id" : "ITEM-4", "issue" : "5", "issued" : { "date-parts" : [ [ "2010" ] ] }, "page" : "378-385", "title" : "Childhood adversities and adult psychopathology in the WHO World Mental Health Surveys", "type" : "article-journal", "volume" : "197" }, "uris" : [ "http://www.mendeley.com/documents/?uuid=51ba5ad6-140e-46e9-b16b-72011dac5938" ] } ], "mendeley" : { "formattedCitation" : "(Kelder and Perry, 1994; Wadsworth and Kuh, 1997; Singh and Mulder, 2008; Kessler et al., 2010)", "plainTextFormattedCitation" : "(Kelder and Perry, 1994; Wadsworth and Kuh, 1997; Singh and Mulder, 2008; Kessler et al., 2010)", "previouslyFormattedCitation" : "(Kelder and Perry, 1994; Wadsworth and Kuh, 1997; Singh and Mulder, 2008; Kessler et al., 2010)" }, "properties" : { "noteIndex" : 0 }, "schema" : "https://github.com/citation-style-language/schema/raw/master/csl-citation.json" }</w:instrText>
      </w:r>
      <w:r w:rsidR="00981B68" w:rsidRPr="009B3747">
        <w:rPr>
          <w:rFonts w:eastAsia="Times New Roman" w:cstheme="minorHAnsi"/>
          <w:color w:val="000000"/>
          <w:lang w:eastAsia="en-GB"/>
        </w:rPr>
        <w:fldChar w:fldCharType="separate"/>
      </w:r>
      <w:r w:rsidR="00981B68" w:rsidRPr="009B3747">
        <w:rPr>
          <w:rFonts w:eastAsia="Times New Roman" w:cstheme="minorHAnsi"/>
          <w:noProof/>
          <w:color w:val="000000"/>
          <w:lang w:eastAsia="en-GB"/>
        </w:rPr>
        <w:t>(Kelder and Perry, 1994; Wadsworth and Kuh, 1997; Singh and Mulder, 2008; Kessler et al., 2010)</w:t>
      </w:r>
      <w:r w:rsidR="00981B68" w:rsidRPr="009B3747">
        <w:rPr>
          <w:rFonts w:eastAsia="Times New Roman" w:cstheme="minorHAnsi"/>
          <w:color w:val="000000"/>
          <w:lang w:eastAsia="en-GB"/>
        </w:rPr>
        <w:fldChar w:fldCharType="end"/>
      </w:r>
      <w:r w:rsidR="00981B68" w:rsidRPr="009B3747">
        <w:rPr>
          <w:rFonts w:eastAsia="Times New Roman" w:cstheme="minorHAnsi"/>
          <w:color w:val="000000"/>
          <w:lang w:eastAsia="en-GB"/>
        </w:rPr>
        <w:t xml:space="preserve">.  </w:t>
      </w:r>
      <w:r w:rsidRPr="009B3747">
        <w:rPr>
          <w:rFonts w:eastAsia="Times New Roman" w:cstheme="minorHAnsi"/>
          <w:color w:val="000000"/>
          <w:lang w:eastAsia="en-GB"/>
        </w:rPr>
        <w:t>Consequently, it has been argued to be critically important to promote health and well-being and establish early positive experiences throughout childhood and adolescence</w:t>
      </w:r>
      <w:r w:rsidR="00981B68" w:rsidRPr="009B3747">
        <w:rPr>
          <w:rFonts w:eastAsia="Times New Roman" w:cstheme="minorHAnsi"/>
          <w:color w:val="000000"/>
          <w:lang w:eastAsia="en-GB"/>
        </w:rPr>
        <w:t xml:space="preserve"> </w:t>
      </w:r>
      <w:r w:rsidR="00981B68"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"DOI" : "10.1016/S0140-6736(12)60072-5", "ISSN" : "01406736", "PMID" : "22538178", "abstract" : "Adolescence is a life phase in which the opportunities for health are great and future patterns of adult health are established. Health in adolescence is the result of interactions between prenatal and early childhood development and the specific biological and social-role changes that accompany puberty, shaped by social determinants and risk and protective factors that affect the uptake of health-related behaviours. The shape of adolescence is rapidly changing-the age of onset of puberty is decreasing and the age at which mature social roles are achieved is rising. New understandings of the diverse and dynamic effects on adolescent health include insights into the effects of puberty and brain development, together with social media. A focus on adolescence is central to the success of many public health agendas, including the Millennium Development Goals aiming to reduce child and maternal mortality and HIV/AIDS, and the more recent emphases on mental health, injuries, and non-communicable diseases. Greater attention to adolescence is needed within each of these public health domains if global health targets are to be met. Strategies that place the adolescent years centre stage-rather than focusing only on specific health agendas-provide important opportunities to improve health, both in adolescence and later in life.", "author" : [ { "dropping-particle" : "", "family" : "Sawyer", "given" : "Susan M", "non-dropping-particle" : "", "parse-names" : false, "suffix" : "" }, { "dropping-particle" : "", "family" : "Afifi", "given" : "Rima A", "non-dropping-particle" : "", "parse-names" : false, "suffix" : "" }, { "dropping-particle" : "", "family" : "Bearinger", "given" : "Linda H", "non-dropping-particle" : "", "parse-names" : false, "suffix" : "" }, { "dropping-particle" : "", "family" : "Blakemore", "given" : "Sarah-Jayne", "non-dropping-particle" : "", "parse-names" : false, "suffix" : "" }, { "dropping-particle" : "", "family" : "Dick", "given" : "Bruce", "non-dropping-particle" : "", "parse-names" : false, "suffix" : "" }, { "dropping-particle" : "", "family" : "Ezeh", "given" : "Alex C", "non-dropping-particle" : "", "parse-names" : false, "suffix" : "" }, { "dropping-particle" : "", "family" : "Patton", "given" : "George C", "non-dropping-particle" : "", "parse-names" : false, "suffix" : "" } ], "container-title" : "The Lancet", "id" : "ITEM-1", "issue" : "9826", "issued" : { "date-parts" : [ [ "2012", "4", "28" ] ] }, "page" : "1630-1640", "title" : "Adolescence: a foundation for future health", "type" : "article-journal", "volume" : "379" }, "uris" : [ "http://www.mendeley.com/documents/?uuid=86337351-c66e-3f53-9515-0f26d19a19aa" ] } ], "mendeley" : { "formattedCitation" : "(Sawyer et al., 2012)", "manualFormatting" : "(Sawyer et al., 2012)", "plainTextFormattedCitation" : "(Sawyer et al., 2012)", "previouslyFormattedCitation" : "(Sawyer et al., 2012)" }, "properties" : { "noteIndex" : 0 }, "schema" : "https://github.com/citation-style-language/schema/raw/master/csl-citation.json" }</w:instrText>
      </w:r>
      <w:r w:rsidR="00981B68" w:rsidRPr="009B3747">
        <w:rPr>
          <w:rFonts w:eastAsia="Times New Roman" w:cstheme="minorHAnsi"/>
          <w:color w:val="000000"/>
          <w:lang w:eastAsia="en-GB"/>
        </w:rPr>
        <w:fldChar w:fldCharType="separate"/>
      </w:r>
      <w:r w:rsidR="00981B68" w:rsidRPr="009B3747">
        <w:rPr>
          <w:rFonts w:eastAsia="Times New Roman" w:cstheme="minorHAnsi"/>
          <w:noProof/>
          <w:color w:val="000000"/>
          <w:lang w:eastAsia="en-GB"/>
        </w:rPr>
        <w:t>(Sawyer et al., 2012)</w:t>
      </w:r>
      <w:r w:rsidR="00981B68"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AF46FD" w:rsidRDefault="00A16FA3" w:rsidP="00A16FA3">
      <w:pPr>
        <w:rPr>
          <w:rFonts w:eastAsia="Times New Roman" w:cstheme="minorHAnsi"/>
          <w:color w:val="000000"/>
          <w:lang w:eastAsia="en-GB"/>
        </w:rPr>
      </w:pPr>
      <w:r w:rsidRPr="009B3747">
        <w:rPr>
          <w:rFonts w:eastAsia="Times New Roman" w:cstheme="minorHAnsi"/>
          <w:color w:val="000000"/>
          <w:lang w:eastAsia="en-GB"/>
        </w:rPr>
        <w:lastRenderedPageBreak/>
        <w:t>The concept of both primary and secondary schools being a powerful domain for promoting health and shaping children’s health behaviour is well-established</w:t>
      </w:r>
      <w:r w:rsidR="00981B68" w:rsidRPr="009B3747">
        <w:rPr>
          <w:rFonts w:eastAsia="Times New Roman" w:cstheme="minorHAnsi"/>
          <w:color w:val="000000"/>
          <w:lang w:eastAsia="en-GB"/>
        </w:rPr>
        <w:t xml:space="preserve"> </w:t>
      </w:r>
      <w:r w:rsidR="00981B68"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"Flynn", "given" : "MAT", "non-dropping-particle" : "", "parse-names" : false, "suffix" : "" }, { "dropping-particle" : "", "family" : "McNeil", "given" : "DA", "non-dropping-particle" : "", "parse-names" : false, "suffix" : "" }, { "dropping-particle" : "", "family" : "Maloff", "given" : "B", "non-dropping-particle" : "", "parse-names" : false, "suffix" : "" } ], "container-title" : "Obesity reviews", "id" : "ITEM-1", "issue" : "Supplement 1", "issued" : { "date-parts" : [ [ "2006" ] ] }, "page" : "7-66", "title" : "Reducing obesity and related chronic disease risk in children and youth: a synthesis of evidence with 'best practice'recommendations", "type" : "article-journal", "volume" : "7" }, "uris" : [ "http://www.mendeley.com/documents/?uuid=61edc8c2-3d4c-4c94-98a7-e6b469296028" ] }, { "id" : "ITEM-2", "itemData" : { "author" : [ { "dropping-particle" : "", "family" : "National Institute of Health and Care Excellence", "given" : "", "non-dropping-particle" : "", "parse-names" : false, "suffix" : "" } ], "id" : "ITEM-2", "issued" : { "date-parts" : [ [ "2006" ] ] }, "publisher-place" : "London", "title" : "Obesity Prevention", "type" : "report" }, "uris" : [ "http://www.mendeley.com/documents/?uuid=2c9bcfb1-609e-40cf-9a6f-3d48e4bb567f" ] }, { "id" : "ITEM-3", "itemData" : { "author" : [ { "dropping-particle" : "", "family" : "World Health Organization", "given" : "", "non-dropping-particle" : "", "parse-names" : false, "suffix" : "" } ], "id" : "ITEM-3", "issued" : { "date-parts" : [ [ "2012" ] ] }, "publisher-place" : "Geneva", "title" : "Population-based approaches to childhood obesity prevention", "type" : "report" }, "uris" : [ "http://www.mendeley.com/documents/?uuid=13cb8a82-b4b1-4e1c-9cff-4799581d9a22" ] }, { "id" : "ITEM-4", "itemData" : { "author" : [ { "dropping-particle" : "", "family" : "Langford", "given" : "R", "non-dropping-particle" : "", "parse-names" : false, "suffix" : "" }, { "dropping-particle" : "", "family" : "Bonell", "given" : "C", "non-dropping-particle" : "", "parse-names" : false, "suffix" : "" } ], "container-title" : "International Journal of Behavioral Nutrition and Physical Activity", "id" : "ITEM-4", "issue" : "15", "issued" : { "date-parts" : [ [ "2015" ] ] }, "title" : "Obesity prevention and the Health promoting Schools framework: essential components and barriers to success", "type" : "article-journal", "volume" : "12" }, "uris" : [ "http://www.mendeley.com/documents/?uuid=33a18f66-3855-47de-96c1-ab2efb0e4b0c" ] } ], "mendeley" : { "formattedCitation" : "(Flynn et al., 2006; National Institute of Health and Care Excellence, 2006; World Health Organization, 2012; Langford and Bonell, 2015)", "plainTextFormattedCitation" : "(Flynn et al., 2006; National Institute of Health and Care Excellence, 2006; World Health Organization, 2012; Langford and Bonell, 2015)", "previouslyFormattedCitation" : "(Flynn et al., 2006; National Institute of Health and Care Excellence, 2006; World Health Organization, 2012; Langford and Bonell, 2015)" }, "properties" : { "noteIndex" : 0 }, "schema" : "https://github.com/citation-style-language/schema/raw/master/csl-citation.json" }</w:instrText>
      </w:r>
      <w:r w:rsidR="00981B68" w:rsidRPr="009B3747">
        <w:rPr>
          <w:rFonts w:eastAsia="Times New Roman" w:cstheme="minorHAnsi"/>
          <w:color w:val="000000"/>
          <w:lang w:eastAsia="en-GB"/>
        </w:rPr>
        <w:fldChar w:fldCharType="separate"/>
      </w:r>
      <w:r w:rsidR="00981B68" w:rsidRPr="009B3747">
        <w:rPr>
          <w:rFonts w:eastAsia="Times New Roman" w:cstheme="minorHAnsi"/>
          <w:noProof/>
          <w:color w:val="000000"/>
          <w:lang w:eastAsia="en-GB"/>
        </w:rPr>
        <w:t>(Flynn et al., 2006; National Institute of Health and Care Excellence, 2006; World Health Organization, 2012; Langford and Bonell, 2015)</w:t>
      </w:r>
      <w:r w:rsidR="00981B68" w:rsidRPr="009B3747">
        <w:rPr>
          <w:rFonts w:eastAsia="Times New Roman" w:cstheme="minorHAnsi"/>
          <w:color w:val="000000"/>
          <w:lang w:eastAsia="en-GB"/>
        </w:rPr>
        <w:fldChar w:fldCharType="end"/>
      </w:r>
      <w:r w:rsidR="00981B68"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Emerging from the Ottawa Charter in 1986 was the early notion that they are uniquely placed to comprehensively, efficiently and sustainably promote health to the majority of children across a social spectrum </w:t>
      </w:r>
      <w:r w:rsidR="00981B68" w:rsidRPr="009B3747">
        <w:rPr>
          <w:rFonts w:eastAsia="Times New Roman" w:cstheme="minorHAnsi"/>
          <w:color w:val="000000"/>
          <w:lang w:eastAsia="en-GB"/>
        </w:rPr>
        <w:fldChar w:fldCharType="begin" w:fldLock="1"/>
      </w:r>
      <w:r w:rsidR="007E3DE9" w:rsidRPr="009B3747">
        <w:rPr>
          <w:rFonts w:eastAsia="Times New Roman" w:cstheme="minorHAnsi"/>
          <w:color w:val="000000"/>
          <w:lang w:eastAsia="en-GB"/>
        </w:rPr>
        <w:instrText>ADDIN CSL_CITATION { "citationItems" : [ { "id" : "ITEM-1", "itemData" : { "author" : [ { "dropping-particle" : "", "family" : "World Health Organization", "given" : "", "non-dropping-particle" : "", "parse-names" : false, "suffix" : "" } ], "container-title" : "First international conference on health promotion", "id" : "ITEM-1", "issued" : { "date-parts" : [ [ "1986" ] ] }, "publisher-place" : "Ottawa", "title" : "The Ottawa charter for health promotion", "type" : "paper-conference" }, "uris" : [ "http://www.mendeley.com/documents/?uuid=86533fd9-8ca2-4a09-a779-55ce2744d38a" ] } ], "mendeley" : { "formattedCitation" : "(World Health Organization, 1986b)", "plainTextFormattedCitation" : "(World Health Organization, 1986b)", "previouslyFormattedCitation" : "(World Health Organization, 1986b)" }, "properties" : { "noteIndex" : 0 }, "schema" : "https://github.com/citation-style-language/schema/raw/master/csl-citation.json" }</w:instrText>
      </w:r>
      <w:r w:rsidR="00981B68" w:rsidRPr="009B3747">
        <w:rPr>
          <w:rFonts w:eastAsia="Times New Roman" w:cstheme="minorHAnsi"/>
          <w:color w:val="000000"/>
          <w:lang w:eastAsia="en-GB"/>
        </w:rPr>
        <w:fldChar w:fldCharType="separate"/>
      </w:r>
      <w:r w:rsidR="00FA6BC1" w:rsidRPr="009B3747">
        <w:rPr>
          <w:rFonts w:eastAsia="Times New Roman" w:cstheme="minorHAnsi"/>
          <w:noProof/>
          <w:color w:val="000000"/>
          <w:lang w:eastAsia="en-GB"/>
        </w:rPr>
        <w:t>(World Health Organization, 1986b)</w:t>
      </w:r>
      <w:r w:rsidR="00981B68" w:rsidRPr="009B3747">
        <w:rPr>
          <w:rFonts w:eastAsia="Times New Roman" w:cstheme="minorHAnsi"/>
          <w:color w:val="000000"/>
          <w:lang w:eastAsia="en-GB"/>
        </w:rPr>
        <w:fldChar w:fldCharType="end"/>
      </w:r>
      <w:r w:rsidR="00981B68" w:rsidRPr="009B3747">
        <w:rPr>
          <w:rFonts w:eastAsia="Times New Roman" w:cstheme="minorHAnsi"/>
          <w:color w:val="000000"/>
          <w:lang w:eastAsia="en-GB"/>
        </w:rPr>
        <w:t xml:space="preserve">.  </w:t>
      </w:r>
      <w:r w:rsidRPr="009B3747">
        <w:rPr>
          <w:rFonts w:eastAsia="Times New Roman" w:cstheme="minorHAnsi"/>
          <w:color w:val="000000"/>
          <w:lang w:eastAsia="en-GB"/>
        </w:rPr>
        <w:t>In addition, the connection between health and education was and remains acknowledged</w:t>
      </w:r>
      <w:r w:rsidR="00CD7979" w:rsidRPr="009B3747">
        <w:rPr>
          <w:rFonts w:eastAsia="Times New Roman" w:cstheme="minorHAnsi"/>
          <w:color w:val="000000"/>
          <w:lang w:eastAsia="en-GB"/>
        </w:rPr>
        <w:t xml:space="preserve"> and advocated</w:t>
      </w:r>
      <w:r w:rsidR="00071EBF">
        <w:rPr>
          <w:rFonts w:eastAsia="Times New Roman" w:cstheme="minorHAnsi"/>
          <w:color w:val="000000"/>
          <w:lang w:eastAsia="en-GB"/>
        </w:rPr>
        <w:t xml:space="preserve"> for</w:t>
      </w:r>
      <w:r w:rsidR="00981B68" w:rsidRPr="009B3747">
        <w:rPr>
          <w:rFonts w:eastAsia="Times New Roman" w:cstheme="minorHAnsi"/>
          <w:color w:val="000000"/>
          <w:lang w:eastAsia="en-GB"/>
        </w:rPr>
        <w:t xml:space="preserve"> </w:t>
      </w:r>
      <w:r w:rsidR="00981B68" w:rsidRPr="009B3747">
        <w:rPr>
          <w:rFonts w:eastAsia="Times New Roman" w:cstheme="minorHAnsi"/>
          <w:color w:val="000000"/>
          <w:lang w:eastAsia="en-GB"/>
        </w:rPr>
        <w:fldChar w:fldCharType="begin" w:fldLock="1"/>
      </w:r>
      <w:r w:rsidR="00981B68" w:rsidRPr="009B3747">
        <w:rPr>
          <w:rFonts w:eastAsia="Times New Roman" w:cstheme="minorHAnsi"/>
          <w:color w:val="000000"/>
          <w:lang w:eastAsia="en-GB"/>
        </w:rPr>
        <w:instrText>ADDIN CSL_CITATION { "citationItems" : [ { "id" : "ITEM-1", "itemData" : { "DOI" : "10.1177/1090198116673800", "ISSN" : "1090-1981", "abstract" : "The World Health Organization\u2019s Health Promoting Schools (HPS) framework is a whole-school approach to promoting health that recognizes the intrinsic relationship between health and education. Our recent Cochrane systematic review found HPS interventions produced improvements in a number of student health outcomes. Here we reflect on what this review was not able to tell us: in other words, what evidence is missing with regard to the HPS approach. Few HPS interventions engage with schools\u2019 \u201ccore business\u201d by examining impacts on educational outcomes. Current evidence is dominated by obesity interventions, with most studies conducted with children rather than adolescents. Evidence is lacking for outcomes such as mental or sexual health, substance use, and violence. Activities to engage families and communities are currently weak and unlikely to prompt behavioral change. The HPS approach is largely absent in low-income settings, despite its potential in meeting children\u2019s basic health needs. Intervention th...", "author" : [ { "dropping-particle" : "", "family" : "Langford", "given" : "Rebecca", "non-dropping-particle" : "", "parse-names" : false, "suffix" : "" }, { "dropping-particle" : "", "family" : "Bonell", "given" : "Christopher", "non-dropping-particle" : "", "parse-names" : false, "suffix" : "" }, { "dropping-particle" : "", "family" : "Komro", "given" : "Kelli", "non-dropping-particle" : "", "parse-names" : false, "suffix" : "" }, { "dropping-particle" : "", "family" : "Murphy", "given" : "Simon", "non-dropping-particle" : "", "parse-names" : false, "suffix" : "" }, { "dropping-particle" : "", "family" : "Magnus", "given" : "Daniel", "non-dropping-particle" : "", "parse-names" : false, "suffix" : "" }, { "dropping-particle" : "", "family" : "Waters", "given" : "Elizabeth", "non-dropping-particle" : "", "parse-names" : false, "suffix" : "" }, { "dropping-particle" : "", "family" : "Gibbs", "given" : "Lisa", "non-dropping-particle" : "", "parse-names" : false, "suffix" : "" }, { "dropping-particle" : "", "family" : "Campbell", "given" : "Rona", "non-dropping-particle" : "", "parse-names" : false, "suffix" : "" } ], "container-title" : "Health Education &amp; Behavior", "id" : "ITEM-1", "issue" : "3", "issued" : { "date-parts" : [ [ "2017", "6", "14" ] ] }, "page" : "463-475", "publisher" : "SAGE PublicationsSage CA: Los Angeles, CA", "title" : "The Health Promoting Schools Framework: Known Unknowns and an Agenda for Future Research", "type" : "article-journal", "volume" : "44" }, "uris" : [ "http://www.mendeley.com/documents/?uuid=de774f89-a5aa-30ec-92b3-bfccef33e128" ] } ], "mendeley" : { "formattedCitation" : "(Langford et al., 2017)", "plainTextFormattedCitation" : "(Langford et al., 2017)", "previouslyFormattedCitation" : "(Langford et al., 2017)" }, "properties" : { "noteIndex" : 0 }, "schema" : "https://github.com/citation-style-language/schema/raw/master/csl-citation.json" }</w:instrText>
      </w:r>
      <w:r w:rsidR="00981B68" w:rsidRPr="009B3747">
        <w:rPr>
          <w:rFonts w:eastAsia="Times New Roman" w:cstheme="minorHAnsi"/>
          <w:color w:val="000000"/>
          <w:lang w:eastAsia="en-GB"/>
        </w:rPr>
        <w:fldChar w:fldCharType="separate"/>
      </w:r>
      <w:r w:rsidR="00981B68" w:rsidRPr="009B3747">
        <w:rPr>
          <w:rFonts w:eastAsia="Times New Roman" w:cstheme="minorHAnsi"/>
          <w:noProof/>
          <w:color w:val="000000"/>
          <w:lang w:eastAsia="en-GB"/>
        </w:rPr>
        <w:t>(Langford et al., 2017)</w:t>
      </w:r>
      <w:r w:rsidR="00981B68" w:rsidRPr="009B3747">
        <w:rPr>
          <w:rFonts w:eastAsia="Times New Roman" w:cstheme="minorHAnsi"/>
          <w:color w:val="000000"/>
          <w:lang w:eastAsia="en-GB"/>
        </w:rPr>
        <w:fldChar w:fldCharType="end"/>
      </w:r>
      <w:r w:rsidR="00CD7979" w:rsidRPr="009B3747">
        <w:rPr>
          <w:rFonts w:eastAsia="Times New Roman" w:cstheme="minorHAnsi"/>
          <w:color w:val="000000"/>
          <w:lang w:eastAsia="en-GB"/>
        </w:rPr>
        <w:t xml:space="preserve">.  </w:t>
      </w:r>
    </w:p>
    <w:p w:rsidR="00AF46FD" w:rsidRDefault="00AF46FD" w:rsidP="00A16FA3">
      <w:pPr>
        <w:rPr>
          <w:rFonts w:eastAsia="Times New Roman" w:cstheme="minorHAnsi"/>
          <w:color w:val="000000"/>
          <w:lang w:eastAsia="en-GB"/>
        </w:rPr>
      </w:pPr>
    </w:p>
    <w:p w:rsidR="00A16FA3" w:rsidRPr="009B3747" w:rsidRDefault="00CD7979" w:rsidP="00A16FA3">
      <w:pPr>
        <w:rPr>
          <w:rFonts w:eastAsia="Times New Roman" w:cstheme="minorHAnsi"/>
          <w:sz w:val="24"/>
          <w:szCs w:val="24"/>
          <w:lang w:eastAsia="en-GB"/>
        </w:rPr>
      </w:pPr>
      <w:r w:rsidRPr="009B3747">
        <w:rPr>
          <w:rFonts w:eastAsia="Times New Roman" w:cstheme="minorHAnsi"/>
          <w:color w:val="000000"/>
          <w:lang w:eastAsia="en-GB"/>
        </w:rPr>
        <w:t>H</w:t>
      </w:r>
      <w:r w:rsidR="00A16FA3" w:rsidRPr="009B3747">
        <w:rPr>
          <w:rFonts w:eastAsia="Times New Roman" w:cstheme="minorHAnsi"/>
          <w:color w:val="000000"/>
          <w:lang w:eastAsia="en-GB"/>
        </w:rPr>
        <w:t xml:space="preserve">ealth behaviours during childhood and particularly adolescence (i.e. obesity, physical activity, smoking, alcohol) </w:t>
      </w:r>
      <w:r w:rsidRPr="009B3747">
        <w:rPr>
          <w:rFonts w:eastAsia="Times New Roman" w:cstheme="minorHAnsi"/>
          <w:color w:val="000000"/>
          <w:lang w:eastAsia="en-GB"/>
        </w:rPr>
        <w:t xml:space="preserve">are </w:t>
      </w:r>
      <w:r w:rsidR="00A16FA3" w:rsidRPr="009B3747">
        <w:rPr>
          <w:rFonts w:eastAsia="Times New Roman" w:cstheme="minorHAnsi"/>
          <w:color w:val="000000"/>
          <w:lang w:eastAsia="en-GB"/>
        </w:rPr>
        <w:t xml:space="preserve">evidenced to be inextricably linked to a child’s ability to learn, engage and achieve both academically and socially </w:t>
      </w:r>
      <w:r w:rsidR="00981B68"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"Duckworth", "given" : "AL", "non-dropping-particle" : "", "parse-names" : false, "suffix" : "" }, { "dropping-particle" : "", "family" : "Seligman", "given" : "MEP", "non-dropping-particle" : "", "parse-names" : false, "suffix" : "" } ], "container-title" : "Psychological science", "id" : "ITEM-1", "issue" : "12", "issued" : { "date-parts" : [ [ "2005" ] ] }, "page" : "939-44", "title" : "Self-discipline outdoes IQ in predicting academic performance of adolescents", "type" : "article-journal", "volume" : "16" }, "uris" : [ "http://www.mendeley.com/documents/?uuid=0e860009-06fb-40d2-8522-40bc05128612" ] }, { "id" : "ITEM-2", "itemData" : { "author" : [ { "dropping-particle" : "", "family" : "Murray", "given" : "NG", "non-dropping-particle" : "", "parse-names" : false, "suffix" : "" }, { "dropping-particle" : "", "family" : "Low", "given" : "BJ", "non-dropping-particle" : "", "parse-names" : false, "suffix" : "" }, { "dropping-particle" : "", "family" : "Hollis", "given" : "C", "non-dropping-particle" : "", "parse-names" : false, "suffix" : "" } ], "container-title" : "Journal of School \u2026", "id" : "ITEM-2", "issue" : "9", "issued" : { "date-parts" : [ [ "2007" ] ] }, "page" : "589-600", "title" : "Coordinated school health programs and academic achievement: A systematic review of the literature", "type" : "article-journal", "volume" : "77" }, "uris" : [ "http://www.mendeley.com/documents/?uuid=a9d4093e-c3bc-4d28-86b3-56abf55a2c13" ] }, { "id" : "ITEM-3", "itemData" : { "author" : [ { "dropping-particle" : "", "family" : "Story", "given" : "M", "non-dropping-particle" : "", "parse-names" : false, "suffix" : "" }, { "dropping-particle" : "", "family" : "Nanney", "given" : "MS", "non-dropping-particle" : "", "parse-names" : false, "suffix" : "" }, { "dropping-particle" : "", "family" : "Schwartz", "given" : "MB", "non-dropping-particle" : "", "parse-names" : false, "suffix" : "" } ], "container-title" : "Milbank Quarterly", "id" : "ITEM-3", "issue" : "1", "issued" : { "date-parts" : [ [ "2009" ] ] }, "page" : "71\u2013100", "title" : "Schools and obesity prevention: creating school environments and policies to promote healthy eating and physical activity", "type" : "article-journal", "volume" : "87" }, "uris" : [ "http://www.mendeley.com/documents/?uuid=caeb8bd2-da0c-4ec6-bda7-744bfbb6dbc3" ] }, { "id" : "ITEM-4", "itemData" : { "author" : [ { "dropping-particle" : "", "family" : "Stead", "given" : "R", "non-dropping-particle" : "", "parse-names" : false, "suffix" : "" }, { "dropping-particle" : "", "family" : "Neville", "given" : "M", "non-dropping-particle" : "", "parse-names" : false, "suffix" : "" } ], "container-title" : "Loughborough: Institute of Youth Sport", "id" : "ITEM-4", "issued" : { "date-parts" : [ [ "2010" ] ] }, "title" : "The impact of physical education and sport on education outcomes: a review of literature", "type" : "report" }, "uris" : [ "http://www.mendeley.com/documents/?uuid=7cbacbf5-3468-49ba-9b9e-6c4fa645dbf9" ] }, { "id" : "ITEM-5", "itemData" : { "author" : [ { "dropping-particle" : "", "family" : "Suhrcke", "given" : "M", "non-dropping-particle" : "", "parse-names" : false, "suffix" : "" }, { "dropping-particle" : "", "family" : "Nieves", "given" : "C de Paz", "non-dropping-particle" : "", "parse-names" : false, "suffix" : "" } ], "id" : "ITEM-5", "issued" : { "date-parts" : [ [ "2011" ] ] }, "publisher-place" : "Copenhagen", "title" : "The impact of health and health behaviours on educational outcomes in high-income countries: a review of the evidence", "type" : "report" }, "uris" : [ "http://www.mendeley.com/documents/?uuid=e63e01e6-1080-4057-8473-705d67447928" ] }, { "id" : "ITEM-6", "itemData" : { "author" : [ { "dropping-particle" : "", "family" : "Gutman", "given" : "LM", "non-dropping-particle" : "", "parse-names" : false, "suffix" : "" }, { "dropping-particle" : "", "family" : "Vorhaus", "given" : "J", "non-dropping-particle" : "", "parse-names" : false, "suffix" : "" } ], "id" : "ITEM-6", "issued" : { "date-parts" : [ [ "2012" ] ] }, "title" : "The impact of pupil behaviour and wellbeing on educational outcomes", "type" : "report" }, "uris" : [ "http://www.mendeley.com/documents/?uuid=958dc9ec-7f22-43c3-b3d1-b8422b27e49a" ] } ], "mendeley" : { "formattedCitation" : "(Duckworth and Seligman, 2005; Murray et al., 2007; Story et al., 2009; Stead and Neville, 2010; Suhrcke and Nieves, 2011; Gutman and Vorhaus, 2012)", "plainTextFormattedCitation" : "(Duckworth and Seligman, 2005; Murray et al., 2007; Story et al., 2009; Stead and Neville, 2010; Suhrcke and Nieves, 2011; Gutman and Vorhaus, 2012)", "previouslyFormattedCitation" : "(Duckworth and Seligman, 2005; Murray et al., 2007; Story et al., 2009; Stead and Neville, 2010; Suhrcke and Nieves, 2011; Gutman and Vorhaus, 2012)" }, "properties" : { "noteIndex" : 0 }, "schema" : "https://github.com/citation-style-language/schema/raw/master/csl-citation.json" }</w:instrText>
      </w:r>
      <w:r w:rsidR="00981B68" w:rsidRPr="009B3747">
        <w:rPr>
          <w:rFonts w:eastAsia="Times New Roman" w:cstheme="minorHAnsi"/>
          <w:color w:val="000000"/>
          <w:lang w:eastAsia="en-GB"/>
        </w:rPr>
        <w:fldChar w:fldCharType="separate"/>
      </w:r>
      <w:r w:rsidR="00981B68" w:rsidRPr="009B3747">
        <w:rPr>
          <w:rFonts w:eastAsia="Times New Roman" w:cstheme="minorHAnsi"/>
          <w:noProof/>
          <w:color w:val="000000"/>
          <w:lang w:eastAsia="en-GB"/>
        </w:rPr>
        <w:t>(Duckworth and Seligman, 2005; Murray et al., 2007; Story et al., 2009; Stead and Neville, 2010; Suhrcke and Nieves, 2011; Gutman and Vorhaus, 2012)</w:t>
      </w:r>
      <w:r w:rsidR="00981B68" w:rsidRPr="009B3747">
        <w:rPr>
          <w:rFonts w:eastAsia="Times New Roman" w:cstheme="minorHAnsi"/>
          <w:color w:val="000000"/>
          <w:lang w:eastAsia="en-GB"/>
        </w:rPr>
        <w:fldChar w:fldCharType="end"/>
      </w:r>
      <w:r w:rsidR="00981B68" w:rsidRPr="009B3747">
        <w:rPr>
          <w:rFonts w:eastAsia="Times New Roman" w:cstheme="minorHAnsi"/>
          <w:color w:val="000000"/>
          <w:lang w:eastAsia="en-GB"/>
        </w:rPr>
        <w:t xml:space="preserve">.  </w:t>
      </w:r>
      <w:r w:rsidR="00A16FA3" w:rsidRPr="009B3747">
        <w:rPr>
          <w:rFonts w:eastAsia="Times New Roman" w:cstheme="minorHAnsi"/>
          <w:color w:val="000000"/>
          <w:lang w:eastAsia="en-GB"/>
        </w:rPr>
        <w:t xml:space="preserve">Schools are therefore argued to have a vested interest in positively influencing children’s health and well-being </w:t>
      </w:r>
      <w:r w:rsidR="00981B68"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"Swinburn", "given" : "B", "non-dropping-particle" : "", "parse-names" : false, "suffix" : "" }, { "dropping-particle" : "", "family" : "Gill", "given" : "T", "non-dropping-particle" : "", "parse-names" : false, "suffix" : "" }, { "dropping-particle" : "", "family" : "Kumanyika", "given" : "S", "non-dropping-particle" : "", "parse-names" : false, "suffix" : "" } ], "container-title" : "Obesity reviews", "id" : "ITEM-1", "issue" : "1", "issued" : { "date-parts" : [ [ "2005" ] ] }, "page" : "23-33", "title" : "Obesity prevention: a proposed framework for translating evidence into action", "type" : "article-journal", "volume" : "6" }, "uris" : [ "http://www.mendeley.com/documents/?uuid=fb12cefc-4d2b-40cd-b711-57567e92892f" ] }, { "id" : "ITEM-2", "itemData" : { "author" : [ { "dropping-particle" : "", "family" : "Suhrcke", "given" : "M", "non-dropping-particle" : "", "parse-names" : false, "suffix" : "" }, { "dropping-particle" : "", "family" : "Nieves", "given" : "C de Paz", "non-dropping-particle" : "", "parse-names" : false, "suffix" : "" } ], "id" : "ITEM-2", "issued" : { "date-parts" : [ [ "2011" ] ] }, "publisher-place" : "Copenhagen", "title" : "The impact of health and health behaviours on educational outcomes in high-income countries: a review of the evidence", "type" : "report" }, "uris" : [ "http://www.mendeley.com/documents/?uuid=e63e01e6-1080-4057-8473-705d67447928" ] } ], "mendeley" : { "formattedCitation" : "(Swinburn et al., 2005; Suhrcke and Nieves, 2011)", "plainTextFormattedCitation" : "(Swinburn et al., 2005; Suhrcke and Nieves, 2011)", "previouslyFormattedCitation" : "(Swinburn et al., 2005; Suhrcke and Nieves, 2011)" }, "properties" : { "noteIndex" : 0 }, "schema" : "https://github.com/citation-style-language/schema/raw/master/csl-citation.json" }</w:instrText>
      </w:r>
      <w:r w:rsidR="00981B68" w:rsidRPr="009B3747">
        <w:rPr>
          <w:rFonts w:eastAsia="Times New Roman" w:cstheme="minorHAnsi"/>
          <w:color w:val="000000"/>
          <w:lang w:eastAsia="en-GB"/>
        </w:rPr>
        <w:fldChar w:fldCharType="separate"/>
      </w:r>
      <w:r w:rsidR="00981B68" w:rsidRPr="009B3747">
        <w:rPr>
          <w:rFonts w:eastAsia="Times New Roman" w:cstheme="minorHAnsi"/>
          <w:noProof/>
          <w:color w:val="000000"/>
          <w:lang w:eastAsia="en-GB"/>
        </w:rPr>
        <w:t>(Swinburn et al., 2005; Suhrcke and Nieves, 2011)</w:t>
      </w:r>
      <w:r w:rsidR="00981B68" w:rsidRPr="009B3747">
        <w:rPr>
          <w:rFonts w:eastAsia="Times New Roman" w:cstheme="minorHAnsi"/>
          <w:color w:val="000000"/>
          <w:lang w:eastAsia="en-GB"/>
        </w:rPr>
        <w:fldChar w:fldCharType="end"/>
      </w:r>
      <w:r w:rsidR="00981B68" w:rsidRPr="009B3747">
        <w:rPr>
          <w:rFonts w:eastAsia="Times New Roman" w:cstheme="minorHAnsi"/>
          <w:color w:val="000000"/>
          <w:lang w:eastAsia="en-GB"/>
        </w:rPr>
        <w:t xml:space="preserve"> </w:t>
      </w:r>
      <w:r w:rsidR="00A16FA3" w:rsidRPr="009B3747">
        <w:rPr>
          <w:rFonts w:eastAsia="Times New Roman" w:cstheme="minorHAnsi"/>
          <w:color w:val="000000"/>
          <w:lang w:eastAsia="en-GB"/>
        </w:rPr>
        <w:t>and this has been championed throughout national guidance</w:t>
      </w:r>
      <w:r w:rsidR="00981B68" w:rsidRPr="009B3747">
        <w:rPr>
          <w:rFonts w:eastAsia="Times New Roman" w:cstheme="minorHAnsi"/>
          <w:color w:val="000000"/>
          <w:lang w:eastAsia="en-GB"/>
        </w:rPr>
        <w:t xml:space="preserve"> </w:t>
      </w:r>
      <w:r w:rsidR="00981B68" w:rsidRPr="009B3747">
        <w:rPr>
          <w:rFonts w:eastAsia="Times New Roman" w:cstheme="minorHAnsi"/>
          <w:color w:val="000000"/>
          <w:lang w:eastAsia="en-GB"/>
        </w:rPr>
        <w:fldChar w:fldCharType="begin" w:fldLock="1"/>
      </w:r>
      <w:r w:rsidR="0039768F" w:rsidRPr="009B3747">
        <w:rPr>
          <w:rFonts w:eastAsia="Times New Roman" w:cstheme="minorHAnsi"/>
          <w:color w:val="000000"/>
          <w:lang w:eastAsia="en-GB"/>
        </w:rPr>
        <w:instrText>ADDIN CSL_CITATION { "citationItems" : [ { "id" : "ITEM-1", "itemData" : { "author" : [ { "dropping-particle" : "", "family" : "National Institute of Health and Care Excellence", "given" : "", "non-dropping-particle" : "", "parse-names" : false, "suffix" : "" } ], "id" : "ITEM-1", "issued" : { "date-parts" : [ [ "2006" ] ] }, "publisher-place" : "London", "title" : "Obesity Prevention", "type" : "report" }, "uris" : [ "http://www.mendeley.com/documents/?uuid=2c9bcfb1-609e-40cf-9a6f-3d48e4bb567f" ] }, { "id" : "ITEM-2", "itemData" : { "author" : [ { "dropping-particle" : "", "family" : "Department of Health", "given" : "", "non-dropping-particle" : "", "parse-names" : false, "suffix" : "" } ], "container-title" : "London: Department of Health", "id" : "ITEM-2", "issued" : { "date-parts" : [ [ "2011" ] ] }, "publisher-place" : "London", "title" : "Healthy Lives, Healthy People: A Call to Action on Obesity in England", "type" : "report" }, "uris" : [ "http://www.mendeley.com/documents/?uuid=4cc3b3a8-0e69-41d7-bd60-1a13d047dc64" ] }, { "id" : "ITEM-3", "itemData" : { "author" : [ { "dropping-particle" : "", "family" : "Public Health England", "given" : "", "non-dropping-particle" : "", "parse-names" : false, "suffix" : "" } ], "id" : "ITEM-3", "issued" : { "date-parts" : [ [ "2014" ] ] }, "publisher-place" : "London", "title" : "The link between pupil health and wellbeing and attainment", "type" : "report" }, "uris" : [ "http://www.mendeley.com/documents/?uuid=5c2ad93c-1b7b-419f-8c07-910a8d2ebb04" ] }, { "id" : "ITEM-4", "itemData" : { "author" : [ { "dropping-particle" : "", "family" : "HM Government", "given" : "", "non-dropping-particle" : "", "parse-names" : false, "suffix" : "" } ], "id" : "ITEM-4", "issued" : { "date-parts" : [ [ "2016" ] ] }, "title" : "Childhood obesity - A plan for action", "type" : "report" }, "uris" : [ "http://www.mendeley.com/documents/?uuid=b98f114e-5233-47f8-a635-d7641b44ba3f" ] } ], "mendeley" : { "formattedCitation" : "(National Institute of Health and Care Excellence, 2006; Department of Health, 2011; Public Health England, 2014c; HM Government, 2016)", "plainTextFormattedCitation" : "(National Institute of Health and Care Excellence, 2006; Department of Health, 2011; Public Health England, 2014c; HM Government, 2016)", "previouslyFormattedCitation" : "(National Institute of Health and Care Excellence, 2006; Department of Health, 2011; Public Health England, 2014c; HM Government, 2016)" }, "properties" : { "noteIndex" : 0 }, "schema" : "https://github.com/citation-style-language/schema/raw/master/csl-citation.json" }</w:instrText>
      </w:r>
      <w:r w:rsidR="00981B68" w:rsidRPr="009B3747">
        <w:rPr>
          <w:rFonts w:eastAsia="Times New Roman" w:cstheme="minorHAnsi"/>
          <w:color w:val="000000"/>
          <w:lang w:eastAsia="en-GB"/>
        </w:rPr>
        <w:fldChar w:fldCharType="separate"/>
      </w:r>
      <w:r w:rsidR="00967099" w:rsidRPr="009B3747">
        <w:rPr>
          <w:rFonts w:eastAsia="Times New Roman" w:cstheme="minorHAnsi"/>
          <w:noProof/>
          <w:color w:val="000000"/>
          <w:lang w:eastAsia="en-GB"/>
        </w:rPr>
        <w:t>(National Institute of Health and Care Excellence, 2006; Department of Health, 2011; Public Health England, 2014c; HM Government, 2016)</w:t>
      </w:r>
      <w:r w:rsidR="00981B68" w:rsidRPr="009B3747">
        <w:rPr>
          <w:rFonts w:eastAsia="Times New Roman" w:cstheme="minorHAnsi"/>
          <w:color w:val="000000"/>
          <w:lang w:eastAsia="en-GB"/>
        </w:rPr>
        <w:fldChar w:fldCharType="end"/>
      </w:r>
      <w:r w:rsidR="00A16FA3" w:rsidRPr="009B3747">
        <w:rPr>
          <w:rFonts w:eastAsia="Times New Roman" w:cstheme="minorHAnsi"/>
          <w:color w:val="000000"/>
          <w:lang w:eastAsia="en-GB"/>
        </w:rPr>
        <w:t xml:space="preserve">.   In spite of this, </w:t>
      </w:r>
      <w:r w:rsidR="00981B68" w:rsidRPr="009B3747">
        <w:rPr>
          <w:rFonts w:eastAsia="Times New Roman" w:cstheme="minorHAnsi"/>
          <w:color w:val="000000"/>
          <w:lang w:eastAsia="en-GB"/>
        </w:rPr>
        <w:fldChar w:fldCharType="begin" w:fldLock="1"/>
      </w:r>
      <w:r w:rsidR="00B22CC4" w:rsidRPr="009B3747">
        <w:rPr>
          <w:rFonts w:eastAsia="Times New Roman" w:cstheme="minorHAnsi"/>
          <w:color w:val="000000"/>
          <w:lang w:eastAsia="en-GB"/>
        </w:rPr>
        <w:instrText>ADDIN CSL_CITATION { "citationItems" : [ { "id" : "ITEM-1", "itemData" : { "author" : [ { "dropping-particle" : "", "family" : "Bonell", "given" : "C", "non-dropping-particle" : "", "parse-names" : false, "suffix" : "" }, { "dropping-particle" : "", "family" : "Humphrey", "given" : "N", "non-dropping-particle" : "", "parse-names" : false, "suffix" : "" }, { "dropping-particle" : "", "family" : "Fletcher", "given" : "A", "non-dropping-particle" : "", "parse-names" : false, "suffix" : "" } ], "container-title" : "BMJ", "id" : "ITEM-1", "issue" : "13", "issued" : { "date-parts" : [ [ "2014" ] ] }, "title" : "Why schools should promote students' health and wellbeing", "type" : "article-journal", "volume" : "348" }, "uris" : [ "http://www.mendeley.com/documents/?uuid=dca5dbfa-95df-4e15-aaf7-44d4a78d1056" ] } ], "mendeley" : { "formattedCitation" : "(Bonell et al., 2014)", "manualFormatting" : "Bonell et al., (2014)", "plainTextFormattedCitation" : "(Bonell et al., 2014)", "previouslyFormattedCitation" : "(Bonell et al., 2014)" }, "properties" : { "noteIndex" : 0 }, "schema" : "https://github.com/citation-style-language/schema/raw/master/csl-citation.json" }</w:instrText>
      </w:r>
      <w:r w:rsidR="00981B68" w:rsidRPr="009B3747">
        <w:rPr>
          <w:rFonts w:eastAsia="Times New Roman" w:cstheme="minorHAnsi"/>
          <w:color w:val="000000"/>
          <w:lang w:eastAsia="en-GB"/>
        </w:rPr>
        <w:fldChar w:fldCharType="separate"/>
      </w:r>
      <w:r w:rsidR="00981B68" w:rsidRPr="009B3747">
        <w:rPr>
          <w:rFonts w:eastAsia="Times New Roman" w:cstheme="minorHAnsi"/>
          <w:noProof/>
          <w:color w:val="000000"/>
          <w:lang w:eastAsia="en-GB"/>
        </w:rPr>
        <w:t xml:space="preserve">Bonell et al., </w:t>
      </w:r>
      <w:r w:rsidR="00BA20C0" w:rsidRPr="009B3747">
        <w:rPr>
          <w:rFonts w:eastAsia="Times New Roman" w:cstheme="minorHAnsi"/>
          <w:noProof/>
          <w:color w:val="000000"/>
          <w:lang w:eastAsia="en-GB"/>
        </w:rPr>
        <w:t>(</w:t>
      </w:r>
      <w:r w:rsidR="00981B68" w:rsidRPr="009B3747">
        <w:rPr>
          <w:rFonts w:eastAsia="Times New Roman" w:cstheme="minorHAnsi"/>
          <w:noProof/>
          <w:color w:val="000000"/>
          <w:lang w:eastAsia="en-GB"/>
        </w:rPr>
        <w:t>2014)</w:t>
      </w:r>
      <w:r w:rsidR="00981B68" w:rsidRPr="009B3747">
        <w:rPr>
          <w:rFonts w:eastAsia="Times New Roman" w:cstheme="minorHAnsi"/>
          <w:color w:val="000000"/>
          <w:lang w:eastAsia="en-GB"/>
        </w:rPr>
        <w:fldChar w:fldCharType="end"/>
      </w:r>
      <w:r w:rsidR="00BA20C0" w:rsidRPr="009B3747">
        <w:rPr>
          <w:rFonts w:eastAsia="Times New Roman" w:cstheme="minorHAnsi"/>
          <w:color w:val="000000"/>
          <w:lang w:eastAsia="en-GB"/>
        </w:rPr>
        <w:t xml:space="preserve"> </w:t>
      </w:r>
      <w:r w:rsidR="00A16FA3" w:rsidRPr="009B3747">
        <w:rPr>
          <w:rFonts w:eastAsia="Times New Roman" w:cstheme="minorHAnsi"/>
          <w:color w:val="000000"/>
          <w:lang w:eastAsia="en-GB"/>
        </w:rPr>
        <w:t>argue</w:t>
      </w:r>
      <w:r w:rsidR="00071EBF">
        <w:rPr>
          <w:rFonts w:eastAsia="Times New Roman" w:cstheme="minorHAnsi"/>
          <w:color w:val="000000"/>
          <w:lang w:eastAsia="en-GB"/>
        </w:rPr>
        <w:t>d</w:t>
      </w:r>
      <w:r w:rsidR="00A16FA3" w:rsidRPr="009B3747">
        <w:rPr>
          <w:rFonts w:eastAsia="Times New Roman" w:cstheme="minorHAnsi"/>
          <w:color w:val="000000"/>
          <w:lang w:eastAsia="en-GB"/>
        </w:rPr>
        <w:t xml:space="preserve"> that the escalating government prioritisation of academic achievement in school settings across primary and secondary schools has resulted in health and well-being being increasingly ignored at a policy level in England.    </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BA20C0" w:rsidRPr="009B3747" w:rsidRDefault="00A16FA3" w:rsidP="00A16FA3">
      <w:pPr>
        <w:rPr>
          <w:rFonts w:eastAsia="Times New Roman" w:cstheme="minorHAnsi"/>
          <w:color w:val="000000"/>
          <w:lang w:eastAsia="en-GB"/>
        </w:rPr>
      </w:pPr>
      <w:r w:rsidRPr="009B3747">
        <w:rPr>
          <w:rFonts w:eastAsia="Times New Roman" w:cstheme="minorHAnsi"/>
          <w:color w:val="000000"/>
          <w:lang w:eastAsia="en-GB"/>
        </w:rPr>
        <w:t>During the 1980s</w:t>
      </w:r>
      <w:r w:rsidR="00071EBF">
        <w:rPr>
          <w:rFonts w:eastAsia="Times New Roman" w:cstheme="minorHAnsi"/>
          <w:color w:val="000000"/>
          <w:lang w:eastAsia="en-GB"/>
        </w:rPr>
        <w:t>,</w:t>
      </w:r>
      <w:r w:rsidRPr="009B3747">
        <w:rPr>
          <w:rFonts w:eastAsia="Times New Roman" w:cstheme="minorHAnsi"/>
          <w:color w:val="000000"/>
          <w:lang w:eastAsia="en-GB"/>
        </w:rPr>
        <w:t xml:space="preserve"> recognition of the inherent and reciprocal relationship between health and education, led to the development of the Health Promoting Schools (HPS) framework, an eco-holistic, whole-school approach underpinned by the values of the Ottawa Charter</w:t>
      </w:r>
      <w:r w:rsidR="00BA20C0" w:rsidRPr="009B3747">
        <w:rPr>
          <w:rFonts w:eastAsia="Times New Roman" w:cstheme="minorHAnsi"/>
          <w:color w:val="000000"/>
          <w:lang w:eastAsia="en-GB"/>
        </w:rPr>
        <w:t xml:space="preserve"> </w:t>
      </w:r>
      <w:r w:rsidR="00BA20C0"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"Langford", "given" : "R", "non-dropping-particle" : "", "parse-names" : false, "suffix" : "" }, { "dropping-particle" : "", "family" : "Bonell", "given" : "CP", "non-dropping-particle" : "", "parse-names" : false, "suffix" : "" } ], "container-title" : "The Cochrane Database of Systematic Reviews", "id" : "ITEM-1", "issue" : "4", "issued" : { "date-parts" : [ [ "2014" ] ] }, "title" : "The WHO Health Promoting School framework for improving the health and well\u2010being of students and their academic achievement", "type" : "article-journal" }, "uris" : [ "http://www.mendeley.com/documents/?uuid=10eb6afc-158f-4e48-aaad-32b53ce93e25" ] } ], "mendeley" : { "formattedCitation" : "(Langford and Bonell, 2014)", "plainTextFormattedCitation" : "(Langford and Bonell, 2014)", "previouslyFormattedCitation" : "(Langford and Bonell, 2014)" }, "properties" : { "noteIndex" : 0 }, "schema" : "https://github.com/citation-style-language/schema/raw/master/csl-citation.json" }</w:instrText>
      </w:r>
      <w:r w:rsidR="00BA20C0" w:rsidRPr="009B3747">
        <w:rPr>
          <w:rFonts w:eastAsia="Times New Roman" w:cstheme="minorHAnsi"/>
          <w:color w:val="000000"/>
          <w:lang w:eastAsia="en-GB"/>
        </w:rPr>
        <w:fldChar w:fldCharType="separate"/>
      </w:r>
      <w:r w:rsidR="00BA20C0" w:rsidRPr="009B3747">
        <w:rPr>
          <w:rFonts w:eastAsia="Times New Roman" w:cstheme="minorHAnsi"/>
          <w:noProof/>
          <w:color w:val="000000"/>
          <w:lang w:eastAsia="en-GB"/>
        </w:rPr>
        <w:t>(Langford and Bonell, 2014)</w:t>
      </w:r>
      <w:r w:rsidR="00BA20C0" w:rsidRPr="009B3747">
        <w:rPr>
          <w:rFonts w:eastAsia="Times New Roman" w:cstheme="minorHAnsi"/>
          <w:color w:val="000000"/>
          <w:lang w:eastAsia="en-GB"/>
        </w:rPr>
        <w:fldChar w:fldCharType="end"/>
      </w:r>
      <w:r w:rsidRPr="009B3747">
        <w:rPr>
          <w:rFonts w:eastAsia="Times New Roman" w:cstheme="minorHAnsi"/>
          <w:color w:val="000000"/>
          <w:lang w:eastAsia="en-GB"/>
        </w:rPr>
        <w:t>.  In spite of the limited</w:t>
      </w:r>
      <w:r w:rsidR="00281979">
        <w:rPr>
          <w:rFonts w:eastAsia="Times New Roman" w:cstheme="minorHAnsi"/>
          <w:color w:val="000000"/>
          <w:lang w:eastAsia="en-GB"/>
        </w:rPr>
        <w:t>,</w:t>
      </w:r>
      <w:r w:rsidRPr="009B3747">
        <w:rPr>
          <w:rFonts w:eastAsia="Times New Roman" w:cstheme="minorHAnsi"/>
          <w:color w:val="000000"/>
          <w:lang w:eastAsia="en-GB"/>
        </w:rPr>
        <w:t xml:space="preserve"> but promising child health outcomes evidenced from the use of the HPS framework</w:t>
      </w:r>
      <w:r w:rsidR="00BA20C0" w:rsidRPr="009B3747">
        <w:rPr>
          <w:rFonts w:eastAsia="Times New Roman" w:cstheme="minorHAnsi"/>
          <w:color w:val="000000"/>
          <w:lang w:eastAsia="en-GB"/>
        </w:rPr>
        <w:t xml:space="preserve"> </w:t>
      </w:r>
      <w:r w:rsidR="00BA20C0"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"Lister-Sharp", "given" : "D", "non-dropping-particle" : "", "parse-names" : false, "suffix" : "" } ], "container-title" : "Health Technology Assessment", "id" : "ITEM-1", "issue" : "22", "issued" : { "date-parts" : [ [ "1998" ] ] }, "page" : "1-207", "title" : "Health promoting schools and health promotion in schools: two systematic reviews.", "type" : "article-journal", "volume" : "3" }, "uris" : [ "http://www.mendeley.com/documents/?uuid=30bdadc9-5603-4c04-bed8-b1577b770a2c" ] }, { "id" : "ITEM-2", "itemData" : { "author" : [ { "dropping-particle" : "", "family" : "M\u0169koma", "given" : "W", "non-dropping-particle" : "", "parse-names" : false, "suffix" : "" }, { "dropping-particle" : "", "family" : "Flisher", "given" : "AJ", "non-dropping-particle" : "", "parse-names" : false, "suffix" : "" } ], "container-title" : "Health promotion international", "id" : "ITEM-2", "issue" : "3", "issued" : { "date-parts" : [ [ "2004" ] ] }, "page" : "357-68", "title" : "Evaluations of health promoting schools: a review of nine studies", "type" : "article-journal", "volume" : "19" }, "uris" : [ "http://www.mendeley.com/documents/?uuid=4520feea-629e-4b02-84bf-971f1daf6a8a" ] }, { "id" : "ITEM-3", "itemData" : { "author" : [ { "dropping-particle" : "", "family" : "Stewart", "given" : "D", "non-dropping-particle" : "", "parse-names" : false, "suffix" : "" }, { "dropping-particle" : "", "family" : "McWhirter", "given" : "J", "non-dropping-particle" : "", "parse-names" : false, "suffix" : "" }, { "dropping-particle" : "", "family" : "Rowe", "given" : "F", "non-dropping-particle" : "", "parse-names" : false, "suffix" : "" } ], "container-title" : "Health Education", "id" : "ITEM-3", "issue" : "6", "issued" : { "date-parts" : [ [ "2007" ] ] }, "page" : "524-542", "title" : "Promoting school connectedness through whole school approaches", "type" : "article-journal", "volume" : "107" }, "uris" : [ "http://www.mendeley.com/documents/?uuid=031d55d0-7ba8-4c67-8122-b18b726a4e33" ] }, { "id" : "ITEM-4", "itemData" : { "author" : [ { "dropping-particle" : "", "family" : "Langford", "given" : "R", "non-dropping-particle" : "", "parse-names" : false, "suffix" : "" }, { "dropping-particle" : "", "family" : "Bonell", "given" : "C", "non-dropping-particle" : "", "parse-names" : false, "suffix" : "" } ], "container-title" : "International Journal of Behavioral Nutrition and Physical Activity", "id" : "ITEM-4", "issue" : "15", "issued" : { "date-parts" : [ [ "2015" ] ] }, "title" : "Obesity prevention and the Health promoting Schools framework: essential components and barriers to success", "type" : "article-journal", "volume" : "12" }, "uris" : [ "http://www.mendeley.com/documents/?uuid=33a18f66-3855-47de-96c1-ab2efb0e4b0c" ] } ], "mendeley" : { "formattedCitation" : "(Lister-Sharp, 1998; M\u0169koma and Flisher, 2004; Stewart et al., 2007; Langford and Bonell, 2015)", "plainTextFormattedCitation" : "(Lister-Sharp, 1998; M\u0169koma and Flisher, 2004; Stewart et al., 2007; Langford and Bonell, 2015)", "previouslyFormattedCitation" : "(Lister-Sharp, 1998; M\u0169koma and Flisher, 2004; Stewart et al., 2007; Langford and Bonell, 2015)" }, "properties" : { "noteIndex" : 0 }, "schema" : "https://github.com/citation-style-language/schema/raw/master/csl-citation.json" }</w:instrText>
      </w:r>
      <w:r w:rsidR="00BA20C0" w:rsidRPr="009B3747">
        <w:rPr>
          <w:rFonts w:eastAsia="Times New Roman" w:cstheme="minorHAnsi"/>
          <w:color w:val="000000"/>
          <w:lang w:eastAsia="en-GB"/>
        </w:rPr>
        <w:fldChar w:fldCharType="separate"/>
      </w:r>
      <w:r w:rsidR="00BA20C0" w:rsidRPr="009B3747">
        <w:rPr>
          <w:rFonts w:eastAsia="Times New Roman" w:cstheme="minorHAnsi"/>
          <w:noProof/>
          <w:color w:val="000000"/>
          <w:lang w:eastAsia="en-GB"/>
        </w:rPr>
        <w:t>(Lister-Sharp, 1998; Mũkoma and Flisher, 2004; Stewart et al., 2007; Langford and Bonell, 2015)</w:t>
      </w:r>
      <w:r w:rsidR="00BA20C0" w:rsidRPr="009B3747">
        <w:rPr>
          <w:rFonts w:eastAsia="Times New Roman" w:cstheme="minorHAnsi"/>
          <w:color w:val="000000"/>
          <w:lang w:eastAsia="en-GB"/>
        </w:rPr>
        <w:fldChar w:fldCharType="end"/>
      </w:r>
      <w:r w:rsidR="00AF46FD">
        <w:rPr>
          <w:rFonts w:eastAsia="Times New Roman" w:cstheme="minorHAnsi"/>
          <w:color w:val="000000"/>
          <w:lang w:eastAsia="en-GB"/>
        </w:rPr>
        <w:t xml:space="preserve">, </w:t>
      </w:r>
      <w:r w:rsidRPr="009B3747">
        <w:rPr>
          <w:rFonts w:eastAsia="Times New Roman" w:cstheme="minorHAnsi"/>
          <w:color w:val="000000"/>
          <w:lang w:eastAsia="en-GB"/>
        </w:rPr>
        <w:t>primary and secondary schools in England and across the world continue to embed its principles.  This is particularly relevant for obesity prevention, where each of the three overarching areas of school life detailed in HPS (curriculum, ethos/environment and family/community engagement) have been evidenced to impact upon children’s and adolescent’s physical activity and dietary behaviours</w:t>
      </w:r>
      <w:r w:rsidR="00BA20C0" w:rsidRPr="009B3747">
        <w:rPr>
          <w:rFonts w:eastAsia="Times New Roman" w:cstheme="minorHAnsi"/>
          <w:color w:val="000000"/>
          <w:lang w:eastAsia="en-GB"/>
        </w:rPr>
        <w:t xml:space="preserve"> </w:t>
      </w:r>
      <w:r w:rsidR="00BA20C0"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"Dadaczynski", "given" : "K", "non-dropping-particle" : "", "parse-names" : false, "suffix" : "" }, { "dropping-particle" : "", "family" : "Paulus", "given" : "P", "non-dropping-particle" : "", "parse-names" : false, "suffix" : "" }, { "dropping-particle" : "de", "family" : "Vries", "given" : "N", "non-dropping-particle" : "", "parse-names" : false, "suffix" : "" } ], "id" : "ITEM-1", "issued" : { "date-parts" : [ [ "2010" ] ] }, "title" : "HEPS Inventory Tool: An Inventory Tool Including Quality Assessment of School Interventions on Healthy Eating and Physical Activity.", "type" : "article-journal" }, "uris" : [ "http://www.mendeley.com/documents/?uuid=48e31d50-452c-41e1-9991-e44d3395b3bc" ] }, { "id" : "ITEM-2", "itemData" : { "author" : [ { "dropping-particle" : "", "family" : "Dadaczynski", "given" : "K", "non-dropping-particle" : "", "parse-names" : false, "suffix" : "" }, { "dropping-particle" : "de", "family" : "Vries", "given" : "NK", "non-dropping-particle" : "", "parse-names" : false, "suffix" : "" } ], "container-title" : "Journal of Public Health", "id" : "ITEM-2", "issued" : { "date-parts" : [ [ "2013" ] ] }, "title" : "Quality based prevention of overweight in the school setting: the HEPS quality checklist", "type" : "article-journal" }, "uris" : [ "http://www.mendeley.com/documents/?uuid=f39d7ebe-9807-4967-b6cb-6da705cf3609" ] }, { "id" : "ITEM-3", "itemData" : { "author" : [ { "dropping-particle" : "", "family" : "Waters", "given" : "E", "non-dropping-particle" : "", "parse-names" : false, "suffix" : "" }, { "dropping-particle" : "de", "family" : "Silva-Sanigorski", "given" : "A", "non-dropping-particle" : "", "parse-names" : false, "suffix" : "" } ], "container-title" : "Cochrane Database of Systematic Reviews", "id" : "ITEM-3", "issue" : "12", "issued" : { "date-parts" : [ [ "2011" ] ] }, "title" : "Interventions for preventing obesity in children", "type" : "article-journal" }, "uris" : [ "http://www.mendeley.com/documents/?uuid=edceb688-e3c5-459d-b1d2-e8f0aa963cd2" ] }, { "id" : "ITEM-4", "itemData" : { "author" : [ { "dropping-particle" : "", "family" : "Fung", "given" : "C", "non-dropping-particle" : "", "parse-names" : false, "suffix" : "" }, { "dropping-particle" : "", "family" : "Kuhle", "given" : "S", "non-dropping-particle" : "", "parse-names" : false, "suffix" : "" }, { "dropping-particle" : "", "family" : "Lu", "given" : "C", "non-dropping-particle" : "", "parse-names" : false, "suffix" : "" } ], "container-title" : "International Journal of Behavioral Nutrition and Physical Activity", "id" : "ITEM-4", "issue" : "27", "issued" : { "date-parts" : [ [ "2012" ] ] }, "title" : "From \u201cbest practice\u201d to \u201cnext practice\u201d: the effectiveness of school-based health promotion in improving healthy eating and physical activity and preventing childhood", "type" : "article-journal", "volume" : "9" }, "uris" : [ "http://www.mendeley.com/documents/?uuid=e99d8036-6150-49da-8cd9-c84b1ad64b5a" ] }, { "id" : "ITEM-5", "itemData" : { "author" : [ { "dropping-particle" : "", "family" : "Langford", "given" : "R", "non-dropping-particle" : "", "parse-names" : false, "suffix" : "" }, { "dropping-particle" : "", "family" : "Bonell", "given" : "CP", "non-dropping-particle" : "", "parse-names" : false, "suffix" : "" } ], "container-title" : "The Cochrane Database of Systematic Reviews", "id" : "ITEM-5", "issue" : "4", "issued" : { "date-parts" : [ [ "2014" ] ] }, "title" : "The WHO Health Promoting School framework for improving the health and well\u2010being of students and their academic achievement", "type" : "article-journal" }, "uris" : [ "http://www.mendeley.com/documents/?uuid=10eb6afc-158f-4e48-aaad-32b53ce93e25" ] }, { "id" : "ITEM-6", "itemData" : { "author" : [ { "dropping-particle" : "", "family" : "Langford", "given" : "R", "non-dropping-particle" : "", "parse-names" : false, "suffix" : "" }, { "dropping-particle" : "", "family" : "Bonell", "given" : "C", "non-dropping-particle" : "", "parse-names" : false, "suffix" : "" } ], "container-title" : "International Journal of Behavioral Nutrition and Physical Activity", "id" : "ITEM-6", "issue" : "15", "issued" : { "date-parts" : [ [ "2015" ] ] }, "title" : "Obesity prevention and the Health promoting Schools framework: essential components and barriers to success", "type" : "article-journal", "volume" : "12" }, "uris" : [ "http://www.mendeley.com/documents/?uuid=33a18f66-3855-47de-96c1-ab2efb0e4b0c" ] }, { "id" : "ITEM-7", "itemData" : { "DOI" : "10.1177/1090198116673800", "ISSN" : "1090-1981", "abstract" : "The World Health Organization\u2019s Health Promoting Schools (HPS) framework is a whole-school approach to promoting health that recognizes the intrinsic relationship between health and education. Our recent Cochrane systematic review found HPS interventions produced improvements in a number of student health outcomes. Here we reflect on what this review was not able to tell us: in other words, what evidence is missing with regard to the HPS approach. Few HPS interventions engage with schools\u2019 \u201ccore business\u201d by examining impacts on educational outcomes. Current evidence is dominated by obesity interventions, with most studies conducted with children rather than adolescents. Evidence is lacking for outcomes such as mental or sexual health, substance use, and violence. Activities to engage families and communities are currently weak and unlikely to prompt behavioral change. The HPS approach is largely absent in low-income settings, despite its potential in meeting children\u2019s basic health needs. Intervention th...", "author" : [ { "dropping-particle" : "", "family" : "Langford", "given" : "Rebecca", "non-dropping-particle" : "", "parse-names" : false, "suffix" : "" }, { "dropping-particle" : "", "family" : "Bonell", "given" : "Christopher", "non-dropping-particle" : "", "parse-names" : false, "suffix" : "" }, { "dropping-particle" : "", "family" : "Komro", "given" : "Kelli", "non-dropping-particle" : "", "parse-names" : false, "suffix" : "" }, { "dropping-particle" : "", "family" : "Murphy", "given" : "Simon", "non-dropping-particle" : "", "parse-names" : false, "suffix" : "" }, { "dropping-particle" : "", "family" : "Magnus", "given" : "Daniel", "non-dropping-particle" : "", "parse-names" : false, "suffix" : "" }, { "dropping-particle" : "", "family" : "Waters", "given" : "Elizabeth", "non-dropping-particle" : "", "parse-names" : false, "suffix" : "" }, { "dropping-particle" : "", "family" : "Gibbs", "given" : "Lisa", "non-dropping-particle" : "", "parse-names" : false, "suffix" : "" }, { "dropping-particle" : "", "family" : "Campbell", "given" : "Rona", "non-dropping-particle" : "", "parse-names" : false, "suffix" : "" } ], "container-title" : "Health Education &amp; Behavior", "id" : "ITEM-7", "issue" : "3", "issued" : { "date-parts" : [ [ "2017", "6", "14" ] ] }, "page" : "463-475", "publisher" : "SAGE PublicationsSage CA: Los Angeles, CA", "title" : "The Health Promoting Schools Framework: Known Unknowns and an Agenda for Future Research", "type" : "article-journal", "volume" : "44" }, "uris" : [ "http://www.mendeley.com/documents/?uuid=de774f89-a5aa-30ec-92b3-bfccef33e128" ] } ], "mendeley" : { "formattedCitation" : "(Dadaczynski et al., 2010; Dadaczynski and Vries, 2013; Waters and Silva-Sanigorski, 2011; Fung et al., 2012; Langford and Bonell, 2014, 2015; Langford et al., 2017)", "plainTextFormattedCitation" : "(Dadaczynski et al., 2010; Dadaczynski and Vries, 2013; Waters and Silva-Sanigorski, 2011; Fung et al., 2012; Langford and Bonell, 2014, 2015; Langford et al., 2017)", "previouslyFormattedCitation" : "(Dadaczynski et al., 2010; Dadaczynski and Vries, 2013; Waters and Silva-Sanigorski, 2011; Fung et al., 2012; Langford and Bonell, 2014, 2015; Langford et al., 2017)" }, "properties" : { "noteIndex" : 0 }, "schema" : "https://github.com/citation-style-language/schema/raw/master/csl-citation.json" }</w:instrText>
      </w:r>
      <w:r w:rsidR="00BA20C0" w:rsidRPr="009B3747">
        <w:rPr>
          <w:rFonts w:eastAsia="Times New Roman" w:cstheme="minorHAnsi"/>
          <w:color w:val="000000"/>
          <w:lang w:eastAsia="en-GB"/>
        </w:rPr>
        <w:fldChar w:fldCharType="separate"/>
      </w:r>
      <w:r w:rsidR="00BA20C0" w:rsidRPr="009B3747">
        <w:rPr>
          <w:rFonts w:eastAsia="Times New Roman" w:cstheme="minorHAnsi"/>
          <w:noProof/>
          <w:color w:val="000000"/>
          <w:lang w:eastAsia="en-GB"/>
        </w:rPr>
        <w:t>(Dadaczynski et al., 2010; Dadaczynski and Vries, 2013; Waters and Silva-Sanigorski, 2011; Fung et al., 2012; Langford and Bonell, 2014, 2015; Langford et al., 2017)</w:t>
      </w:r>
      <w:r w:rsidR="00BA20C0" w:rsidRPr="009B3747">
        <w:rPr>
          <w:rFonts w:eastAsia="Times New Roman" w:cstheme="minorHAnsi"/>
          <w:color w:val="000000"/>
          <w:lang w:eastAsia="en-GB"/>
        </w:rPr>
        <w:fldChar w:fldCharType="end"/>
      </w:r>
      <w:r w:rsidR="00BA20C0" w:rsidRPr="009B3747">
        <w:rPr>
          <w:rFonts w:eastAsia="Times New Roman" w:cstheme="minorHAnsi"/>
          <w:color w:val="000000"/>
          <w:lang w:eastAsia="en-GB"/>
        </w:rPr>
        <w:t xml:space="preserve">.  </w:t>
      </w:r>
      <w:r w:rsidRPr="009B3747">
        <w:rPr>
          <w:rFonts w:eastAsia="Times New Roman" w:cstheme="minorHAnsi"/>
          <w:color w:val="000000"/>
          <w:lang w:eastAsia="en-GB"/>
        </w:rPr>
        <w:t>Support exists for utilising the theoretical framework of HPS for preventative action howev</w:t>
      </w:r>
      <w:r w:rsidR="00AF46FD">
        <w:rPr>
          <w:rFonts w:eastAsia="Times New Roman" w:cstheme="minorHAnsi"/>
          <w:color w:val="000000"/>
          <w:lang w:eastAsia="en-GB"/>
        </w:rPr>
        <w:t>er relevant theories including Health Behaviour Th</w:t>
      </w:r>
      <w:r w:rsidRPr="009B3747">
        <w:rPr>
          <w:rFonts w:eastAsia="Times New Roman" w:cstheme="minorHAnsi"/>
          <w:color w:val="000000"/>
          <w:lang w:eastAsia="en-GB"/>
        </w:rPr>
        <w:t>eory and Organizational Development Theory are also proposed</w:t>
      </w:r>
      <w:r w:rsidR="00BA20C0" w:rsidRPr="009B3747">
        <w:rPr>
          <w:rFonts w:eastAsia="Times New Roman" w:cstheme="minorHAnsi"/>
          <w:color w:val="000000"/>
          <w:lang w:eastAsia="en-GB"/>
        </w:rPr>
        <w:t xml:space="preserve"> </w:t>
      </w:r>
      <w:r w:rsidR="00BA20C0" w:rsidRPr="009B3747">
        <w:rPr>
          <w:rFonts w:eastAsia="Times New Roman" w:cstheme="minorHAnsi"/>
          <w:color w:val="000000"/>
          <w:lang w:eastAsia="en-GB"/>
        </w:rPr>
        <w:fldChar w:fldCharType="begin" w:fldLock="1"/>
      </w:r>
      <w:r w:rsidR="00BA20C0" w:rsidRPr="009B3747">
        <w:rPr>
          <w:rFonts w:eastAsia="Times New Roman" w:cstheme="minorHAnsi"/>
          <w:color w:val="000000"/>
          <w:lang w:eastAsia="en-GB"/>
        </w:rPr>
        <w:instrText>ADDIN CSL_CITATION { "citationItems" : [ { "id" : "ITEM-1", "itemData" : { "DOI" : "10.1016/j.orcp.2013.10.004", "ISBN" : "1871-403X", "ISSN" : "18780318", "PMID" : "25263839", "abstract" : "Pediatric obesity continues to be a major public health concern. Once established it is difficult to treat, therefore well-designed and evaluated prevention interventions are vitally important. Schools have an important role in the prevention of childhood obesity, however, their involvement can be limited by a number of constraints and barriers, which need to be considered when designing interventions. Members of the Prevention Stream of the Australasian Child and Adolescent Obesity Research Network have extensive experience in implementing and evaluating school-based obesity prevention initiatives. Based on their collective experience and evidence from implementation research, the aim of this paper was to highlight six areas to consider when designing, implementing and evaluating obesity prevention initiatives in schools. Further, this paper aimed to provide guidance for overcoming some of the challenges and barriers faced in school-based obesity prevention research. The six key areas discussed include: design and analysis; school-community engagement; planning and recruitment; evaluation; implementation; and feedback and sustainability.", "author" : [ { "dropping-particle" : "", "family" : "Jones", "given" : "R. A.", "non-dropping-particle" : "", "parse-names" : false, "suffix" : "" }, { "dropping-particle" : "", "family" : "Lubans", "given" : "D. R.", "non-dropping-particle" : "", "parse-names" : false, "suffix" : "" }, { "dropping-particle" : "", "family" : "Morgan", "given" : "P. J.", "non-dropping-particle" : "", "parse-names" : false, "suffix" : "" }, { "dropping-particle" : "", "family" : "Okely", "given" : "A. D.", "non-dropping-particle" : "", "parse-names" : false, "suffix" : "" }, { "dropping-particle" : "", "family" : "Parletta", "given" : "N.", "non-dropping-particle" : "", "parse-names" : false, "suffix" : "" }, { "dropping-particle" : "", "family" : "Wolfenden", "given" : "L.", "non-dropping-particle" : "", "parse-names" : false, "suffix" : "" }, { "dropping-particle" : "", "family" : "Silva-Sanigorski", "given" : "A.", "non-dropping-particle" : "De", "parse-names" : false, "suffix" : "" }, { "dropping-particle" : "", "family" : "Gibbs", "given" : "L.", "non-dropping-particle" : "", "parse-names" : false, "suffix" : "" }, { "dropping-particle" : "", "family" : "Waters", "given" : "E.", "non-dropping-particle" : "", "parse-names" : false, "suffix" : "" } ], "container-title" : "Obesity Research and Clinical Practice", "id" : "ITEM-1", "issue" : "5", "issued" : { "date-parts" : [ [ "2014" ] ] }, "page" : "e497-e510", "title" : "School-based obesity prevention interventions: Practicalities and considerations", "type" : "article-journal", "volume" : "8" }, "uris" : [ "http://www.mendeley.com/documents/?uuid=b6975064-9aef-433b-9f9d-a0ac09ba7136" ] } ], "mendeley" : { "formattedCitation" : "(Jones et al., 2014)", "plainTextFormattedCitation" : "(Jones et al., 2014)", "previouslyFormattedCitation" : "(Jones et al., 2014)" }, "properties" : { "noteIndex" : 0 }, "schema" : "https://github.com/citation-style-language/schema/raw/master/csl-citation.json" }</w:instrText>
      </w:r>
      <w:r w:rsidR="00BA20C0" w:rsidRPr="009B3747">
        <w:rPr>
          <w:rFonts w:eastAsia="Times New Roman" w:cstheme="minorHAnsi"/>
          <w:color w:val="000000"/>
          <w:lang w:eastAsia="en-GB"/>
        </w:rPr>
        <w:fldChar w:fldCharType="separate"/>
      </w:r>
      <w:r w:rsidR="00BA20C0" w:rsidRPr="009B3747">
        <w:rPr>
          <w:rFonts w:eastAsia="Times New Roman" w:cstheme="minorHAnsi"/>
          <w:noProof/>
          <w:color w:val="000000"/>
          <w:lang w:eastAsia="en-GB"/>
        </w:rPr>
        <w:t>(Jones et al., 2014)</w:t>
      </w:r>
      <w:r w:rsidR="00BA20C0" w:rsidRPr="009B3747">
        <w:rPr>
          <w:rFonts w:eastAsia="Times New Roman" w:cstheme="minorHAnsi"/>
          <w:color w:val="000000"/>
          <w:lang w:eastAsia="en-GB"/>
        </w:rPr>
        <w:fldChar w:fldCharType="end"/>
      </w:r>
      <w:r w:rsidR="00BA20C0" w:rsidRPr="009B3747">
        <w:rPr>
          <w:rFonts w:eastAsia="Times New Roman" w:cstheme="minorHAnsi"/>
          <w:color w:val="000000"/>
          <w:lang w:eastAsia="en-GB"/>
        </w:rPr>
        <w:t>.</w:t>
      </w:r>
    </w:p>
    <w:p w:rsidR="00A16FA3" w:rsidRDefault="00A16FA3" w:rsidP="00A16FA3">
      <w:pPr>
        <w:rPr>
          <w:rFonts w:eastAsia="Times New Roman" w:cstheme="minorHAnsi"/>
          <w:color w:val="000000"/>
          <w:lang w:eastAsia="en-GB"/>
        </w:rPr>
      </w:pPr>
      <w:r w:rsidRPr="009B3747">
        <w:rPr>
          <w:rFonts w:eastAsia="Times New Roman" w:cstheme="minorHAnsi"/>
          <w:color w:val="000000"/>
          <w:lang w:eastAsia="en-GB"/>
        </w:rPr>
        <w:lastRenderedPageBreak/>
        <w:t>It is important to reflect that not all research advocates a strong emphasis on obesity prevention in school settings.  A small body of literature has deemed schools to be obesogenic environments, with claims controversially suggesting they actually contribute to sedentary behaviour, unhealthy dietary habits and low levels of physical activity</w:t>
      </w:r>
      <w:r w:rsidR="00BA20C0" w:rsidRPr="009B3747">
        <w:rPr>
          <w:rFonts w:eastAsia="Times New Roman" w:cstheme="minorHAnsi"/>
          <w:color w:val="000000"/>
          <w:lang w:eastAsia="en-GB"/>
        </w:rPr>
        <w:t xml:space="preserve"> </w:t>
      </w:r>
      <w:r w:rsidR="00BA20C0" w:rsidRPr="009B3747">
        <w:rPr>
          <w:rFonts w:eastAsia="Times New Roman" w:cstheme="minorHAnsi"/>
          <w:color w:val="000000"/>
          <w:lang w:eastAsia="en-GB"/>
        </w:rPr>
        <w:fldChar w:fldCharType="begin" w:fldLock="1"/>
      </w:r>
      <w:r w:rsidR="00BA20C0" w:rsidRPr="009B3747">
        <w:rPr>
          <w:rFonts w:eastAsia="Times New Roman" w:cstheme="minorHAnsi"/>
          <w:color w:val="000000"/>
          <w:lang w:eastAsia="en-GB"/>
        </w:rPr>
        <w:instrText>ADDIN CSL_CITATION { "citationItems" : [ { "id" : "ITEM-1", "itemData" : { "ISBN" : "1860030599", "author" : [ { "dropping-particle" : "", "family" : "Lowden", "given" : "Kevin.", "non-dropping-particle" : "", "parse-names" : false, "suffix" : "" }, { "dropping-particle" : "", "family" : "Scottish Council for Research in Education.", "given" : "", "non-dropping-particle" : "", "parse-names" : false, "suffix" : "" } ], "id" : "ITEM-1", "issued" : { "date-parts" : [ [ "2001" ] ] }, "number-of-pages" : "52", "publisher" : "Scottish Council for Research in Education", "title" : "The Class Moves! pilot in Scotland and Wales : an evaluation", "type" : "book" }, "uris" : [ "http://www.mendeley.com/documents/?uuid=2f574202-d615-3e4d-9155-5a7bf5f023b8" ] }, { "id" : "ITEM-2", "itemData" : { "ISSN" : "0022-4391", "PMID" : "15724566", "abstract" : "This study evaluated the effectiveness of an innovative, classroom-based physical activity prevention program designed to integrate academic curriculum elements along with a physical activity program in providing moderate-to-vigorous intensity physical activity. A convenience sample of three public school classrooms (one first, third, and fifth grade class) was observed implementing the TAKE 10! program while monitored by either CSA accelerometers or digital pedometers. Pedometer step counts and CSA data were recorded for each student and activity. As calculated from CSA data, average MET levels during the activities were 5.72-7.05 (first grade), 5.51-6.77 (third grade), and 4.98-7.19 (fifth grade), and levels were not different between grades (p &gt; 0.05). Average caloric expenditure (Kcal) per 10-minute session was 25.6-27.8 (first grade), 27.6-33.9 (third grade), and 29.7-42.9 (fifth grade). Measured pedometer step counts per session ranged from 644-931 in first grade, 659-1, 376 in third grade, and 1002-1041 in fifth grade. TAKE 10! sessions for all three grades produced exercise levels in the moderate intensity range throughout full duration of the session. Classroom-based physical activity promotion provides a useful strategy to promote meaningful physical activity among school children.", "author" : [ { "dropping-particle" : "", "family" : "Stewart", "given" : "James A", "non-dropping-particle" : "", "parse-names" : false, "suffix" : "" }, { "dropping-particle" : "", "family" : "Dennison", "given" : "David A", "non-dropping-particle" : "", "parse-names" : false, "suffix" : "" }, { "dropping-particle" : "", "family" : "Kohl", "given" : "Harold W", "non-dropping-particle" : "", "parse-names" : false, "suffix" : "" }, { "dropping-particle" : "", "family" : "Doyle", "given" : "J Andrew", "non-dropping-particle" : "", "parse-names" : false, "suffix" : "" } ], "container-title" : "The Journal of school health", "id" : "ITEM-2", "issue" : "10", "issued" : { "date-parts" : [ [ "2004", "12" ] ] }, "page" : "397-400", "title" : "Exercise level and energy expenditure in the TAKE 10! in-class physical activity program.", "type" : "article-journal", "volume" : "74" }, "uris" : [ "http://www.mendeley.com/documents/?uuid=d77804ac-32f8-3118-8e14-8b9f5640acb0" ] }, { "id" : "ITEM-3", "itemData" : { "author" : [ { "dropping-particle" : "", "family" : "Anderson", "given" : "PM", "non-dropping-particle" : "", "parse-names" : false, "suffix" : "" }, { "dropping-particle" : "", "family" : "Butcher", "given" : "KF", "non-dropping-particle" : "", "parse-names" : false, "suffix" : "" } ], "container-title" : "The Future of children", "id" : "ITEM-3", "issued" : { "date-parts" : [ [ "2006" ] ] }, "title" : "Childhood obesity: trends and potential causes", "type" : "article-journal" }, "uris" : [ "http://www.mendeley.com/documents/?uuid=e6e4a41a-4324-4f8f-8a4e-00a01fb4ab96" ] }, { "id" : "ITEM-4", "itemData" : { "DOI" : "10.1503/cmaj.150117", "ISSN" : "1488-2329", "PMID" : "25824501", "author" : [ { "dropping-particle" : "", "family" : "Kelsall", "given" : "Diane", "non-dropping-particle" : "", "parse-names" : false, "suffix" : "" } ], "container-title" : "CMAJ : Canadian Medical Association journal = journal de l'Association medicale canadienne", "id" : "ITEM-4", "issue" : "6", "issued" : { "date-parts" : [ [ "2015", "4", "7" ] ] }, "page" : "387", "publisher" : "Canadian Medical Association", "title" : "How schools teach our children to be fat.", "type" : "article-journal", "volume" : "187" }, "uris" : [ "http://www.mendeley.com/documents/?uuid=d3f88e02-4ae1-36cb-b5ee-d515691d158d" ] } ], "mendeley" : { "formattedCitation" : "(Lowden and Scottish Council for Research in Education., 2001; Stewart et al., 2004; Anderson and Butcher, 2006; Kelsall, 2015)", "plainTextFormattedCitation" : "(Lowden and Scottish Council for Research in Education., 2001; Stewart et al., 2004; Anderson and Butcher, 2006; Kelsall, 2015)", "previouslyFormattedCitation" : "(Lowden and Scottish Council for Research in Education., 2001; Stewart et al., 2004; Anderson and Butcher, 2006; Kelsall, 2015)" }, "properties" : { "noteIndex" : 0 }, "schema" : "https://github.com/citation-style-language/schema/raw/master/csl-citation.json" }</w:instrText>
      </w:r>
      <w:r w:rsidR="00BA20C0" w:rsidRPr="009B3747">
        <w:rPr>
          <w:rFonts w:eastAsia="Times New Roman" w:cstheme="minorHAnsi"/>
          <w:color w:val="000000"/>
          <w:lang w:eastAsia="en-GB"/>
        </w:rPr>
        <w:fldChar w:fldCharType="separate"/>
      </w:r>
      <w:r w:rsidR="00BA20C0" w:rsidRPr="009B3747">
        <w:rPr>
          <w:rFonts w:eastAsia="Times New Roman" w:cstheme="minorHAnsi"/>
          <w:noProof/>
          <w:color w:val="000000"/>
          <w:lang w:eastAsia="en-GB"/>
        </w:rPr>
        <w:t>(Lowden and Scottish Council for Research in Education., 2001; Stewart et al., 2004; Anderson and Butcher, 2006; Kelsall, 2015)</w:t>
      </w:r>
      <w:r w:rsidR="00BA20C0" w:rsidRPr="009B3747">
        <w:rPr>
          <w:rFonts w:eastAsia="Times New Roman" w:cstheme="minorHAnsi"/>
          <w:color w:val="000000"/>
          <w:lang w:eastAsia="en-GB"/>
        </w:rPr>
        <w:fldChar w:fldCharType="end"/>
      </w:r>
      <w:r w:rsidR="00BA20C0" w:rsidRPr="009B3747">
        <w:rPr>
          <w:rFonts w:eastAsia="Times New Roman" w:cstheme="minorHAnsi"/>
          <w:color w:val="000000"/>
          <w:lang w:eastAsia="en-GB"/>
        </w:rPr>
        <w:t xml:space="preserve">.  </w:t>
      </w:r>
      <w:r w:rsidRPr="009B3747">
        <w:rPr>
          <w:rFonts w:eastAsia="Times New Roman" w:cstheme="minorHAnsi"/>
          <w:color w:val="000000"/>
          <w:lang w:eastAsia="en-GB"/>
        </w:rPr>
        <w:t>Furthermore, inconclusive and elusive findin</w:t>
      </w:r>
      <w:r w:rsidR="00AF46FD">
        <w:rPr>
          <w:rFonts w:eastAsia="Times New Roman" w:cstheme="minorHAnsi"/>
          <w:color w:val="000000"/>
          <w:lang w:eastAsia="en-GB"/>
        </w:rPr>
        <w:t xml:space="preserve">gs from school-based prevention, </w:t>
      </w:r>
      <w:r w:rsidRPr="009B3747">
        <w:rPr>
          <w:rFonts w:eastAsia="Times New Roman" w:cstheme="minorHAnsi"/>
          <w:color w:val="000000"/>
          <w:lang w:eastAsia="en-GB"/>
        </w:rPr>
        <w:t>and the sheer scale of the obesity epidemic</w:t>
      </w:r>
      <w:r w:rsidR="00AF46FD">
        <w:rPr>
          <w:rFonts w:eastAsia="Times New Roman" w:cstheme="minorHAnsi"/>
          <w:color w:val="000000"/>
          <w:lang w:eastAsia="en-GB"/>
        </w:rPr>
        <w:t>,</w:t>
      </w:r>
      <w:r w:rsidRPr="009B3747">
        <w:rPr>
          <w:rFonts w:eastAsia="Times New Roman" w:cstheme="minorHAnsi"/>
          <w:color w:val="000000"/>
          <w:lang w:eastAsia="en-GB"/>
        </w:rPr>
        <w:t xml:space="preserve"> has led to calls to move beyond the central focus of education settings and turn public health attention to preventative action in family and community domains </w:t>
      </w:r>
      <w:r w:rsidR="00BA20C0"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"Budd", "given" : "GM", "non-dropping-particle" : "", "parse-names" : false, "suffix" : "" }, { "dropping-particle" : "", "family" : "Volpe", "given" : "SL", "non-dropping-particle" : "", "parse-names" : false, "suffix" : "" } ], "container-title" : "Journal of School Health", "id" : "ITEM-1", "issue" : "10", "issued" : { "date-parts" : [ [ "2006" ] ] }, "page" : "485-95", "title" : "School\u2010Based Obesity Prevention: Research, Challenges, and Recommendations", "type" : "article-journal", "volume" : "76" }, "uris" : [ "http://www.mendeley.com/documents/?uuid=420a6eeb-defa-4517-a858-4b7540d86049" ] }, { "id" : "ITEM-2", "itemData" : { "author" : [ { "dropping-particle" : "", "family" : "Gittelsohn", "given" : "J", "non-dropping-particle" : "", "parse-names" : false, "suffix" : "" }, { "dropping-particle" : "", "family" : "Kumar", "given" : "MB", "non-dropping-particle" : "", "parse-names" : false, "suffix" : "" } ], "container-title" : "Pediatric Diabetes", "id" : "ITEM-2", "issue" : "Suppl 9", "issued" : { "date-parts" : [ [ "2007" ] ] }, "page" : "55-69", "title" : "Preventing childhood obesity and diabetes: is it time to move out of the school?", "type" : "article-journal", "volume" : "8" }, "uris" : [ "http://www.mendeley.com/documents/?uuid=463ce66a-c82d-40c2-8237-84884e1ebee4" ] }, { "id" : "ITEM-3", "itemData" : { "author" : [ { "dropping-particle" : "", "family" : "Odum", "given" : "M", "non-dropping-particle" : "", "parse-names" : false, "suffix" : "" }, { "dropping-particle" : "", "family" : "McKyer", "given" : "ELJ", "non-dropping-particle" : "", "parse-names" : false, "suffix" : "" } ], "container-title" : "Journal of School \u2026", "id" : "ITEM-3", "issue" : "3", "issued" : { "date-parts" : [ [ "2013" ] ] }, "page" : "206-12.", "title" : "Elementary school personnel's perceptions on childhood obesity: pervasiveness and facilitating factors", "type" : "article-journal", "volume" : "83" }, "uris" : [ "http://www.mendeley.com/documents/?uuid=a35b937f-276b-4dfb-8092-2e41550be239" ] } ], "mendeley" : { "formattedCitation" : "(Budd and Volpe, 2006; Gittelsohn and Kumar, 2007; Odum and McKyer, 2013)", "plainTextFormattedCitation" : "(Budd and Volpe, 2006; Gittelsohn and Kumar, 2007; Odum and McKyer, 2013)", "previouslyFormattedCitation" : "(Budd and Volpe, 2006; Gittelsohn and Kumar, 2007; Odum and McKyer, 2013)" }, "properties" : { "noteIndex" : 0 }, "schema" : "https://github.com/citation-style-language/schema/raw/master/csl-citation.json" }</w:instrText>
      </w:r>
      <w:r w:rsidR="00BA20C0" w:rsidRPr="009B3747">
        <w:rPr>
          <w:rFonts w:eastAsia="Times New Roman" w:cstheme="minorHAnsi"/>
          <w:color w:val="000000"/>
          <w:lang w:eastAsia="en-GB"/>
        </w:rPr>
        <w:fldChar w:fldCharType="separate"/>
      </w:r>
      <w:r w:rsidR="00BA20C0" w:rsidRPr="009B3747">
        <w:rPr>
          <w:rFonts w:eastAsia="Times New Roman" w:cstheme="minorHAnsi"/>
          <w:noProof/>
          <w:color w:val="000000"/>
          <w:lang w:eastAsia="en-GB"/>
        </w:rPr>
        <w:t>(Budd and Volpe, 2006; Gittelsohn and Kumar, 2007; Odum and McKyer, 2013)</w:t>
      </w:r>
      <w:r w:rsidR="00BA20C0" w:rsidRPr="009B3747">
        <w:rPr>
          <w:rFonts w:eastAsia="Times New Roman" w:cstheme="minorHAnsi"/>
          <w:color w:val="000000"/>
          <w:lang w:eastAsia="en-GB"/>
        </w:rPr>
        <w:fldChar w:fldCharType="end"/>
      </w:r>
      <w:r w:rsidR="00BA20C0" w:rsidRPr="009B3747">
        <w:rPr>
          <w:rFonts w:eastAsia="Times New Roman" w:cstheme="minorHAnsi"/>
          <w:color w:val="000000"/>
          <w:lang w:eastAsia="en-GB"/>
        </w:rPr>
        <w:t>.</w:t>
      </w:r>
    </w:p>
    <w:p w:rsidR="00AF46FD" w:rsidRPr="009B3747" w:rsidRDefault="00AF46FD" w:rsidP="00A16FA3">
      <w:pPr>
        <w:rPr>
          <w:rFonts w:eastAsia="Times New Roman" w:cstheme="minorHAnsi"/>
          <w:sz w:val="24"/>
          <w:szCs w:val="24"/>
          <w:lang w:eastAsia="en-GB"/>
        </w:rPr>
      </w:pPr>
    </w:p>
    <w:p w:rsidR="00A16FA3" w:rsidRPr="009B3747" w:rsidRDefault="00A16FA3" w:rsidP="00A16FA3">
      <w:pPr>
        <w:rPr>
          <w:rFonts w:eastAsia="Times New Roman" w:cstheme="minorHAnsi"/>
          <w:sz w:val="24"/>
          <w:szCs w:val="24"/>
          <w:lang w:eastAsia="en-GB"/>
        </w:rPr>
      </w:pPr>
      <w:r w:rsidRPr="009B3747">
        <w:rPr>
          <w:rFonts w:eastAsia="Times New Roman" w:cstheme="minorHAnsi"/>
          <w:color w:val="000000"/>
          <w:lang w:eastAsia="en-GB"/>
        </w:rPr>
        <w:t>Despite these suggestions overriding academic opinion remains that childhood and adolescent obesity cannot be prevented without at least engagement from schools at a primary and secondary level</w:t>
      </w:r>
      <w:r w:rsidR="00060331" w:rsidRPr="009B3747">
        <w:rPr>
          <w:rFonts w:eastAsia="Times New Roman" w:cstheme="minorHAnsi"/>
          <w:color w:val="000000"/>
          <w:lang w:eastAsia="en-GB"/>
        </w:rPr>
        <w:t xml:space="preserve"> </w:t>
      </w:r>
      <w:r w:rsidR="00060331"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"Procter", "given" : "KL", "non-dropping-particle" : "", "parse-names" : false, "suffix" : "" }, { "dropping-particle" : "", "family" : "Rudolf", "given" : "MC", "non-dropping-particle" : "", "parse-names" : false, "suffix" : "" }, { "dropping-particle" : "", "family" : "Feltbower", "given" : "RG", "non-dropping-particle" : "", "parse-names" : false, "suffix" : "" } ], "container-title" : "Social Science &amp; \u2026", "id" : "ITEM-1", "issue" : "2", "issued" : { "date-parts" : [ [ "2008" ] ] }, "page" : "341-349", "title" : "Measuring the school impact on child obesity", "type" : "article-journal", "volume" : "67" }, "uris" : [ "http://www.mendeley.com/documents/?uuid=aa1427f1-a709-47cc-b7ea-b94275ed4ad4" ] }, { "id" : "ITEM-2", "itemData" : { "author" : [ { "dropping-particle" : "", "family" : "Waters", "given" : "E", "non-dropping-particle" : "", "parse-names" : false, "suffix" : "" }, { "dropping-particle" : "de", "family" : "Silva-Sanigorski", "given" : "A", "non-dropping-particle" : "", "parse-names" : false, "suffix" : "" } ], "container-title" : "Cochrane Database of Systematic Reviews", "id" : "ITEM-2", "issue" : "12", "issued" : { "date-parts" : [ [ "2011" ] ] }, "title" : "Interventions for preventing obesity in children", "type" : "article-journal" }, "uris" : [ "http://www.mendeley.com/documents/?uuid=edceb688-e3c5-459d-b1d2-e8f0aa963cd2" ] } ], "mendeley" : { "formattedCitation" : "(Procter et al., 2008; Waters and Silva-Sanigorski, 2011)", "plainTextFormattedCitation" : "(Procter et al., 2008; Waters and Silva-Sanigorski, 2011)", "previouslyFormattedCitation" : "(Procter et al., 2008; Waters and Silva-Sanigorski, 2011)" }, "properties" : { "noteIndex" : 0 }, "schema" : "https://github.com/citation-style-language/schema/raw/master/csl-citation.json" }</w:instrText>
      </w:r>
      <w:r w:rsidR="00060331" w:rsidRPr="009B3747">
        <w:rPr>
          <w:rFonts w:eastAsia="Times New Roman" w:cstheme="minorHAnsi"/>
          <w:color w:val="000000"/>
          <w:lang w:eastAsia="en-GB"/>
        </w:rPr>
        <w:fldChar w:fldCharType="separate"/>
      </w:r>
      <w:r w:rsidR="00060331" w:rsidRPr="009B3747">
        <w:rPr>
          <w:rFonts w:eastAsia="Times New Roman" w:cstheme="minorHAnsi"/>
          <w:noProof/>
          <w:color w:val="000000"/>
          <w:lang w:eastAsia="en-GB"/>
        </w:rPr>
        <w:t>(Procter et al., 2008; Waters and Silva-Sanigorski, 2011)</w:t>
      </w:r>
      <w:r w:rsidR="00060331" w:rsidRPr="009B3747">
        <w:rPr>
          <w:rFonts w:eastAsia="Times New Roman" w:cstheme="minorHAnsi"/>
          <w:color w:val="000000"/>
          <w:lang w:eastAsia="en-GB"/>
        </w:rPr>
        <w:fldChar w:fldCharType="end"/>
      </w:r>
      <w:r w:rsidR="00060331" w:rsidRPr="009B3747">
        <w:rPr>
          <w:rFonts w:eastAsia="Times New Roman" w:cstheme="minorHAnsi"/>
          <w:color w:val="000000"/>
          <w:lang w:eastAsia="en-GB"/>
        </w:rPr>
        <w:t xml:space="preserve">.  </w:t>
      </w:r>
      <w:r w:rsidRPr="009B3747">
        <w:rPr>
          <w:rFonts w:eastAsia="Times New Roman" w:cstheme="minorHAnsi"/>
          <w:color w:val="000000"/>
          <w:lang w:eastAsia="en-GB"/>
        </w:rPr>
        <w:t>It is however both unfair and unrealistic to expect them to achieve this in isolation</w:t>
      </w:r>
      <w:r w:rsidR="00060331" w:rsidRPr="009B3747">
        <w:rPr>
          <w:rFonts w:eastAsia="Times New Roman" w:cstheme="minorHAnsi"/>
          <w:color w:val="000000"/>
          <w:lang w:eastAsia="en-GB"/>
        </w:rPr>
        <w:t xml:space="preserve"> </w:t>
      </w:r>
      <w:r w:rsidR="00060331"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"Story", "given" : "M", "non-dropping-particle" : "", "parse-names" : false, "suffix" : "" }, { "dropping-particle" : "", "family" : "Nanney", "given" : "MS", "non-dropping-particle" : "", "parse-names" : false, "suffix" : "" }, { "dropping-particle" : "", "family" : "Schwartz", "given" : "MB", "non-dropping-particle" : "", "parse-names" : false, "suffix" : "" } ], "container-title" : "Milbank Quarterly", "id" : "ITEM-1", "issue" : "1", "issued" : { "date-parts" : [ [ "2009" ] ] }, "page" : "71\u2013100", "title" : "Schools and obesity prevention: creating school environments and policies to promote healthy eating and physical activity", "type" : "article-journal", "volume" : "87" }, "uris" : [ "http://www.mendeley.com/documents/?uuid=caeb8bd2-da0c-4ec6-bda7-744bfbb6dbc3" ] } ], "mendeley" : { "formattedCitation" : "(Story et al., 2009)", "plainTextFormattedCitation" : "(Story et al., 2009)", "previouslyFormattedCitation" : "(Story et al., 2009)" }, "properties" : { "noteIndex" : 0 }, "schema" : "https://github.com/citation-style-language/schema/raw/master/csl-citation.json" }</w:instrText>
      </w:r>
      <w:r w:rsidR="00060331" w:rsidRPr="009B3747">
        <w:rPr>
          <w:rFonts w:eastAsia="Times New Roman" w:cstheme="minorHAnsi"/>
          <w:color w:val="000000"/>
          <w:lang w:eastAsia="en-GB"/>
        </w:rPr>
        <w:fldChar w:fldCharType="separate"/>
      </w:r>
      <w:r w:rsidR="00060331" w:rsidRPr="009B3747">
        <w:rPr>
          <w:rFonts w:eastAsia="Times New Roman" w:cstheme="minorHAnsi"/>
          <w:noProof/>
          <w:color w:val="000000"/>
          <w:lang w:eastAsia="en-GB"/>
        </w:rPr>
        <w:t>(Story et al., 2009)</w:t>
      </w:r>
      <w:r w:rsidR="00060331" w:rsidRPr="009B3747">
        <w:rPr>
          <w:rFonts w:eastAsia="Times New Roman" w:cstheme="minorHAnsi"/>
          <w:color w:val="000000"/>
          <w:lang w:eastAsia="en-GB"/>
        </w:rPr>
        <w:fldChar w:fldCharType="end"/>
      </w:r>
      <w:r w:rsidR="00060331" w:rsidRPr="009B3747">
        <w:rPr>
          <w:rFonts w:eastAsia="Times New Roman" w:cstheme="minorHAnsi"/>
          <w:color w:val="000000"/>
          <w:lang w:eastAsia="en-GB"/>
        </w:rPr>
        <w:t xml:space="preserve"> </w:t>
      </w:r>
      <w:r w:rsidRPr="009B3747">
        <w:rPr>
          <w:rFonts w:eastAsia="Times New Roman" w:cstheme="minorHAnsi"/>
          <w:color w:val="000000"/>
          <w:lang w:eastAsia="en-GB"/>
        </w:rPr>
        <w:t>and therefore all settings where children live and grow can and should play a vital contribution to preventative action</w:t>
      </w:r>
      <w:r w:rsidR="00060331" w:rsidRPr="009B3747">
        <w:rPr>
          <w:rFonts w:eastAsia="Times New Roman" w:cstheme="minorHAnsi"/>
          <w:color w:val="000000"/>
          <w:lang w:eastAsia="en-GB"/>
        </w:rPr>
        <w:t xml:space="preserve"> </w:t>
      </w:r>
      <w:r w:rsidR="00060331"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"Butland", "given" : "B", "non-dropping-particle" : "", "parse-names" : false, "suffix" : "" }, { "dropping-particle" : "", "family" : "Jebb", "given" : "S", "non-dropping-particle" : "", "parse-names" : false, "suffix" : "" } ], "id" : "ITEM-1", "issued" : { "date-parts" : [ [ "2007" ] ] }, "title" : "Foresight. Tackling obesities: future choices. Project report.", "type" : "report" }, "uris" : [ "http://www.mendeley.com/documents/?uuid=8ae0e880-41d4-4b61-b434-dc36711dd306" ] }, { "id" : "ITEM-2", "itemData" : { "author" : [ { "dropping-particle" : "", "family" : "Lobstein", "given" : "T", "non-dropping-particle" : "", "parse-names" : false, "suffix" : "" }, { "dropping-particle" : "", "family" : "Jackson-Leach", "given" : "R", "non-dropping-particle" : "", "parse-names" : false, "suffix" : "" }, { "dropping-particle" : "", "family" : "Moodie", "given" : "ML", "non-dropping-particle" : "", "parse-names" : false, "suffix" : "" } ], "container-title" : "The Lancet", "id" : "ITEM-2", "issue" : "9986", "issued" : { "date-parts" : [ [ "2015" ] ] }, "page" : "2510-2520", "title" : "Child and adolescent obesity: part of a bigger picture", "type" : "article-journal", "volume" : "385" }, "uris" : [ "http://www.mendeley.com/documents/?uuid=e072a246-f28d-4879-b95a-10b312372cee" ] } ], "mendeley" : { "formattedCitation" : "(Butland and Jebb, 2007; Lobstein et al., 2015)", "plainTextFormattedCitation" : "(Butland and Jebb, 2007; Lobstein et al., 2015)", "previouslyFormattedCitation" : "(Butland and Jebb, 2007; Lobstein et al., 2015)" }, "properties" : { "noteIndex" : 0 }, "schema" : "https://github.com/citation-style-language/schema/raw/master/csl-citation.json" }</w:instrText>
      </w:r>
      <w:r w:rsidR="00060331" w:rsidRPr="009B3747">
        <w:rPr>
          <w:rFonts w:eastAsia="Times New Roman" w:cstheme="minorHAnsi"/>
          <w:color w:val="000000"/>
          <w:lang w:eastAsia="en-GB"/>
        </w:rPr>
        <w:fldChar w:fldCharType="separate"/>
      </w:r>
      <w:r w:rsidR="00060331" w:rsidRPr="009B3747">
        <w:rPr>
          <w:rFonts w:eastAsia="Times New Roman" w:cstheme="minorHAnsi"/>
          <w:noProof/>
          <w:color w:val="000000"/>
          <w:lang w:eastAsia="en-GB"/>
        </w:rPr>
        <w:t>(Butland and Jebb, 2007; Lobstein et al., 2015)</w:t>
      </w:r>
      <w:r w:rsidR="00060331" w:rsidRPr="009B3747">
        <w:rPr>
          <w:rFonts w:eastAsia="Times New Roman" w:cstheme="minorHAnsi"/>
          <w:color w:val="000000"/>
          <w:lang w:eastAsia="en-GB"/>
        </w:rPr>
        <w:fldChar w:fldCharType="end"/>
      </w:r>
      <w:r w:rsidR="00060331" w:rsidRPr="009B3747">
        <w:rPr>
          <w:rFonts w:eastAsia="Times New Roman" w:cstheme="minorHAnsi"/>
          <w:color w:val="000000"/>
          <w:lang w:eastAsia="en-GB"/>
        </w:rPr>
        <w:t>.</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A16FA3" w:rsidRPr="009B3747" w:rsidRDefault="00C34D84" w:rsidP="00A16FA3">
      <w:pPr>
        <w:rPr>
          <w:rFonts w:eastAsia="Times New Roman" w:cstheme="minorHAnsi"/>
          <w:sz w:val="24"/>
          <w:szCs w:val="24"/>
          <w:lang w:eastAsia="en-GB"/>
        </w:rPr>
      </w:pPr>
      <w:r w:rsidRPr="009B3747">
        <w:rPr>
          <w:rFonts w:eastAsia="Times New Roman" w:cstheme="minorHAnsi"/>
          <w:bCs/>
          <w:color w:val="000000"/>
          <w:u w:val="single"/>
          <w:lang w:eastAsia="en-GB"/>
        </w:rPr>
        <w:t>2</w:t>
      </w:r>
      <w:r w:rsidR="00F757C7" w:rsidRPr="009B3747">
        <w:rPr>
          <w:rFonts w:eastAsia="Times New Roman" w:cstheme="minorHAnsi"/>
          <w:bCs/>
          <w:color w:val="000000"/>
          <w:u w:val="single"/>
          <w:lang w:eastAsia="en-GB"/>
        </w:rPr>
        <w:t xml:space="preserve">.7.1 </w:t>
      </w:r>
      <w:r w:rsidR="00A16FA3" w:rsidRPr="009B3747">
        <w:rPr>
          <w:rFonts w:eastAsia="Times New Roman" w:cstheme="minorHAnsi"/>
          <w:bCs/>
          <w:color w:val="000000"/>
          <w:u w:val="single"/>
          <w:lang w:eastAsia="en-GB"/>
        </w:rPr>
        <w:t xml:space="preserve">Childhood and adolescent obesity prevention in schools </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A16FA3" w:rsidRPr="009B3747" w:rsidRDefault="00A16FA3" w:rsidP="00A16FA3">
      <w:pPr>
        <w:rPr>
          <w:rFonts w:eastAsia="Times New Roman" w:cstheme="minorHAnsi"/>
          <w:sz w:val="24"/>
          <w:szCs w:val="24"/>
          <w:lang w:eastAsia="en-GB"/>
        </w:rPr>
      </w:pPr>
      <w:r w:rsidRPr="009B3747">
        <w:rPr>
          <w:rFonts w:eastAsia="Times New Roman" w:cstheme="minorHAnsi"/>
          <w:color w:val="000000"/>
          <w:lang w:eastAsia="en-GB"/>
        </w:rPr>
        <w:t>Research on preventing childhood and adolescent obesity has proliferated over the past two decades.  An increasing number of systematic reviews and meta-analyses have been conducted to examine and assess the effectiveness of childhood and adolescent obesity prevention interventio</w:t>
      </w:r>
      <w:r w:rsidR="00FE4357">
        <w:rPr>
          <w:rFonts w:eastAsia="Times New Roman" w:cstheme="minorHAnsi"/>
          <w:color w:val="000000"/>
          <w:lang w:eastAsia="en-GB"/>
        </w:rPr>
        <w:t xml:space="preserve">ns across a variety of settings, </w:t>
      </w:r>
      <w:r w:rsidRPr="009B3747">
        <w:rPr>
          <w:rFonts w:eastAsia="Times New Roman" w:cstheme="minorHAnsi"/>
          <w:color w:val="000000"/>
          <w:lang w:eastAsia="en-GB"/>
        </w:rPr>
        <w:t>i.e. schools, families, communities and primary care</w:t>
      </w:r>
      <w:r w:rsidR="00F227D0" w:rsidRPr="009B3747">
        <w:rPr>
          <w:rFonts w:eastAsia="Times New Roman" w:cstheme="minorHAnsi"/>
          <w:color w:val="000000"/>
          <w:lang w:eastAsia="en-GB"/>
        </w:rPr>
        <w:t xml:space="preserve"> </w:t>
      </w:r>
      <w:r w:rsidR="00F227D0"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"Doak", "given" : "CM", "non-dropping-particle" : "", "parse-names" : false, "suffix" : "" }, { "dropping-particle" : "", "family" : "Visscher", "given" : "TLS", "non-dropping-particle" : "", "parse-names" : false, "suffix" : "" } ], "container-title" : "Obesity reviews", "id" : "ITEM-1", "issue" : "1", "issued" : { "date-parts" : [ [ "2006" ] ] }, "page" : "111-136", "title" : "The prevention of overweight and obesity in children and adolescents: a review of interventions and programmes", "type" : "article-journal", "volume" : "7" }, "uris" : [ "http://www.mendeley.com/documents/?uuid=85b0cc74-369d-4256-93dc-c94435a10bb7" ] }, { "id" : "ITEM-2", "itemData" : { "author" : [ { "dropping-particle" : "", "family" : "Sharma", "given" : "M", "non-dropping-particle" : "", "parse-names" : false, "suffix" : "" } ], "container-title" : "Obesity reviews", "id" : "ITEM-2", "issue" : "3", "issued" : { "date-parts" : [ [ "2006" ] ] }, "page" : "261-269", "title" : "School\u2010based interventions for childhood and adolescent obesity", "type" : "article-journal", "volume" : "7" }, "uris" : [ "http://www.mendeley.com/documents/?uuid=30e32a16-84fc-47e7-95a8-82bba79fc120" ] }, { "id" : "ITEM-3", "itemData" : { "author" : [ { "dropping-particle" : "", "family" : "Sharma", "given" : "M", "non-dropping-particle" : "", "parse-names" : false, "suffix" : "" } ], "container-title" : "Obesity Reviews", "id" : "ITEM-3", "issue" : "2", "issued" : { "date-parts" : [ [ "2007" ] ] }, "page" : "155-67", "title" : "International school\u2010based interventions for preventing obesity in children", "type" : "article-journal", "volume" : "8" }, "uris" : [ "http://www.mendeley.com/documents/?uuid=3248a1c5-0e10-42b5-86a1-7215e61f4fc8" ] }, { "id" : "ITEM-4", "itemData" : { "author" : [ { "dropping-particle" : "", "family" : "Brown", "given" : "T", "non-dropping-particle" : "", "parse-names" : false, "suffix" : "" }, { "dropping-particle" : "", "family" : "Summerbell", "given" : "C", "non-dropping-particle" : "", "parse-names" : false, "suffix" : "" } ], "container-title" : "Obesity reviews", "id" : "ITEM-4", "issue" : "1", "issued" : { "date-parts" : [ [ "2009" ] ] }, "page" : "110-41", "title" : "Systematic review of school\u2010based interventions that focus on changing dietary intake and physical activity levels to prevent childhood obesity: an update to the obesity guidance produced by the National Institute of Health and Clinical Excellence", "type" : "article-journal", "volume" : "10" }, "uris" : [ "http://www.mendeley.com/documents/?uuid=e811e3c6-9e70-4796-ab4e-3b5e1e0de388" ] }, { "id" : "ITEM-5", "itemData" : { "author" : [ { "dropping-particle" : "", "family" : "Kropski", "given" : "JA", "non-dropping-particle" : "", "parse-names" : false, "suffix" : "" }, { "dropping-particle" : "", "family" : "Keckley", "given" : "PH", "non-dropping-particle" : "", "parse-names" : false, "suffix" : "" }, { "dropping-particle" : "", "family" : "Jensen", "given" : "GL", "non-dropping-particle" : "", "parse-names" : false, "suffix" : "" } ], "container-title" : "Obesity", "id" : "ITEM-5", "issue" : "5", "issued" : { "date-parts" : [ [ "2008" ] ] }, "page" : "1009-1018", "title" : "School\u2010based obesity prevention programs: an evidence\u2010based review", "type" : "article-journal", "volume" : "16" }, "uris" : [ "http://www.mendeley.com/documents/?uuid=2b30d4eb-3433-4140-849d-761036e131d0" ] }, { "id" : "ITEM-6", "itemData" : { "author" : [ { "dropping-particle" : "", "family" : "Katz", "given" : "DL", "non-dropping-particle" : "", "parse-names" : false, "suffix" : "" } ], "container-title" : "Annual review of public health", "id" : "ITEM-6", "issued" : { "date-parts" : [ [ "2009" ] ] }, "page" : "253-72", "title" : "School-based interventions for health promotion and weight control: not just waiting on the world to change", "type" : "article-journal", "volume" : "30" }, "uris" : [ "http://www.mendeley.com/documents/?uuid=9adfafe6-d532-420d-bad5-9fcde4bbe46c" ] }, { "id" : "ITEM-7", "itemData" : { "author" : [ { "dropping-particle" : "De", "family" : "Bourdeaudhuij", "given" : "I", "non-dropping-particle" : "", "parse-names" : false, "suffix" : "" } ], "container-title" : "Obesity reviews", "id" : "ITEM-7", "issue" : "3", "issued" : { "date-parts" : [ [ "2011" ] ] }, "page" : "205-216", "title" : "School\u2010based interventions promoting both physical activity and healthy eating in Europe: a systematic review within the HOPE project", "type" : "article-journal", "volume" : "12" }, "uris" : [ "http://www.mendeley.com/documents/?uuid=580141f8-a2be-40e7-b5ff-1546f608bec7" ] }, { "id" : "ITEM-8", "itemData" : { "author" : [ { "dropping-particle" : "", "family" : "Waters", "given" : "E", "non-dropping-particle" : "", "parse-names" : false, "suffix" : "" }, { "dropping-particle" : "de", "family" : "Silva-Sanigorski", "given" : "A", "non-dropping-particle" : "", "parse-names" : false, "suffix" : "" } ], "container-title" : "Cochrane Database of Systematic Reviews", "id" : "ITEM-8", "issue" : "12", "issued" : { "date-parts" : [ [ "2011" ] ] }, "title" : "Interventions for preventing obesity in children", "type" : "article-journal" }, "uris" : [ "http://www.mendeley.com/documents/?uuid=edceb688-e3c5-459d-b1d2-e8f0aa963cd2" ] }, { "id" : "ITEM-9", "itemData" : { "DOI" : "10.1111/j.1467-789X.2011.00947.x", "ISBN" : "1467-789X (Electronic)\\n1467-7881 (Linking)", "ISSN" : "14677881", "PMID" : "22070186", "abstract" : "Schools are an attractive and popular setting for implementing interventions for children. There is a growing body of empirical research exploring the efficacy of school-based obesity prevention programs. While there have been several reviews on the topic, findings remain mixed. To examine the quality of evidence and compare the findings from existing systematic reviews and meta-analyses of school-based programs in the prevention and control of childhood obesity. This paper systematically appraises the methodology and conclusions of literature reviews examining the effectiveness of school-based obesity interventions published in English in peer-reviewed journals between January 1990 and October 2010. Eight reviews were examined, three meta-analyses and five systematic reviews. All of the reviews recognized that studies were heterogeneous in design, participants, intervention and outcomes. Intervention components in the school setting associated with a significant reduction of weight in children included long-term interventions with combined diet and physical activity and a family component. Several reviews also found gender differences in response to interventions. Of the eight reviews, five were deemed of high quality and yet limited evidence was found on which to base recommendations. As no single intervention will fit all schools and populations, further high-quality research needs to focus on identifying specific program characteristics predictive of success.", "author" : [ { "dropping-particle" : "", "family" : "Khambalia", "given" : "a. Z.", "non-dropping-particle" : "", "parse-names" : false, "suffix" : "" }, { "dropping-particle" : "", "family" : "Dickinson", "given" : "S.", "non-dropping-particle" : "", "parse-names" : false, "suffix" : "" }, { "dropping-particle" : "", "family" : "Hardy", "given" : "L. L.", "non-dropping-particle" : "", "parse-names" : false, "suffix" : "" }, { "dropping-particle" : "", "family" : "Gill", "given" : "T.", "non-dropping-particle" : "", "parse-names" : false, "suffix" : "" }, { "dropping-particle" : "", "family" : "Baur", "given" : "L. a.", "non-dropping-particle" : "", "parse-names" : false, "suffix" : "" } ], "container-title" : "Obesity Reviews", "id" : "ITEM-9", "issue" : "3", "issued" : { "date-parts" : [ [ "2012" ] ] }, "page" : "214-233", "title" : "A synthesis of existing systematic reviews and meta-analyses of school-based behavioural interventions for controlling and preventing obesity", "type" : "article-journal", "volume" : "13" }, "uris" : [ "http://www.mendeley.com/documents/?uuid=99f778b3-42f0-4d02-b861-8b1f509659ab" ] }, { "id" : "ITEM-10", "itemData" : { "author" : [ { "dropping-particle" : "", "family" : "Williams", "given" : "AJ", "non-dropping-particle" : "", "parse-names" : false, "suffix" : "" }, { "dropping-particle" : "", "family" : "Henley", "given" : "WE", "non-dropping-particle" : "", "parse-names" : false, "suffix" : "" } ], "container-title" : "International Journal of Behavioral nutrition and Physical activity", "id" : "ITEM-10", "issue" : "1", "issued" : { "date-parts" : [ [ "2013" ] ] }, "page" : "101", "title" : "Systematic review and meta-analysis of the association between childhood overweight and obesity and primary school diet and physical activity policies", "type" : "article-journal", "volume" : "10" }, "uris" : [ "http://www.mendeley.com/documents/?uuid=beb93714-7d75-43d0-b012-585371461b08" ] }, { "id" : "ITEM-11", "itemData" : { "DOI" : "10.1111/obr.12277", "ISSN" : "14677881", "PMID" : "25893796", "abstract" : "Previous reviews of childhood obesity prevention have focused largely on schools and findings have been inconsistent. Funded by the US Agency for Healthcare Research and Quality (AHRQ) and the National Institutes of Health, we systematically evaluated the effectiveness of childhood obesity prevention programmes conducted in high-income countries and implemented in various settings. We searched MEDLINE\u00ae, Embase, PsycINFO, CINAHL\u00ae, ClinicalTrials.gov and the Cochrane Library from inception through 22 April 2013 for relevant studies, including randomized controlled trials, quasi-experimental studies and natural experiments, targeting diet, physical activity or both, and conducted in children aged 2-18 in high-income countries. Two reviewers independently abstracted the data. The strength of evidence (SOE) supporting interventions was graded for each study setting (e.g. home, school). Meta-analyses were performed on studies judged sufficiently similar and appropriate to pool using random effect models. This paper reported our findings on various adiposity-related outcomes. We identified 147 articles (139 intervention studies) of which 115 studies were primarily school based, although\u2009other settings could have been involved. Most were conducted in the United States and within the past decade. SOE was high for physical activity-only interventions delivered in schools with home involvement or combined diet-physical activity interventions delivered in schools with both home and community components. SOE was moderate for school-based interventions targeting either diet or physical activity, combined interventions delivered in schools with home or community components or combined interventions delivered in the community with a school component. SOE was low for combined interventions in childcare or home settings. Evidence was insufficient for other interventions. In conclusion, at least moderately strong evidence supports the effectiveness of school-based interventions for preventing childhood obesity. More research is needed to evaluate programmes in other settings or of other design types, especially environmental, policy and consumer health informatics-oriented interventions.", "author" : [ { "dropping-particle" : "", "family" : "Wang", "given" : "Y.", "non-dropping-particle" : "", "parse-names" : false, "suffix" : "" }, { "dropping-particle" : "", "family" : "Cai", "given" : "L.", "non-dropping-particle" : "", "parse-names" : false, "suffix" : "" }, { "dropping-particle" : "", "family" : "Wu", "given" : "Y.", "non-dropping-particle" : "", "parse-names" : false, "suffix" : "" }, { "dropping-particle" : "", "family" : "Wilson", "given" : "R. F.", "non-dropping-particle" : "", "parse-names" : false, "suffix" : "" }, { "dropping-particle" : "", "family" : "Weston", "given" : "C.", "non-dropping-particle" : "", "parse-names" : false, "suffix" : "" }, { "dropping-particle" : "", "family" : "Fawole", "given" : "O.", "non-dropping-particle" : "", "parse-names" : false, "suffix" : "" }, { "dropping-particle" : "", "family" : "Bleich", "given" : "S. N.", "non-dropping-particle" : "", "parse-names" : false, "suffix" : "" }, { "dropping-particle" : "", "family" : "Cheskin", "given" : "L. J.", "non-dropping-particle" : "", "parse-names" : false, "suffix" : "" }, { "dropping-particle" : "", "family" : "Showell", "given" : "N. N.", "non-dropping-particle" : "", "parse-names" : false, "suffix" : "" }, { "dropping-particle" : "", "family" : "Lau", "given" : "B. D.", "non-dropping-particle" : "", "parse-names" : false, "suffix" : "" }, { "dropping-particle" : "", "family" : "Chiu", "given" : "D. T.", "non-dropping-particle" : "", "parse-names" : false, "suffix" : "" }, { "dropping-particle" : "", "family" : "Zhang", "given" : "A.", "non-dropping-particle" : "", "parse-names" : false, "suffix" : "" }, { "dropping-particle" : "", "family" : "Segal", "given" : "J.", "non-dropping-particle" : "", "parse-names" : false, "suffix" : "" } ], "container-title" : "Obesity Reviews", "id" : "ITEM-11", "issue" : "7", "issued" : { "date-parts" : [ [ "2015", "7", "20" ] ] }, "page" : "547-565", "title" : "What childhood obesity prevention programmes work? A systematic review and meta-analysis", "type" : "article-journal", "volume" : "16" }, "uris" : [ "http://www.mendeley.com/documents/?uuid=6062d135-073b-40bc-a5de-04435d42cd04" ] }, { "id" : "ITEM-12", "itemData" : { "author" : [ { "dropping-particle" : "", "family" : "Guerra", "given" : "PH", "non-dropping-particle" : "", "parse-names" : false, "suffix" : "" }, { "dropping-particle" : "da", "family" : "Silveira", "given" : "JAC", "non-dropping-particle" : "", "parse-names" : false, "suffix" : "" }, { "dropping-particle" : "", "family" : "Salvador", "given" : "EP", "non-dropping-particle" : "", "parse-names" : false, "suffix" : "" } ], "container-title" : "Jornal de Pediatria", "id" : "ITEM-12", "issue" : "1", "issued" : { "date-parts" : [ [ "2015" ] ] }, "page" : "15-23", "title" : "Physical activity and nutrition education at the school environment aimed at preventing childhood obesity: evidence from systematic reviews", "type" : "article-journal", "volume" : "92" }, "uris" : [ "http://www.mendeley.com/documents/?uuid=98dd3955-cf26-4c07-8061-13dd1c0276c8" ] } ], "mendeley" : { "formattedCitation" : "(Doak and Visscher, 2006; Sharma, 2006, 2007; Brown and Summerbell, 2009; Kropski et al., 2008; Katz, 2009; Bourdeaudhuij, 2011; Waters and Silva-Sanigorski, 2011; Khambalia et al., 2012; Williams and Henley, 2013; Wang et al., 2015; Guerra et al., 2015)", "plainTextFormattedCitation" : "(Doak and Visscher, 2006; Sharma, 2006, 2007; Brown and Summerbell, 2009; Kropski et al., 2008; Katz, 2009; Bourdeaudhuij, 2011; Waters and Silva-Sanigorski, 2011; Khambalia et al., 2012; Williams and Henley, 2013; Wang et al., 2015; Guerra et al., 2015)", "previouslyFormattedCitation" : "(Doak and Visscher, 2006; Sharma, 2006, 2007; Brown and Summerbell, 2009; Kropski et al., 2008; Katz, 2009; Bourdeaudhuij, 2011; Waters and Silva-Sanigorski, 2011; Khambalia et al., 2012; Williams and Henley, 2013; Wang et al., 2015; Guerra et al., 2015)" }, "properties" : { "noteIndex" : 0 }, "schema" : "https://github.com/citation-style-language/schema/raw/master/csl-citation.json" }</w:instrText>
      </w:r>
      <w:r w:rsidR="00F227D0" w:rsidRPr="009B3747">
        <w:rPr>
          <w:rFonts w:eastAsia="Times New Roman" w:cstheme="minorHAnsi"/>
          <w:color w:val="000000"/>
          <w:lang w:eastAsia="en-GB"/>
        </w:rPr>
        <w:fldChar w:fldCharType="separate"/>
      </w:r>
      <w:r w:rsidR="00F227D0" w:rsidRPr="009B3747">
        <w:rPr>
          <w:rFonts w:eastAsia="Times New Roman" w:cstheme="minorHAnsi"/>
          <w:noProof/>
          <w:color w:val="000000"/>
          <w:lang w:eastAsia="en-GB"/>
        </w:rPr>
        <w:t>(Doak and Visscher, 2006; Sharma, 2006, 2007; Brown and Summerbell, 2009; Kropski et al., 2008; Katz, 2009; Bourdeaudhuij, 2011; Waters and Silva-Sanigorski, 2011; Khambalia et al., 2012; Williams and Henley, 2013; Wang et al., 2015; Guerra et al., 2015)</w:t>
      </w:r>
      <w:r w:rsidR="00F227D0" w:rsidRPr="009B3747">
        <w:rPr>
          <w:rFonts w:eastAsia="Times New Roman" w:cstheme="minorHAnsi"/>
          <w:color w:val="000000"/>
          <w:lang w:eastAsia="en-GB"/>
        </w:rPr>
        <w:fldChar w:fldCharType="end"/>
      </w:r>
      <w:r w:rsidR="00F227D0" w:rsidRPr="009B3747">
        <w:rPr>
          <w:rFonts w:eastAsia="Times New Roman" w:cstheme="minorHAnsi"/>
          <w:color w:val="000000"/>
          <w:lang w:eastAsia="en-GB"/>
        </w:rPr>
        <w:t>.</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A16FA3" w:rsidRPr="009B3747" w:rsidRDefault="00A16FA3" w:rsidP="00A16FA3">
      <w:pPr>
        <w:rPr>
          <w:rFonts w:eastAsia="Times New Roman" w:cstheme="minorHAnsi"/>
          <w:sz w:val="24"/>
          <w:szCs w:val="24"/>
          <w:lang w:eastAsia="en-GB"/>
        </w:rPr>
      </w:pPr>
      <w:r w:rsidRPr="009B3747">
        <w:rPr>
          <w:rFonts w:eastAsia="Times New Roman" w:cstheme="minorHAnsi"/>
          <w:color w:val="000000"/>
          <w:lang w:eastAsia="en-GB"/>
        </w:rPr>
        <w:t>Articles and interventions related to school settings have dominated the literature base, with the vast majority of primary research conducted in early years, primary or secondary sector schools</w:t>
      </w:r>
      <w:r w:rsidR="00F227D0" w:rsidRPr="009B3747">
        <w:rPr>
          <w:rFonts w:eastAsia="Times New Roman" w:cstheme="minorHAnsi"/>
          <w:color w:val="000000"/>
          <w:lang w:eastAsia="en-GB"/>
        </w:rPr>
        <w:t xml:space="preserve"> </w:t>
      </w:r>
      <w:r w:rsidR="00F227D0"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"Waters", "given" : "E", "non-dropping-particle" : "", "parse-names" : false, "suffix" : "" }, { "dropping-particle" : "de", "family" : "Silva-Sanigorski", "given" : "A", "non-dropping-particle" : "", "parse-names" : false, "suffix" : "" } ], "container-title" : "Cochrane Database of Systematic Reviews", "id" : "ITEM-1", "issue" : "12", "issued" : { "date-parts" : [ [ "2011" ] ] }, "title" : "Interventions for preventing obesity in children", "type" : "article-journal" }, "uris" : [ "http://www.mendeley.com/documents/?uuid=edceb688-e3c5-459d-b1d2-e8f0aa963cd2" ] }, { "id" : "ITEM-2", "itemData" : { "DOI" : "10.1111/obr.12277", "ISSN" : "14677881", "PMID" : "25893796", "abstract" : "Previous reviews of childhood obesity prevention have focused largely on schools and findings have been inconsistent. Funded by the US Agency for Healthcare Research and Quality (AHRQ) and the National Institutes of Health, we systematically evaluated the effectiveness of childhood obesity prevention programmes conducted in high-income countries and implemented in various settings. We searched MEDLINE\u00ae, Embase, PsycINFO, CINAHL\u00ae, ClinicalTrials.gov and the Cochrane Library from inception through 22 April 2013 for relevant studies, including randomized controlled trials, quasi-experimental studies and natural experiments, targeting diet, physical activity or both, and conducted in children aged 2-18 in high-income countries. Two reviewers independently abstracted the data. The strength of evidence (SOE) supporting interventions was graded for each study setting (e.g. home, school). Meta-analyses were performed on studies judged sufficiently similar and appropriate to pool using random effect models. This paper reported our findings on various adiposity-related outcomes. We identified 147 articles (139 intervention studies) of which 115 studies were primarily school based, although\u2009other settings could have been involved. Most were conducted in the United States and within the past decade. SOE was high for physical activity-only interventions delivered in schools with home involvement or combined diet-physical activity interventions delivered in schools with both home and community components. SOE was moderate for school-based interventions targeting either diet or physical activity, combined interventions delivered in schools with home or community components or combined interventions delivered in the community with a school component. SOE was low for combined interventions in childcare or home settings. Evidence was insufficient for other interventions. In conclusion, at least moderately strong evidence supports the effectiveness of school-based interventions for preventing childhood obesity. More research is needed to evaluate programmes in other settings or of other design types, especially environmental, policy and consumer health informatics-oriented interventions.", "author" : [ { "dropping-particle" : "", "family" : "Wang", "given" : "Y.", "non-dropping-particle" : "", "parse-names" : false, "suffix" : "" }, { "dropping-particle" : "", "family" : "Cai", "given" : "L.", "non-dropping-particle" : "", "parse-names" : false, "suffix" : "" }, { "dropping-particle" : "", "family" : "Wu", "given" : "Y.", "non-dropping-particle" : "", "parse-names" : false, "suffix" : "" }, { "dropping-particle" : "", "family" : "Wilson", "given" : "R. F.", "non-dropping-particle" : "", "parse-names" : false, "suffix" : "" }, { "dropping-particle" : "", "family" : "Weston", "given" : "C.", "non-dropping-particle" : "", "parse-names" : false, "suffix" : "" }, { "dropping-particle" : "", "family" : "Fawole", "given" : "O.", "non-dropping-particle" : "", "parse-names" : false, "suffix" : "" }, { "dropping-particle" : "", "family" : "Bleich", "given" : "S. N.", "non-dropping-particle" : "", "parse-names" : false, "suffix" : "" }, { "dropping-particle" : "", "family" : "Cheskin", "given" : "L. J.", "non-dropping-particle" : "", "parse-names" : false, "suffix" : "" }, { "dropping-particle" : "", "family" : "Showell", "given" : "N. N.", "non-dropping-particle" : "", "parse-names" : false, "suffix" : "" }, { "dropping-particle" : "", "family" : "Lau", "given" : "B. D.", "non-dropping-particle" : "", "parse-names" : false, "suffix" : "" }, { "dropping-particle" : "", "family" : "Chiu", "given" : "D. T.", "non-dropping-particle" : "", "parse-names" : false, "suffix" : "" }, { "dropping-particle" : "", "family" : "Zhang", "given" : "A.", "non-dropping-particle" : "", "parse-names" : false, "suffix" : "" }, { "dropping-particle" : "", "family" : "Segal", "given" : "J.", "non-dropping-particle" : "", "parse-names" : false, "suffix" : "" } ], "container-title" : "Obesity Reviews", "id" : "ITEM-2", "issue" : "7", "issued" : { "date-parts" : [ [ "2015", "7", "20" ] ] }, "page" : "547-565", "title" : "What childhood obesity prevention programmes work? A systematic review and meta-analysis", "type" : "article-journal", "volume" : "16" }, "uris" : [ "http://www.mendeley.com/documents/?uuid=6062d135-073b-40bc-a5de-04435d42cd04" ] } ], "mendeley" : { "formattedCitation" : "(Waters and Silva-Sanigorski, 2011; Wang et al., 2015)", "plainTextFormattedCitation" : "(Waters and Silva-Sanigorski, 2011; Wang et al., 2015)", "previouslyFormattedCitation" : "(Waters and Silva-Sanigorski, 2011; Wang et al., 2015)" }, "properties" : { "noteIndex" : 0 }, "schema" : "https://github.com/citation-style-language/schema/raw/master/csl-citation.json" }</w:instrText>
      </w:r>
      <w:r w:rsidR="00F227D0" w:rsidRPr="009B3747">
        <w:rPr>
          <w:rFonts w:eastAsia="Times New Roman" w:cstheme="minorHAnsi"/>
          <w:color w:val="000000"/>
          <w:lang w:eastAsia="en-GB"/>
        </w:rPr>
        <w:fldChar w:fldCharType="separate"/>
      </w:r>
      <w:r w:rsidR="00F227D0" w:rsidRPr="009B3747">
        <w:rPr>
          <w:rFonts w:eastAsia="Times New Roman" w:cstheme="minorHAnsi"/>
          <w:noProof/>
          <w:color w:val="000000"/>
          <w:lang w:eastAsia="en-GB"/>
        </w:rPr>
        <w:t>(Waters and Silva-Sanigorski, 2011; Wang et al., 2015)</w:t>
      </w:r>
      <w:r w:rsidR="00F227D0" w:rsidRPr="009B3747">
        <w:rPr>
          <w:rFonts w:eastAsia="Times New Roman" w:cstheme="minorHAnsi"/>
          <w:color w:val="000000"/>
          <w:lang w:eastAsia="en-GB"/>
        </w:rPr>
        <w:fldChar w:fldCharType="end"/>
      </w:r>
      <w:r w:rsidR="00F227D0" w:rsidRPr="009B3747">
        <w:rPr>
          <w:rFonts w:eastAsia="Times New Roman" w:cstheme="minorHAnsi"/>
          <w:color w:val="000000"/>
          <w:lang w:eastAsia="en-GB"/>
        </w:rPr>
        <w:t xml:space="preserve">.  </w:t>
      </w:r>
      <w:r w:rsidRPr="009B3747">
        <w:rPr>
          <w:rFonts w:eastAsia="Times New Roman" w:cstheme="minorHAnsi"/>
          <w:color w:val="000000"/>
          <w:lang w:eastAsia="en-GB"/>
        </w:rPr>
        <w:t>In the main, school based interventions included within identified reviews, deli</w:t>
      </w:r>
      <w:r w:rsidR="00CD7979" w:rsidRPr="009B3747">
        <w:rPr>
          <w:rFonts w:eastAsia="Times New Roman" w:cstheme="minorHAnsi"/>
          <w:color w:val="000000"/>
          <w:lang w:eastAsia="en-GB"/>
        </w:rPr>
        <w:t>vered or included the following:</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A16FA3" w:rsidRPr="009B3747" w:rsidRDefault="00A16FA3" w:rsidP="00A16FA3">
      <w:pPr>
        <w:numPr>
          <w:ilvl w:val="0"/>
          <w:numId w:val="1"/>
        </w:numPr>
        <w:textAlignment w:val="baseline"/>
        <w:rPr>
          <w:rFonts w:eastAsia="Times New Roman" w:cstheme="minorHAnsi"/>
          <w:color w:val="000000"/>
          <w:lang w:eastAsia="en-GB"/>
        </w:rPr>
      </w:pPr>
      <w:r w:rsidRPr="009B3747">
        <w:rPr>
          <w:rFonts w:eastAsia="Times New Roman" w:cstheme="minorHAnsi"/>
          <w:color w:val="000000"/>
          <w:lang w:eastAsia="en-GB"/>
        </w:rPr>
        <w:t>Physical activity sessions</w:t>
      </w:r>
    </w:p>
    <w:p w:rsidR="00A16FA3" w:rsidRPr="009B3747" w:rsidRDefault="00A16FA3" w:rsidP="00A16FA3">
      <w:pPr>
        <w:numPr>
          <w:ilvl w:val="0"/>
          <w:numId w:val="1"/>
        </w:numPr>
        <w:textAlignment w:val="baseline"/>
        <w:rPr>
          <w:rFonts w:eastAsia="Times New Roman" w:cstheme="minorHAnsi"/>
          <w:color w:val="000000"/>
          <w:lang w:eastAsia="en-GB"/>
        </w:rPr>
      </w:pPr>
      <w:r w:rsidRPr="009B3747">
        <w:rPr>
          <w:rFonts w:eastAsia="Times New Roman" w:cstheme="minorHAnsi"/>
          <w:color w:val="000000"/>
          <w:lang w:eastAsia="en-GB"/>
        </w:rPr>
        <w:t>Provision of healthy foods</w:t>
      </w:r>
    </w:p>
    <w:p w:rsidR="00A16FA3" w:rsidRPr="009B3747" w:rsidRDefault="00A16FA3" w:rsidP="00A16FA3">
      <w:pPr>
        <w:numPr>
          <w:ilvl w:val="0"/>
          <w:numId w:val="1"/>
        </w:numPr>
        <w:textAlignment w:val="baseline"/>
        <w:rPr>
          <w:rFonts w:eastAsia="Times New Roman" w:cstheme="minorHAnsi"/>
          <w:color w:val="000000"/>
          <w:lang w:eastAsia="en-GB"/>
        </w:rPr>
      </w:pPr>
      <w:r w:rsidRPr="009B3747">
        <w:rPr>
          <w:rFonts w:eastAsia="Times New Roman" w:cstheme="minorHAnsi"/>
          <w:color w:val="000000"/>
          <w:lang w:eastAsia="en-GB"/>
        </w:rPr>
        <w:lastRenderedPageBreak/>
        <w:t>Changes to the school environment</w:t>
      </w:r>
    </w:p>
    <w:p w:rsidR="00A16FA3" w:rsidRPr="009B3747" w:rsidRDefault="00A16FA3" w:rsidP="00A16FA3">
      <w:pPr>
        <w:numPr>
          <w:ilvl w:val="0"/>
          <w:numId w:val="1"/>
        </w:numPr>
        <w:textAlignment w:val="baseline"/>
        <w:rPr>
          <w:rFonts w:eastAsia="Times New Roman" w:cstheme="minorHAnsi"/>
          <w:color w:val="000000"/>
          <w:lang w:eastAsia="en-GB"/>
        </w:rPr>
      </w:pPr>
      <w:r w:rsidRPr="009B3747">
        <w:rPr>
          <w:rFonts w:eastAsia="Times New Roman" w:cstheme="minorHAnsi"/>
          <w:color w:val="000000"/>
          <w:lang w:eastAsia="en-GB"/>
        </w:rPr>
        <w:t>Distribution of educational materials</w:t>
      </w:r>
    </w:p>
    <w:p w:rsidR="00A16FA3" w:rsidRPr="009B3747" w:rsidRDefault="00A16FA3" w:rsidP="00A16FA3">
      <w:pPr>
        <w:numPr>
          <w:ilvl w:val="0"/>
          <w:numId w:val="1"/>
        </w:numPr>
        <w:textAlignment w:val="baseline"/>
        <w:rPr>
          <w:rFonts w:eastAsia="Times New Roman" w:cstheme="minorHAnsi"/>
          <w:color w:val="000000"/>
          <w:lang w:eastAsia="en-GB"/>
        </w:rPr>
      </w:pPr>
      <w:r w:rsidRPr="009B3747">
        <w:rPr>
          <w:rFonts w:eastAsia="Times New Roman" w:cstheme="minorHAnsi"/>
          <w:color w:val="000000"/>
          <w:lang w:eastAsia="en-GB"/>
        </w:rPr>
        <w:t xml:space="preserve">Formal health education through the curriculum </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A16FA3" w:rsidRPr="009B3747" w:rsidRDefault="00A16FA3" w:rsidP="00A16FA3">
      <w:pPr>
        <w:rPr>
          <w:rFonts w:eastAsia="Times New Roman" w:cstheme="minorHAnsi"/>
          <w:sz w:val="24"/>
          <w:szCs w:val="24"/>
          <w:lang w:eastAsia="en-GB"/>
        </w:rPr>
      </w:pPr>
      <w:r w:rsidRPr="009B3747">
        <w:rPr>
          <w:rFonts w:eastAsia="Times New Roman" w:cstheme="minorHAnsi"/>
          <w:color w:val="000000"/>
          <w:lang w:eastAsia="en-GB"/>
        </w:rPr>
        <w:t>A recent systematic review and meta-analysis</w:t>
      </w:r>
      <w:r w:rsidR="00F227D0" w:rsidRPr="009B3747">
        <w:rPr>
          <w:rFonts w:eastAsia="Times New Roman" w:cstheme="minorHAnsi"/>
          <w:color w:val="000000"/>
          <w:lang w:eastAsia="en-GB"/>
        </w:rPr>
        <w:t xml:space="preserve"> </w:t>
      </w:r>
      <w:r w:rsidR="00F227D0" w:rsidRPr="009B3747">
        <w:rPr>
          <w:rFonts w:eastAsia="Times New Roman" w:cstheme="minorHAnsi"/>
          <w:color w:val="000000"/>
          <w:lang w:eastAsia="en-GB"/>
        </w:rPr>
        <w:fldChar w:fldCharType="begin" w:fldLock="1"/>
      </w:r>
      <w:r w:rsidR="00F227D0" w:rsidRPr="009B3747">
        <w:rPr>
          <w:rFonts w:eastAsia="Times New Roman" w:cstheme="minorHAnsi"/>
          <w:color w:val="000000"/>
          <w:lang w:eastAsia="en-GB"/>
        </w:rPr>
        <w:instrText>ADDIN CSL_CITATION { "citationItems" : [ { "id" : "ITEM-1", "itemData" : { "DOI" : "10.1111/obr.12277", "ISSN" : "14677881", "PMID" : "25893796", "abstract" : "Previous reviews of childhood obesity prevention have focused largely on schools and findings have been inconsistent. Funded by the US Agency for Healthcare Research and Quality (AHRQ) and the National Institutes of Health, we systematically evaluated the effectiveness of childhood obesity prevention programmes conducted in high-income countries and implemented in various settings. We searched MEDLINE\u00ae, Embase, PsycINFO, CINAHL\u00ae, ClinicalTrials.gov and the Cochrane Library from inception through 22 April 2013 for relevant studies, including randomized controlled trials, quasi-experimental studies and natural experiments, targeting diet, physical activity or both, and conducted in children aged 2-18 in high-income countries. Two reviewers independently abstracted the data. The strength of evidence (SOE) supporting interventions was graded for each study setting (e.g. home, school). Meta-analyses were performed on studies judged sufficiently similar and appropriate to pool using random effect models. This paper reported our findings on various adiposity-related outcomes. We identified 147 articles (139 intervention studies) of which 115 studies were primarily school based, although\u2009other settings could have been involved. Most were conducted in the United States and within the past decade. SOE was high for physical activity-only interventions delivered in schools with home involvement or combined diet-physical activity interventions delivered in schools with both home and community components. SOE was moderate for school-based interventions targeting either diet or physical activity, combined interventions delivered in schools with home or community components or combined interventions delivered in the community with a school component. SOE was low for combined interventions in childcare or home settings. Evidence was insufficient for other interventions. In conclusion, at least moderately strong evidence supports the effectiveness of school-based interventions for preventing childhood obesity. More research is needed to evaluate programmes in other settings or of other design types, especially environmental, policy and consumer health informatics-oriented interventions.", "author" : [ { "dropping-particle" : "", "family" : "Wang", "given" : "Y.", "non-dropping-particle" : "", "parse-names" : false, "suffix" : "" }, { "dropping-particle" : "", "family" : "Cai", "given" : "L.", "non-dropping-particle" : "", "parse-names" : false, "suffix" : "" }, { "dropping-particle" : "", "family" : "Wu", "given" : "Y.", "non-dropping-particle" : "", "parse-names" : false, "suffix" : "" }, { "dropping-particle" : "", "family" : "Wilson", "given" : "R. F.", "non-dropping-particle" : "", "parse-names" : false, "suffix" : "" }, { "dropping-particle" : "", "family" : "Weston", "given" : "C.", "non-dropping-particle" : "", "parse-names" : false, "suffix" : "" }, { "dropping-particle" : "", "family" : "Fawole", "given" : "O.", "non-dropping-particle" : "", "parse-names" : false, "suffix" : "" }, { "dropping-particle" : "", "family" : "Bleich", "given" : "S. N.", "non-dropping-particle" : "", "parse-names" : false, "suffix" : "" }, { "dropping-particle" : "", "family" : "Cheskin", "given" : "L. J.", "non-dropping-particle" : "", "parse-names" : false, "suffix" : "" }, { "dropping-particle" : "", "family" : "Showell", "given" : "N. N.", "non-dropping-particle" : "", "parse-names" : false, "suffix" : "" }, { "dropping-particle" : "", "family" : "Lau", "given" : "B. D.", "non-dropping-particle" : "", "parse-names" : false, "suffix" : "" }, { "dropping-particle" : "", "family" : "Chiu", "given" : "D. T.", "non-dropping-particle" : "", "parse-names" : false, "suffix" : "" }, { "dropping-particle" : "", "family" : "Zhang", "given" : "A.", "non-dropping-particle" : "", "parse-names" : false, "suffix" : "" }, { "dropping-particle" : "", "family" : "Segal", "given" : "J.", "non-dropping-particle" : "", "parse-names" : false, "suffix" : "" } ], "container-title" : "Obesity Reviews", "id" : "ITEM-1", "issue" : "7", "issued" : { "date-parts" : [ [ "2015", "7", "20" ] ] }, "page" : "547-565", "title" : "What childhood obesity prevention programmes work? A systematic review and meta-analysis", "type" : "article-journal", "volume" : "16" }, "uris" : [ "http://www.mendeley.com/documents/?uuid=6062d135-073b-40bc-a5de-04435d42cd04" ] } ], "mendeley" : { "formattedCitation" : "(Wang et al., 2015)", "plainTextFormattedCitation" : "(Wang et al., 2015)", "previouslyFormattedCitation" : "(Wang et al., 2015)" }, "properties" : { "noteIndex" : 0 }, "schema" : "https://github.com/citation-style-language/schema/raw/master/csl-citation.json" }</w:instrText>
      </w:r>
      <w:r w:rsidR="00F227D0" w:rsidRPr="009B3747">
        <w:rPr>
          <w:rFonts w:eastAsia="Times New Roman" w:cstheme="minorHAnsi"/>
          <w:color w:val="000000"/>
          <w:lang w:eastAsia="en-GB"/>
        </w:rPr>
        <w:fldChar w:fldCharType="separate"/>
      </w:r>
      <w:r w:rsidR="00F227D0" w:rsidRPr="009B3747">
        <w:rPr>
          <w:rFonts w:eastAsia="Times New Roman" w:cstheme="minorHAnsi"/>
          <w:noProof/>
          <w:color w:val="000000"/>
          <w:lang w:eastAsia="en-GB"/>
        </w:rPr>
        <w:t>(Wang et al., 2015)</w:t>
      </w:r>
      <w:r w:rsidR="00F227D0" w:rsidRPr="009B3747">
        <w:rPr>
          <w:rFonts w:eastAsia="Times New Roman" w:cstheme="minorHAnsi"/>
          <w:color w:val="000000"/>
          <w:lang w:eastAsia="en-GB"/>
        </w:rPr>
        <w:fldChar w:fldCharType="end"/>
      </w:r>
      <w:r w:rsidRPr="009B3747">
        <w:rPr>
          <w:rFonts w:eastAsia="Times New Roman" w:cstheme="minorHAnsi"/>
          <w:color w:val="000000"/>
          <w:lang w:eastAsia="en-GB"/>
        </w:rPr>
        <w:t>, investigating what childhood obesity prevention programmes work, highlighted the plethora of research in this field and the focus on school settings.  The authors identified 139 intervention studies from high-incom</w:t>
      </w:r>
      <w:r w:rsidR="00FA6BC1" w:rsidRPr="009B3747">
        <w:rPr>
          <w:rFonts w:eastAsia="Times New Roman" w:cstheme="minorHAnsi"/>
          <w:color w:val="000000"/>
          <w:lang w:eastAsia="en-GB"/>
        </w:rPr>
        <w:t>e countries, comprising randomis</w:t>
      </w:r>
      <w:r w:rsidRPr="009B3747">
        <w:rPr>
          <w:rFonts w:eastAsia="Times New Roman" w:cstheme="minorHAnsi"/>
          <w:color w:val="000000"/>
          <w:lang w:eastAsia="en-GB"/>
        </w:rPr>
        <w:t>ed controlled trials, quasi-experimental studies and natural experiments, examining dietary, physical activity behaviours or both, in childr</w:t>
      </w:r>
      <w:r w:rsidR="00FA6BC1" w:rsidRPr="009B3747">
        <w:rPr>
          <w:rFonts w:eastAsia="Times New Roman" w:cstheme="minorHAnsi"/>
          <w:color w:val="000000"/>
          <w:lang w:eastAsia="en-GB"/>
        </w:rPr>
        <w:t xml:space="preserve">en aged 2 to </w:t>
      </w:r>
      <w:r w:rsidRPr="009B3747">
        <w:rPr>
          <w:rFonts w:eastAsia="Times New Roman" w:cstheme="minorHAnsi"/>
          <w:color w:val="000000"/>
          <w:lang w:eastAsia="en-GB"/>
        </w:rPr>
        <w:t xml:space="preserve">18 years.  A total of 115 out of 139 interventions were primarily school based with 66% demonstrating favourable intervention effects </w:t>
      </w:r>
      <w:r w:rsidR="00AF46FD">
        <w:rPr>
          <w:rFonts w:eastAsia="Times New Roman" w:cstheme="minorHAnsi"/>
          <w:color w:val="000000"/>
          <w:lang w:eastAsia="en-GB"/>
        </w:rPr>
        <w:t>on adiposity-related outcomes (o</w:t>
      </w:r>
      <w:r w:rsidRPr="009B3747">
        <w:rPr>
          <w:rFonts w:eastAsia="Times New Roman" w:cstheme="minorHAnsi"/>
          <w:color w:val="000000"/>
          <w:lang w:eastAsia="en-GB"/>
        </w:rPr>
        <w:t>f which 36% were statistically significant</w:t>
      </w:r>
      <w:r w:rsidR="00AF46FD">
        <w:rPr>
          <w:rFonts w:eastAsia="Times New Roman" w:cstheme="minorHAnsi"/>
          <w:color w:val="000000"/>
          <w:lang w:eastAsia="en-GB"/>
        </w:rPr>
        <w:t>).</w:t>
      </w:r>
      <w:r w:rsidR="00CD7979" w:rsidRPr="009B3747">
        <w:rPr>
          <w:rFonts w:eastAsia="Times New Roman" w:cstheme="minorHAnsi"/>
          <w:color w:val="000000"/>
          <w:lang w:eastAsia="en-GB"/>
        </w:rPr>
        <w:t xml:space="preserve">  Overall, the review claimed </w:t>
      </w:r>
      <w:r w:rsidR="00CD7979" w:rsidRPr="009B3747">
        <w:rPr>
          <w:rFonts w:eastAsia="Times New Roman" w:cstheme="minorHAnsi"/>
          <w:i/>
          <w:color w:val="000000"/>
          <w:lang w:eastAsia="en-GB"/>
        </w:rPr>
        <w:t>“</w:t>
      </w:r>
      <w:r w:rsidRPr="009B3747">
        <w:rPr>
          <w:rFonts w:eastAsia="Times New Roman" w:cstheme="minorHAnsi"/>
          <w:i/>
          <w:iCs/>
          <w:color w:val="000000"/>
          <w:lang w:eastAsia="en-GB"/>
        </w:rPr>
        <w:t>at least moderate strength of evidence to support the effectivenes</w:t>
      </w:r>
      <w:r w:rsidR="00CD7979" w:rsidRPr="009B3747">
        <w:rPr>
          <w:rFonts w:eastAsia="Times New Roman" w:cstheme="minorHAnsi"/>
          <w:i/>
          <w:iCs/>
          <w:color w:val="000000"/>
          <w:lang w:eastAsia="en-GB"/>
        </w:rPr>
        <w:t>s of school-based interventions”</w:t>
      </w:r>
      <w:r w:rsidRPr="009B3747">
        <w:rPr>
          <w:rFonts w:eastAsia="Times New Roman" w:cstheme="minorHAnsi"/>
          <w:color w:val="000000"/>
          <w:lang w:eastAsia="en-GB"/>
        </w:rPr>
        <w:t xml:space="preserve"> </w:t>
      </w:r>
      <w:r w:rsidR="00F227D0" w:rsidRPr="009B3747">
        <w:rPr>
          <w:rFonts w:eastAsia="Times New Roman" w:cstheme="minorHAnsi"/>
          <w:color w:val="000000"/>
          <w:lang w:eastAsia="en-GB"/>
        </w:rPr>
        <w:fldChar w:fldCharType="begin" w:fldLock="1"/>
      </w:r>
      <w:r w:rsidR="00224C9C" w:rsidRPr="009B3747">
        <w:rPr>
          <w:rFonts w:eastAsia="Times New Roman" w:cstheme="minorHAnsi"/>
          <w:color w:val="000000"/>
          <w:lang w:eastAsia="en-GB"/>
        </w:rPr>
        <w:instrText>ADDIN CSL_CITATION { "citationItems" : [ { "id" : "ITEM-1", "itemData" : { "DOI" : "10.1111/obr.12277", "ISSN" : "14677881", "PMID" : "25893796", "abstract" : "Previous reviews of childhood obesity prevention have focused largely on schools and findings have been inconsistent. Funded by the US Agency for Healthcare Research and Quality (AHRQ) and the National Institutes of Health, we systematically evaluated the effectiveness of childhood obesity prevention programmes conducted in high-income countries and implemented in various settings. We searched MEDLINE\u00ae, Embase, PsycINFO, CINAHL\u00ae, ClinicalTrials.gov and the Cochrane Library from inception through 22 April 2013 for relevant studies, including randomized controlled trials, quasi-experimental studies and natural experiments, targeting diet, physical activity or both, and conducted in children aged 2-18 in high-income countries. Two reviewers independently abstracted the data. The strength of evidence (SOE) supporting interventions was graded for each study setting (e.g. home, school). Meta-analyses were performed on studies judged sufficiently similar and appropriate to pool using random effect models. This paper reported our findings on various adiposity-related outcomes. We identified 147 articles (139 intervention studies) of which 115 studies were primarily school based, although\u2009other settings could have been involved. Most were conducted in the United States and within the past decade. SOE was high for physical activity-only interventions delivered in schools with home involvement or combined diet-physical activity interventions delivered in schools with both home and community components. SOE was moderate for school-based interventions targeting either diet or physical activity, combined interventions delivered in schools with home or community components or combined interventions delivered in the community with a school component. SOE was low for combined interventions in childcare or home settings. Evidence was insufficient for other interventions. In conclusion, at least moderately strong evidence supports the effectiveness of school-based interventions for preventing childhood obesity. More research is needed to evaluate programmes in other settings or of other design types, especially environmental, policy and consumer health informatics-oriented interventions.", "author" : [ { "dropping-particle" : "", "family" : "Wang", "given" : "Y.", "non-dropping-particle" : "", "parse-names" : false, "suffix" : "" }, { "dropping-particle" : "", "family" : "Cai", "given" : "L.", "non-dropping-particle" : "", "parse-names" : false, "suffix" : "" }, { "dropping-particle" : "", "family" : "Wu", "given" : "Y.", "non-dropping-particle" : "", "parse-names" : false, "suffix" : "" }, { "dropping-particle" : "", "family" : "Wilson", "given" : "R. F.", "non-dropping-particle" : "", "parse-names" : false, "suffix" : "" }, { "dropping-particle" : "", "family" : "Weston", "given" : "C.", "non-dropping-particle" : "", "parse-names" : false, "suffix" : "" }, { "dropping-particle" : "", "family" : "Fawole", "given" : "O.", "non-dropping-particle" : "", "parse-names" : false, "suffix" : "" }, { "dropping-particle" : "", "family" : "Bleich", "given" : "S. N.", "non-dropping-particle" : "", "parse-names" : false, "suffix" : "" }, { "dropping-particle" : "", "family" : "Cheskin", "given" : "L. J.", "non-dropping-particle" : "", "parse-names" : false, "suffix" : "" }, { "dropping-particle" : "", "family" : "Showell", "given" : "N. N.", "non-dropping-particle" : "", "parse-names" : false, "suffix" : "" }, { "dropping-particle" : "", "family" : "Lau", "given" : "B. D.", "non-dropping-particle" : "", "parse-names" : false, "suffix" : "" }, { "dropping-particle" : "", "family" : "Chiu", "given" : "D. T.", "non-dropping-particle" : "", "parse-names" : false, "suffix" : "" }, { "dropping-particle" : "", "family" : "Zhang", "given" : "A.", "non-dropping-particle" : "", "parse-names" : false, "suffix" : "" }, { "dropping-particle" : "", "family" : "Segal", "given" : "J.", "non-dropping-particle" : "", "parse-names" : false, "suffix" : "" } ], "container-title" : "Obesity Reviews", "id" : "ITEM-1", "issue" : "7", "issued" : { "date-parts" : [ [ "2015", "7", "20" ] ] }, "page" : "547-565", "title" : "What childhood obesity prevention programmes work? A systematic review and meta-analysis", "type" : "article-journal", "volume" : "16" }, "uris" : [ "http://www.mendeley.com/documents/?uuid=6062d135-073b-40bc-a5de-04435d42cd04" ] } ], "mendeley" : { "formattedCitation" : "(Wang et al., 2015)", "manualFormatting" : "(Wang et al., 2015, p.556)", "plainTextFormattedCitation" : "(Wang et al., 2015)", "previouslyFormattedCitation" : "(Wang et al., 2015)" }, "properties" : { "noteIndex" : 0 }, "schema" : "https://github.com/citation-style-language/schema/raw/master/csl-citation.json" }</w:instrText>
      </w:r>
      <w:r w:rsidR="00F227D0" w:rsidRPr="009B3747">
        <w:rPr>
          <w:rFonts w:eastAsia="Times New Roman" w:cstheme="minorHAnsi"/>
          <w:color w:val="000000"/>
          <w:lang w:eastAsia="en-GB"/>
        </w:rPr>
        <w:fldChar w:fldCharType="separate"/>
      </w:r>
      <w:r w:rsidR="00F227D0" w:rsidRPr="009B3747">
        <w:rPr>
          <w:rFonts w:eastAsia="Times New Roman" w:cstheme="minorHAnsi"/>
          <w:noProof/>
          <w:color w:val="000000"/>
          <w:lang w:eastAsia="en-GB"/>
        </w:rPr>
        <w:t>(Wang e</w:t>
      </w:r>
      <w:r w:rsidR="00FB5B00" w:rsidRPr="009B3747">
        <w:rPr>
          <w:rFonts w:eastAsia="Times New Roman" w:cstheme="minorHAnsi"/>
          <w:noProof/>
          <w:color w:val="000000"/>
          <w:lang w:eastAsia="en-GB"/>
        </w:rPr>
        <w:t>t al., 2015, p.5</w:t>
      </w:r>
      <w:r w:rsidR="00F227D0" w:rsidRPr="009B3747">
        <w:rPr>
          <w:rFonts w:eastAsia="Times New Roman" w:cstheme="minorHAnsi"/>
          <w:noProof/>
          <w:color w:val="000000"/>
          <w:lang w:eastAsia="en-GB"/>
        </w:rPr>
        <w:t>56)</w:t>
      </w:r>
      <w:r w:rsidR="00F227D0" w:rsidRPr="009B3747">
        <w:rPr>
          <w:rFonts w:eastAsia="Times New Roman" w:cstheme="minorHAnsi"/>
          <w:color w:val="000000"/>
          <w:lang w:eastAsia="en-GB"/>
        </w:rPr>
        <w:fldChar w:fldCharType="end"/>
      </w:r>
      <w:r w:rsidR="00AF46FD">
        <w:rPr>
          <w:rFonts w:eastAsia="Times New Roman" w:cstheme="minorHAnsi"/>
          <w:color w:val="000000"/>
          <w:lang w:eastAsia="en-GB"/>
        </w:rPr>
        <w:t xml:space="preserve">, </w:t>
      </w:r>
      <w:r w:rsidRPr="009B3747">
        <w:rPr>
          <w:rFonts w:eastAsia="Times New Roman" w:cstheme="minorHAnsi"/>
          <w:color w:val="000000"/>
          <w:lang w:eastAsia="en-GB"/>
        </w:rPr>
        <w:t>which in the main supported previous findings from a Cochrane review</w:t>
      </w:r>
      <w:r w:rsidR="00F227D0" w:rsidRPr="009B3747">
        <w:rPr>
          <w:rFonts w:eastAsia="Times New Roman" w:cstheme="minorHAnsi"/>
          <w:color w:val="000000"/>
          <w:lang w:eastAsia="en-GB"/>
        </w:rPr>
        <w:t xml:space="preserve"> </w:t>
      </w:r>
      <w:r w:rsidR="00F227D0"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"Waters", "given" : "E", "non-dropping-particle" : "", "parse-names" : false, "suffix" : "" }, { "dropping-particle" : "de", "family" : "Silva-Sanigorski", "given" : "A", "non-dropping-particle" : "", "parse-names" : false, "suffix" : "" } ], "container-title" : "Cochrane Database of Systematic Reviews", "id" : "ITEM-1", "issue" : "12", "issued" : { "date-parts" : [ [ "2011" ] ] }, "title" : "Interventions for preventing obesity in children", "type" : "article-journal" }, "uris" : [ "http://www.mendeley.com/documents/?uuid=edceb688-e3c5-459d-b1d2-e8f0aa963cd2" ] } ], "mendeley" : { "formattedCitation" : "(Waters and Silva-Sanigorski, 2011)", "plainTextFormattedCitation" : "(Waters and Silva-Sanigorski, 2011)", "previouslyFormattedCitation" : "(Waters and Silva-Sanigorski, 2011)" }, "properties" : { "noteIndex" : 0 }, "schema" : "https://github.com/citation-style-language/schema/raw/master/csl-citation.json" }</w:instrText>
      </w:r>
      <w:r w:rsidR="00F227D0" w:rsidRPr="009B3747">
        <w:rPr>
          <w:rFonts w:eastAsia="Times New Roman" w:cstheme="minorHAnsi"/>
          <w:color w:val="000000"/>
          <w:lang w:eastAsia="en-GB"/>
        </w:rPr>
        <w:fldChar w:fldCharType="separate"/>
      </w:r>
      <w:r w:rsidR="00F227D0" w:rsidRPr="009B3747">
        <w:rPr>
          <w:rFonts w:eastAsia="Times New Roman" w:cstheme="minorHAnsi"/>
          <w:noProof/>
          <w:color w:val="000000"/>
          <w:lang w:eastAsia="en-GB"/>
        </w:rPr>
        <w:t>(Waters and Silva-Sanigorski, 2011)</w:t>
      </w:r>
      <w:r w:rsidR="00F227D0" w:rsidRPr="009B3747">
        <w:rPr>
          <w:rFonts w:eastAsia="Times New Roman" w:cstheme="minorHAnsi"/>
          <w:color w:val="000000"/>
          <w:lang w:eastAsia="en-GB"/>
        </w:rPr>
        <w:fldChar w:fldCharType="end"/>
      </w:r>
      <w:r w:rsidR="00F227D0" w:rsidRPr="009B3747">
        <w:rPr>
          <w:rFonts w:eastAsia="Times New Roman" w:cstheme="minorHAnsi"/>
          <w:color w:val="000000"/>
          <w:lang w:eastAsia="en-GB"/>
        </w:rPr>
        <w:t>.</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A16FA3" w:rsidRPr="009B3747" w:rsidRDefault="00A16FA3" w:rsidP="00A16FA3">
      <w:pPr>
        <w:rPr>
          <w:rFonts w:eastAsia="Times New Roman" w:cstheme="minorHAnsi"/>
          <w:sz w:val="24"/>
          <w:szCs w:val="24"/>
          <w:lang w:eastAsia="en-GB"/>
        </w:rPr>
      </w:pPr>
      <w:r w:rsidRPr="009B3747">
        <w:rPr>
          <w:rFonts w:eastAsia="Times New Roman" w:cstheme="minorHAnsi"/>
          <w:color w:val="000000"/>
          <w:lang w:eastAsia="en-GB"/>
        </w:rPr>
        <w:t>Of relevance to this study is the fact that findings were predomina</w:t>
      </w:r>
      <w:r w:rsidR="00FA6BC1" w:rsidRPr="009B3747">
        <w:rPr>
          <w:rFonts w:eastAsia="Times New Roman" w:cstheme="minorHAnsi"/>
          <w:color w:val="000000"/>
          <w:lang w:eastAsia="en-GB"/>
        </w:rPr>
        <w:t xml:space="preserve">ntly related to children aged 6 to </w:t>
      </w:r>
      <w:r w:rsidRPr="009B3747">
        <w:rPr>
          <w:rFonts w:eastAsia="Times New Roman" w:cstheme="minorHAnsi"/>
          <w:color w:val="000000"/>
          <w:lang w:eastAsia="en-GB"/>
        </w:rPr>
        <w:t>12 years and a lack of interventions in adolescence</w:t>
      </w:r>
      <w:r w:rsidR="00CD7979" w:rsidRPr="009B3747">
        <w:rPr>
          <w:rFonts w:eastAsia="Times New Roman" w:cstheme="minorHAnsi"/>
          <w:color w:val="000000"/>
          <w:lang w:eastAsia="en-GB"/>
        </w:rPr>
        <w:t xml:space="preserve"> was evident.  This pattern of age bias</w:t>
      </w:r>
      <w:r w:rsidRPr="009B3747">
        <w:rPr>
          <w:rFonts w:eastAsia="Times New Roman" w:cstheme="minorHAnsi"/>
          <w:color w:val="000000"/>
          <w:lang w:eastAsia="en-GB"/>
        </w:rPr>
        <w:t xml:space="preserve"> in school based interventions was similarly identified in other reviews</w:t>
      </w:r>
      <w:r w:rsidR="00F227D0" w:rsidRPr="009B3747">
        <w:rPr>
          <w:rFonts w:eastAsia="Times New Roman" w:cstheme="minorHAnsi"/>
          <w:color w:val="000000"/>
          <w:lang w:eastAsia="en-GB"/>
        </w:rPr>
        <w:t xml:space="preserve"> </w:t>
      </w:r>
      <w:r w:rsidR="00F227D0"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"Sharma", "given" : "M", "non-dropping-particle" : "", "parse-names" : false, "suffix" : "" } ], "container-title" : "Obesity reviews", "id" : "ITEM-1", "issue" : "3", "issued" : { "date-parts" : [ [ "2006" ] ] }, "page" : "261-269", "title" : "School\u2010based interventions for childhood and adolescent obesity", "type" : "article-journal", "volume" : "7" }, "uris" : [ "http://www.mendeley.com/documents/?uuid=30e32a16-84fc-47e7-95a8-82bba79fc120" ] }, { "id" : "ITEM-2", "itemData" : { "author" : [ { "dropping-particle" : "", "family" : "Waters", "given" : "E", "non-dropping-particle" : "", "parse-names" : false, "suffix" : "" }, { "dropping-particle" : "de", "family" : "Silva-Sanigorski", "given" : "A", "non-dropping-particle" : "", "parse-names" : false, "suffix" : "" } ], "container-title" : "Cochrane Database of Systematic Reviews", "id" : "ITEM-2", "issue" : "12", "issued" : { "date-parts" : [ [ "2011" ] ] }, "title" : "Interventions for preventing obesity in children", "type" : "article-journal" }, "uris" : [ "http://www.mendeley.com/documents/?uuid=edceb688-e3c5-459d-b1d2-e8f0aa963cd2" ] }, { "id" : "ITEM-3", "itemData" : { "DOI" : "10.1177/1090198116673800", "ISSN" : "1090-1981", "abstract" : "The World Health Organization\u2019s Health Promoting Schools (HPS) framework is a whole-school approach to promoting health that recognizes the intrinsic relationship between health and education. Our recent Cochrane systematic review found HPS interventions produced improvements in a number of student health outcomes. Here we reflect on what this review was not able to tell us: in other words, what evidence is missing with regard to the HPS approach. Few HPS interventions engage with schools\u2019 \u201ccore business\u201d by examining impacts on educational outcomes. Current evidence is dominated by obesity interventions, with most studies conducted with children rather than adolescents. Evidence is lacking for outcomes such as mental or sexual health, substance use, and violence. Activities to engage families and communities are currently weak and unlikely to prompt behavioral change. The HPS approach is largely absent in low-income settings, despite its potential in meeting children\u2019s basic health needs. Intervention th...", "author" : [ { "dropping-particle" : "", "family" : "Langford", "given" : "Rebecca", "non-dropping-particle" : "", "parse-names" : false, "suffix" : "" }, { "dropping-particle" : "", "family" : "Bonell", "given" : "Christopher", "non-dropping-particle" : "", "parse-names" : false, "suffix" : "" }, { "dropping-particle" : "", "family" : "Komro", "given" : "Kelli", "non-dropping-particle" : "", "parse-names" : false, "suffix" : "" }, { "dropping-particle" : "", "family" : "Murphy", "given" : "Simon", "non-dropping-particle" : "", "parse-names" : false, "suffix" : "" }, { "dropping-particle" : "", "family" : "Magnus", "given" : "Daniel", "non-dropping-particle" : "", "parse-names" : false, "suffix" : "" }, { "dropping-particle" : "", "family" : "Waters", "given" : "Elizabeth", "non-dropping-particle" : "", "parse-names" : false, "suffix" : "" }, { "dropping-particle" : "", "family" : "Gibbs", "given" : "Lisa", "non-dropping-particle" : "", "parse-names" : false, "suffix" : "" }, { "dropping-particle" : "", "family" : "Campbell", "given" : "Rona", "non-dropping-particle" : "", "parse-names" : false, "suffix" : "" } ], "container-title" : "Health Education &amp; Behavior", "id" : "ITEM-3", "issue" : "3", "issued" : { "date-parts" : [ [ "2017", "6", "14" ] ] }, "page" : "463-475", "publisher" : "SAGE PublicationsSage CA: Los Angeles, CA", "title" : "The Health Promoting Schools Framework: Known Unknowns and an Agenda for Future Research", "type" : "article-journal", "volume" : "44" }, "uris" : [ "http://www.mendeley.com/documents/?uuid=de774f89-a5aa-30ec-92b3-bfccef33e128" ] } ], "mendeley" : { "formattedCitation" : "(Sharma, 2006; Waters and Silva-Sanigorski, 2011; Langford et al., 2017)", "plainTextFormattedCitation" : "(Sharma, 2006; Waters and Silva-Sanigorski, 2011; Langford et al., 2017)", "previouslyFormattedCitation" : "(Sharma, 2006; Waters and Silva-Sanigorski, 2011; Langford et al., 2017)" }, "properties" : { "noteIndex" : 0 }, "schema" : "https://github.com/citation-style-language/schema/raw/master/csl-citation.json" }</w:instrText>
      </w:r>
      <w:r w:rsidR="00F227D0" w:rsidRPr="009B3747">
        <w:rPr>
          <w:rFonts w:eastAsia="Times New Roman" w:cstheme="minorHAnsi"/>
          <w:color w:val="000000"/>
          <w:lang w:eastAsia="en-GB"/>
        </w:rPr>
        <w:fldChar w:fldCharType="separate"/>
      </w:r>
      <w:r w:rsidR="00F227D0" w:rsidRPr="009B3747">
        <w:rPr>
          <w:rFonts w:eastAsia="Times New Roman" w:cstheme="minorHAnsi"/>
          <w:noProof/>
          <w:color w:val="000000"/>
          <w:lang w:eastAsia="en-GB"/>
        </w:rPr>
        <w:t>(Sharma, 2006; Waters and Silva-Sanigorski, 2011; Langford et al., 2017)</w:t>
      </w:r>
      <w:r w:rsidR="00F227D0" w:rsidRPr="009B3747">
        <w:rPr>
          <w:rFonts w:eastAsia="Times New Roman" w:cstheme="minorHAnsi"/>
          <w:color w:val="000000"/>
          <w:lang w:eastAsia="en-GB"/>
        </w:rPr>
        <w:fldChar w:fldCharType="end"/>
      </w:r>
      <w:r w:rsidRPr="009B3747">
        <w:rPr>
          <w:rFonts w:eastAsia="Times New Roman" w:cstheme="minorHAnsi"/>
          <w:color w:val="000000"/>
          <w:lang w:eastAsia="en-GB"/>
        </w:rPr>
        <w:t>.  Of the 55 studies included in the most recent Cochrane review on childhood obesity prevention</w:t>
      </w:r>
      <w:r w:rsidR="00565789" w:rsidRPr="009B3747">
        <w:rPr>
          <w:rFonts w:eastAsia="Times New Roman" w:cstheme="minorHAnsi"/>
          <w:color w:val="000000"/>
          <w:lang w:eastAsia="en-GB"/>
        </w:rPr>
        <w:t xml:space="preserve"> </w:t>
      </w:r>
      <w:r w:rsidR="00565789"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"Waters", "given" : "E", "non-dropping-particle" : "", "parse-names" : false, "suffix" : "" }, { "dropping-particle" : "de", "family" : "Silva-Sanigorski", "given" : "A", "non-dropping-particle" : "", "parse-names" : false, "suffix" : "" } ], "container-title" : "Cochrane Database of Systematic Reviews", "id" : "ITEM-1", "issue" : "12", "issued" : { "date-parts" : [ [ "2011" ] ] }, "title" : "Interventions for preventing obesity in children", "type" : "article-journal" }, "uris" : [ "http://www.mendeley.com/documents/?uuid=edceb688-e3c5-459d-b1d2-e8f0aa963cd2" ] } ], "mendeley" : { "formattedCitation" : "(Waters and Silva-Sanigorski, 2011)", "plainTextFormattedCitation" : "(Waters and Silva-Sanigorski, 2011)", "previouslyFormattedCitation" : "(Waters and Silva-Sanigorski, 2011)" }, "properties" : { "noteIndex" : 0 }, "schema" : "https://github.com/citation-style-language/schema/raw/master/csl-citation.json" }</w:instrText>
      </w:r>
      <w:r w:rsidR="00565789" w:rsidRPr="009B3747">
        <w:rPr>
          <w:rFonts w:eastAsia="Times New Roman" w:cstheme="minorHAnsi"/>
          <w:color w:val="000000"/>
          <w:lang w:eastAsia="en-GB"/>
        </w:rPr>
        <w:fldChar w:fldCharType="separate"/>
      </w:r>
      <w:r w:rsidR="00565789" w:rsidRPr="009B3747">
        <w:rPr>
          <w:rFonts w:eastAsia="Times New Roman" w:cstheme="minorHAnsi"/>
          <w:noProof/>
          <w:color w:val="000000"/>
          <w:lang w:eastAsia="en-GB"/>
        </w:rPr>
        <w:t>(Waters and Silva-Sanigorski, 2011)</w:t>
      </w:r>
      <w:r w:rsidR="00565789" w:rsidRPr="009B3747">
        <w:rPr>
          <w:rFonts w:eastAsia="Times New Roman" w:cstheme="minorHAnsi"/>
          <w:color w:val="000000"/>
          <w:lang w:eastAsia="en-GB"/>
        </w:rPr>
        <w:fldChar w:fldCharType="end"/>
      </w:r>
      <w:r w:rsidR="00565789"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only </w:t>
      </w:r>
      <w:r w:rsidR="00FA6BC1" w:rsidRPr="009B3747">
        <w:rPr>
          <w:rFonts w:eastAsia="Times New Roman" w:cstheme="minorHAnsi"/>
          <w:color w:val="000000"/>
          <w:lang w:eastAsia="en-GB"/>
        </w:rPr>
        <w:t xml:space="preserve">eight targeted children aged 13 to </w:t>
      </w:r>
      <w:r w:rsidRPr="009B3747">
        <w:rPr>
          <w:rFonts w:eastAsia="Times New Roman" w:cstheme="minorHAnsi"/>
          <w:color w:val="000000"/>
          <w:lang w:eastAsia="en-GB"/>
        </w:rPr>
        <w:t>18 years.  A paucity of original research either including or exclusively concentrating on prevention in secondary school aged children has led to an inability to draw decisive conclusions about what works and why during adolescence</w:t>
      </w:r>
      <w:r w:rsidR="00565789" w:rsidRPr="009B3747">
        <w:rPr>
          <w:rFonts w:eastAsia="Times New Roman" w:cstheme="minorHAnsi"/>
          <w:color w:val="000000"/>
          <w:lang w:eastAsia="en-GB"/>
        </w:rPr>
        <w:t xml:space="preserve"> </w:t>
      </w:r>
      <w:r w:rsidR="00565789"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"Sharma", "given" : "M", "non-dropping-particle" : "", "parse-names" : false, "suffix" : "" } ], "container-title" : "Obesity reviews", "id" : "ITEM-1", "issue" : "3", "issued" : { "date-parts" : [ [ "2006" ] ] }, "page" : "261-269", "title" : "School\u2010based interventions for childhood and adolescent obesity", "type" : "article-journal", "volume" : "7" }, "uris" : [ "http://www.mendeley.com/documents/?uuid=30e32a16-84fc-47e7-95a8-82bba79fc120" ] }, { "id" : "ITEM-2", "itemData" : { "author" : [ { "dropping-particle" : "", "family" : "Sharma", "given" : "M", "non-dropping-particle" : "", "parse-names" : false, "suffix" : "" } ], "container-title" : "Obesity Reviews", "id" : "ITEM-2", "issue" : "2", "issued" : { "date-parts" : [ [ "2007" ] ] }, "page" : "155-67", "title" : "International school\u2010based interventions for preventing obesity in children", "type" : "article-journal", "volume" : "8" }, "uris" : [ "http://www.mendeley.com/documents/?uuid=3248a1c5-0e10-42b5-86a1-7215e61f4fc8" ] }, { "id" : "ITEM-3", "itemData" : { "author" : [ { "dropping-particle" : "", "family" : "Brown", "given" : "T", "non-dropping-particle" : "", "parse-names" : false, "suffix" : "" }, { "dropping-particle" : "", "family" : "Summerbell", "given" : "C", "non-dropping-particle" : "", "parse-names" : false, "suffix" : "" } ], "container-title" : "Obesity reviews", "id" : "ITEM-3", "issue" : "1", "issued" : { "date-parts" : [ [ "2009" ] ] }, "page" : "110-41", "title" : "Systematic review of school\u2010based interventions that focus on changing dietary intake and physical activity levels to prevent childhood obesity: an update to the obesity guidance produced by the National Institute of Health and Clinical Excellence", "type" : "article-journal", "volume" : "10" }, "uris" : [ "http://www.mendeley.com/documents/?uuid=e811e3c6-9e70-4796-ab4e-3b5e1e0de388" ] }, { "id" : "ITEM-4", "itemData" : { "author" : [ { "dropping-particle" : "", "family" : "Waters", "given" : "E", "non-dropping-particle" : "", "parse-names" : false, "suffix" : "" }, { "dropping-particle" : "de", "family" : "Silva-Sanigorski", "given" : "A", "non-dropping-particle" : "", "parse-names" : false, "suffix" : "" } ], "container-title" : "Cochrane Database of Systematic Reviews", "id" : "ITEM-4", "issue" : "12", "issued" : { "date-parts" : [ [ "2011" ] ] }, "title" : "Interventions for preventing obesity in children", "type" : "article-journal" }, "uris" : [ "http://www.mendeley.com/documents/?uuid=edceb688-e3c5-459d-b1d2-e8f0aa963cd2" ] }, { "id" : "ITEM-5", "itemData" : { "author" : [ { "dropping-particle" : "", "family" : "Langford", "given" : "R", "non-dropping-particle" : "", "parse-names" : false, "suffix" : "" }, { "dropping-particle" : "", "family" : "Bonell", "given" : "C", "non-dropping-particle" : "", "parse-names" : false, "suffix" : "" } ], "container-title" : "International Journal of Behavioral Nutrition and Physical Activity", "id" : "ITEM-5", "issue" : "15", "issued" : { "date-parts" : [ [ "2015" ] ] }, "title" : "Obesity prevention and the Health promoting Schools framework: essential components and barriers to success", "type" : "article-journal", "volume" : "12" }, "uris" : [ "http://www.mendeley.com/documents/?uuid=33a18f66-3855-47de-96c1-ab2efb0e4b0c" ] } ], "mendeley" : { "formattedCitation" : "(Sharma, 2006, 2007; Brown and Summerbell, 2009; Waters and Silva-Sanigorski, 2011; Langford and Bonell, 2015)", "plainTextFormattedCitation" : "(Sharma, 2006, 2007; Brown and Summerbell, 2009; Waters and Silva-Sanigorski, 2011; Langford and Bonell, 2015)", "previouslyFormattedCitation" : "(Sharma, 2006, 2007; Brown and Summerbell, 2009; Waters and Silva-Sanigorski, 2011; Langford and Bonell, 2015)" }, "properties" : { "noteIndex" : 0 }, "schema" : "https://github.com/citation-style-language/schema/raw/master/csl-citation.json" }</w:instrText>
      </w:r>
      <w:r w:rsidR="00565789" w:rsidRPr="009B3747">
        <w:rPr>
          <w:rFonts w:eastAsia="Times New Roman" w:cstheme="minorHAnsi"/>
          <w:color w:val="000000"/>
          <w:lang w:eastAsia="en-GB"/>
        </w:rPr>
        <w:fldChar w:fldCharType="separate"/>
      </w:r>
      <w:r w:rsidR="00565789" w:rsidRPr="009B3747">
        <w:rPr>
          <w:rFonts w:eastAsia="Times New Roman" w:cstheme="minorHAnsi"/>
          <w:noProof/>
          <w:color w:val="000000"/>
          <w:lang w:eastAsia="en-GB"/>
        </w:rPr>
        <w:t>(Sharma, 2006, 2007; Brown and Summerbell, 2009; Waters and Silva-Sanigorski, 2011; Langford and Bonell, 2015)</w:t>
      </w:r>
      <w:r w:rsidR="00565789" w:rsidRPr="009B3747">
        <w:rPr>
          <w:rFonts w:eastAsia="Times New Roman" w:cstheme="minorHAnsi"/>
          <w:color w:val="000000"/>
          <w:lang w:eastAsia="en-GB"/>
        </w:rPr>
        <w:fldChar w:fldCharType="end"/>
      </w:r>
      <w:r w:rsidR="00565789"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For example, of </w:t>
      </w:r>
      <w:r w:rsidR="00FB5B00" w:rsidRPr="009B3747">
        <w:rPr>
          <w:rFonts w:eastAsia="Times New Roman" w:cstheme="minorHAnsi"/>
          <w:color w:val="000000"/>
          <w:lang w:eastAsia="en-GB"/>
        </w:rPr>
        <w:t xml:space="preserve">the eight studies (targeting 13 to </w:t>
      </w:r>
      <w:r w:rsidRPr="009B3747">
        <w:rPr>
          <w:rFonts w:eastAsia="Times New Roman" w:cstheme="minorHAnsi"/>
          <w:color w:val="000000"/>
          <w:lang w:eastAsia="en-GB"/>
        </w:rPr>
        <w:t>18 years old) in the Cochrane review, only mixed and modest findings were reported related to BMI changes, diet and physical activity behaviours.</w:t>
      </w:r>
      <w:r w:rsidR="00565789" w:rsidRPr="009B3747">
        <w:rPr>
          <w:rFonts w:eastAsia="Times New Roman" w:cstheme="minorHAnsi"/>
          <w:color w:val="000000"/>
          <w:lang w:eastAsia="en-GB"/>
        </w:rPr>
        <w:t xml:space="preserve">  </w:t>
      </w:r>
      <w:r w:rsidR="00565789"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"Waters", "given" : "E", "non-dropping-particle" : "", "parse-names" : false, "suffix" : "" }, { "dropping-particle" : "de", "family" : "Silva-Sanigorski", "given" : "A", "non-dropping-particle" : "", "parse-names" : false, "suffix" : "" } ], "container-title" : "Cochrane Database of Systematic Reviews", "id" : "ITEM-1", "issue" : "12", "issued" : { "date-parts" : [ [ "2011" ] ] }, "title" : "Interventions for preventing obesity in children", "type" : "article-journal" }, "uris" : [ "http://www.mendeley.com/documents/?uuid=edceb688-e3c5-459d-b1d2-e8f0aa963cd2" ] } ], "mendeley" : { "formattedCitation" : "(Waters and Silva-Sanigorski, 2011)", "manualFormatting" : "Waters and Silva-Sanigorski (2011)", "plainTextFormattedCitation" : "(Waters and Silva-Sanigorski, 2011)", "previouslyFormattedCitation" : "(Waters and Silva-Sanigorski, 2011)" }, "properties" : { "noteIndex" : 0 }, "schema" : "https://github.com/citation-style-language/schema/raw/master/csl-citation.json" }</w:instrText>
      </w:r>
      <w:r w:rsidR="00565789" w:rsidRPr="009B3747">
        <w:rPr>
          <w:rFonts w:eastAsia="Times New Roman" w:cstheme="minorHAnsi"/>
          <w:color w:val="000000"/>
          <w:lang w:eastAsia="en-GB"/>
        </w:rPr>
        <w:fldChar w:fldCharType="separate"/>
      </w:r>
      <w:r w:rsidR="00565789" w:rsidRPr="009B3747">
        <w:rPr>
          <w:rFonts w:eastAsia="Times New Roman" w:cstheme="minorHAnsi"/>
          <w:noProof/>
          <w:color w:val="000000"/>
          <w:lang w:eastAsia="en-GB"/>
        </w:rPr>
        <w:t>Waters and Silva-Sanigorski (2011)</w:t>
      </w:r>
      <w:r w:rsidR="00565789"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stated that although promising, the small number and heterogeneity of studies meant they were unable to state confidently whether obesity prevention interventions during adolescence are effective.  </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565789" w:rsidRDefault="00A16FA3" w:rsidP="00565789">
      <w:pPr>
        <w:rPr>
          <w:rFonts w:eastAsia="Times New Roman" w:cstheme="minorHAnsi"/>
          <w:color w:val="000000"/>
          <w:lang w:eastAsia="en-GB"/>
        </w:rPr>
      </w:pPr>
      <w:r w:rsidRPr="009B3747">
        <w:rPr>
          <w:rFonts w:eastAsia="Times New Roman" w:cstheme="minorHAnsi"/>
          <w:color w:val="000000"/>
          <w:lang w:eastAsia="en-GB"/>
        </w:rPr>
        <w:t>Suggestions for the age imbalance in the evidence base centres on the perception that the earlier interv</w:t>
      </w:r>
      <w:r w:rsidR="00AF46FD">
        <w:rPr>
          <w:rFonts w:eastAsia="Times New Roman" w:cstheme="minorHAnsi"/>
          <w:color w:val="000000"/>
          <w:lang w:eastAsia="en-GB"/>
        </w:rPr>
        <w:t xml:space="preserve">entions take place in childhood, </w:t>
      </w:r>
      <w:r w:rsidRPr="009B3747">
        <w:rPr>
          <w:rFonts w:eastAsia="Times New Roman" w:cstheme="minorHAnsi"/>
          <w:color w:val="000000"/>
          <w:lang w:eastAsia="en-GB"/>
        </w:rPr>
        <w:t>the greater the impact on the development of health behaviours and prevention of obesity later in life</w:t>
      </w:r>
      <w:r w:rsidR="00565789" w:rsidRPr="009B3747">
        <w:rPr>
          <w:rFonts w:eastAsia="Times New Roman" w:cstheme="minorHAnsi"/>
          <w:color w:val="000000"/>
          <w:lang w:eastAsia="en-GB"/>
        </w:rPr>
        <w:t xml:space="preserve"> </w:t>
      </w:r>
      <w:r w:rsidR="00565789"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"Sharma", "given" : "M", "non-dropping-particle" : "", "parse-names" : false, "suffix" : "" } ], "container-title" : "Obesity reviews", "id" : "ITEM-1", "issue" : "3", "issued" : { "date-parts" : [ [ "2006" ] ] }, "page" : "261-269", "title" : "School\u2010based interventions for childhood and adolescent obesity", "type" : "article-journal", "volume" : "7" }, "uris" : [ "http://www.mendeley.com/documents/?uuid=30e32a16-84fc-47e7-95a8-82bba79fc120" ] } ], "mendeley" : { "formattedCitation" : "(Sharma, 2006)", "plainTextFormattedCitation" : "(Sharma, 2006)", "previouslyFormattedCitation" : "(Sharma, 2006)" }, "properties" : { "noteIndex" : 0 }, "schema" : "https://github.com/citation-style-language/schema/raw/master/csl-citation.json" }</w:instrText>
      </w:r>
      <w:r w:rsidR="00565789" w:rsidRPr="009B3747">
        <w:rPr>
          <w:rFonts w:eastAsia="Times New Roman" w:cstheme="minorHAnsi"/>
          <w:color w:val="000000"/>
          <w:lang w:eastAsia="en-GB"/>
        </w:rPr>
        <w:fldChar w:fldCharType="separate"/>
      </w:r>
      <w:r w:rsidR="00565789" w:rsidRPr="009B3747">
        <w:rPr>
          <w:rFonts w:eastAsia="Times New Roman" w:cstheme="minorHAnsi"/>
          <w:noProof/>
          <w:color w:val="000000"/>
          <w:lang w:eastAsia="en-GB"/>
        </w:rPr>
        <w:t>(Sharma, 2006)</w:t>
      </w:r>
      <w:r w:rsidR="00565789" w:rsidRPr="009B3747">
        <w:rPr>
          <w:rFonts w:eastAsia="Times New Roman" w:cstheme="minorHAnsi"/>
          <w:color w:val="000000"/>
          <w:lang w:eastAsia="en-GB"/>
        </w:rPr>
        <w:fldChar w:fldCharType="end"/>
      </w:r>
      <w:r w:rsidRPr="009B3747">
        <w:rPr>
          <w:rFonts w:eastAsia="Times New Roman" w:cstheme="minorHAnsi"/>
          <w:color w:val="000000"/>
          <w:lang w:eastAsia="en-GB"/>
        </w:rPr>
        <w:t>.  Whilst strong evidence supports this standpoint</w:t>
      </w:r>
      <w:r w:rsidR="00565789" w:rsidRPr="009B3747">
        <w:rPr>
          <w:rFonts w:eastAsia="Times New Roman" w:cstheme="minorHAnsi"/>
          <w:color w:val="000000"/>
          <w:lang w:eastAsia="en-GB"/>
        </w:rPr>
        <w:t xml:space="preserve"> </w:t>
      </w:r>
      <w:r w:rsidR="00565789"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"Waters", "given" : "E", "non-dropping-particle" : "", "parse-names" : false, "suffix" : "" }, { "dropping-particle" : "de", "family" : "Silva-Sanigorski", "given" : "A", "non-dropping-particle" : "", "parse-names" : false, "suffix" : "" } ], "container-title" : "Cochrane Database of Systematic Reviews", "id" : "ITEM-1", "issue" : "12", "issued" : { "date-parts" : [ [ "2011" ] ] }, "title" : "Interventions for preventing obesity in children", "type" : "article-journal" }, "uris" : [ "http://www.mendeley.com/documents/?uuid=edceb688-e3c5-459d-b1d2-e8f0aa963cd2" ] } ], "mendeley" : { "formattedCitation" : "(Waters and Silva-Sanigorski, 2011)", "plainTextFormattedCitation" : "(Waters and Silva-Sanigorski, 2011)", "previouslyFormattedCitation" : "(Waters and Silva-Sanigorski, 2011)" }, "properties" : { "noteIndex" : 0 }, "schema" : "https://github.com/citation-style-language/schema/raw/master/csl-citation.json" }</w:instrText>
      </w:r>
      <w:r w:rsidR="00565789" w:rsidRPr="009B3747">
        <w:rPr>
          <w:rFonts w:eastAsia="Times New Roman" w:cstheme="minorHAnsi"/>
          <w:color w:val="000000"/>
          <w:lang w:eastAsia="en-GB"/>
        </w:rPr>
        <w:fldChar w:fldCharType="separate"/>
      </w:r>
      <w:r w:rsidR="00565789" w:rsidRPr="009B3747">
        <w:rPr>
          <w:rFonts w:eastAsia="Times New Roman" w:cstheme="minorHAnsi"/>
          <w:noProof/>
          <w:color w:val="000000"/>
          <w:lang w:eastAsia="en-GB"/>
        </w:rPr>
        <w:t>(Waters and Silva-Sanigorski, 2011)</w:t>
      </w:r>
      <w:r w:rsidR="00565789" w:rsidRPr="009B3747">
        <w:rPr>
          <w:rFonts w:eastAsia="Times New Roman" w:cstheme="minorHAnsi"/>
          <w:color w:val="000000"/>
          <w:lang w:eastAsia="en-GB"/>
        </w:rPr>
        <w:fldChar w:fldCharType="end"/>
      </w:r>
      <w:r w:rsidR="00AF46FD">
        <w:rPr>
          <w:rFonts w:eastAsia="Times New Roman" w:cstheme="minorHAnsi"/>
          <w:color w:val="000000"/>
          <w:lang w:eastAsia="en-GB"/>
        </w:rPr>
        <w:t>,</w:t>
      </w:r>
      <w:r w:rsidR="00565789" w:rsidRPr="009B3747">
        <w:rPr>
          <w:rFonts w:eastAsia="Times New Roman" w:cstheme="minorHAnsi"/>
          <w:color w:val="000000"/>
          <w:lang w:eastAsia="en-GB"/>
        </w:rPr>
        <w:t xml:space="preserve"> </w:t>
      </w:r>
      <w:r w:rsidRPr="009B3747">
        <w:rPr>
          <w:rFonts w:eastAsia="Times New Roman" w:cstheme="minorHAnsi"/>
          <w:color w:val="000000"/>
          <w:lang w:eastAsia="en-GB"/>
        </w:rPr>
        <w:t>others propose the imbalance is unjustified</w:t>
      </w:r>
      <w:r w:rsidR="00565789" w:rsidRPr="009B3747">
        <w:rPr>
          <w:rFonts w:eastAsia="Times New Roman" w:cstheme="minorHAnsi"/>
          <w:color w:val="000000"/>
          <w:lang w:eastAsia="en-GB"/>
        </w:rPr>
        <w:t xml:space="preserve"> </w:t>
      </w:r>
      <w:r w:rsidR="00565789" w:rsidRPr="009B3747">
        <w:rPr>
          <w:rFonts w:eastAsia="Times New Roman" w:cstheme="minorHAnsi"/>
          <w:color w:val="000000"/>
          <w:lang w:eastAsia="en-GB"/>
        </w:rPr>
        <w:lastRenderedPageBreak/>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"Williams", "given" : "AJ", "non-dropping-particle" : "", "parse-names" : false, "suffix" : "" }, { "dropping-particle" : "", "family" : "Henley", "given" : "WE", "non-dropping-particle" : "", "parse-names" : false, "suffix" : "" } ], "container-title" : "International Journal of Behavioral nutrition and Physical activity", "id" : "ITEM-1", "issue" : "1", "issued" : { "date-parts" : [ [ "2013" ] ] }, "page" : "101", "title" : "Systematic review and meta-analysis of the association between childhood overweight and obesity and primary school diet and physical activity policies", "type" : "article-journal", "volume" : "10" }, "uris" : [ "http://www.mendeley.com/documents/?uuid=beb93714-7d75-43d0-b012-585371461b08" ] } ], "mendeley" : { "formattedCitation" : "(Williams and Henley, 2013)", "plainTextFormattedCitation" : "(Williams and Henley, 2013)", "previouslyFormattedCitation" : "(Williams and Henley, 2013)" }, "properties" : { "noteIndex" : 0 }, "schema" : "https://github.com/citation-style-language/schema/raw/master/csl-citation.json" }</w:instrText>
      </w:r>
      <w:r w:rsidR="00565789" w:rsidRPr="009B3747">
        <w:rPr>
          <w:rFonts w:eastAsia="Times New Roman" w:cstheme="minorHAnsi"/>
          <w:color w:val="000000"/>
          <w:lang w:eastAsia="en-GB"/>
        </w:rPr>
        <w:fldChar w:fldCharType="separate"/>
      </w:r>
      <w:r w:rsidR="00565789" w:rsidRPr="009B3747">
        <w:rPr>
          <w:rFonts w:eastAsia="Times New Roman" w:cstheme="minorHAnsi"/>
          <w:noProof/>
          <w:color w:val="000000"/>
          <w:lang w:eastAsia="en-GB"/>
        </w:rPr>
        <w:t>(Williams and Henley, 2013)</w:t>
      </w:r>
      <w:r w:rsidR="00565789" w:rsidRPr="009B3747">
        <w:rPr>
          <w:rFonts w:eastAsia="Times New Roman" w:cstheme="minorHAnsi"/>
          <w:color w:val="000000"/>
          <w:lang w:eastAsia="en-GB"/>
        </w:rPr>
        <w:fldChar w:fldCharType="end"/>
      </w:r>
      <w:r w:rsidR="00FE4357">
        <w:rPr>
          <w:rFonts w:eastAsia="Times New Roman" w:cstheme="minorHAnsi"/>
          <w:color w:val="000000"/>
          <w:lang w:eastAsia="en-GB"/>
        </w:rPr>
        <w:t xml:space="preserve">.  Later childhood, </w:t>
      </w:r>
      <w:r w:rsidRPr="009B3747">
        <w:rPr>
          <w:rFonts w:eastAsia="Times New Roman" w:cstheme="minorHAnsi"/>
          <w:color w:val="000000"/>
          <w:lang w:eastAsia="en-GB"/>
        </w:rPr>
        <w:t>i.e. adolescence, still provides critical periods of change and therefore windows of opportunity to influence physical activity and dietary behaviour</w:t>
      </w:r>
      <w:r w:rsidR="00565789" w:rsidRPr="009B3747">
        <w:rPr>
          <w:rFonts w:eastAsia="Times New Roman" w:cstheme="minorHAnsi"/>
          <w:color w:val="000000"/>
          <w:lang w:eastAsia="en-GB"/>
        </w:rPr>
        <w:t xml:space="preserve"> </w:t>
      </w:r>
      <w:r w:rsidR="00565789"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"Crone", "given" : "EA", "non-dropping-particle" : "", "parse-names" : false, "suffix" : "" }, { "dropping-particle" : "", "family" : "Dahl", "given" : "RE", "non-dropping-particle" : "", "parse-names" : false, "suffix" : "" } ], "container-title" : "Nature Reviews Neuroscience", "id" : "ITEM-1", "issue" : "9", "issued" : { "date-parts" : [ [ "2012" ] ] }, "page" : "636-50", "title" : "Understanding adolescence as a period of social\u2013affective engagement and goal flexibility", "type" : "article-journal", "volume" : "13" }, "uris" : [ "http://www.mendeley.com/documents/?uuid=ff3e7fb9-06b6-417f-976a-af5ff659fa27" ] }, { "id" : "ITEM-2", "itemData" : { "author" : [ { "dropping-particle" : "", "family" : "Hagell", "given" : "A", "non-dropping-particle" : "", "parse-names" : false, "suffix" : "" }, { "dropping-particle" : "", "family" : "Rigby", "given" : "E", "non-dropping-particle" : "", "parse-names" : false, "suffix" : "" }, { "dropping-particle" : "", "family" : "Perrow", "given" : "F", "non-dropping-particle" : "", "parse-names" : false, "suffix" : "" } ], "container-title" : "British Journal of School \u2026", "id" : "ITEM-2", "issue" : "2", "issued" : { "date-parts" : [ [ "2015" ] ] }, "page" : "82-87", "title" : "Promoting health literacy in secondary schools: A review", "type" : "article-journal", "volume" : "10" }, "uris" : [ "http://www.mendeley.com/documents/?uuid=851306bb-02a9-43d7-835d-f758ee6265eb" ] } ], "mendeley" : { "formattedCitation" : "(Crone and Dahl, 2012; Hagell et al., 2015)", "plainTextFormattedCitation" : "(Crone and Dahl, 2012; Hagell et al., 2015)", "previouslyFormattedCitation" : "(Crone and Dahl, 2012; Hagell et al., 2015)" }, "properties" : { "noteIndex" : 0 }, "schema" : "https://github.com/citation-style-language/schema/raw/master/csl-citation.json" }</w:instrText>
      </w:r>
      <w:r w:rsidR="00565789" w:rsidRPr="009B3747">
        <w:rPr>
          <w:rFonts w:eastAsia="Times New Roman" w:cstheme="minorHAnsi"/>
          <w:color w:val="000000"/>
          <w:lang w:eastAsia="en-GB"/>
        </w:rPr>
        <w:fldChar w:fldCharType="separate"/>
      </w:r>
      <w:r w:rsidR="00565789" w:rsidRPr="009B3747">
        <w:rPr>
          <w:rFonts w:eastAsia="Times New Roman" w:cstheme="minorHAnsi"/>
          <w:noProof/>
          <w:color w:val="000000"/>
          <w:lang w:eastAsia="en-GB"/>
        </w:rPr>
        <w:t>(Crone and Dahl, 2012; Hagell et al., 2015)</w:t>
      </w:r>
      <w:r w:rsidR="00565789" w:rsidRPr="009B3747">
        <w:rPr>
          <w:rFonts w:eastAsia="Times New Roman" w:cstheme="minorHAnsi"/>
          <w:color w:val="000000"/>
          <w:lang w:eastAsia="en-GB"/>
        </w:rPr>
        <w:fldChar w:fldCharType="end"/>
      </w:r>
      <w:r w:rsidRPr="009B3747">
        <w:rPr>
          <w:rFonts w:eastAsia="Times New Roman" w:cstheme="minorHAnsi"/>
          <w:color w:val="000000"/>
          <w:lang w:eastAsia="en-GB"/>
        </w:rPr>
        <w:t>.  For example, physical activity levels decline with age in both sexes</w:t>
      </w:r>
      <w:r w:rsidR="00565789" w:rsidRPr="009B3747">
        <w:rPr>
          <w:rFonts w:eastAsia="Times New Roman" w:cstheme="minorHAnsi"/>
          <w:color w:val="000000"/>
          <w:lang w:eastAsia="en-GB"/>
        </w:rPr>
        <w:t xml:space="preserve"> </w:t>
      </w:r>
      <w:r w:rsidR="00565789"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"Department of Health", "given" : "", "non-dropping-particle" : "", "parse-names" : false, "suffix" : "" } ], "container-title" : "London: Department of Health", "id" : "ITEM-1", "issued" : { "date-parts" : [ [ "2011" ] ] }, "publisher-place" : "London", "title" : "Healthy Lives, Healthy People: A Call to Action on Obesity in England", "type" : "report" }, "uris" : [ "http://www.mendeley.com/documents/?uuid=4cc3b3a8-0e69-41d7-bd60-1a13d047dc64" ] } ], "mendeley" : { "formattedCitation" : "(Department of Health, 2011)", "plainTextFormattedCitation" : "(Department of Health, 2011)", "previouslyFormattedCitation" : "(Department of Health, 2011)" }, "properties" : { "noteIndex" : 0 }, "schema" : "https://github.com/citation-style-language/schema/raw/master/csl-citation.json" }</w:instrText>
      </w:r>
      <w:r w:rsidR="00565789" w:rsidRPr="009B3747">
        <w:rPr>
          <w:rFonts w:eastAsia="Times New Roman" w:cstheme="minorHAnsi"/>
          <w:color w:val="000000"/>
          <w:lang w:eastAsia="en-GB"/>
        </w:rPr>
        <w:fldChar w:fldCharType="separate"/>
      </w:r>
      <w:r w:rsidR="00565789" w:rsidRPr="009B3747">
        <w:rPr>
          <w:rFonts w:eastAsia="Times New Roman" w:cstheme="minorHAnsi"/>
          <w:noProof/>
          <w:color w:val="000000"/>
          <w:lang w:eastAsia="en-GB"/>
        </w:rPr>
        <w:t>(Department of Health, 2011)</w:t>
      </w:r>
      <w:r w:rsidR="00565789" w:rsidRPr="009B3747">
        <w:rPr>
          <w:rFonts w:eastAsia="Times New Roman" w:cstheme="minorHAnsi"/>
          <w:color w:val="000000"/>
          <w:lang w:eastAsia="en-GB"/>
        </w:rPr>
        <w:fldChar w:fldCharType="end"/>
      </w:r>
      <w:r w:rsidR="00565789" w:rsidRPr="009B3747">
        <w:rPr>
          <w:rFonts w:eastAsia="Times New Roman" w:cstheme="minorHAnsi"/>
          <w:color w:val="000000"/>
          <w:lang w:eastAsia="en-GB"/>
        </w:rPr>
        <w:t>,</w:t>
      </w:r>
      <w:r w:rsidRPr="009B3747">
        <w:rPr>
          <w:rFonts w:eastAsia="Times New Roman" w:cstheme="minorHAnsi"/>
          <w:color w:val="000000"/>
          <w:lang w:eastAsia="en-GB"/>
        </w:rPr>
        <w:t xml:space="preserve"> increasing age provides increasing autonomy in dietary behaviours</w:t>
      </w:r>
      <w:r w:rsidR="00565789" w:rsidRPr="009B3747">
        <w:rPr>
          <w:rFonts w:eastAsia="Times New Roman" w:cstheme="minorHAnsi"/>
          <w:color w:val="000000"/>
          <w:lang w:eastAsia="en-GB"/>
        </w:rPr>
        <w:t xml:space="preserve"> </w:t>
      </w:r>
      <w:r w:rsidR="00565789"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"Story", "given" : "MT", "non-dropping-particle" : "", "parse-names" : false, "suffix" : "" }, { "dropping-particle" : "", "family" : "Neumark-Stzainer", "given" : "DR", "non-dropping-particle" : "", "parse-names" : false, "suffix" : "" } ], "container-title" : "Pediatrics", "id" : "ITEM-1", "issue" : "Suppl 1", "issued" : { "date-parts" : [ [ "2002" ] ] }, "page" : "210-214", "title" : "Management of child and adolescent obesity: attitudes, barriers, skills, and training needs among health care professionals", "type" : "article-journal", "volume" : "110" }, "uris" : [ "http://www.mendeley.com/documents/?uuid=7c0b2cd4-26bb-441b-923b-cc9ffe82b402" ] } ], "mendeley" : { "formattedCitation" : "(Story and Neumark-Stzainer, 2002)", "plainTextFormattedCitation" : "(Story and Neumark-Stzainer, 2002)", "previouslyFormattedCitation" : "(Story and Neumark-Stzainer, 2002)" }, "properties" : { "noteIndex" : 0 }, "schema" : "https://github.com/citation-style-language/schema/raw/master/csl-citation.json" }</w:instrText>
      </w:r>
      <w:r w:rsidR="00565789" w:rsidRPr="009B3747">
        <w:rPr>
          <w:rFonts w:eastAsia="Times New Roman" w:cstheme="minorHAnsi"/>
          <w:color w:val="000000"/>
          <w:lang w:eastAsia="en-GB"/>
        </w:rPr>
        <w:fldChar w:fldCharType="separate"/>
      </w:r>
      <w:r w:rsidR="00565789" w:rsidRPr="009B3747">
        <w:rPr>
          <w:rFonts w:eastAsia="Times New Roman" w:cstheme="minorHAnsi"/>
          <w:noProof/>
          <w:color w:val="000000"/>
          <w:lang w:eastAsia="en-GB"/>
        </w:rPr>
        <w:t>(Story and Neumark-Stzainer, 2002)</w:t>
      </w:r>
      <w:r w:rsidR="00565789" w:rsidRPr="009B3747">
        <w:rPr>
          <w:rFonts w:eastAsia="Times New Roman" w:cstheme="minorHAnsi"/>
          <w:color w:val="000000"/>
          <w:lang w:eastAsia="en-GB"/>
        </w:rPr>
        <w:fldChar w:fldCharType="end"/>
      </w:r>
      <w:r w:rsidR="00565789" w:rsidRPr="009B3747">
        <w:rPr>
          <w:rFonts w:eastAsia="Times New Roman" w:cstheme="minorHAnsi"/>
          <w:color w:val="000000"/>
          <w:lang w:eastAsia="en-GB"/>
        </w:rPr>
        <w:t xml:space="preserve"> </w:t>
      </w:r>
      <w:r w:rsidRPr="009B3747">
        <w:rPr>
          <w:rFonts w:eastAsia="Times New Roman" w:cstheme="minorHAnsi"/>
          <w:color w:val="000000"/>
          <w:lang w:eastAsia="en-GB"/>
        </w:rPr>
        <w:t>and the influence of peers during adolescence is notable</w:t>
      </w:r>
      <w:r w:rsidR="00565789" w:rsidRPr="009B3747">
        <w:rPr>
          <w:rFonts w:eastAsia="Times New Roman" w:cstheme="minorHAnsi"/>
          <w:color w:val="000000"/>
          <w:lang w:eastAsia="en-GB"/>
        </w:rPr>
        <w:t xml:space="preserve"> </w:t>
      </w:r>
      <w:r w:rsidR="00565789"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"Maxwell", "given" : "KA", "non-dropping-particle" : "", "parse-names" : false, "suffix" : "" } ], "container-title" : "Journal of Youth and adolescence", "id" : "ITEM-1", "issue" : "4", "issued" : { "date-parts" : [ [ "2002" ] ] }, "page" : "267\u2013277", "title" : "Friends: The role of peer influence across adolescent risk behaviors", "type" : "article-journal", "volume" : "31" }, "uris" : [ "http://www.mendeley.com/documents/?uuid=019a50e5-ab41-4123-8a00-dc653e87141e" ] }, { "id" : "ITEM-2", "itemData" : { "author" : [ { "dropping-particle" : "", "family" : "Steinberg", "given" : "L", "non-dropping-particle" : "", "parse-names" : false, "suffix" : "" }, { "dropping-particle" : "", "family" : "Monahan", "given" : "KC", "non-dropping-particle" : "", "parse-names" : false, "suffix" : "" } ], "container-title" : "Developmental psychology", "id" : "ITEM-2", "issue" : "6", "issued" : { "date-parts" : [ [ "2007" ] ] }, "page" : "1531-1543", "title" : "Age differences in resistance to peer influence.", "type" : "article-journal", "volume" : "43" }, "uris" : [ "http://www.mendeley.com/documents/?uuid=9d665209-7eee-4f5a-9cef-3a7b141a5692" ] } ], "mendeley" : { "formattedCitation" : "(Maxwell, 2002; Steinberg and Monahan, 2007)", "plainTextFormattedCitation" : "(Maxwell, 2002; Steinberg and Monahan, 2007)", "previouslyFormattedCitation" : "(Maxwell, 2002; Steinberg and Monahan, 2007)" }, "properties" : { "noteIndex" : 0 }, "schema" : "https://github.com/citation-style-language/schema/raw/master/csl-citation.json" }</w:instrText>
      </w:r>
      <w:r w:rsidR="00565789" w:rsidRPr="009B3747">
        <w:rPr>
          <w:rFonts w:eastAsia="Times New Roman" w:cstheme="minorHAnsi"/>
          <w:color w:val="000000"/>
          <w:lang w:eastAsia="en-GB"/>
        </w:rPr>
        <w:fldChar w:fldCharType="separate"/>
      </w:r>
      <w:r w:rsidR="00565789" w:rsidRPr="009B3747">
        <w:rPr>
          <w:rFonts w:eastAsia="Times New Roman" w:cstheme="minorHAnsi"/>
          <w:noProof/>
          <w:color w:val="000000"/>
          <w:lang w:eastAsia="en-GB"/>
        </w:rPr>
        <w:t>(Maxwell, 2002; Steinberg and Monahan, 2007)</w:t>
      </w:r>
      <w:r w:rsidR="00565789" w:rsidRPr="009B3747">
        <w:rPr>
          <w:rFonts w:eastAsia="Times New Roman" w:cstheme="minorHAnsi"/>
          <w:color w:val="000000"/>
          <w:lang w:eastAsia="en-GB"/>
        </w:rPr>
        <w:fldChar w:fldCharType="end"/>
      </w:r>
      <w:r w:rsidR="00565789" w:rsidRPr="009B3747">
        <w:rPr>
          <w:rFonts w:eastAsia="Times New Roman" w:cstheme="minorHAnsi"/>
          <w:color w:val="000000"/>
          <w:lang w:eastAsia="en-GB"/>
        </w:rPr>
        <w:t xml:space="preserve">.  </w:t>
      </w:r>
      <w:r w:rsidRPr="009B3747">
        <w:rPr>
          <w:rFonts w:eastAsia="Times New Roman" w:cstheme="minorHAnsi"/>
          <w:color w:val="000000"/>
          <w:lang w:eastAsia="en-GB"/>
        </w:rPr>
        <w:t>Secondary schools might therefore be the last chance to influence the health behaviours of a large number of children during this critical period.  Academics have therefore called for an increased research focus on obesity prevention across adolescence and in secondary school settings</w:t>
      </w:r>
      <w:r w:rsidR="00565789" w:rsidRPr="009B3747">
        <w:rPr>
          <w:rFonts w:eastAsia="Times New Roman" w:cstheme="minorHAnsi"/>
          <w:color w:val="000000"/>
          <w:lang w:eastAsia="en-GB"/>
        </w:rPr>
        <w:t xml:space="preserve"> </w:t>
      </w:r>
      <w:r w:rsidR="00565789"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"Waters", "given" : "E", "non-dropping-particle" : "", "parse-names" : false, "suffix" : "" }, { "dropping-particle" : "de", "family" : "Silva-Sanigorski", "given" : "A", "non-dropping-particle" : "", "parse-names" : false, "suffix" : "" } ], "container-title" : "Cochrane Database of Systematic Reviews", "id" : "ITEM-1", "issue" : "12", "issued" : { "date-parts" : [ [ "2011" ] ] }, "title" : "Interventions for preventing obesity in children", "type" : "article-journal" }, "uris" : [ "http://www.mendeley.com/documents/?uuid=edceb688-e3c5-459d-b1d2-e8f0aa963cd2" ] }, { "id" : "ITEM-2", "itemData" : { "author" : [ { "dropping-particle" : "", "family" : "Langford", "given" : "R", "non-dropping-particle" : "", "parse-names" : false, "suffix" : "" }, { "dropping-particle" : "", "family" : "Bonell", "given" : "CP", "non-dropping-particle" : "", "parse-names" : false, "suffix" : "" } ], "container-title" : "The Cochrane Database of Systematic Reviews", "id" : "ITEM-2", "issue" : "4", "issued" : { "date-parts" : [ [ "2014" ] ] }, "title" : "The WHO Health Promoting School framework for improving the health and well\u2010being of students and their academic achievement", "type" : "article-journal" }, "uris" : [ "http://www.mendeley.com/documents/?uuid=10eb6afc-158f-4e48-aaad-32b53ce93e25" ] } ], "mendeley" : { "formattedCitation" : "(Waters and Silva-Sanigorski, 2011; Langford and Bonell, 2014)", "plainTextFormattedCitation" : "(Waters and Silva-Sanigorski, 2011; Langford and Bonell, 2014)", "previouslyFormattedCitation" : "(Waters and Silva-Sanigorski, 2011; Langford and Bonell, 2014)" }, "properties" : { "noteIndex" : 0 }, "schema" : "https://github.com/citation-style-language/schema/raw/master/csl-citation.json" }</w:instrText>
      </w:r>
      <w:r w:rsidR="00565789" w:rsidRPr="009B3747">
        <w:rPr>
          <w:rFonts w:eastAsia="Times New Roman" w:cstheme="minorHAnsi"/>
          <w:color w:val="000000"/>
          <w:lang w:eastAsia="en-GB"/>
        </w:rPr>
        <w:fldChar w:fldCharType="separate"/>
      </w:r>
      <w:r w:rsidR="00565789" w:rsidRPr="009B3747">
        <w:rPr>
          <w:rFonts w:eastAsia="Times New Roman" w:cstheme="minorHAnsi"/>
          <w:noProof/>
          <w:color w:val="000000"/>
          <w:lang w:eastAsia="en-GB"/>
        </w:rPr>
        <w:t>(Waters and Silva-Sanigorski, 2011; Langford and Bonell, 2014)</w:t>
      </w:r>
      <w:r w:rsidR="00565789" w:rsidRPr="009B3747">
        <w:rPr>
          <w:rFonts w:eastAsia="Times New Roman" w:cstheme="minorHAnsi"/>
          <w:color w:val="000000"/>
          <w:lang w:eastAsia="en-GB"/>
        </w:rPr>
        <w:fldChar w:fldCharType="end"/>
      </w:r>
      <w:r w:rsidR="00565789" w:rsidRPr="009B3747">
        <w:rPr>
          <w:rFonts w:eastAsia="Times New Roman" w:cstheme="minorHAnsi"/>
          <w:color w:val="000000"/>
          <w:lang w:eastAsia="en-GB"/>
        </w:rPr>
        <w:t>.</w:t>
      </w:r>
    </w:p>
    <w:p w:rsidR="00AF46FD" w:rsidRPr="009B3747" w:rsidRDefault="00AF46FD" w:rsidP="00565789">
      <w:pPr>
        <w:rPr>
          <w:rFonts w:eastAsia="Times New Roman" w:cstheme="minorHAnsi"/>
          <w:color w:val="000000"/>
          <w:lang w:eastAsia="en-GB"/>
        </w:rPr>
      </w:pPr>
    </w:p>
    <w:p w:rsidR="001217DC" w:rsidRDefault="00565789" w:rsidP="00A16FA3">
      <w:pPr>
        <w:rPr>
          <w:rFonts w:eastAsia="Times New Roman" w:cstheme="minorHAnsi"/>
          <w:sz w:val="24"/>
          <w:szCs w:val="24"/>
          <w:lang w:eastAsia="en-GB"/>
        </w:rPr>
      </w:pPr>
      <w:r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"Chilton", "given" : "R", "non-dropping-particle" : "", "parse-names" : false, "suffix" : "" }, { "dropping-particle" : "", "family" : "Pearson", "given" : "M", "non-dropping-particle" : "", "parse-names" : false, "suffix" : "" }, { "dropping-particle" : "", "family" : "Anderson", "given" : "R", "non-dropping-particle" : "", "parse-names" : false, "suffix" : "" } ], "container-title" : "Health Education", "id" : "ITEM-1", "issue" : "3/4", "issued" : { "date-parts" : [ [ "2015" ] ] }, "page" : "357-376", "title" : "Health promotion in schools: a scoping review of systematic reviews", "type" : "article-journal", "volume" : "115" }, "uris" : [ "http://www.mendeley.com/documents/?uuid=7ff4e505-4bb0-4e10-aa61-44703ad10557" ] } ], "mendeley" : { "formattedCitation" : "(Chilton et al., 2015)", "manualFormatting" : "Chilton et al., (2015)", "plainTextFormattedCitation" : "(Chilton et al., 2015)", "previouslyFormattedCitation" : "(Chilton et al., 2015)" }, "properties" : { "noteIndex" : 0 }, "schema" : "https://github.com/citation-style-language/schema/raw/master/csl-citation.json" }</w:instrText>
      </w:r>
      <w:r w:rsidRPr="009B3747">
        <w:rPr>
          <w:rFonts w:eastAsia="Times New Roman" w:cstheme="minorHAnsi"/>
          <w:color w:val="000000"/>
          <w:lang w:eastAsia="en-GB"/>
        </w:rPr>
        <w:fldChar w:fldCharType="separate"/>
      </w:r>
      <w:r w:rsidRPr="009B3747">
        <w:rPr>
          <w:rFonts w:eastAsia="Times New Roman" w:cstheme="minorHAnsi"/>
          <w:noProof/>
          <w:color w:val="000000"/>
          <w:lang w:eastAsia="en-GB"/>
        </w:rPr>
        <w:t>Chilton et al., (2015)</w:t>
      </w:r>
      <w:r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w:t>
      </w:r>
      <w:r w:rsidR="001217DC">
        <w:rPr>
          <w:rFonts w:eastAsia="Times New Roman" w:cstheme="minorHAnsi"/>
          <w:color w:val="000000"/>
          <w:lang w:eastAsia="en-GB"/>
        </w:rPr>
        <w:t>argued that due to the heterogeneity of study designs, it</w:t>
      </w:r>
      <w:r w:rsidR="00A16FA3" w:rsidRPr="009B3747">
        <w:rPr>
          <w:rFonts w:eastAsia="Times New Roman" w:cstheme="minorHAnsi"/>
          <w:color w:val="000000"/>
          <w:lang w:eastAsia="en-GB"/>
        </w:rPr>
        <w:t xml:space="preserve"> is challenging to generalise the evidence and be conclusive about the effectiveness of school-based</w:t>
      </w:r>
      <w:r w:rsidR="007D21BA">
        <w:rPr>
          <w:rFonts w:eastAsia="Times New Roman" w:cstheme="minorHAnsi"/>
          <w:color w:val="000000"/>
          <w:lang w:eastAsia="en-GB"/>
        </w:rPr>
        <w:t xml:space="preserve"> </w:t>
      </w:r>
      <w:r w:rsidR="001217DC">
        <w:rPr>
          <w:rFonts w:eastAsia="Times New Roman" w:cstheme="minorHAnsi"/>
          <w:color w:val="000000"/>
          <w:lang w:eastAsia="en-GB"/>
        </w:rPr>
        <w:t>health promotion interventions (</w:t>
      </w:r>
      <w:r w:rsidR="00A16FA3" w:rsidRPr="009B3747">
        <w:rPr>
          <w:rFonts w:eastAsia="Times New Roman" w:cstheme="minorHAnsi"/>
          <w:color w:val="000000"/>
          <w:lang w:eastAsia="en-GB"/>
        </w:rPr>
        <w:t>especially in relation to childhood an</w:t>
      </w:r>
      <w:r w:rsidR="007D21BA">
        <w:rPr>
          <w:rFonts w:eastAsia="Times New Roman" w:cstheme="minorHAnsi"/>
          <w:color w:val="000000"/>
          <w:lang w:eastAsia="en-GB"/>
        </w:rPr>
        <w:t xml:space="preserve">d </w:t>
      </w:r>
      <w:r w:rsidR="001217DC">
        <w:rPr>
          <w:rFonts w:eastAsia="Times New Roman" w:cstheme="minorHAnsi"/>
          <w:color w:val="000000"/>
          <w:lang w:eastAsia="en-GB"/>
        </w:rPr>
        <w:t xml:space="preserve">adolescent obesity prevention).  </w:t>
      </w:r>
      <w:r w:rsidR="00A16FA3" w:rsidRPr="009B3747">
        <w:rPr>
          <w:rFonts w:eastAsia="Times New Roman" w:cstheme="minorHAnsi"/>
          <w:color w:val="000000"/>
          <w:lang w:eastAsia="en-GB"/>
        </w:rPr>
        <w:t>Substantial variations in intervention approaches, location, durations, follow-up periods, outcome measures, sample sizes, populations and analytical approaches</w:t>
      </w:r>
      <w:r w:rsidR="001217DC">
        <w:rPr>
          <w:rFonts w:eastAsia="Times New Roman" w:cstheme="minorHAnsi"/>
          <w:color w:val="000000"/>
          <w:lang w:eastAsia="en-GB"/>
        </w:rPr>
        <w:t xml:space="preserve">, </w:t>
      </w:r>
      <w:r w:rsidR="00A16FA3" w:rsidRPr="009B3747">
        <w:rPr>
          <w:rFonts w:eastAsia="Times New Roman" w:cstheme="minorHAnsi"/>
          <w:color w:val="000000"/>
          <w:lang w:eastAsia="en-GB"/>
        </w:rPr>
        <w:t>present difficulties in trying to identify specific strategies (or combined strategies) that are the most effective</w:t>
      </w:r>
      <w:r w:rsidR="001217DC">
        <w:rPr>
          <w:rFonts w:eastAsia="Times New Roman" w:cstheme="minorHAnsi"/>
          <w:color w:val="000000"/>
          <w:lang w:eastAsia="en-GB"/>
        </w:rPr>
        <w:t xml:space="preserve"> </w:t>
      </w:r>
      <w:r w:rsidR="001217DC" w:rsidRPr="009B3747">
        <w:rPr>
          <w:rFonts w:eastAsia="Times New Roman" w:cstheme="minorHAnsi"/>
          <w:color w:val="000000"/>
          <w:lang w:eastAsia="en-GB"/>
        </w:rPr>
        <w:fldChar w:fldCharType="begin" w:fldLock="1"/>
      </w:r>
      <w:r w:rsidR="001217DC" w:rsidRPr="009B3747">
        <w:rPr>
          <w:rFonts w:eastAsia="Times New Roman" w:cstheme="minorHAnsi"/>
          <w:color w:val="000000"/>
          <w:lang w:eastAsia="en-GB"/>
        </w:rPr>
        <w:instrText>ADDIN CSL_CITATION { "citationItems" : [ { "id" : "ITEM-1", "itemData" : { "author" : [ { "dropping-particle" : "", "family" : "Lister-Sharp", "given" : "D", "non-dropping-particle" : "", "parse-names" : false, "suffix" : "" } ], "container-title" : "Health Technology Assessment", "id" : "ITEM-1", "issue" : "22", "issued" : { "date-parts" : [ [ "1998" ] ] }, "page" : "1-207", "title" : "Health promoting schools and health promotion in schools: two systematic reviews.", "type" : "article-journal", "volume" : "3" }, "uris" : [ "http://www.mendeley.com/documents/?uuid=30bdadc9-5603-4c04-bed8-b1577b770a2c" ] }, { "id" : "ITEM-2", "itemData" : { "author" : [ { "dropping-particle" : "", "family" : "Brown", "given" : "T", "non-dropping-particle" : "", "parse-names" : false, "suffix" : "" }, { "dropping-particle" : "", "family" : "Summerbell", "given" : "C", "non-dropping-particle" : "", "parse-names" : false, "suffix" : "" } ], "container-title" : "Obesity reviews", "id" : "ITEM-2", "issue" : "1", "issued" : { "date-parts" : [ [ "2009" ] ] }, "page" : "110-41", "title" : "Systematic review of school\u2010based interventions that focus on changing dietary intake and physical activity levels to prevent childhood obesity: an update to the obesity guidance produced by the National Institute of Health and Clinical Excellence", "type" : "article-journal", "volume" : "10" }, "uris" : [ "http://www.mendeley.com/documents/?uuid=e811e3c6-9e70-4796-ab4e-3b5e1e0de388" ] }, { "id" : "ITEM-3", "itemData" : { "author" : [ { "dropping-particle" : "De", "family" : "Bourdeaudhuij", "given" : "I", "non-dropping-particle" : "", "parse-names" : false, "suffix" : "" } ], "container-title" : "Obesity reviews", "id" : "ITEM-3", "issue" : "3", "issued" : { "date-parts" : [ [ "2011" ] ] }, "page" : "205-216", "title" : "School\u2010based interventions promoting both physical activity and healthy eating in Europe: a systematic review within the HOPE project", "type" : "article-journal", "volume" : "12" }, "uris" : [ "http://www.mendeley.com/documents/?uuid=580141f8-a2be-40e7-b5ff-1546f608bec7" ] }, { "id" : "ITEM-4", "itemData" : { "author" : [ { "dropping-particle" : "", "family" : "Waters", "given" : "E", "non-dropping-particle" : "", "parse-names" : false, "suffix" : "" }, { "dropping-particle" : "de", "family" : "Silva-Sanigorski", "given" : "A", "non-dropping-particle" : "", "parse-names" : false, "suffix" : "" } ], "container-title" : "Cochrane Database of Systematic Reviews", "id" : "ITEM-4", "issue" : "12", "issued" : { "date-parts" : [ [ "2011" ] ] }, "title" : "Interventions for preventing obesity in children", "type" : "article-journal" }, "uris" : [ "http://www.mendeley.com/documents/?uuid=edceb688-e3c5-459d-b1d2-e8f0aa963cd2" ] }, { "id" : "ITEM-5", "itemData" : { "DOI" : "10.1111/j.1467-789X.2011.00947.x", "ISBN" : "1467-789X (Electronic)\\n1467-7881 (Linking)", "ISSN" : "14677881", "PMID" : "22070186", "abstract" : "Schools are an attractive and popular setting for implementing interventions for children. There is a growing body of empirical research exploring the efficacy of school-based obesity prevention programs. While there have been several reviews on the topic, findings remain mixed. To examine the quality of evidence and compare the findings from existing systematic reviews and meta-analyses of school-based programs in the prevention and control of childhood obesity. This paper systematically appraises the methodology and conclusions of literature reviews examining the effectiveness of school-based obesity interventions published in English in peer-reviewed journals between January 1990 and October 2010. Eight reviews were examined, three meta-analyses and five systematic reviews. All of the reviews recognized that studies were heterogeneous in design, participants, intervention and outcomes. Intervention components in the school setting associated with a significant reduction of weight in children included long-term interventions with combined diet and physical activity and a family component. Several reviews also found gender differences in response to interventions. Of the eight reviews, five were deemed of high quality and yet limited evidence was found on which to base recommendations. As no single intervention will fit all schools and populations, further high-quality research needs to focus on identifying specific program characteristics predictive of success.", "author" : [ { "dropping-particle" : "", "family" : "Khambalia", "given" : "a. Z.", "non-dropping-particle" : "", "parse-names" : false, "suffix" : "" }, { "dropping-particle" : "", "family" : "Dickinson", "given" : "S.", "non-dropping-particle" : "", "parse-names" : false, "suffix" : "" }, { "dropping-particle" : "", "family" : "Hardy", "given" : "L. L.", "non-dropping-particle" : "", "parse-names" : false, "suffix" : "" }, { "dropping-particle" : "", "family" : "Gill", "given" : "T.", "non-dropping-particle" : "", "parse-names" : false, "suffix" : "" }, { "dropping-particle" : "", "family" : "Baur", "given" : "L. a.", "non-dropping-particle" : "", "parse-names" : false, "suffix" : "" } ], "container-title" : "Obesity Reviews", "id" : "ITEM-5", "issue" : "3", "issued" : { "date-parts" : [ [ "2012" ] ] }, "page" : "214-233", "title" : "A synthesis of existing systematic reviews and meta-analyses of school-based behavioural interventions for controlling and preventing obesity", "type" : "article-journal", "volume" : "13" }, "uris" : [ "http://www.mendeley.com/documents/?uuid=99f778b3-42f0-4d02-b861-8b1f509659ab" ] }, { "id" : "ITEM-6", "itemData" : { "DOI" : "10.1111/obr.12277", "ISSN" : "14677881", "PMID" : "25893796", "abstract" : "Previous reviews of childhood obesity prevention have focused largely on schools and findings have been inconsistent. Funded by the US Agency for Healthcare Research and Quality (AHRQ) and the National Institutes of Health, we systematically evaluated the effectiveness of childhood obesity prevention programmes conducted in high-income countries and implemented in various settings. We searched MEDLINE\u00ae, Embase, PsycINFO, CINAHL\u00ae, ClinicalTrials.gov and the Cochrane Library from inception through 22 April 2013 for relevant studies, including randomized controlled trials, quasi-experimental studies and natural experiments, targeting diet, physical activity or both, and conducted in children aged 2-18 in high-income countries. Two reviewers independently abstracted the data. The strength of evidence (SOE) supporting interventions was graded for each study setting (e.g. home, school). Meta-analyses were performed on studies judged sufficiently similar and appropriate to pool using random effect models. This paper reported our findings on various adiposity-related outcomes. We identified 147 articles (139 intervention studies) of which 115 studies were primarily school based, although\u2009other settings could have been involved. Most were conducted in the United States and within the past decade. SOE was high for physical activity-only interventions delivered in schools with home involvement or combined diet-physical activity interventions delivered in schools with both home and community components. SOE was moderate for school-based interventions targeting either diet or physical activity, combined interventions delivered in schools with home or community components or combined interventions delivered in the community with a school component. SOE was low for combined interventions in childcare or home settings. Evidence was insufficient for other interventions. In conclusion, at least moderately strong evidence supports the effectiveness of school-based interventions for preventing childhood obesity. More research is needed to evaluate programmes in other settings or of other design types, especially environmental, policy and consumer health informatics-oriented interventions.", "author" : [ { "dropping-particle" : "", "family" : "Wang", "given" : "Y.", "non-dropping-particle" : "", "parse-names" : false, "suffix" : "" }, { "dropping-particle" : "", "family" : "Cai", "given" : "L.", "non-dropping-particle" : "", "parse-names" : false, "suffix" : "" }, { "dropping-particle" : "", "family" : "Wu", "given" : "Y.", "non-dropping-particle" : "", "parse-names" : false, "suffix" : "" }, { "dropping-particle" : "", "family" : "Wilson", "given" : "R. F.", "non-dropping-particle" : "", "parse-names" : false, "suffix" : "" }, { "dropping-particle" : "", "family" : "Weston", "given" : "C.", "non-dropping-particle" : "", "parse-names" : false, "suffix" : "" }, { "dropping-particle" : "", "family" : "Fawole", "given" : "O.", "non-dropping-particle" : "", "parse-names" : false, "suffix" : "" }, { "dropping-particle" : "", "family" : "Bleich", "given" : "S. N.", "non-dropping-particle" : "", "parse-names" : false, "suffix" : "" }, { "dropping-particle" : "", "family" : "Cheskin", "given" : "L. J.", "non-dropping-particle" : "", "parse-names" : false, "suffix" : "" }, { "dropping-particle" : "", "family" : "Showell", "given" : "N. N.", "non-dropping-particle" : "", "parse-names" : false, "suffix" : "" }, { "dropping-particle" : "", "family" : "Lau", "given" : "B. D.", "non-dropping-particle" : "", "parse-names" : false, "suffix" : "" }, { "dropping-particle" : "", "family" : "Chiu", "given" : "D. T.", "non-dropping-particle" : "", "parse-names" : false, "suffix" : "" }, { "dropping-particle" : "", "family" : "Zhang", "given" : "A.", "non-dropping-particle" : "", "parse-names" : false, "suffix" : "" }, { "dropping-particle" : "", "family" : "Segal", "given" : "J.", "non-dropping-particle" : "", "parse-names" : false, "suffix" : "" } ], "container-title" : "Obesity Reviews", "id" : "ITEM-6", "issue" : "7", "issued" : { "date-parts" : [ [ "2015", "7", "20" ] ] }, "page" : "547-565", "title" : "What childhood obesity prevention programmes work? A systematic review and meta-analysis", "type" : "article-journal", "volume" : "16" }, "uris" : [ "http://www.mendeley.com/documents/?uuid=6062d135-073b-40bc-a5de-04435d42cd04" ] } ], "mendeley" : { "formattedCitation" : "(Lister-Sharp, 1998; Brown and Summerbell, 2009; Bourdeaudhuij, 2011; Waters and Silva-Sanigorski, 2011; Khambalia et al., 2012; Wang et al., 2015)", "plainTextFormattedCitation" : "(Lister-Sharp, 1998; Brown and Summerbell, 2009; Bourdeaudhuij, 2011; Waters and Silva-Sanigorski, 2011; Khambalia et al., 2012; Wang et al., 2015)", "previouslyFormattedCitation" : "(Lister-Sharp, 1998; Brown and Summerbell, 2009; Bourdeaudhuij, 2011; Waters and Silva-Sanigorski, 2011; Khambalia et al., 2012; Wang et al., 2015)" }, "properties" : { "noteIndex" : 0 }, "schema" : "https://github.com/citation-style-language/schema/raw/master/csl-citation.json" }</w:instrText>
      </w:r>
      <w:r w:rsidR="001217DC" w:rsidRPr="009B3747">
        <w:rPr>
          <w:rFonts w:eastAsia="Times New Roman" w:cstheme="minorHAnsi"/>
          <w:color w:val="000000"/>
          <w:lang w:eastAsia="en-GB"/>
        </w:rPr>
        <w:fldChar w:fldCharType="separate"/>
      </w:r>
      <w:r w:rsidR="001217DC" w:rsidRPr="009B3747">
        <w:rPr>
          <w:rFonts w:eastAsia="Times New Roman" w:cstheme="minorHAnsi"/>
          <w:noProof/>
          <w:color w:val="000000"/>
          <w:lang w:eastAsia="en-GB"/>
        </w:rPr>
        <w:t>(Lister-Sharp, 1998; Brown and Summerbell, 2009; Bourdeaudhuij, 2011; Waters and Silva-Sanigorski, 2011; Khambalia et al., 2012; Wang et al., 2015)</w:t>
      </w:r>
      <w:r w:rsidR="001217DC" w:rsidRPr="009B3747">
        <w:rPr>
          <w:rFonts w:eastAsia="Times New Roman" w:cstheme="minorHAnsi"/>
          <w:color w:val="000000"/>
          <w:lang w:eastAsia="en-GB"/>
        </w:rPr>
        <w:fldChar w:fldCharType="end"/>
      </w:r>
      <w:r w:rsidR="00A16FA3" w:rsidRPr="009B3747">
        <w:rPr>
          <w:rFonts w:eastAsia="Times New Roman" w:cstheme="minorHAnsi"/>
          <w:color w:val="000000"/>
          <w:lang w:eastAsia="en-GB"/>
        </w:rPr>
        <w:t>.  This is</w:t>
      </w:r>
      <w:r w:rsidR="00E07612" w:rsidRPr="009B3747">
        <w:rPr>
          <w:rFonts w:eastAsia="Times New Roman" w:cstheme="minorHAnsi"/>
          <w:color w:val="000000"/>
          <w:lang w:eastAsia="en-GB"/>
        </w:rPr>
        <w:t xml:space="preserve"> of</w:t>
      </w:r>
      <w:r w:rsidR="00A16FA3" w:rsidRPr="009B3747">
        <w:rPr>
          <w:rFonts w:eastAsia="Times New Roman" w:cstheme="minorHAnsi"/>
          <w:color w:val="000000"/>
          <w:lang w:eastAsia="en-GB"/>
        </w:rPr>
        <w:t xml:space="preserve"> particular importance at a secondary school level, where the limited evidence base presents further challenges to understanding and examining effectiveness.  </w:t>
      </w:r>
    </w:p>
    <w:p w:rsidR="001217DC" w:rsidRDefault="001217DC" w:rsidP="00A16FA3">
      <w:pPr>
        <w:rPr>
          <w:rFonts w:eastAsia="Times New Roman" w:cstheme="minorHAnsi"/>
          <w:sz w:val="24"/>
          <w:szCs w:val="24"/>
          <w:lang w:eastAsia="en-GB"/>
        </w:rPr>
      </w:pPr>
    </w:p>
    <w:p w:rsidR="00A16FA3" w:rsidRPr="009B3747" w:rsidRDefault="00A16FA3" w:rsidP="00A16FA3">
      <w:pPr>
        <w:rPr>
          <w:rFonts w:eastAsia="Times New Roman" w:cstheme="minorHAnsi"/>
          <w:sz w:val="24"/>
          <w:szCs w:val="24"/>
          <w:lang w:eastAsia="en-GB"/>
        </w:rPr>
      </w:pPr>
      <w:r w:rsidRPr="009B3747">
        <w:rPr>
          <w:rFonts w:eastAsia="Times New Roman" w:cstheme="minorHAnsi"/>
          <w:color w:val="000000"/>
          <w:lang w:eastAsia="en-GB"/>
        </w:rPr>
        <w:t>In spite of these limitations, a number of intervention points or critical success factors were consistently identified across systematic reviews and meta-analyses that were supported by at least a moderate level of strength</w:t>
      </w:r>
      <w:r w:rsidR="00E07612" w:rsidRPr="009B3747">
        <w:rPr>
          <w:rFonts w:eastAsia="Times New Roman" w:cstheme="minorHAnsi"/>
          <w:color w:val="000000"/>
          <w:lang w:eastAsia="en-GB"/>
        </w:rPr>
        <w:t xml:space="preserve"> </w:t>
      </w:r>
      <w:r w:rsidR="00E07612"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"Waters", "given" : "E", "non-dropping-particle" : "", "parse-names" : false, "suffix" : "" }, { "dropping-particle" : "de", "family" : "Silva-Sanigorski", "given" : "A", "non-dropping-particle" : "", "parse-names" : false, "suffix" : "" } ], "container-title" : "Cochrane Database of Systematic Reviews", "id" : "ITEM-1", "issue" : "12", "issued" : { "date-parts" : [ [ "2011" ] ] }, "title" : "Interventions for preventing obesity in children", "type" : "article-journal" }, "uris" : [ "http://www.mendeley.com/documents/?uuid=edceb688-e3c5-459d-b1d2-e8f0aa963cd2" ] }, { "id" : "ITEM-2", "itemData" : { "DOI" : "10.1111/j.1467-789X.2011.00947.x", "ISBN" : "1467-789X (Electronic)\\n1467-7881 (Linking)", "ISSN" : "14677881", "PMID" : "22070186", "abstract" : "Schools are an attractive and popular setting for implementing interventions for children. There is a growing body of empirical research exploring the efficacy of school-based obesity prevention programs. While there have been several reviews on the topic, findings remain mixed. To examine the quality of evidence and compare the findings from existing systematic reviews and meta-analyses of school-based programs in the prevention and control of childhood obesity. This paper systematically appraises the methodology and conclusions of literature reviews examining the effectiveness of school-based obesity interventions published in English in peer-reviewed journals between January 1990 and October 2010. Eight reviews were examined, three meta-analyses and five systematic reviews. All of the reviews recognized that studies were heterogeneous in design, participants, intervention and outcomes. Intervention components in the school setting associated with a significant reduction of weight in children included long-term interventions with combined diet and physical activity and a family component. Several reviews also found gender differences in response to interventions. Of the eight reviews, five were deemed of high quality and yet limited evidence was found on which to base recommendations. As no single intervention will fit all schools and populations, further high-quality research needs to focus on identifying specific program characteristics predictive of success.", "author" : [ { "dropping-particle" : "", "family" : "Khambalia", "given" : "a. Z.", "non-dropping-particle" : "", "parse-names" : false, "suffix" : "" }, { "dropping-particle" : "", "family" : "Dickinson", "given" : "S.", "non-dropping-particle" : "", "parse-names" : false, "suffix" : "" }, { "dropping-particle" : "", "family" : "Hardy", "given" : "L. L.", "non-dropping-particle" : "", "parse-names" : false, "suffix" : "" }, { "dropping-particle" : "", "family" : "Gill", "given" : "T.", "non-dropping-particle" : "", "parse-names" : false, "suffix" : "" }, { "dropping-particle" : "", "family" : "Baur", "given" : "L. a.", "non-dropping-particle" : "", "parse-names" : false, "suffix" : "" } ], "container-title" : "Obesity Reviews", "id" : "ITEM-2", "issue" : "3", "issued" : { "date-parts" : [ [ "2012" ] ] }, "page" : "214-233", "title" : "A synthesis of existing systematic reviews and meta-analyses of school-based behavioural interventions for controlling and preventing obesity", "type" : "article-journal", "volume" : "13" }, "uris" : [ "http://www.mendeley.com/documents/?uuid=99f778b3-42f0-4d02-b861-8b1f509659ab" ] }, { "id" : "ITEM-3", "itemData" : { "DOI" : "10.1111/obr.12277", "ISSN" : "14677881", "PMID" : "25893796", "abstract" : "Previous reviews of childhood obesity prevention have focused largely on schools and findings have been inconsistent. Funded by the US Agency for Healthcare Research and Quality (AHRQ) and the National Institutes of Health, we systematically evaluated the effectiveness of childhood obesity prevention programmes conducted in high-income countries and implemented in various settings. We searched MEDLINE\u00ae, Embase, PsycINFO, CINAHL\u00ae, ClinicalTrials.gov and the Cochrane Library from inception through 22 April 2013 for relevant studies, including randomized controlled trials, quasi-experimental studies and natural experiments, targeting diet, physical activity or both, and conducted in children aged 2-18 in high-income countries. Two reviewers independently abstracted the data. The strength of evidence (SOE) supporting interventions was graded for each study setting (e.g. home, school). Meta-analyses were performed on studies judged sufficiently similar and appropriate to pool using random effect models. This paper reported our findings on various adiposity-related outcomes. We identified 147 articles (139 intervention studies) of which 115 studies were primarily school based, although\u2009other settings could have been involved. Most were conducted in the United States and within the past decade. SOE was high for physical activity-only interventions delivered in schools with home involvement or combined diet-physical activity interventions delivered in schools with both home and community components. SOE was moderate for school-based interventions targeting either diet or physical activity, combined interventions delivered in schools with home or community components or combined interventions delivered in the community with a school component. SOE was low for combined interventions in childcare or home settings. Evidence was insufficient for other interventions. In conclusion, at least moderately strong evidence supports the effectiveness of school-based interventions for preventing childhood obesity. More research is needed to evaluate programmes in other settings or of other design types, especially environmental, policy and consumer health informatics-oriented interventions.", "author" : [ { "dropping-particle" : "", "family" : "Wang", "given" : "Y.", "non-dropping-particle" : "", "parse-names" : false, "suffix" : "" }, { "dropping-particle" : "", "family" : "Cai", "given" : "L.", "non-dropping-particle" : "", "parse-names" : false, "suffix" : "" }, { "dropping-particle" : "", "family" : "Wu", "given" : "Y.", "non-dropping-particle" : "", "parse-names" : false, "suffix" : "" }, { "dropping-particle" : "", "family" : "Wilson", "given" : "R. F.", "non-dropping-particle" : "", "parse-names" : false, "suffix" : "" }, { "dropping-particle" : "", "family" : "Weston", "given" : "C.", "non-dropping-particle" : "", "parse-names" : false, "suffix" : "" }, { "dropping-particle" : "", "family" : "Fawole", "given" : "O.", "non-dropping-particle" : "", "parse-names" : false, "suffix" : "" }, { "dropping-particle" : "", "family" : "Bleich", "given" : "S. N.", "non-dropping-particle" : "", "parse-names" : false, "suffix" : "" }, { "dropping-particle" : "", "family" : "Cheskin", "given" : "L. J.", "non-dropping-particle" : "", "parse-names" : false, "suffix" : "" }, { "dropping-particle" : "", "family" : "Showell", "given" : "N. N.", "non-dropping-particle" : "", "parse-names" : false, "suffix" : "" }, { "dropping-particle" : "", "family" : "Lau", "given" : "B. D.", "non-dropping-particle" : "", "parse-names" : false, "suffix" : "" }, { "dropping-particle" : "", "family" : "Chiu", "given" : "D. T.", "non-dropping-particle" : "", "parse-names" : false, "suffix" : "" }, { "dropping-particle" : "", "family" : "Zhang", "given" : "A.", "non-dropping-particle" : "", "parse-names" : false, "suffix" : "" }, { "dropping-particle" : "", "family" : "Segal", "given" : "J.", "non-dropping-particle" : "", "parse-names" : false, "suffix" : "" } ], "container-title" : "Obesity Reviews", "id" : "ITEM-3", "issue" : "7", "issued" : { "date-parts" : [ [ "2015", "7", "20" ] ] }, "page" : "547-565", "title" : "What childhood obesity prevention programmes work? A systematic review and meta-analysis", "type" : "article-journal", "volume" : "16" }, "uris" : [ "http://www.mendeley.com/documents/?uuid=6062d135-073b-40bc-a5de-04435d42cd04" ] }, { "id" : "ITEM-4", "itemData" : { "author" : [ { "dropping-particle" : "", "family" : "Guerra", "given" : "PH", "non-dropping-particle" : "", "parse-names" : false, "suffix" : "" }, { "dropping-particle" : "da", "family" : "Silveira", "given" : "JAC", "non-dropping-particle" : "", "parse-names" : false, "suffix" : "" }, { "dropping-particle" : "", "family" : "Salvador", "given" : "EP", "non-dropping-particle" : "", "parse-names" : false, "suffix" : "" } ], "container-title" : "Jornal de Pediatria", "id" : "ITEM-4", "issue" : "1", "issued" : { "date-parts" : [ [ "2015" ] ] }, "page" : "15-23", "title" : "Physical activity and nutrition education at the school environment aimed at preventing childhood obesity: evidence from systematic reviews", "type" : "article-journal", "volume" : "92" }, "uris" : [ "http://www.mendeley.com/documents/?uuid=98dd3955-cf26-4c07-8061-13dd1c0276c8" ] } ], "mendeley" : { "formattedCitation" : "(Waters and Silva-Sanigorski, 2011; Khambalia et al., 2012; Wang et al., 2015; Guerra et al., 2015)", "plainTextFormattedCitation" : "(Waters and Silva-Sanigorski, 2011; Khambalia et al., 2012; Wang et al., 2015; Guerra et al., 2015)", "previouslyFormattedCitation" : "(Waters and Silva-Sanigorski, 2011; Khambalia et al., 2012; Wang et al., 2015; Guerra et al., 2015)" }, "properties" : { "noteIndex" : 0 }, "schema" : "https://github.com/citation-style-language/schema/raw/master/csl-citation.json" }</w:instrText>
      </w:r>
      <w:r w:rsidR="00E07612" w:rsidRPr="009B3747">
        <w:rPr>
          <w:rFonts w:eastAsia="Times New Roman" w:cstheme="minorHAnsi"/>
          <w:color w:val="000000"/>
          <w:lang w:eastAsia="en-GB"/>
        </w:rPr>
        <w:fldChar w:fldCharType="separate"/>
      </w:r>
      <w:r w:rsidR="00E07612" w:rsidRPr="009B3747">
        <w:rPr>
          <w:rFonts w:eastAsia="Times New Roman" w:cstheme="minorHAnsi"/>
          <w:noProof/>
          <w:color w:val="000000"/>
          <w:lang w:eastAsia="en-GB"/>
        </w:rPr>
        <w:t>(Waters and Silva-Sanigorski, 2011; Khambalia et al., 2012; Wang et al., 2015; Guerra et al., 2015)</w:t>
      </w:r>
      <w:r w:rsidR="00E07612" w:rsidRPr="009B3747">
        <w:rPr>
          <w:rFonts w:eastAsia="Times New Roman" w:cstheme="minorHAnsi"/>
          <w:color w:val="000000"/>
          <w:lang w:eastAsia="en-GB"/>
        </w:rPr>
        <w:fldChar w:fldCharType="end"/>
      </w:r>
      <w:r w:rsidR="00E07612" w:rsidRPr="009B3747">
        <w:rPr>
          <w:rFonts w:eastAsia="Times New Roman" w:cstheme="minorHAnsi"/>
          <w:color w:val="000000"/>
          <w:lang w:eastAsia="en-GB"/>
        </w:rPr>
        <w:t xml:space="preserve">.  </w:t>
      </w:r>
      <w:r w:rsidRPr="009B3747">
        <w:rPr>
          <w:rFonts w:eastAsia="Times New Roman" w:cstheme="minorHAnsi"/>
          <w:color w:val="000000"/>
          <w:lang w:eastAsia="en-GB"/>
        </w:rPr>
        <w:t>The highest proportion of studies at both a primary and secondary school level with favourab</w:t>
      </w:r>
      <w:r w:rsidR="00CD7979" w:rsidRPr="009B3747">
        <w:rPr>
          <w:rFonts w:eastAsia="Times New Roman" w:cstheme="minorHAnsi"/>
          <w:color w:val="000000"/>
          <w:lang w:eastAsia="en-GB"/>
        </w:rPr>
        <w:t>le or successful outcomes were:</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A16FA3" w:rsidRPr="009B3747" w:rsidRDefault="00A16FA3" w:rsidP="00A16FA3">
      <w:pPr>
        <w:numPr>
          <w:ilvl w:val="0"/>
          <w:numId w:val="2"/>
        </w:numPr>
        <w:textAlignment w:val="baseline"/>
        <w:rPr>
          <w:rFonts w:eastAsia="Times New Roman" w:cstheme="minorHAnsi"/>
          <w:color w:val="000000"/>
          <w:lang w:eastAsia="en-GB"/>
        </w:rPr>
      </w:pPr>
      <w:r w:rsidRPr="009B3747">
        <w:rPr>
          <w:rFonts w:eastAsia="Times New Roman" w:cstheme="minorHAnsi"/>
          <w:color w:val="000000"/>
          <w:lang w:eastAsia="en-GB"/>
        </w:rPr>
        <w:t>School based with home or family involvement</w:t>
      </w:r>
    </w:p>
    <w:p w:rsidR="00A16FA3" w:rsidRPr="009B3747" w:rsidRDefault="00A16FA3" w:rsidP="00A16FA3">
      <w:pPr>
        <w:numPr>
          <w:ilvl w:val="0"/>
          <w:numId w:val="2"/>
        </w:numPr>
        <w:textAlignment w:val="baseline"/>
        <w:rPr>
          <w:rFonts w:eastAsia="Times New Roman" w:cstheme="minorHAnsi"/>
          <w:color w:val="000000"/>
          <w:lang w:eastAsia="en-GB"/>
        </w:rPr>
      </w:pPr>
      <w:r w:rsidRPr="009B3747">
        <w:rPr>
          <w:rFonts w:eastAsia="Times New Roman" w:cstheme="minorHAnsi"/>
          <w:color w:val="000000"/>
          <w:lang w:eastAsia="en-GB"/>
        </w:rPr>
        <w:t>Multi-component focusing on both physical activity and dietary behaviours</w:t>
      </w:r>
    </w:p>
    <w:p w:rsidR="00A16FA3" w:rsidRPr="009B3747" w:rsidRDefault="00A16FA3" w:rsidP="00A16FA3">
      <w:pPr>
        <w:numPr>
          <w:ilvl w:val="0"/>
          <w:numId w:val="2"/>
        </w:numPr>
        <w:textAlignment w:val="baseline"/>
        <w:rPr>
          <w:rFonts w:eastAsia="Times New Roman" w:cstheme="minorHAnsi"/>
          <w:color w:val="000000"/>
          <w:lang w:eastAsia="en-GB"/>
        </w:rPr>
      </w:pPr>
      <w:r w:rsidRPr="009B3747">
        <w:rPr>
          <w:rFonts w:eastAsia="Times New Roman" w:cstheme="minorHAnsi"/>
          <w:color w:val="000000"/>
          <w:lang w:eastAsia="en-GB"/>
        </w:rPr>
        <w:t>Providing improved physical activity facilities and healthy food choices</w:t>
      </w:r>
    </w:p>
    <w:p w:rsidR="00A16FA3" w:rsidRPr="009B3747" w:rsidRDefault="00A16FA3" w:rsidP="00A16FA3">
      <w:pPr>
        <w:numPr>
          <w:ilvl w:val="0"/>
          <w:numId w:val="2"/>
        </w:numPr>
        <w:textAlignment w:val="baseline"/>
        <w:rPr>
          <w:rFonts w:eastAsia="Times New Roman" w:cstheme="minorHAnsi"/>
          <w:color w:val="000000"/>
          <w:lang w:eastAsia="en-GB"/>
        </w:rPr>
      </w:pPr>
      <w:r w:rsidRPr="009B3747">
        <w:rPr>
          <w:rFonts w:eastAsia="Times New Roman" w:cstheme="minorHAnsi"/>
          <w:color w:val="000000"/>
          <w:lang w:eastAsia="en-GB"/>
        </w:rPr>
        <w:t>Integrating nutrition and physical activity in the standard curriculum</w:t>
      </w:r>
    </w:p>
    <w:p w:rsidR="00A16FA3" w:rsidRPr="009B3747" w:rsidRDefault="00A16FA3" w:rsidP="00A16FA3">
      <w:pPr>
        <w:numPr>
          <w:ilvl w:val="0"/>
          <w:numId w:val="2"/>
        </w:numPr>
        <w:textAlignment w:val="baseline"/>
        <w:rPr>
          <w:rFonts w:eastAsia="Times New Roman" w:cstheme="minorHAnsi"/>
          <w:color w:val="000000"/>
          <w:lang w:eastAsia="en-GB"/>
        </w:rPr>
      </w:pPr>
      <w:r w:rsidRPr="009B3747">
        <w:rPr>
          <w:rFonts w:eastAsia="Times New Roman" w:cstheme="minorHAnsi"/>
          <w:color w:val="000000"/>
          <w:lang w:eastAsia="en-GB"/>
        </w:rPr>
        <w:t>Longer in duration</w:t>
      </w:r>
    </w:p>
    <w:p w:rsidR="00A16FA3" w:rsidRPr="009B3747" w:rsidRDefault="00A16FA3" w:rsidP="00A16FA3">
      <w:pPr>
        <w:numPr>
          <w:ilvl w:val="0"/>
          <w:numId w:val="2"/>
        </w:numPr>
        <w:textAlignment w:val="baseline"/>
        <w:rPr>
          <w:rFonts w:eastAsia="Times New Roman" w:cstheme="minorHAnsi"/>
          <w:color w:val="000000"/>
          <w:lang w:eastAsia="en-GB"/>
        </w:rPr>
      </w:pPr>
      <w:r w:rsidRPr="009B3747">
        <w:rPr>
          <w:rFonts w:eastAsia="Times New Roman" w:cstheme="minorHAnsi"/>
          <w:color w:val="000000"/>
          <w:lang w:eastAsia="en-GB"/>
        </w:rPr>
        <w:t>Supported by and provided support to school stakeholders including teachers and leaders</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A16FA3" w:rsidRPr="009B3747" w:rsidRDefault="00C34D84" w:rsidP="00A16FA3">
      <w:pPr>
        <w:rPr>
          <w:rFonts w:eastAsia="Times New Roman" w:cstheme="minorHAnsi"/>
          <w:lang w:eastAsia="en-GB"/>
        </w:rPr>
      </w:pPr>
      <w:r w:rsidRPr="009B3747">
        <w:rPr>
          <w:rFonts w:eastAsia="Times New Roman" w:cstheme="minorHAnsi"/>
          <w:bCs/>
          <w:color w:val="000000"/>
          <w:u w:val="single"/>
          <w:lang w:eastAsia="en-GB"/>
        </w:rPr>
        <w:lastRenderedPageBreak/>
        <w:t>2</w:t>
      </w:r>
      <w:r w:rsidR="00F757C7" w:rsidRPr="009B3747">
        <w:rPr>
          <w:rFonts w:eastAsia="Times New Roman" w:cstheme="minorHAnsi"/>
          <w:bCs/>
          <w:color w:val="000000"/>
          <w:u w:val="single"/>
          <w:lang w:eastAsia="en-GB"/>
        </w:rPr>
        <w:t xml:space="preserve">.7.2 </w:t>
      </w:r>
      <w:r w:rsidR="00A16FA3" w:rsidRPr="009B3747">
        <w:rPr>
          <w:rFonts w:eastAsia="Times New Roman" w:cstheme="minorHAnsi"/>
          <w:bCs/>
          <w:color w:val="000000"/>
          <w:u w:val="single"/>
          <w:lang w:eastAsia="en-GB"/>
        </w:rPr>
        <w:t xml:space="preserve">Childhood obesity prevention - school stakeholders </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A16FA3" w:rsidRPr="009B3747" w:rsidRDefault="00A16FA3" w:rsidP="00A16FA3">
      <w:pPr>
        <w:rPr>
          <w:rFonts w:eastAsia="Times New Roman" w:cstheme="minorHAnsi"/>
          <w:color w:val="000000"/>
          <w:lang w:eastAsia="en-GB"/>
        </w:rPr>
      </w:pPr>
      <w:r w:rsidRPr="009B3747">
        <w:rPr>
          <w:rFonts w:eastAsia="Times New Roman" w:cstheme="minorHAnsi"/>
          <w:color w:val="000000"/>
          <w:lang w:eastAsia="en-GB"/>
        </w:rPr>
        <w:t xml:space="preserve">One of the critical success factors for obesity prevention interventions, identified across a number of systematic reviews was the role and engagement of school stakeholders.  This is supported by </w:t>
      </w:r>
      <w:r w:rsidR="001217DC">
        <w:rPr>
          <w:rFonts w:eastAsia="Times New Roman" w:cstheme="minorHAnsi"/>
          <w:color w:val="000000"/>
          <w:lang w:eastAsia="en-GB"/>
        </w:rPr>
        <w:t>a wealth of academic literature, which h</w:t>
      </w:r>
      <w:r w:rsidRPr="009B3747">
        <w:rPr>
          <w:rFonts w:eastAsia="Times New Roman" w:cstheme="minorHAnsi"/>
          <w:color w:val="000000"/>
          <w:lang w:eastAsia="en-GB"/>
        </w:rPr>
        <w:t>as proposed the crucial importance of school staff, parents and wider community partners for influencing the outcomes of health p</w:t>
      </w:r>
      <w:r w:rsidR="00FA6BC1" w:rsidRPr="009B3747">
        <w:rPr>
          <w:rFonts w:eastAsia="Times New Roman" w:cstheme="minorHAnsi"/>
          <w:color w:val="000000"/>
          <w:lang w:eastAsia="en-GB"/>
        </w:rPr>
        <w:t xml:space="preserve">romotion activity and </w:t>
      </w:r>
      <w:r w:rsidRPr="009B3747">
        <w:rPr>
          <w:rFonts w:eastAsia="Times New Roman" w:cstheme="minorHAnsi"/>
          <w:color w:val="000000"/>
          <w:lang w:eastAsia="en-GB"/>
        </w:rPr>
        <w:t>obesity prevention in primary and secondary schools</w:t>
      </w:r>
      <w:r w:rsidR="00E07612" w:rsidRPr="009B3747">
        <w:rPr>
          <w:rFonts w:eastAsia="Times New Roman" w:cstheme="minorHAnsi"/>
          <w:color w:val="000000"/>
          <w:lang w:eastAsia="en-GB"/>
        </w:rPr>
        <w:t xml:space="preserve"> </w:t>
      </w:r>
      <w:r w:rsidR="00E07612"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"Deschesnes", "given" : "M", "non-dropping-particle" : "", "parse-names" : false, "suffix" : "" }, { "dropping-particle" : "", "family" : "Martin", "given" : "C", "non-dropping-particle" : "", "parse-names" : false, "suffix" : "" }, { "dropping-particle" : "", "family" : "Hill", "given" : "AJ", "non-dropping-particle" : "", "parse-names" : false, "suffix" : "" } ], "container-title" : "Health promotion international", "id" : "ITEM-1", "issue" : "4", "issued" : { "date-parts" : [ [ "2003" ] ] }, "page" : "387-396", "title" : "Comprehensive approaches to school health promotion: how to achieve broader implementation?", "type" : "article-journal", "volume" : "18" }, "uris" : [ "http://www.mendeley.com/documents/?uuid=c0e8215d-1499-433c-af21-86e9699c5c79" ] }, { "id" : "ITEM-2", "itemData" : { "DOI" : "10.1111/j.1475-6773.2006.00684.x", "ISSN" : "0017-9124", "PMID" : "17286625", "abstract" : "OBJECTIVE: To provide practical strategies for conducting and evaluating analyses of qualitative data applicable for health services researchers. DATA SOURCES AND DESIGN: We draw on extant qualitative methodological literature to describe practical approaches to qualitative data analysis. Approaches to data analysis vary by discipline and analytic tradition; however, we focus on qualitative data analysis that has as a goal the generation of taxonomy, themes, and theory germane to health services research.\n\nPRINCIPLE FINDINGS: We describe an approach to qualitative data analysis that applies the principles of inductive reasoning while also employing predetermined code types to guide data analysis and interpretation. These code types (conceptual, relationship, perspective, participant characteristics, and setting codes) define a structure that is appropriate for generation of taxonomy, themes, and theory. Conceptual codes and subcodes facilitate the development of taxonomies. Relationship and perspective codes facilitate the development of themes and theory. Intersectional analyses with data coded for participant characteristics and setting codes can facilitate comparative analyses.\n\nCONCLUSIONS: Qualitative inquiry can improve the description and explanation of complex, real-world phenomena pertinent to health services research. Greater understanding of the processes of qualitative data analysis can be helpful for health services researchers as they use these methods themselves or collaborate with qualitative researchers from a wide range of disciplines.", "author" : [ { "dropping-particle" : "", "family" : "Bradley", "given" : "Elizabeth H", "non-dropping-particle" : "", "parse-names" : false, "suffix" : "" }, { "dropping-particle" : "", "family" : "Curry", "given" : "Leslie A", "non-dropping-particle" : "", "parse-names" : false, "suffix" : "" }, { "dropping-particle" : "", "family" : "Devers", "given" : "Kelly J", "non-dropping-particle" : "", "parse-names" : false, "suffix" : "" } ], "container-title" : "Health services research", "id" : "ITEM-2", "issue" : "4", "issued" : { "date-parts" : [ [ "2007", "8" ] ] }, "page" : "1758-72", "title" : "Qualitative data analysis for health services research: developing taxonomy, themes, and theory.", "type" : "article-journal", "volume" : "42" }, "uris" : [ "http://www.mendeley.com/documents/?uuid=0603c290-a9eb-40b6-8f37-e38c6fb46aa7" ] }, { "id" : "ITEM-3", "itemData" : { "author" : [ { "dropping-particle" : "", "family" : "Keshavarz", "given" : "N", "non-dropping-particle" : "", "parse-names" : false, "suffix" : "" }, { "dropping-particle" : "", "family" : "Nutbeam", "given" : "D", "non-dropping-particle" : "", "parse-names" : false, "suffix" : "" } ], "container-title" : "Social Science &amp; Medicine", "id" : "ITEM-3", "issue" : "10", "issued" : { "date-parts" : [ [ "2010" ] ] }, "page" : "1467-1474", "title" : "Schools as social complex adaptive systems: a new way to understand the challenges of introducing the health promoting schools concept", "type" : "article-journal", "volume" : "70" }, "uris" : [ "http://www.mendeley.com/documents/?uuid=2374f76d-9254-4fe6-b5b6-448d49f7a371" ] }, { "id" : "ITEM-4", "itemData" : { "author" : [ { "dropping-particle" : "", "family" : "Flaschberger", "given" : "E", "non-dropping-particle" : "", "parse-names" : false, "suffix" : "" } ], "container-title" : "Health promotion practice", "id" : "ITEM-4", "issue" : "3", "issued" : { "date-parts" : [ [ "2012" ] ] }, "page" : "364-369", "title" : "Implementing School Health Promotion in Austria Experiences From a Pilot Training Course", "type" : "article-journal", "volume" : "13" }, "uris" : [ "http://www.mendeley.com/documents/?uuid=b17397ea-81d6-4303-8977-80e2cbee08cc" ] }, { "id" : "ITEM-5", "itemData" : { "DOI" : "10.1371/journal.pone.0108284", "ISSN" : "1932-6203", "author" : [ { "dropping-particle" : "", "family" : "Hung", "given" : "Tommy Tsz Man", "non-dropping-particle" : "", "parse-names" : false, "suffix" : "" }, { "dropping-particle" : "", "family" : "Chiang", "given" : "Vico Chung Lim", "non-dropping-particle" : "", "parse-names" : false, "suffix" : "" }, { "dropping-particle" : "", "family" : "Dawson", "given" : "Angela", "non-dropping-particle" : "", "parse-names" : false, "suffix" : "" }, { "dropping-particle" : "", "family" : "Lee", "given" : "Regina Lai Tong", "non-dropping-particle" : "", "parse-names" : false, "suffix" : "" }, { "dropping-particle" : "", "family" : "Carlisle", "given" : "R", "non-dropping-particle" : "", "parse-names" : false, "suffix" : "" } ], "container-title" : "PLoS ONE", "editor" : [ { "dropping-particle" : "", "family" : "Kokubo", "given" : "Yoshihiro", "non-dropping-particle" : "", "parse-names" : false, "suffix" : "" } ], "id" : "ITEM-5", "issue" : "9", "issued" : { "date-parts" : [ [ "2014", "9", "29" ] ] }, "page" : "e108284", "publisher" : "Public Library of Science", "title" : "Understanding of Factors that Enable Health Promoters in Implementing Health-Promoting Schools: A Systematic Review and Narrative Synthesis of Qualitative Evidence", "type" : "article-journal", "volume" : "9" }, "uris" : [ "http://www.mendeley.com/documents/?uuid=ae1f20e4-22b2-3cc5-b3e2-f5bab28f6071" ] } ], "mendeley" : { "formattedCitation" : "(Deschesnes et al., 2003; Bradley et al., 2007; Keshavarz and Nutbeam, 2010; Flaschberger, 2012; Hung et al., 2014)", "plainTextFormattedCitation" : "(Deschesnes et al., 2003; Bradley et al., 2007; Keshavarz and Nutbeam, 2010; Flaschberger, 2012; Hung et al., 2014)", "previouslyFormattedCitation" : "(Deschesnes et al., 2003; Bradley et al., 2007; Keshavarz and Nutbeam, 2010; Flaschberger, 2012; Hung et al., 2014)" }, "properties" : { "noteIndex" : 0 }, "schema" : "https://github.com/citation-style-language/schema/raw/master/csl-citation.json" }</w:instrText>
      </w:r>
      <w:r w:rsidR="00E07612" w:rsidRPr="009B3747">
        <w:rPr>
          <w:rFonts w:eastAsia="Times New Roman" w:cstheme="minorHAnsi"/>
          <w:color w:val="000000"/>
          <w:lang w:eastAsia="en-GB"/>
        </w:rPr>
        <w:fldChar w:fldCharType="separate"/>
      </w:r>
      <w:r w:rsidR="00E07612" w:rsidRPr="009B3747">
        <w:rPr>
          <w:rFonts w:eastAsia="Times New Roman" w:cstheme="minorHAnsi"/>
          <w:noProof/>
          <w:color w:val="000000"/>
          <w:lang w:eastAsia="en-GB"/>
        </w:rPr>
        <w:t>(Deschesnes et al., 2003; Bradley et al., 2007; Keshavarz and Nutbeam, 2010; Flaschberger, 2012; Hung et al., 2014)</w:t>
      </w:r>
      <w:r w:rsidR="00E07612" w:rsidRPr="009B3747">
        <w:rPr>
          <w:rFonts w:eastAsia="Times New Roman" w:cstheme="minorHAnsi"/>
          <w:color w:val="000000"/>
          <w:lang w:eastAsia="en-GB"/>
        </w:rPr>
        <w:fldChar w:fldCharType="end"/>
      </w:r>
      <w:r w:rsidRPr="009B3747">
        <w:rPr>
          <w:rFonts w:eastAsia="Times New Roman" w:cstheme="minorHAnsi"/>
          <w:color w:val="000000"/>
          <w:lang w:eastAsia="en-GB"/>
        </w:rPr>
        <w:t>.  Of notable significance, is the imperative role o</w:t>
      </w:r>
      <w:r w:rsidR="001217DC">
        <w:rPr>
          <w:rFonts w:eastAsia="Times New Roman" w:cstheme="minorHAnsi"/>
          <w:color w:val="000000"/>
          <w:lang w:eastAsia="en-GB"/>
        </w:rPr>
        <w:t xml:space="preserve">f school leaders (headteachers), </w:t>
      </w:r>
      <w:r w:rsidRPr="009B3747">
        <w:rPr>
          <w:rFonts w:eastAsia="Times New Roman" w:cstheme="minorHAnsi"/>
          <w:color w:val="000000"/>
          <w:lang w:eastAsia="en-GB"/>
        </w:rPr>
        <w:t>and the school board management (governors)</w:t>
      </w:r>
      <w:r w:rsidR="00E07612" w:rsidRPr="009B3747">
        <w:rPr>
          <w:rFonts w:eastAsia="Times New Roman" w:cstheme="minorHAnsi"/>
          <w:color w:val="000000"/>
          <w:lang w:eastAsia="en-GB"/>
        </w:rPr>
        <w:t xml:space="preserve"> </w:t>
      </w:r>
      <w:r w:rsidR="00E07612"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"Yager", "given" : "Z", "non-dropping-particle" : "", "parse-names" : false, "suffix" : "" }, { "dropping-particle" : "", "family" : "Dea", "given" : "JA O';", "non-dropping-particle" : "", "parse-names" : false, "suffix" : "" } ], "container-title" : "Eating Disorders", "id" : "ITEM-1", "issue" : "3", "issued" : { "date-parts" : [ [ "2005" ] ] }, "page" : "261-278", "title" : "The role of teachers and other educators in the prevention of eating disorders and child obesity: what are the issues?", "type" : "article-journal", "volume" : "13" }, "uris" : [ "http://www.mendeley.com/documents/?uuid=9e690bc9-c148-4a22-af40-4349f6a9ca2f" ] }, { "id" : "ITEM-2", "itemData" : { "author" : [ { "dropping-particle" : "", "family" : "Inchley", "given" : "J", "non-dropping-particle" : "", "parse-names" : false, "suffix" : "" }, { "dropping-particle" : "", "family" : "Muldoon", "given" : "J", "non-dropping-particle" : "", "parse-names" : false, "suffix" : "" }, { "dropping-particle" : "", "family" : "Currie", "given" : "C", "non-dropping-particle" : "", "parse-names" : false, "suffix" : "" } ], "container-title" : "Health Promotion International", "id" : "ITEM-2", "issue" : "1", "issued" : { "date-parts" : [ [ "2007" ] ] }, "page" : "65-71", "title" : "Becoming a health promoting school: evaluating the process of effective implementation in Scotland", "type" : "article-journal", "volume" : "22" }, "uris" : [ "http://www.mendeley.com/documents/?uuid=9ae6ded9-f5c1-4715-918e-ff528cfc6a67" ] }, { "id" : "ITEM-3", "itemData" : { "author" : [ { "dropping-particle" : "", "family" : "Swanton", "given" : "K", "non-dropping-particle" : "", "parse-names" : false, "suffix" : "" } ], "container-title" : "National Health Forum", "id" : "ITEM-3", "issued" : { "date-parts" : [ [ "2008" ] ] }, "publisher-place" : "London", "title" : "Healthy Weight, Healthy Lives: A toolkit for developing local strategies", "type" : "report" }, "uris" : [ "http://www.mendeley.com/documents/?uuid=b30e974e-41e9-493f-986d-8ab654023d57" ] }, { "id" : "ITEM-4", "itemData" : { "author" : [ { "dropping-particle" : "", "family" : "Keshavarz", "given" : "N", "non-dropping-particle" : "", "parse-names" : false, "suffix" : "" }, { "dropping-particle" : "", "family" : "Nutbeam", "given" : "D", "non-dropping-particle" : "", "parse-names" : false, "suffix" : "" } ], "container-title" : "Social Science &amp; Medicine", "id" : "ITEM-4", "issue" : "10", "issued" : { "date-parts" : [ [ "2010" ] ] }, "page" : "1467-1474", "title" : "Schools as social complex adaptive systems: a new way to understand the challenges of introducing the health promoting schools concept", "type" : "article-journal", "volume" : "70" }, "uris" : [ "http://www.mendeley.com/documents/?uuid=2374f76d-9254-4fe6-b5b6-448d49f7a371" ] }, { "id" : "ITEM-5", "itemData" : { "author" : [ { "dropping-particle" : "", "family" : "Clarke", "given" : "J", "non-dropping-particle" : "", "parse-names" : false, "suffix" : "" }, { "dropping-particle" : "", "family" : "Fletcher", "given" : "B", "non-dropping-particle" : "", "parse-names" : false, "suffix" : "" }, { "dropping-particle" : "", "family" : "Lancashire", "given" : "E", "non-dropping-particle" : "", "parse-names" : false, "suffix" : "" } ], "container-title" : "Obesity \u2026", "id" : "ITEM-5", "issue" : "12", "issued" : { "date-parts" : [ [ "2013" ] ] }, "page" : "975-988", "title" : "The views of stakeholders on the role of the primary school in preventing childhood obesity: a qualitative systematic review", "type" : "article-journal", "volume" : "14" }, "uris" : [ "http://www.mendeley.com/documents/?uuid=3c387bfd-6df4-468e-b78c-dacfe65735da" ] }, { "id" : "ITEM-6", "itemData" : { "DOI" : "10.1016/j.appet.2014.12.121", "ISSN" : "01956663", "author" : [ { "dropping-particle" : "", "family" : "Clarke", "given" : "J.", "non-dropping-particle" : "", "parse-names" : false, "suffix" : "" }, { "dropping-particle" : "", "family" : "Lancashire", "given" : "E.", "non-dropping-particle" : "", "parse-names" : false, "suffix" : "" }, { "dropping-particle" : "", "family" : "Pallan", "given" : "M.", "non-dropping-particle" : "", "parse-names" : false, "suffix" : "" }, { "dropping-particle" : "", "family" : "Adab", "given" : "P.", "non-dropping-particle" : "", "parse-names" : false, "suffix" : "" } ], "container-title" : "Appetite", "id" : "ITEM-6", "issued" : { "date-parts" : [ [ "2015", "4" ] ] }, "page" : "377", "title" : "Headteacher perspectives on the role of the primary school in preventing childhood obesity", "type" : "article-journal", "volume" : "87" }, "uris" : [ "http://www.mendeley.com/documents/?uuid=ac79f162-74f2-49d2-a629-f4abdfb486ea" ] } ], "mendeley" : { "formattedCitation" : "(Yager and Dea, 2005; Inchley et al., 2007; Swanton, 2008; Keshavarz and Nutbeam, 2010; Clarke et al., 2013, 2015)", "plainTextFormattedCitation" : "(Yager and Dea, 2005; Inchley et al., 2007; Swanton, 2008; Keshavarz and Nutbeam, 2010; Clarke et al., 2013, 2015)", "previouslyFormattedCitation" : "(Yager and Dea, 2005; Inchley et al., 2007; Swanton, 2008; Keshavarz and Nutbeam, 2010; Clarke et al., 2013, 2015)" }, "properties" : { "noteIndex" : 0 }, "schema" : "https://github.com/citation-style-language/schema/raw/master/csl-citation.json" }</w:instrText>
      </w:r>
      <w:r w:rsidR="00E07612" w:rsidRPr="009B3747">
        <w:rPr>
          <w:rFonts w:eastAsia="Times New Roman" w:cstheme="minorHAnsi"/>
          <w:color w:val="000000"/>
          <w:lang w:eastAsia="en-GB"/>
        </w:rPr>
        <w:fldChar w:fldCharType="separate"/>
      </w:r>
      <w:r w:rsidR="00E07612" w:rsidRPr="009B3747">
        <w:rPr>
          <w:rFonts w:eastAsia="Times New Roman" w:cstheme="minorHAnsi"/>
          <w:noProof/>
          <w:color w:val="000000"/>
          <w:lang w:eastAsia="en-GB"/>
        </w:rPr>
        <w:t>(Yager and Dea, 2005; Inchley et al., 2007; Swanton, 2008; Keshavarz and Nutbeam, 2010; Clarke et al., 2013, 2015)</w:t>
      </w:r>
      <w:r w:rsidR="00E07612" w:rsidRPr="009B3747">
        <w:rPr>
          <w:rFonts w:eastAsia="Times New Roman" w:cstheme="minorHAnsi"/>
          <w:color w:val="000000"/>
          <w:lang w:eastAsia="en-GB"/>
        </w:rPr>
        <w:fldChar w:fldCharType="end"/>
      </w:r>
      <w:r w:rsidR="00E07612" w:rsidRPr="009B3747">
        <w:rPr>
          <w:rFonts w:eastAsia="Times New Roman" w:cstheme="minorHAnsi"/>
          <w:color w:val="000000"/>
          <w:lang w:eastAsia="en-GB"/>
        </w:rPr>
        <w:t>.</w:t>
      </w:r>
    </w:p>
    <w:p w:rsidR="00961B10" w:rsidRPr="009B3747" w:rsidRDefault="00961B10" w:rsidP="00A16FA3">
      <w:pPr>
        <w:rPr>
          <w:rFonts w:eastAsia="Times New Roman" w:cstheme="minorHAnsi"/>
          <w:i/>
          <w:color w:val="000000"/>
          <w:lang w:eastAsia="en-GB"/>
        </w:rPr>
      </w:pPr>
    </w:p>
    <w:p w:rsidR="00A16FA3" w:rsidRPr="009B3747" w:rsidRDefault="00A16FA3" w:rsidP="00A16FA3">
      <w:pPr>
        <w:rPr>
          <w:rFonts w:eastAsia="Times New Roman" w:cstheme="minorHAnsi"/>
          <w:i/>
          <w:sz w:val="24"/>
          <w:szCs w:val="24"/>
          <w:lang w:eastAsia="en-GB"/>
        </w:rPr>
      </w:pPr>
      <w:r w:rsidRPr="009B3747">
        <w:rPr>
          <w:rFonts w:eastAsia="Times New Roman" w:cstheme="minorHAnsi"/>
          <w:i/>
          <w:color w:val="000000"/>
          <w:lang w:eastAsia="en-GB"/>
        </w:rPr>
        <w:t xml:space="preserve">School headteachers and governors </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A16FA3" w:rsidRPr="009B3747" w:rsidRDefault="00A16FA3" w:rsidP="00A16FA3">
      <w:pPr>
        <w:rPr>
          <w:rFonts w:eastAsia="Times New Roman" w:cstheme="minorHAnsi"/>
          <w:sz w:val="24"/>
          <w:szCs w:val="24"/>
          <w:lang w:eastAsia="en-GB"/>
        </w:rPr>
      </w:pPr>
      <w:r w:rsidRPr="009B3747">
        <w:rPr>
          <w:rFonts w:eastAsia="Times New Roman" w:cstheme="minorHAnsi"/>
          <w:color w:val="000000"/>
          <w:lang w:eastAsia="en-GB"/>
        </w:rPr>
        <w:t>Given the growing levels of school autonomy and self-governance</w:t>
      </w:r>
      <w:r w:rsidR="00E07612" w:rsidRPr="009B3747">
        <w:rPr>
          <w:rFonts w:eastAsia="Times New Roman" w:cstheme="minorHAnsi"/>
          <w:color w:val="000000"/>
          <w:lang w:eastAsia="en-GB"/>
        </w:rPr>
        <w:t xml:space="preserve"> </w:t>
      </w:r>
      <w:r w:rsidR="00E07612"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"Machin", "given" : "S", "non-dropping-particle" : "", "parse-names" : false, "suffix" : "" }, { "dropping-particle" : "", "family" : "Silva", "given" : "O", "non-dropping-particle" : "", "parse-names" : false, "suffix" : "" } ], "id" : "ITEM-1", "issued" : { "date-parts" : [ [ "2013" ] ] }, "title" : "School structure, school autonomy and the tail", "type" : "report", "volume" : "Special pa" }, "uris" : [ "http://www.mendeley.com/documents/?uuid=c6edc9b1-e47b-41f9-b071-7f1330ab4ae8" ] } ], "mendeley" : { "formattedCitation" : "(Machin and Silva, 2013)", "plainTextFormattedCitation" : "(Machin and Silva, 2013)", "previouslyFormattedCitation" : "(Machin and Silva, 2013)" }, "properties" : { "noteIndex" : 0 }, "schema" : "https://github.com/citation-style-language/schema/raw/master/csl-citation.json" }</w:instrText>
      </w:r>
      <w:r w:rsidR="00E07612" w:rsidRPr="009B3747">
        <w:rPr>
          <w:rFonts w:eastAsia="Times New Roman" w:cstheme="minorHAnsi"/>
          <w:color w:val="000000"/>
          <w:lang w:eastAsia="en-GB"/>
        </w:rPr>
        <w:fldChar w:fldCharType="separate"/>
      </w:r>
      <w:r w:rsidR="00E07612" w:rsidRPr="009B3747">
        <w:rPr>
          <w:rFonts w:eastAsia="Times New Roman" w:cstheme="minorHAnsi"/>
          <w:noProof/>
          <w:color w:val="000000"/>
          <w:lang w:eastAsia="en-GB"/>
        </w:rPr>
        <w:t>(Machin and Silva, 2013)</w:t>
      </w:r>
      <w:r w:rsidR="00E07612" w:rsidRPr="009B3747">
        <w:rPr>
          <w:rFonts w:eastAsia="Times New Roman" w:cstheme="minorHAnsi"/>
          <w:color w:val="000000"/>
          <w:lang w:eastAsia="en-GB"/>
        </w:rPr>
        <w:fldChar w:fldCharType="end"/>
      </w:r>
      <w:r w:rsidR="001217DC">
        <w:rPr>
          <w:rFonts w:eastAsia="Times New Roman" w:cstheme="minorHAnsi"/>
          <w:color w:val="000000"/>
          <w:lang w:eastAsia="en-GB"/>
        </w:rPr>
        <w:t xml:space="preserve">, </w:t>
      </w:r>
      <w:r w:rsidRPr="009B3747">
        <w:rPr>
          <w:rFonts w:eastAsia="Times New Roman" w:cstheme="minorHAnsi"/>
          <w:color w:val="000000"/>
          <w:lang w:eastAsia="en-GB"/>
        </w:rPr>
        <w:t>schools and their leaders are increasingly able to dictate the extent to which national policy recommendations about health and well-being are embedded and translated into practice</w:t>
      </w:r>
      <w:r w:rsidR="00E07612" w:rsidRPr="009B3747">
        <w:rPr>
          <w:rFonts w:eastAsia="Times New Roman" w:cstheme="minorHAnsi"/>
          <w:color w:val="000000"/>
          <w:lang w:eastAsia="en-GB"/>
        </w:rPr>
        <w:t xml:space="preserve"> </w:t>
      </w:r>
      <w:r w:rsidR="00E07612"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"Dixey", "given" : "Rachael", "non-dropping-particle" : "", "parse-names" : false, "suffix" : "" }, { "dropping-particle" : "", "family" : "Wordley", "given" : "Janet", "non-dropping-particle" : "", "parse-names" : false, "suffix" : "" } ], "container-title" : "CfBT", "id" : "ITEM-1", "issued" : { "date-parts" : [ [ "2010" ] ] }, "title" : "Tackling childhood obesity within schools: A review of interventions", "type" : "report" }, "uris" : [ "http://www.mendeley.com/documents/?uuid=0c61ab0f-fe9c-48c0-bfd2-9f17bee1f527" ] } ], "mendeley" : { "formattedCitation" : "(Dixey and Wordley, 2010)", "plainTextFormattedCitation" : "(Dixey and Wordley, 2010)", "previouslyFormattedCitation" : "(Dixey and Wordley, 2010)" }, "properties" : { "noteIndex" : 0 }, "schema" : "https://github.com/citation-style-language/schema/raw/master/csl-citation.json" }</w:instrText>
      </w:r>
      <w:r w:rsidR="00E07612" w:rsidRPr="009B3747">
        <w:rPr>
          <w:rFonts w:eastAsia="Times New Roman" w:cstheme="minorHAnsi"/>
          <w:color w:val="000000"/>
          <w:lang w:eastAsia="en-GB"/>
        </w:rPr>
        <w:fldChar w:fldCharType="separate"/>
      </w:r>
      <w:r w:rsidR="00E07612" w:rsidRPr="009B3747">
        <w:rPr>
          <w:rFonts w:eastAsia="Times New Roman" w:cstheme="minorHAnsi"/>
          <w:noProof/>
          <w:color w:val="000000"/>
          <w:lang w:eastAsia="en-GB"/>
        </w:rPr>
        <w:t>(Dixey and Wordley, 2010)</w:t>
      </w:r>
      <w:r w:rsidR="00E07612"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Examples related to </w:t>
      </w:r>
      <w:r w:rsidR="00E07612" w:rsidRPr="009B3747">
        <w:rPr>
          <w:rFonts w:eastAsia="Times New Roman" w:cstheme="minorHAnsi"/>
          <w:color w:val="000000"/>
          <w:lang w:eastAsia="en-GB"/>
        </w:rPr>
        <w:t xml:space="preserve">adolescent </w:t>
      </w:r>
      <w:r w:rsidRPr="009B3747">
        <w:rPr>
          <w:rFonts w:eastAsia="Times New Roman" w:cstheme="minorHAnsi"/>
          <w:color w:val="000000"/>
          <w:lang w:eastAsia="en-GB"/>
        </w:rPr>
        <w:t>obesity preventio</w:t>
      </w:r>
      <w:r w:rsidR="00FA6BC1" w:rsidRPr="009B3747">
        <w:rPr>
          <w:rFonts w:eastAsia="Times New Roman" w:cstheme="minorHAnsi"/>
          <w:color w:val="000000"/>
          <w:lang w:eastAsia="en-GB"/>
        </w:rPr>
        <w:t xml:space="preserve">n in secondary schools include: </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A16FA3" w:rsidRPr="009B3747" w:rsidRDefault="00A16FA3" w:rsidP="00A16FA3">
      <w:pPr>
        <w:numPr>
          <w:ilvl w:val="0"/>
          <w:numId w:val="3"/>
        </w:numPr>
        <w:textAlignment w:val="baseline"/>
        <w:rPr>
          <w:rFonts w:eastAsia="Times New Roman" w:cstheme="minorHAnsi"/>
          <w:color w:val="000000"/>
          <w:lang w:eastAsia="en-GB"/>
        </w:rPr>
      </w:pPr>
      <w:r w:rsidRPr="009B3747">
        <w:rPr>
          <w:rFonts w:eastAsia="Times New Roman" w:cstheme="minorHAnsi"/>
          <w:color w:val="000000"/>
          <w:lang w:eastAsia="en-GB"/>
        </w:rPr>
        <w:t>Academies established prior to 2013, remain able to choose the nutritional value and quality standards of their school food provision</w:t>
      </w:r>
      <w:r w:rsidR="00E07612" w:rsidRPr="009B3747">
        <w:rPr>
          <w:rFonts w:eastAsia="Times New Roman" w:cstheme="minorHAnsi"/>
          <w:color w:val="000000"/>
          <w:lang w:eastAsia="en-GB"/>
        </w:rPr>
        <w:t xml:space="preserve"> </w:t>
      </w:r>
      <w:r w:rsidR="00E07612"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"Dimbleby", "given" : "H", "non-dropping-particle" : "", "parse-names" : false, "suffix" : "" }, { "dropping-particle" : "", "family" : "Vincent", "given" : "J", "non-dropping-particle" : "", "parse-names" : false, "suffix" : "" } ], "id" : "ITEM-1", "issued" : { "date-parts" : [ [ "2013" ] ] }, "publisher-place" : "London", "title" : "The school food plan", "type" : "report" }, "uris" : [ "http://www.mendeley.com/documents/?uuid=ecbed3d5-2734-47c1-9bbf-9eb2d5251e27" ] } ], "mendeley" : { "formattedCitation" : "(Dimbleby and Vincent, 2013)", "plainTextFormattedCitation" : "(Dimbleby and Vincent, 2013)", "previouslyFormattedCitation" : "(Dimbleby and Vincent, 2013)" }, "properties" : { "noteIndex" : 0 }, "schema" : "https://github.com/citation-style-language/schema/raw/master/csl-citation.json" }</w:instrText>
      </w:r>
      <w:r w:rsidR="00E07612" w:rsidRPr="009B3747">
        <w:rPr>
          <w:rFonts w:eastAsia="Times New Roman" w:cstheme="minorHAnsi"/>
          <w:color w:val="000000"/>
          <w:lang w:eastAsia="en-GB"/>
        </w:rPr>
        <w:fldChar w:fldCharType="separate"/>
      </w:r>
      <w:r w:rsidR="00E07612" w:rsidRPr="009B3747">
        <w:rPr>
          <w:rFonts w:eastAsia="Times New Roman" w:cstheme="minorHAnsi"/>
          <w:noProof/>
          <w:color w:val="000000"/>
          <w:lang w:eastAsia="en-GB"/>
        </w:rPr>
        <w:t>(Dimbleby and Vincent, 2013)</w:t>
      </w:r>
      <w:r w:rsidR="00E07612"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w:t>
      </w:r>
    </w:p>
    <w:p w:rsidR="00A16FA3" w:rsidRPr="009B3747" w:rsidRDefault="00A16FA3" w:rsidP="00A16FA3">
      <w:pPr>
        <w:numPr>
          <w:ilvl w:val="0"/>
          <w:numId w:val="3"/>
        </w:numPr>
        <w:textAlignment w:val="baseline"/>
        <w:rPr>
          <w:rFonts w:eastAsia="Times New Roman" w:cstheme="minorHAnsi"/>
          <w:color w:val="000000"/>
          <w:lang w:eastAsia="en-GB"/>
        </w:rPr>
      </w:pPr>
      <w:r w:rsidRPr="009B3747">
        <w:rPr>
          <w:rFonts w:eastAsia="Times New Roman" w:cstheme="minorHAnsi"/>
          <w:color w:val="000000"/>
          <w:lang w:eastAsia="en-GB"/>
        </w:rPr>
        <w:t>The recommendation to provide a minimum of two hours of physical education (PE) a week is optional and schools are free to define locally what constitutes as PE</w:t>
      </w:r>
      <w:r w:rsidR="00E07612" w:rsidRPr="009B3747">
        <w:rPr>
          <w:rFonts w:eastAsia="Times New Roman" w:cstheme="minorHAnsi"/>
          <w:color w:val="000000"/>
          <w:lang w:eastAsia="en-GB"/>
        </w:rPr>
        <w:t xml:space="preserve"> </w:t>
      </w:r>
      <w:r w:rsidR="00E07612"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"Department for Education", "given" : "", "non-dropping-particle" : "", "parse-names" : false, "suffix" : "" } ], "id" : "ITEM-1", "issued" : { "date-parts" : [ [ "2013" ] ] }, "publisher-place" : "London", "title" : "Evidence on physical education and sport in schools: key findings", "type" : "report" }, "uris" : [ "http://www.mendeley.com/documents/?uuid=3e3109ad-d124-40d2-8c0f-093b8327dc47" ] } ], "mendeley" : { "formattedCitation" : "(Department for Education, 2013a)", "plainTextFormattedCitation" : "(Department for Education, 2013a)", "previouslyFormattedCitation" : "(Department for Education, 2013a)" }, "properties" : { "noteIndex" : 0 }, "schema" : "https://github.com/citation-style-language/schema/raw/master/csl-citation.json" }</w:instrText>
      </w:r>
      <w:r w:rsidR="00E07612" w:rsidRPr="009B3747">
        <w:rPr>
          <w:rFonts w:eastAsia="Times New Roman" w:cstheme="minorHAnsi"/>
          <w:color w:val="000000"/>
          <w:lang w:eastAsia="en-GB"/>
        </w:rPr>
        <w:fldChar w:fldCharType="separate"/>
      </w:r>
      <w:r w:rsidR="00E07612" w:rsidRPr="009B3747">
        <w:rPr>
          <w:rFonts w:eastAsia="Times New Roman" w:cstheme="minorHAnsi"/>
          <w:noProof/>
          <w:color w:val="000000"/>
          <w:lang w:eastAsia="en-GB"/>
        </w:rPr>
        <w:t>(Department for Education, 2013a)</w:t>
      </w:r>
      <w:r w:rsidR="00E07612" w:rsidRPr="009B3747">
        <w:rPr>
          <w:rFonts w:eastAsia="Times New Roman" w:cstheme="minorHAnsi"/>
          <w:color w:val="000000"/>
          <w:lang w:eastAsia="en-GB"/>
        </w:rPr>
        <w:fldChar w:fldCharType="end"/>
      </w:r>
    </w:p>
    <w:p w:rsidR="00A16FA3" w:rsidRPr="009B3747" w:rsidRDefault="00A16FA3" w:rsidP="00A16FA3">
      <w:pPr>
        <w:numPr>
          <w:ilvl w:val="0"/>
          <w:numId w:val="3"/>
        </w:numPr>
        <w:textAlignment w:val="baseline"/>
        <w:rPr>
          <w:rFonts w:eastAsia="Times New Roman" w:cstheme="minorHAnsi"/>
          <w:color w:val="000000"/>
          <w:lang w:eastAsia="en-GB"/>
        </w:rPr>
      </w:pPr>
      <w:r w:rsidRPr="009B3747">
        <w:rPr>
          <w:rFonts w:eastAsia="Times New Roman" w:cstheme="minorHAnsi"/>
          <w:color w:val="000000"/>
          <w:lang w:eastAsia="en-GB"/>
        </w:rPr>
        <w:t xml:space="preserve">Personal, Social, Health and Economic education is a non-statutory subject, with secondary schools given the flexibility to decide whether and how they teach it </w:t>
      </w:r>
      <w:r w:rsidR="00E07612" w:rsidRPr="009B3747">
        <w:rPr>
          <w:rFonts w:eastAsia="Times New Roman" w:cstheme="minorHAnsi"/>
          <w:color w:val="000000"/>
          <w:lang w:eastAsia="en-GB"/>
        </w:rPr>
        <w:fldChar w:fldCharType="begin" w:fldLock="1"/>
      </w:r>
      <w:r w:rsidR="00B22CC4" w:rsidRPr="009B3747">
        <w:rPr>
          <w:rFonts w:eastAsia="Times New Roman" w:cstheme="minorHAnsi"/>
          <w:color w:val="000000"/>
          <w:lang w:eastAsia="en-GB"/>
        </w:rPr>
        <w:instrText>ADDIN CSL_CITATION { "citationItems" : [ { "id" : "ITEM-1", "itemData" : { "URL" : "https://www.gov.uk/government/publications/personal-social-health-and-economic-education-pshe/personal-social-health-and-economic-pshe-education", "accessed" : { "date-parts" : [ [ "2015", "10", "18" ] ] }, "author" : [ { "dropping-particle" : "", "family" : "Department for Education", "given" : "", "non-dropping-particle" : "", "parse-names" : false, "suffix" : "" } ], "id" : "ITEM-1", "issued" : { "date-parts" : [ [ "2013" ] ] }, "title" : "Personal, social, health and economic (PSHE) education", "type" : "webpage" }, "uris" : [ "http://www.mendeley.com/documents/?uuid=34f6bbe6-944f-46be-92fa-af2cbeb1b622" ] }, { "id" : "ITEM-2", "itemData" : { "author" : [ { "dropping-particle" : "", "family" : "Bonell", "given" : "C", "non-dropping-particle" : "", "parse-names" : false, "suffix" : "" }, { "dropping-particle" : "", "family" : "Humphrey", "given" : "N", "non-dropping-particle" : "", "parse-names" : false, "suffix" : "" }, { "dropping-particle" : "", "family" : "Fletcher", "given" : "A", "non-dropping-particle" : "", "parse-names" : false, "suffix" : "" } ], "container-title" : "BMJ", "id" : "ITEM-2", "issue" : "13", "issued" : { "date-parts" : [ [ "2014" ] ] }, "title" : "Why schools should promote students' health and wellbeing", "type" : "article-journal", "volume" : "348" }, "uris" : [ "http://www.mendeley.com/documents/?uuid=dca5dbfa-95df-4e15-aaf7-44d4a78d1056" ] } ], "mendeley" : { "formattedCitation" : "(Department for Education, 2013b; Bonell et al., 2014)", "plainTextFormattedCitation" : "(Department for Education, 2013b; Bonell et al., 2014)", "previouslyFormattedCitation" : "(Department for Education, 2013b; Bonell et al., 2014)" }, "properties" : { "noteIndex" : 0 }, "schema" : "https://github.com/citation-style-language/schema/raw/master/csl-citation.json" }</w:instrText>
      </w:r>
      <w:r w:rsidR="00E07612" w:rsidRPr="009B3747">
        <w:rPr>
          <w:rFonts w:eastAsia="Times New Roman" w:cstheme="minorHAnsi"/>
          <w:color w:val="000000"/>
          <w:lang w:eastAsia="en-GB"/>
        </w:rPr>
        <w:fldChar w:fldCharType="separate"/>
      </w:r>
      <w:r w:rsidR="00E07612" w:rsidRPr="009B3747">
        <w:rPr>
          <w:rFonts w:eastAsia="Times New Roman" w:cstheme="minorHAnsi"/>
          <w:noProof/>
          <w:color w:val="000000"/>
          <w:lang w:eastAsia="en-GB"/>
        </w:rPr>
        <w:t>(Department for Education, 2013b; Bonell et al., 2014)</w:t>
      </w:r>
      <w:r w:rsidR="00E07612" w:rsidRPr="009B3747">
        <w:rPr>
          <w:rFonts w:eastAsia="Times New Roman" w:cstheme="minorHAnsi"/>
          <w:color w:val="000000"/>
          <w:lang w:eastAsia="en-GB"/>
        </w:rPr>
        <w:fldChar w:fldCharType="end"/>
      </w:r>
    </w:p>
    <w:p w:rsidR="00A16FA3" w:rsidRPr="009B3747" w:rsidRDefault="00A16FA3" w:rsidP="00A16FA3">
      <w:pPr>
        <w:numPr>
          <w:ilvl w:val="0"/>
          <w:numId w:val="3"/>
        </w:numPr>
        <w:textAlignment w:val="baseline"/>
        <w:rPr>
          <w:rFonts w:eastAsia="Times New Roman" w:cstheme="minorHAnsi"/>
          <w:color w:val="000000"/>
          <w:lang w:eastAsia="en-GB"/>
        </w:rPr>
      </w:pPr>
      <w:r w:rsidRPr="009B3747">
        <w:rPr>
          <w:rFonts w:eastAsia="Times New Roman" w:cstheme="minorHAnsi"/>
          <w:color w:val="000000"/>
          <w:lang w:eastAsia="en-GB"/>
        </w:rPr>
        <w:t>In 2011, the National Hea</w:t>
      </w:r>
      <w:r w:rsidR="00E07612" w:rsidRPr="009B3747">
        <w:rPr>
          <w:rFonts w:eastAsia="Times New Roman" w:cstheme="minorHAnsi"/>
          <w:color w:val="000000"/>
          <w:lang w:eastAsia="en-GB"/>
        </w:rPr>
        <w:t xml:space="preserve">lthy Schools Programme became a </w:t>
      </w:r>
      <w:r w:rsidRPr="009B3747">
        <w:rPr>
          <w:rFonts w:eastAsia="Times New Roman" w:cstheme="minorHAnsi"/>
          <w:color w:val="000000"/>
          <w:lang w:eastAsia="en-GB"/>
        </w:rPr>
        <w:t>voluntary and schools led initiative rather than centrally driven as in previous years</w:t>
      </w:r>
      <w:r w:rsidR="00E07612" w:rsidRPr="009B3747">
        <w:rPr>
          <w:rFonts w:eastAsia="Times New Roman" w:cstheme="minorHAnsi"/>
          <w:color w:val="000000"/>
          <w:lang w:eastAsia="en-GB"/>
        </w:rPr>
        <w:t xml:space="preserve"> </w:t>
      </w:r>
      <w:r w:rsidR="00E07612"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"Shepherd", "given" : "JP", "non-dropping-particle" : "", "parse-names" : false, "suffix" : "" }, { "dropping-particle" : "", "family" : "Dewhirst", "given" : "S", "non-dropping-particle" : "", "parse-names" : false, "suffix" : "" } ], "container-title" : "Public Health Research", "id" : "ITEM-1", "issue" : "2", "issued" : { "date-parts" : [ [ "2013" ] ] }, "title" : "Shepherd J, Dewhirst S, Pickett K, et al. Factors facilitating and constraining the delivery of effective teacher training to promote health and well-being in schools: a survey of current practice and systematic review", "type" : "article-journal", "volume" : "1." }, "uris" : [ "http://www.mendeley.com/documents/?uuid=c7e22399-7519-4a20-a5b2-b740615fcbcb" ] } ], "mendeley" : { "formattedCitation" : "(Shepherd and Dewhirst, 2013)", "plainTextFormattedCitation" : "(Shepherd and Dewhirst, 2013)", "previouslyFormattedCitation" : "(Shepherd and Dewhirst, 2013)" }, "properties" : { "noteIndex" : 0 }, "schema" : "https://github.com/citation-style-language/schema/raw/master/csl-citation.json" }</w:instrText>
      </w:r>
      <w:r w:rsidR="00E07612" w:rsidRPr="009B3747">
        <w:rPr>
          <w:rFonts w:eastAsia="Times New Roman" w:cstheme="minorHAnsi"/>
          <w:color w:val="000000"/>
          <w:lang w:eastAsia="en-GB"/>
        </w:rPr>
        <w:fldChar w:fldCharType="separate"/>
      </w:r>
      <w:r w:rsidR="00E07612" w:rsidRPr="009B3747">
        <w:rPr>
          <w:rFonts w:eastAsia="Times New Roman" w:cstheme="minorHAnsi"/>
          <w:noProof/>
          <w:color w:val="000000"/>
          <w:lang w:eastAsia="en-GB"/>
        </w:rPr>
        <w:t>(Shepherd and Dewhirst, 2013)</w:t>
      </w:r>
      <w:r w:rsidR="00E07612"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w:t>
      </w:r>
    </w:p>
    <w:p w:rsidR="00A16FA3" w:rsidRPr="009B3747" w:rsidRDefault="00A16FA3" w:rsidP="00A16FA3">
      <w:pPr>
        <w:numPr>
          <w:ilvl w:val="0"/>
          <w:numId w:val="3"/>
        </w:numPr>
        <w:textAlignment w:val="baseline"/>
        <w:rPr>
          <w:rFonts w:eastAsia="Times New Roman" w:cstheme="minorHAnsi"/>
          <w:color w:val="000000"/>
          <w:lang w:eastAsia="en-GB"/>
        </w:rPr>
      </w:pPr>
      <w:r w:rsidRPr="009B3747">
        <w:rPr>
          <w:rFonts w:eastAsia="Times New Roman" w:cstheme="minorHAnsi"/>
          <w:color w:val="000000"/>
          <w:lang w:eastAsia="en-GB"/>
        </w:rPr>
        <w:t>Only at a school category ‘outstanding’ does the Ofsted Inspection Handbook make overt reference to supporting pupils to make informed choices about healthy eating, fitness and emotional/mental well-being however it does not determine how this should be achieved</w:t>
      </w:r>
      <w:r w:rsidR="00413889" w:rsidRPr="009B3747">
        <w:rPr>
          <w:rFonts w:eastAsia="Times New Roman" w:cstheme="minorHAnsi"/>
          <w:color w:val="000000"/>
          <w:lang w:eastAsia="en-GB"/>
        </w:rPr>
        <w:t xml:space="preserve"> </w:t>
      </w:r>
      <w:r w:rsidR="00413889" w:rsidRPr="009B3747">
        <w:rPr>
          <w:rFonts w:eastAsia="Times New Roman" w:cstheme="minorHAnsi"/>
          <w:color w:val="000000"/>
          <w:lang w:eastAsia="en-GB"/>
        </w:rPr>
        <w:fldChar w:fldCharType="begin" w:fldLock="1"/>
      </w:r>
      <w:r w:rsidR="00413889" w:rsidRPr="009B3747">
        <w:rPr>
          <w:rFonts w:eastAsia="Times New Roman" w:cstheme="minorHAnsi"/>
          <w:color w:val="000000"/>
          <w:lang w:eastAsia="en-GB"/>
        </w:rPr>
        <w:instrText>ADDIN CSL_CITATION { "citationItems" : [ { "id" : "ITEM-1", "itemData" : { "author" : [ { "dropping-particle" : "", "family" : "Ofsted", "given" : "", "non-dropping-particle" : "", "parse-names" : false, "suffix" : "" } ], "id" : "ITEM-1", "issued" : { "date-parts" : [ [ "2016" ] ] }, "publisher-place" : "London", "title" : "Ofsted Handbook", "type" : "report" }, "uris" : [ "http://www.mendeley.com/documents/?uuid=b5304491-4b40-4c30-b4f3-8a7173d784f9" ] } ], "mendeley" : { "formattedCitation" : "(Ofsted, 2016)", "plainTextFormattedCitation" : "(Ofsted, 2016)", "previouslyFormattedCitation" : "(Ofsted, 2016)" }, "properties" : { "noteIndex" : 0 }, "schema" : "https://github.com/citation-style-language/schema/raw/master/csl-citation.json" }</w:instrText>
      </w:r>
      <w:r w:rsidR="00413889" w:rsidRPr="009B3747">
        <w:rPr>
          <w:rFonts w:eastAsia="Times New Roman" w:cstheme="minorHAnsi"/>
          <w:color w:val="000000"/>
          <w:lang w:eastAsia="en-GB"/>
        </w:rPr>
        <w:fldChar w:fldCharType="separate"/>
      </w:r>
      <w:r w:rsidR="00413889" w:rsidRPr="009B3747">
        <w:rPr>
          <w:rFonts w:eastAsia="Times New Roman" w:cstheme="minorHAnsi"/>
          <w:noProof/>
          <w:color w:val="000000"/>
          <w:lang w:eastAsia="en-GB"/>
        </w:rPr>
        <w:t>(Ofsted, 2016)</w:t>
      </w:r>
      <w:r w:rsidR="00413889" w:rsidRPr="009B3747">
        <w:rPr>
          <w:rFonts w:eastAsia="Times New Roman" w:cstheme="minorHAnsi"/>
          <w:color w:val="000000"/>
          <w:lang w:eastAsia="en-GB"/>
        </w:rPr>
        <w:fldChar w:fldCharType="end"/>
      </w:r>
    </w:p>
    <w:p w:rsidR="00A16FA3" w:rsidRPr="009B3747" w:rsidRDefault="00A16FA3" w:rsidP="001217DC">
      <w:pPr>
        <w:rPr>
          <w:rFonts w:eastAsia="Times New Roman" w:cstheme="minorHAnsi"/>
          <w:sz w:val="24"/>
          <w:szCs w:val="24"/>
          <w:lang w:eastAsia="en-GB"/>
        </w:rPr>
      </w:pPr>
      <w:r w:rsidRPr="009B3747">
        <w:rPr>
          <w:rFonts w:eastAsia="Times New Roman" w:cstheme="minorHAnsi"/>
          <w:color w:val="000000"/>
          <w:lang w:eastAsia="en-GB"/>
        </w:rPr>
        <w:lastRenderedPageBreak/>
        <w:t>As the operational and strategic leads, headteachers and governors play a decisive part, arguably the most decisive in determining a school’s engagement in health promotion and childhood obesity prevention</w:t>
      </w:r>
      <w:r w:rsidR="009464A6" w:rsidRPr="009B3747">
        <w:rPr>
          <w:rFonts w:eastAsia="Times New Roman" w:cstheme="minorHAnsi"/>
          <w:color w:val="000000"/>
          <w:lang w:eastAsia="en-GB"/>
        </w:rPr>
        <w:t xml:space="preserve"> </w:t>
      </w:r>
      <w:r w:rsidR="009464A6"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"Kam", "given" : "CM", "non-dropping-particle" : "", "parse-names" : false, "suffix" : "" }, { "dropping-particle" : "", "family" : "Greenberg", "given" : "MT", "non-dropping-particle" : "", "parse-names" : false, "suffix" : "" }, { "dropping-particle" : "", "family" : "Walls", "given" : "CT", "non-dropping-particle" : "", "parse-names" : false, "suffix" : "" } ], "container-title" : "Prevention Science", "id" : "ITEM-1", "issue" : "1", "issued" : { "date-parts" : [ [ "2003" ] ] }, "page" : "55-63", "title" : "Examining the role of implementation quality in school-based prevention using the PATHS curriculum", "type" : "article-journal", "volume" : "4" }, "uris" : [ "http://www.mendeley.com/documents/?uuid=cac4bea4-357c-4d9f-8467-7d364d486518" ] }, { "id" : "ITEM-2", "itemData" : { "author" : [ { "dropping-particle" : "", "family" : "Marks", "given" : "R", "non-dropping-particle" : "", "parse-names" : false, "suffix" : "" }, { "dropping-particle" : "", "family" : "Rowling", "given" : "L", "non-dropping-particle" : "", "parse-names" : false, "suffix" : "" }, { "dropping-particle" : "", "family" : "Samdal", "given" : "O", "non-dropping-particle" : "", "parse-names" : false, "suffix" : "" } ], "container-title" : "Health Education", "id" : "ITEM-2", "issue" : "5", "issued" : { "date-parts" : [ [ "2011" ] ] }, "page" : "347-362", "title" : "Filling the black box of implementation for health-promoting schools", "type" : "article-journal", "volume" : "111" }, "uris" : [ "http://www.mendeley.com/documents/?uuid=1051208f-3655-4d60-ac71-d3eac4fb6ae9" ] }, { "id" : "ITEM-3", "itemData" : { "author" : [ { "dropping-particle" : "", "family" : "Marks", "given" : "R", "non-dropping-particle" : "", "parse-names" : false, "suffix" : "" }, { "dropping-particle" : "", "family" : "Samdal", "given" : "O", "non-dropping-particle" : "", "parse-names" : false, "suffix" : "" }, { "dropping-particle" : "", "family" : "Rowling", "given" : "L", "non-dropping-particle" : "", "parse-names" : false, "suffix" : "" } ], "container-title" : "Health Education", "id" : "ITEM-3", "issue" : "5", "issued" : { "date-parts" : [ [ "2011" ] ] }, "page" : "367-390", "title" : "Theoretical and empirical base for implementation components of health-promoting schools", "type" : "article-journal", "volume" : "111" }, "uris" : [ "http://www.mendeley.com/documents/?uuid=0575b0c2-e733-4bee-85ab-61477f184bf1" ] }, { "id" : "ITEM-4", "itemData" : { "author" : [ { "dropping-particle" : "", "family" : "Huberty", "given" : "J", "non-dropping-particle" : "", "parse-names" : false, "suffix" : "" }, { "dropping-particle" : "", "family" : "Dinkel", "given" : "D", "non-dropping-particle" : "", "parse-names" : false, "suffix" : "" }, { "dropping-particle" : "", "family" : "Coleman", "given" : "J", "non-dropping-particle" : "", "parse-names" : false, "suffix" : "" } ], "container-title" : "Health education \u2026", "id" : "ITEM-4", "issue" : "6", "issued" : { "date-parts" : [ [ "2012" ] ] }, "page" : "989-95", "title" : "The role of schools in children's physical activity participation: staff perceptions", "type" : "article-journal", "volume" : "27" }, "uris" : [ "http://www.mendeley.com/documents/?uuid=87e6b8de-650e-4f16-b1b8-eebf0f2c18ad" ] }, { "id" : "ITEM-5", "itemData" : { "DOI" : "10.1177/0163278713489879", "ISSN" : "0163-2787", "PMID" : "23739725", "abstract" : "Previous research has demonstrated the importance of ensuring that programs are implemented as intended by program developers in order to achieve desired program effects. The current study examined implementation fidelity of Pathways to Health (Pathways), a newly developed obesity prevention program for fourth- through sixth-grade children. We explored the associations between self-reported and observed implementation fidelity scores and whether implementation fidelity differed across the first 2 years of program implementation. Additionally, we examined whether implementation fidelity affected program outcomes and whether teacher beliefs were associated with implementation fidelity. The program was better received, and implementation fidelity had more effects on program outcomes in fifth grade than in fourth grade. Findings suggest that implementation in school-based obesity programs may affect junk food intake and intentions to eat healthfully and exercise. School support was associated with implementation fidelity, suggesting that prevention programs may benefit from including a component that boosts school-wide support.", "author" : [ { "dropping-particle" : "", "family" : "Little", "given" : "M. A.", "non-dropping-particle" : "", "parse-names" : false, "suffix" : "" }, { "dropping-particle" : "", "family" : "Riggs", "given" : "N. R.", "non-dropping-particle" : "", "parse-names" : false, "suffix" : "" }, { "dropping-particle" : "", "family" : "Shin", "given" : "H.-S.", "non-dropping-particle" : "", "parse-names" : false, "suffix" : "" }, { "dropping-particle" : "", "family" : "Tate", "given" : "E. B.", "non-dropping-particle" : "", "parse-names" : false, "suffix" : "" }, { "dropping-particle" : "", "family" : "Pentz", "given" : "M. A.", "non-dropping-particle" : "", "parse-names" : false, "suffix" : "" } ], "container-title" : "Evaluation &amp; the Health Professions", "id" : "ITEM-5", "issue" : "1", "issued" : { "date-parts" : [ [ "2013", "6", "4" ] ] }, "page" : "21-41", "title" : "The Effects of Teacher Fidelity of Implementation of Pathways to Health on Student Outcomes", "type" : "article-journal", "volume" : "38" }, "uris" : [ "http://www.mendeley.com/documents/?uuid=4dd15d67-e80a-464b-a746-cf2c8801bf2c" ] }, { "id" : "ITEM-6", "itemData" : { "author" : [ { "dropping-particle" : "", "family" : "Christian", "given" : "D", "non-dropping-particle" : "", "parse-names" : false, "suffix" : "" }, { "dropping-particle" : "", "family" : "Todd", "given" : "C", "non-dropping-particle" : "", "parse-names" : false, "suffix" : "" }, { "dropping-particle" : "", "family" : "Davies", "given" : "H", "non-dropping-particle" : "", "parse-names" : false, "suffix" : "" } ], "container-title" : "BMC Public Health", "id" : "ITEM-6", "issue" : "1", "issued" : { "date-parts" : [ [ "2015" ] ] }, "page" : "238", "title" : "Community led active schools programme (CLASP) exploring the implementation of health interventions in primary schools: headteachers' perspectives", "type" : "article-journal", "volume" : "15" }, "uris" : [ "http://www.mendeley.com/documents/?uuid=6ff4652c-3611-4c14-9801-3bd7c877f021" ] }, { "id" : "ITEM-7", "itemData" : { "author" : [ { "dropping-particle" : "", "family" : "Todd", "given" : "C", "non-dropping-particle" : "", "parse-names" : false, "suffix" : "" }, { "dropping-particle" : "", "family" : "Christian", "given" : "D", "non-dropping-particle" : "", "parse-names" : false, "suffix" : "" }, { "dropping-particle" : "", "family" : "Davies", "given" : "H", "non-dropping-particle" : "", "parse-names" : false, "suffix" : "" } ], "container-title" : "BMC research \u2026", "id" : "ITEM-7", "issue" : "1", "issued" : { "date-parts" : [ [ "2015" ] ] }, "page" : "161", "title" : "Headteachers' prior beliefs on child health and their engagement in school based health interventions: a qualitative study", "type" : "article-journal", "volume" : "8" }, "uris" : [ "http://www.mendeley.com/documents/?uuid=9a740b7c-28ec-4b9a-99a5-b768fe7c3a4e" ] } ], "mendeley" : { "formattedCitation" : "(Kam et al., 2003; Marks, Rowling, et al., 2011; Marks, Samdal, et al., 2011; Huberty et al., 2012; Little et al., 2013; Christian et al., 2015; Todd et al., 2015)", "plainTextFormattedCitation" : "(Kam et al., 2003; Marks, Rowling, et al., 2011; Marks, Samdal, et al., 2011; Huberty et al., 2012; Little et al., 2013; Christian et al., 2015; Todd et al., 2015)", "previouslyFormattedCitation" : "(Kam et al., 2003; Marks, Rowling, et al., 2011; Marks, Samdal, et al., 2011; Huberty et al., 2012; Little et al., 2013; Christian et al., 2015; Todd et al., 2015)" }, "properties" : { "noteIndex" : 0 }, "schema" : "https://github.com/citation-style-language/schema/raw/master/csl-citation.json" }</w:instrText>
      </w:r>
      <w:r w:rsidR="009464A6" w:rsidRPr="009B3747">
        <w:rPr>
          <w:rFonts w:eastAsia="Times New Roman" w:cstheme="minorHAnsi"/>
          <w:color w:val="000000"/>
          <w:lang w:eastAsia="en-GB"/>
        </w:rPr>
        <w:fldChar w:fldCharType="separate"/>
      </w:r>
      <w:r w:rsidR="009464A6" w:rsidRPr="009B3747">
        <w:rPr>
          <w:rFonts w:eastAsia="Times New Roman" w:cstheme="minorHAnsi"/>
          <w:noProof/>
          <w:color w:val="000000"/>
          <w:lang w:eastAsia="en-GB"/>
        </w:rPr>
        <w:t>(Kam et al., 2003; Marks, Rowling, et al., 2011; Marks, Samdal, et al., 2011; Huberty et al., 2012; Little et al., 2013; Christian et al., 2015; Todd et al., 2015)</w:t>
      </w:r>
      <w:r w:rsidR="009464A6"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In 2015, </w:t>
      </w:r>
      <w:r w:rsidR="00CD7979" w:rsidRPr="009B3747">
        <w:rPr>
          <w:rFonts w:eastAsia="Times New Roman" w:cstheme="minorHAnsi"/>
          <w:color w:val="000000"/>
          <w:lang w:eastAsia="en-GB"/>
        </w:rPr>
        <w:t xml:space="preserve">NICE </w:t>
      </w:r>
      <w:r w:rsidRPr="009B3747">
        <w:rPr>
          <w:rFonts w:eastAsia="Times New Roman" w:cstheme="minorHAnsi"/>
          <w:color w:val="000000"/>
          <w:lang w:eastAsia="en-GB"/>
        </w:rPr>
        <w:t>published a pathway for school-based childhood obesity prevention interventions in school settings</w:t>
      </w:r>
      <w:r w:rsidR="009464A6" w:rsidRPr="009B3747">
        <w:rPr>
          <w:rFonts w:eastAsia="Times New Roman" w:cstheme="minorHAnsi"/>
          <w:color w:val="000000"/>
          <w:lang w:eastAsia="en-GB"/>
        </w:rPr>
        <w:t xml:space="preserve"> </w:t>
      </w:r>
      <w:r w:rsidR="009464A6"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"National Institute of Health and Care Excellence", "given" : "", "non-dropping-particle" : "", "parse-names" : false, "suffix" : "" } ], "id" : "ITEM-1", "issued" : { "date-parts" : [ [ "2015" ] ] }, "publisher-place" : "London", "title" : "NICE Pathway - Preventing Obesity", "type" : "report" }, "uris" : [ "http://www.mendeley.com/documents/?uuid=b4b27288-9afd-4746-a8da-bc42a8085260" ] } ], "mendeley" : { "formattedCitation" : "(National Institute of Health and Care Excellence, 2015a)", "plainTextFormattedCitation" : "(National Institute of Health and Care Excellence, 2015a)", "previouslyFormattedCitation" : "(National Institute of Health and Care Excellence, 2015a)" }, "properties" : { "noteIndex" : 0 }, "schema" : "https://github.com/citation-style-language/schema/raw/master/csl-citation.json" }</w:instrText>
      </w:r>
      <w:r w:rsidR="009464A6" w:rsidRPr="009B3747">
        <w:rPr>
          <w:rFonts w:eastAsia="Times New Roman" w:cstheme="minorHAnsi"/>
          <w:color w:val="000000"/>
          <w:lang w:eastAsia="en-GB"/>
        </w:rPr>
        <w:fldChar w:fldCharType="separate"/>
      </w:r>
      <w:r w:rsidR="009464A6" w:rsidRPr="009B3747">
        <w:rPr>
          <w:rFonts w:eastAsia="Times New Roman" w:cstheme="minorHAnsi"/>
          <w:noProof/>
          <w:color w:val="000000"/>
          <w:lang w:eastAsia="en-GB"/>
        </w:rPr>
        <w:t>(National Institute of Health and Care Excellence, 2015a)</w:t>
      </w:r>
      <w:r w:rsidR="009464A6" w:rsidRPr="009B3747">
        <w:rPr>
          <w:rFonts w:eastAsia="Times New Roman" w:cstheme="minorHAnsi"/>
          <w:color w:val="000000"/>
          <w:lang w:eastAsia="en-GB"/>
        </w:rPr>
        <w:fldChar w:fldCharType="end"/>
      </w:r>
      <w:r w:rsidR="009464A6" w:rsidRPr="009B3747">
        <w:rPr>
          <w:rFonts w:eastAsia="Times New Roman" w:cstheme="minorHAnsi"/>
          <w:color w:val="000000"/>
          <w:lang w:eastAsia="en-GB"/>
        </w:rPr>
        <w:t xml:space="preserve">.  </w:t>
      </w:r>
      <w:r w:rsidRPr="009B3747">
        <w:rPr>
          <w:rFonts w:eastAsia="Times New Roman" w:cstheme="minorHAnsi"/>
          <w:color w:val="000000"/>
          <w:lang w:eastAsia="en-GB"/>
        </w:rPr>
        <w:t>Bringing together all NICE guidance and quality standards, the expected roles and responsibilities of school headteachers and chairs of governors were explicitly referenced.  </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9464A6" w:rsidRPr="009B3747" w:rsidRDefault="00670813" w:rsidP="00A16FA3">
      <w:pPr>
        <w:rPr>
          <w:rFonts w:eastAsia="Times New Roman" w:cstheme="minorHAnsi"/>
          <w:i/>
          <w:iCs/>
          <w:color w:val="000000"/>
          <w:lang w:eastAsia="en-GB"/>
        </w:rPr>
      </w:pPr>
      <w:r w:rsidRPr="009B3747">
        <w:rPr>
          <w:rFonts w:eastAsia="Times New Roman" w:cstheme="minorHAnsi"/>
          <w:i/>
          <w:iCs/>
          <w:color w:val="000000"/>
          <w:lang w:eastAsia="en-GB"/>
        </w:rPr>
        <w:t>“Head</w:t>
      </w:r>
      <w:r w:rsidR="00A16FA3" w:rsidRPr="009B3747">
        <w:rPr>
          <w:rFonts w:eastAsia="Times New Roman" w:cstheme="minorHAnsi"/>
          <w:i/>
          <w:iCs/>
          <w:color w:val="000000"/>
          <w:lang w:eastAsia="en-GB"/>
        </w:rPr>
        <w:t>teachers and chairs of governors, in collaboration with parents and pupils, should assess the whole school environment and ensure that the ethos of all school policies helps children and young people to maintain a healthy weight, eat a healthy diet and be physically active, in line with existing standards and guidance”</w:t>
      </w:r>
      <w:r w:rsidR="009464A6" w:rsidRPr="009B3747">
        <w:rPr>
          <w:rFonts w:eastAsia="Times New Roman" w:cstheme="minorHAnsi"/>
          <w:i/>
          <w:iCs/>
          <w:color w:val="000000"/>
          <w:lang w:eastAsia="en-GB"/>
        </w:rPr>
        <w:t xml:space="preserve"> </w:t>
      </w:r>
      <w:r w:rsidR="009464A6" w:rsidRPr="009B3747">
        <w:rPr>
          <w:rFonts w:eastAsia="Times New Roman" w:cstheme="minorHAnsi"/>
          <w:i/>
          <w:iCs/>
          <w:color w:val="000000"/>
          <w:lang w:eastAsia="en-GB"/>
        </w:rPr>
        <w:fldChar w:fldCharType="begin" w:fldLock="1"/>
      </w:r>
      <w:r w:rsidR="00395650" w:rsidRPr="009B3747">
        <w:rPr>
          <w:rFonts w:eastAsia="Times New Roman" w:cstheme="minorHAnsi"/>
          <w:i/>
          <w:iCs/>
          <w:color w:val="000000"/>
          <w:lang w:eastAsia="en-GB"/>
        </w:rPr>
        <w:instrText>ADDIN CSL_CITATION { "citationItems" : [ { "id" : "ITEM-1", "itemData" : { "author" : [ { "dropping-particle" : "", "family" : "National Institute of Health and Care Excellence", "given" : "", "non-dropping-particle" : "", "parse-names" : false, "suffix" : "" } ], "id" : "ITEM-1", "issued" : { "date-parts" : [ [ "2015" ] ] }, "publisher-place" : "London", "title" : "NICE Pathway - Preventing Obesity", "type" : "report" }, "uris" : [ "http://www.mendeley.com/documents/?uuid=b4b27288-9afd-4746-a8da-bc42a8085260" ] } ], "mendeley" : { "formattedCitation" : "(National Institute of Health and Care Excellence, 2015a)", "manualFormatting" : "(National Institute of Health and Care Excellence, 2015a, p.4)", "plainTextFormattedCitation" : "(National Institute of Health and Care Excellence, 2015a)", "previouslyFormattedCitation" : "(National Institute of Health and Care Excellence, 2015a)" }, "properties" : { "noteIndex" : 0 }, "schema" : "https://github.com/citation-style-language/schema/raw/master/csl-citation.json" }</w:instrText>
      </w:r>
      <w:r w:rsidR="009464A6" w:rsidRPr="009B3747">
        <w:rPr>
          <w:rFonts w:eastAsia="Times New Roman" w:cstheme="minorHAnsi"/>
          <w:i/>
          <w:iCs/>
          <w:color w:val="000000"/>
          <w:lang w:eastAsia="en-GB"/>
        </w:rPr>
        <w:fldChar w:fldCharType="separate"/>
      </w:r>
      <w:r w:rsidR="009464A6" w:rsidRPr="009B3747">
        <w:rPr>
          <w:rFonts w:eastAsia="Times New Roman" w:cstheme="minorHAnsi"/>
          <w:iCs/>
          <w:noProof/>
          <w:color w:val="000000"/>
          <w:lang w:eastAsia="en-GB"/>
        </w:rPr>
        <w:t>(National Institute of Health and Care Excellence, 2015a</w:t>
      </w:r>
      <w:r w:rsidR="00FB5B00" w:rsidRPr="009B3747">
        <w:rPr>
          <w:rFonts w:eastAsia="Times New Roman" w:cstheme="minorHAnsi"/>
          <w:iCs/>
          <w:noProof/>
          <w:color w:val="000000"/>
          <w:lang w:eastAsia="en-GB"/>
        </w:rPr>
        <w:t>, p.</w:t>
      </w:r>
      <w:r w:rsidR="009464A6" w:rsidRPr="009B3747">
        <w:rPr>
          <w:rFonts w:eastAsia="Times New Roman" w:cstheme="minorHAnsi"/>
          <w:iCs/>
          <w:noProof/>
          <w:color w:val="000000"/>
          <w:lang w:eastAsia="en-GB"/>
        </w:rPr>
        <w:t>4)</w:t>
      </w:r>
      <w:r w:rsidR="009464A6" w:rsidRPr="009B3747">
        <w:rPr>
          <w:rFonts w:eastAsia="Times New Roman" w:cstheme="minorHAnsi"/>
          <w:i/>
          <w:iCs/>
          <w:color w:val="000000"/>
          <w:lang w:eastAsia="en-GB"/>
        </w:rPr>
        <w:fldChar w:fldCharType="end"/>
      </w:r>
      <w:r w:rsidR="00E2105D" w:rsidRPr="009B3747">
        <w:rPr>
          <w:rFonts w:eastAsia="Times New Roman" w:cstheme="minorHAnsi"/>
          <w:i/>
          <w:iCs/>
          <w:color w:val="000000"/>
          <w:lang w:eastAsia="en-GB"/>
        </w:rPr>
        <w:t>.</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A16FA3" w:rsidRPr="009B3747" w:rsidRDefault="00A16FA3" w:rsidP="00A16FA3">
      <w:pPr>
        <w:rPr>
          <w:rFonts w:eastAsia="Times New Roman" w:cstheme="minorHAnsi"/>
          <w:color w:val="000000"/>
          <w:lang w:eastAsia="en-GB"/>
        </w:rPr>
      </w:pPr>
      <w:r w:rsidRPr="009B3747">
        <w:rPr>
          <w:rFonts w:eastAsia="Times New Roman" w:cstheme="minorHAnsi"/>
          <w:color w:val="000000"/>
          <w:lang w:eastAsia="en-GB"/>
        </w:rPr>
        <w:t>Despite being viewed as crucial stakeholders in the NICE pathway and across academic literature, little is known about their perspectives of obesity in childhood or adolescence particularly at a secondary school level.  As this is the central focus of this research study a detailed and systematic approach to reviewing research relevant to the proposed question was undertaken (see</w:t>
      </w:r>
      <w:r w:rsidR="001217DC">
        <w:rPr>
          <w:rFonts w:eastAsia="Times New Roman" w:cstheme="minorHAnsi"/>
          <w:color w:val="000000"/>
          <w:lang w:eastAsia="en-GB"/>
        </w:rPr>
        <w:t xml:space="preserve"> c</w:t>
      </w:r>
      <w:r w:rsidRPr="009B3747">
        <w:rPr>
          <w:rFonts w:eastAsia="Times New Roman" w:cstheme="minorHAnsi"/>
          <w:color w:val="000000"/>
          <w:lang w:eastAsia="en-GB"/>
        </w:rPr>
        <w:t xml:space="preserve">hapter </w:t>
      </w:r>
      <w:r w:rsidR="009464A6" w:rsidRPr="009B3747">
        <w:rPr>
          <w:rFonts w:eastAsia="Times New Roman" w:cstheme="minorHAnsi"/>
          <w:color w:val="000000"/>
          <w:lang w:eastAsia="en-GB"/>
        </w:rPr>
        <w:t>three</w:t>
      </w:r>
      <w:r w:rsidRPr="009B3747">
        <w:rPr>
          <w:rFonts w:eastAsia="Times New Roman" w:cstheme="minorHAnsi"/>
          <w:color w:val="000000"/>
          <w:lang w:eastAsia="en-GB"/>
        </w:rPr>
        <w:t>).</w:t>
      </w:r>
      <w:r w:rsidR="00413889" w:rsidRPr="009B3747">
        <w:rPr>
          <w:rFonts w:eastAsia="Times New Roman" w:cstheme="minorHAnsi"/>
          <w:color w:val="000000"/>
          <w:lang w:eastAsia="en-GB"/>
        </w:rPr>
        <w:t xml:space="preserve">  Prior to this, the second overarching</w:t>
      </w:r>
      <w:r w:rsidRPr="009B3747">
        <w:rPr>
          <w:rFonts w:eastAsia="Times New Roman" w:cstheme="minorHAnsi"/>
          <w:color w:val="000000"/>
          <w:lang w:eastAsia="en-GB"/>
        </w:rPr>
        <w:t xml:space="preserve"> section of this chapter is presented, providing contextual informatio</w:t>
      </w:r>
      <w:r w:rsidR="00413889" w:rsidRPr="009B3747">
        <w:rPr>
          <w:rFonts w:eastAsia="Times New Roman" w:cstheme="minorHAnsi"/>
          <w:color w:val="000000"/>
          <w:lang w:eastAsia="en-GB"/>
        </w:rPr>
        <w:t xml:space="preserve">n regarding the study setting – </w:t>
      </w:r>
      <w:r w:rsidRPr="009B3747">
        <w:rPr>
          <w:rFonts w:eastAsia="Times New Roman" w:cstheme="minorHAnsi"/>
          <w:color w:val="000000"/>
          <w:lang w:eastAsia="en-GB"/>
        </w:rPr>
        <w:t>secondary schools in England.</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A16FA3" w:rsidRPr="009B3747" w:rsidRDefault="0094762E" w:rsidP="00A16FA3">
      <w:pPr>
        <w:rPr>
          <w:rFonts w:eastAsia="Times New Roman" w:cstheme="minorHAnsi"/>
          <w:sz w:val="28"/>
          <w:szCs w:val="28"/>
          <w:lang w:eastAsia="en-GB"/>
        </w:rPr>
      </w:pPr>
      <w:r w:rsidRPr="009B3747">
        <w:rPr>
          <w:rFonts w:eastAsia="Times New Roman" w:cstheme="minorHAnsi"/>
          <w:b/>
          <w:bCs/>
          <w:color w:val="000000"/>
          <w:sz w:val="28"/>
          <w:szCs w:val="28"/>
          <w:u w:val="single"/>
          <w:lang w:eastAsia="en-GB"/>
        </w:rPr>
        <w:t xml:space="preserve">Section two: </w:t>
      </w:r>
      <w:r w:rsidR="00A16FA3" w:rsidRPr="009B3747">
        <w:rPr>
          <w:rFonts w:eastAsia="Times New Roman" w:cstheme="minorHAnsi"/>
          <w:b/>
          <w:bCs/>
          <w:color w:val="000000"/>
          <w:sz w:val="28"/>
          <w:szCs w:val="28"/>
          <w:u w:val="single"/>
          <w:lang w:eastAsia="en-GB"/>
        </w:rPr>
        <w:t>Study setting</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A16FA3" w:rsidRPr="009B3747" w:rsidRDefault="00C34D84" w:rsidP="00A16FA3">
      <w:pPr>
        <w:rPr>
          <w:rFonts w:eastAsia="Times New Roman" w:cstheme="minorHAnsi"/>
          <w:b/>
          <w:sz w:val="24"/>
          <w:szCs w:val="24"/>
          <w:lang w:eastAsia="en-GB"/>
        </w:rPr>
      </w:pPr>
      <w:r w:rsidRPr="009B3747">
        <w:rPr>
          <w:rFonts w:eastAsia="Times New Roman" w:cstheme="minorHAnsi"/>
          <w:b/>
          <w:color w:val="000000"/>
          <w:sz w:val="24"/>
          <w:szCs w:val="24"/>
          <w:u w:val="single"/>
          <w:lang w:eastAsia="en-GB"/>
        </w:rPr>
        <w:t>2</w:t>
      </w:r>
      <w:r w:rsidR="00F757C7" w:rsidRPr="009B3747">
        <w:rPr>
          <w:rFonts w:eastAsia="Times New Roman" w:cstheme="minorHAnsi"/>
          <w:b/>
          <w:color w:val="000000"/>
          <w:sz w:val="24"/>
          <w:szCs w:val="24"/>
          <w:u w:val="single"/>
          <w:lang w:eastAsia="en-GB"/>
        </w:rPr>
        <w:t xml:space="preserve">.8 </w:t>
      </w:r>
      <w:r w:rsidR="00A16FA3" w:rsidRPr="009B3747">
        <w:rPr>
          <w:rFonts w:eastAsia="Times New Roman" w:cstheme="minorHAnsi"/>
          <w:b/>
          <w:color w:val="000000"/>
          <w:sz w:val="24"/>
          <w:szCs w:val="24"/>
          <w:u w:val="single"/>
          <w:lang w:eastAsia="en-GB"/>
        </w:rPr>
        <w:t>The education system in England</w:t>
      </w:r>
    </w:p>
    <w:p w:rsidR="00F757C7" w:rsidRPr="009B3747" w:rsidRDefault="00F757C7" w:rsidP="00A16FA3">
      <w:pPr>
        <w:rPr>
          <w:rFonts w:eastAsia="Times New Roman" w:cstheme="minorHAnsi"/>
          <w:color w:val="000000"/>
          <w:lang w:eastAsia="en-GB"/>
        </w:rPr>
      </w:pPr>
    </w:p>
    <w:p w:rsidR="00A16FA3" w:rsidRPr="009B3747" w:rsidRDefault="00A16FA3" w:rsidP="00A16FA3">
      <w:pPr>
        <w:rPr>
          <w:rFonts w:eastAsia="Times New Roman" w:cstheme="minorHAnsi"/>
          <w:sz w:val="24"/>
          <w:szCs w:val="24"/>
          <w:lang w:eastAsia="en-GB"/>
        </w:rPr>
      </w:pPr>
      <w:r w:rsidRPr="009B3747">
        <w:rPr>
          <w:rFonts w:eastAsia="Times New Roman" w:cstheme="minorHAnsi"/>
          <w:color w:val="000000"/>
          <w:lang w:eastAsia="en-GB"/>
        </w:rPr>
        <w:t xml:space="preserve">The UK, similar to </w:t>
      </w:r>
      <w:r w:rsidR="00CD7979" w:rsidRPr="009B3747">
        <w:rPr>
          <w:rFonts w:eastAsia="Times New Roman" w:cstheme="minorHAnsi"/>
          <w:color w:val="000000"/>
          <w:lang w:eastAsia="en-GB"/>
        </w:rPr>
        <w:t xml:space="preserve">many countries across the world, </w:t>
      </w:r>
      <w:r w:rsidRPr="009B3747">
        <w:rPr>
          <w:rFonts w:eastAsia="Times New Roman" w:cstheme="minorHAnsi"/>
          <w:color w:val="000000"/>
          <w:lang w:eastAsia="en-GB"/>
        </w:rPr>
        <w:t>enforces a pe</w:t>
      </w:r>
      <w:r w:rsidR="00413889" w:rsidRPr="009B3747">
        <w:rPr>
          <w:rFonts w:eastAsia="Times New Roman" w:cstheme="minorHAnsi"/>
          <w:color w:val="000000"/>
          <w:lang w:eastAsia="en-GB"/>
        </w:rPr>
        <w:t xml:space="preserve">riod of compulsory education (5 to </w:t>
      </w:r>
      <w:r w:rsidR="001217DC">
        <w:rPr>
          <w:rFonts w:eastAsia="Times New Roman" w:cstheme="minorHAnsi"/>
          <w:color w:val="000000"/>
          <w:lang w:eastAsia="en-GB"/>
        </w:rPr>
        <w:t xml:space="preserve">16 years), </w:t>
      </w:r>
      <w:r w:rsidRPr="009B3747">
        <w:rPr>
          <w:rFonts w:eastAsia="Times New Roman" w:cstheme="minorHAnsi"/>
          <w:color w:val="000000"/>
          <w:lang w:eastAsia="en-GB"/>
        </w:rPr>
        <w:t>which is in the main achieved through school attendance.  Within England, there are five stages of education: early years, primary, secondary, further education and higher education.  The Department for Education holds the responsibility for education and children’s services in England, including teaching and learning across the first four educational stages</w:t>
      </w:r>
      <w:r w:rsidR="009464A6" w:rsidRPr="009B3747">
        <w:rPr>
          <w:rFonts w:eastAsia="Times New Roman" w:cstheme="minorHAnsi"/>
          <w:color w:val="000000"/>
          <w:lang w:eastAsia="en-GB"/>
        </w:rPr>
        <w:t xml:space="preserve"> </w:t>
      </w:r>
      <w:r w:rsidR="009464A6" w:rsidRPr="009B3747">
        <w:rPr>
          <w:rFonts w:eastAsia="Times New Roman" w:cstheme="minorHAnsi"/>
          <w:color w:val="000000"/>
          <w:lang w:eastAsia="en-GB"/>
        </w:rPr>
        <w:fldChar w:fldCharType="begin" w:fldLock="1"/>
      </w:r>
      <w:r w:rsidR="006D64A4" w:rsidRPr="009B3747">
        <w:rPr>
          <w:rFonts w:eastAsia="Times New Roman" w:cstheme="minorHAnsi"/>
          <w:color w:val="000000"/>
          <w:lang w:eastAsia="en-GB"/>
        </w:rPr>
        <w:instrText>ADDIN CSL_CITATION { "citationItems" : [ { "id" : "ITEM-1", "itemData" : { "URL" : "https://www.gov.uk/government/organisations/department-for-education/about", "author" : [ { "dropping-particle" : "", "family" : "Department for Education", "given" : "", "non-dropping-particle" : "", "parse-names" : false, "suffix" : "" } ], "id" : "ITEM-1", "issued" : { "date-parts" : [ [ "2016" ] ] }, "title" : "Department for Education - About us", "type" : "webpage" }, "uris" : [ "http://www.mendeley.com/documents/?uuid=e14da671-9b4c-4ede-b8ae-72003add9b7f" ] } ], "mendeley" : { "formattedCitation" : "(Department for Education, 2016a)", "plainTextFormattedCitation" : "(Department for Education, 2016a)", "previouslyFormattedCitation" : "(Department for Education, 2016a)" }, "properties" : { "noteIndex" : 0 }, "schema" : "https://github.com/citation-style-language/schema/raw/master/csl-citation.json" }</w:instrText>
      </w:r>
      <w:r w:rsidR="009464A6" w:rsidRPr="009B3747">
        <w:rPr>
          <w:rFonts w:eastAsia="Times New Roman" w:cstheme="minorHAnsi"/>
          <w:color w:val="000000"/>
          <w:lang w:eastAsia="en-GB"/>
        </w:rPr>
        <w:fldChar w:fldCharType="separate"/>
      </w:r>
      <w:r w:rsidR="006D64A4" w:rsidRPr="009B3747">
        <w:rPr>
          <w:rFonts w:eastAsia="Times New Roman" w:cstheme="minorHAnsi"/>
          <w:noProof/>
          <w:color w:val="000000"/>
          <w:lang w:eastAsia="en-GB"/>
        </w:rPr>
        <w:t>(Department for Education, 2016a)</w:t>
      </w:r>
      <w:r w:rsidR="009464A6" w:rsidRPr="009B3747">
        <w:rPr>
          <w:rFonts w:eastAsia="Times New Roman" w:cstheme="minorHAnsi"/>
          <w:color w:val="000000"/>
          <w:lang w:eastAsia="en-GB"/>
        </w:rPr>
        <w:fldChar w:fldCharType="end"/>
      </w:r>
      <w:r w:rsidR="009464A6" w:rsidRPr="009B3747">
        <w:rPr>
          <w:rFonts w:eastAsia="Times New Roman" w:cstheme="minorHAnsi"/>
          <w:color w:val="000000"/>
          <w:lang w:eastAsia="en-GB"/>
        </w:rPr>
        <w:t xml:space="preserve">.  </w:t>
      </w:r>
      <w:r w:rsidRPr="009B3747">
        <w:rPr>
          <w:rFonts w:eastAsia="Times New Roman" w:cstheme="minorHAnsi"/>
          <w:color w:val="000000"/>
          <w:lang w:eastAsia="en-GB"/>
        </w:rPr>
        <w:t>Education reforms and changes to educational policy in England especially since the Conservative/Liberal Democrat Coalition Gov</w:t>
      </w:r>
      <w:r w:rsidR="001217DC">
        <w:rPr>
          <w:rFonts w:eastAsia="Times New Roman" w:cstheme="minorHAnsi"/>
          <w:color w:val="000000"/>
          <w:lang w:eastAsia="en-GB"/>
        </w:rPr>
        <w:t xml:space="preserve">ernment took office in 2010, </w:t>
      </w:r>
      <w:r w:rsidRPr="009B3747">
        <w:rPr>
          <w:rFonts w:eastAsia="Times New Roman" w:cstheme="minorHAnsi"/>
          <w:color w:val="000000"/>
          <w:lang w:eastAsia="en-GB"/>
        </w:rPr>
        <w:t>have resulted in significant alterations to the school landscape</w:t>
      </w:r>
      <w:r w:rsidR="009464A6" w:rsidRPr="009B3747">
        <w:rPr>
          <w:rFonts w:eastAsia="Times New Roman" w:cstheme="minorHAnsi"/>
          <w:color w:val="000000"/>
          <w:lang w:eastAsia="en-GB"/>
        </w:rPr>
        <w:t xml:space="preserve"> </w:t>
      </w:r>
      <w:r w:rsidR="009464A6"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"Glatter", "given" : "R", "non-dropping-particle" : "", "parse-names" : false, "suffix" : "" } ], "container-title" : "Educational management administration &amp; \u2026", "id" : "ITEM-1", "issue" : "559-575", "issued" : { "date-parts" : [ [ "2012" ] ] }, "title" : "Persistent Preoccupations The Rise and Rise of School Autonomy and Accountability In England", "type" : "article-journal", "volume" : "40" }, "uris" : [ "http://www.mendeley.com/documents/?uuid=eb788522-4d69-4177-8203-f1335c05b410" ] }, { "id" : "ITEM-2", "itemData" : { "DOI" : "10.1177/0892020614559235", "ISSN" : "0892-0206", "abstract" : "This article considers the ways in which government policy in England is causing local schooling landscapes to be reconfigured. By August 2014, 12 percent of primary schools and 53 percent of secondary schools had become academies -  independent publicly funded schools' directly responsible to the Secretary of State. The article begins by considering ways in which schools may choose, or be forced, to respond to this policy environment, and, in particular, the new forms of school grouping that may emerge. It then draws on case studies of three local authorities - a large metropolitan authority, a large rural county and a small unitary authority - to explore changing patterns of schooling. It notes that rates of  academization' vary between the three areas, that local and regional groupings have gained greater purchase than national chains, and that, even allowing for this, almost half the academies are stand-alone - not belonging to any formal grouping. It concludes by arguing that deeper understanding of emerging patterns will require further study of the ways in which the values, purposes and power of key actors interact as decisions are taken about schools' futures.", "author" : [ { "dropping-particle" : "", "family" : "Simkins", "given" : "T.", "non-dropping-particle" : "", "parse-names" : false, "suffix" : "" } ], "container-title" : "Management in Education", "id" : "ITEM-2", "issue" : "1", "issued" : { "date-parts" : [ [ "2014", "12", "16" ] ] }, "page" : "4-8", "title" : "School restructuring in England: New school configurations and new challenges", "type" : "article-journal", "volume" : "29" }, "uris" : [ "http://www.mendeley.com/documents/?uuid=de6b50e9-5bd1-45d5-b1f5-f43a7359cd90" ] } ], "mendeley" : { "formattedCitation" : "(Glatter, 2012; Simkins, 2014)", "plainTextFormattedCitation" : "(Glatter, 2012; Simkins, 2014)", "previouslyFormattedCitation" : "(Glatter, 2012; Simkins, 2014)" }, "properties" : { "noteIndex" : 0 }, "schema" : "https://github.com/citation-style-language/schema/raw/master/csl-citation.json" }</w:instrText>
      </w:r>
      <w:r w:rsidR="009464A6" w:rsidRPr="009B3747">
        <w:rPr>
          <w:rFonts w:eastAsia="Times New Roman" w:cstheme="minorHAnsi"/>
          <w:color w:val="000000"/>
          <w:lang w:eastAsia="en-GB"/>
        </w:rPr>
        <w:fldChar w:fldCharType="separate"/>
      </w:r>
      <w:r w:rsidR="009464A6" w:rsidRPr="009B3747">
        <w:rPr>
          <w:rFonts w:eastAsia="Times New Roman" w:cstheme="minorHAnsi"/>
          <w:noProof/>
          <w:color w:val="000000"/>
          <w:lang w:eastAsia="en-GB"/>
        </w:rPr>
        <w:t>(Glatter, 2012; Simkins, 2014)</w:t>
      </w:r>
      <w:r w:rsidR="009464A6" w:rsidRPr="009B3747">
        <w:rPr>
          <w:rFonts w:eastAsia="Times New Roman" w:cstheme="minorHAnsi"/>
          <w:color w:val="000000"/>
          <w:lang w:eastAsia="en-GB"/>
        </w:rPr>
        <w:fldChar w:fldCharType="end"/>
      </w:r>
      <w:r w:rsidR="009464A6"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Between 2010-2015, a substantial increase in the number of independently publicly-funded schools, a reformed Office for Standards in </w:t>
      </w:r>
      <w:r w:rsidRPr="009B3747">
        <w:rPr>
          <w:rFonts w:eastAsia="Times New Roman" w:cstheme="minorHAnsi"/>
          <w:color w:val="000000"/>
          <w:lang w:eastAsia="en-GB"/>
        </w:rPr>
        <w:lastRenderedPageBreak/>
        <w:t>Education (Ofsted) inspection framework and fundamental changes to the relationship between schools and local authorities was witnessed</w:t>
      </w:r>
      <w:r w:rsidR="009464A6" w:rsidRPr="009B3747">
        <w:rPr>
          <w:rFonts w:eastAsia="Times New Roman" w:cstheme="minorHAnsi"/>
          <w:color w:val="000000"/>
          <w:lang w:eastAsia="en-GB"/>
        </w:rPr>
        <w:t xml:space="preserve"> </w:t>
      </w:r>
      <w:r w:rsidR="009464A6"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"Higham", "given" : "R", "non-dropping-particle" : "", "parse-names" : false, "suffix" : "" }, { "dropping-particle" : "", "family" : "Earley", "given" : "P", "non-dropping-particle" : "", "parse-names" : false, "suffix" : "" } ], "container-title" : "Educational Management Administration \u2026", "id" : "ITEM-1", "issue" : "6", "issued" : { "date-parts" : [ [ "2013" ] ] }, "page" : "701-717", "title" : "School Autonomy and Government Control School Leaders' Views on a Changing Policy Landscape in England", "type" : "article-journal", "volume" : "41" }, "uris" : [ "http://www.mendeley.com/documents/?uuid=398d6b23-ae2f-42f4-8829-da28b66916cf" ] } ], "mendeley" : { "formattedCitation" : "(Higham and Earley, 2013)", "plainTextFormattedCitation" : "(Higham and Earley, 2013)", "previouslyFormattedCitation" : "(Higham and Earley, 2013)" }, "properties" : { "noteIndex" : 0 }, "schema" : "https://github.com/citation-style-language/schema/raw/master/csl-citation.json" }</w:instrText>
      </w:r>
      <w:r w:rsidR="009464A6" w:rsidRPr="009B3747">
        <w:rPr>
          <w:rFonts w:eastAsia="Times New Roman" w:cstheme="minorHAnsi"/>
          <w:color w:val="000000"/>
          <w:lang w:eastAsia="en-GB"/>
        </w:rPr>
        <w:fldChar w:fldCharType="separate"/>
      </w:r>
      <w:r w:rsidR="009464A6" w:rsidRPr="009B3747">
        <w:rPr>
          <w:rFonts w:eastAsia="Times New Roman" w:cstheme="minorHAnsi"/>
          <w:noProof/>
          <w:color w:val="000000"/>
          <w:lang w:eastAsia="en-GB"/>
        </w:rPr>
        <w:t>(Higham and Earley, 2013)</w:t>
      </w:r>
      <w:r w:rsidR="009464A6" w:rsidRPr="009B3747">
        <w:rPr>
          <w:rFonts w:eastAsia="Times New Roman" w:cstheme="minorHAnsi"/>
          <w:color w:val="000000"/>
          <w:lang w:eastAsia="en-GB"/>
        </w:rPr>
        <w:fldChar w:fldCharType="end"/>
      </w:r>
      <w:r w:rsidRPr="009B3747">
        <w:rPr>
          <w:rFonts w:eastAsia="Times New Roman" w:cstheme="minorHAnsi"/>
          <w:color w:val="000000"/>
          <w:lang w:eastAsia="en-GB"/>
        </w:rPr>
        <w:t>.  These changes were reportedly driven by a political desire to improve educational outcomes and create self-improving school systems</w:t>
      </w:r>
      <w:r w:rsidR="009464A6" w:rsidRPr="009B3747">
        <w:rPr>
          <w:rFonts w:eastAsia="Times New Roman" w:cstheme="minorHAnsi"/>
          <w:color w:val="000000"/>
          <w:lang w:eastAsia="en-GB"/>
        </w:rPr>
        <w:t xml:space="preserve"> </w:t>
      </w:r>
      <w:r w:rsidR="009464A6"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"Hargreaves", "given" : "DH", "non-dropping-particle" : "", "parse-names" : false, "suffix" : "" } ], "id" : "ITEM-1", "issued" : { "date-parts" : [ [ "2011" ] ] }, "publisher-place" : "Cambridge", "title" : "Leading a self-improving school system", "type" : "report" }, "uris" : [ "http://www.mendeley.com/documents/?uuid=146d3ff5-34e8-4e4d-838b-9897a9657f86" ] }, { "id" : "ITEM-2", "itemData" : { "author" : [ { "dropping-particle" : "", "family" : "Hargreaves", "given" : "DH", "non-dropping-particle" : "", "parse-names" : false, "suffix" : "" } ], "id" : "ITEM-2", "issued" : { "date-parts" : [ [ "2012" ] ] }, "publisher-place" : "Cambridge", "title" : "A self-improving school system: towards maturity", "type" : "report" }, "uris" : [ "http://www.mendeley.com/documents/?uuid=242214eb-6f65-4b17-934a-d679732d3808" ] } ], "mendeley" : { "formattedCitation" : "(Hargreaves, 2011, 2012)", "plainTextFormattedCitation" : "(Hargreaves, 2011, 2012)", "previouslyFormattedCitation" : "(Hargreaves, 2011, 2012)" }, "properties" : { "noteIndex" : 0 }, "schema" : "https://github.com/citation-style-language/schema/raw/master/csl-citation.json" }</w:instrText>
      </w:r>
      <w:r w:rsidR="009464A6" w:rsidRPr="009B3747">
        <w:rPr>
          <w:rFonts w:eastAsia="Times New Roman" w:cstheme="minorHAnsi"/>
          <w:color w:val="000000"/>
          <w:lang w:eastAsia="en-GB"/>
        </w:rPr>
        <w:fldChar w:fldCharType="separate"/>
      </w:r>
      <w:r w:rsidR="009464A6" w:rsidRPr="009B3747">
        <w:rPr>
          <w:rFonts w:eastAsia="Times New Roman" w:cstheme="minorHAnsi"/>
          <w:noProof/>
          <w:color w:val="000000"/>
          <w:lang w:eastAsia="en-GB"/>
        </w:rPr>
        <w:t>(Hargreaves, 2011, 2012)</w:t>
      </w:r>
      <w:r w:rsidR="009464A6" w:rsidRPr="009B3747">
        <w:rPr>
          <w:rFonts w:eastAsia="Times New Roman" w:cstheme="minorHAnsi"/>
          <w:color w:val="000000"/>
          <w:lang w:eastAsia="en-GB"/>
        </w:rPr>
        <w:fldChar w:fldCharType="end"/>
      </w:r>
      <w:r w:rsidR="001217DC">
        <w:rPr>
          <w:rFonts w:eastAsia="Times New Roman" w:cstheme="minorHAnsi"/>
          <w:color w:val="000000"/>
          <w:lang w:eastAsia="en-GB"/>
        </w:rPr>
        <w:t>.  S</w:t>
      </w:r>
      <w:r w:rsidRPr="009B3747">
        <w:rPr>
          <w:rFonts w:eastAsia="Times New Roman" w:cstheme="minorHAnsi"/>
          <w:color w:val="000000"/>
          <w:lang w:eastAsia="en-GB"/>
        </w:rPr>
        <w:t xml:space="preserve">chools and their leaders have </w:t>
      </w:r>
      <w:r w:rsidR="001217DC">
        <w:rPr>
          <w:rFonts w:eastAsia="Times New Roman" w:cstheme="minorHAnsi"/>
          <w:color w:val="000000"/>
          <w:lang w:eastAsia="en-GB"/>
        </w:rPr>
        <w:t xml:space="preserve">increasingly </w:t>
      </w:r>
      <w:r w:rsidRPr="009B3747">
        <w:rPr>
          <w:rFonts w:eastAsia="Times New Roman" w:cstheme="minorHAnsi"/>
          <w:color w:val="000000"/>
          <w:lang w:eastAsia="en-GB"/>
        </w:rPr>
        <w:t>been encouraged to access greater autonomy, freedom and self-governance</w:t>
      </w:r>
      <w:r w:rsidR="009464A6" w:rsidRPr="009B3747">
        <w:rPr>
          <w:rFonts w:eastAsia="Times New Roman" w:cstheme="minorHAnsi"/>
          <w:color w:val="000000"/>
          <w:lang w:eastAsia="en-GB"/>
        </w:rPr>
        <w:t xml:space="preserve"> </w:t>
      </w:r>
      <w:r w:rsidR="009464A6"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"Sandals", "given" : "L", "non-dropping-particle" : "", "parse-names" : false, "suffix" : "" }, { "dropping-particle" : "", "family" : "Bryant", "given" : "B", "non-dropping-particle" : "", "parse-names" : false, "suffix" : "" } ], "id" : "ITEM-1", "issued" : { "date-parts" : [ [ "2014" ] ] }, "publisher-place" : "London", "title" : "The evolving education system in England: a \u201ctemperature check\u201d", "type" : "report" }, "uris" : [ "http://www.mendeley.com/documents/?uuid=a2d8f002-aa4f-427e-9e19-ca4ddf77fbc0" ] } ], "mendeley" : { "formattedCitation" : "(Sandals and Bryant, 2014)", "plainTextFormattedCitation" : "(Sandals and Bryant, 2014)", "previouslyFormattedCitation" : "(Sandals and Bryant, 2014)" }, "properties" : { "noteIndex" : 0 }, "schema" : "https://github.com/citation-style-language/schema/raw/master/csl-citation.json" }</w:instrText>
      </w:r>
      <w:r w:rsidR="009464A6" w:rsidRPr="009B3747">
        <w:rPr>
          <w:rFonts w:eastAsia="Times New Roman" w:cstheme="minorHAnsi"/>
          <w:color w:val="000000"/>
          <w:lang w:eastAsia="en-GB"/>
        </w:rPr>
        <w:fldChar w:fldCharType="separate"/>
      </w:r>
      <w:r w:rsidR="009464A6" w:rsidRPr="009B3747">
        <w:rPr>
          <w:rFonts w:eastAsia="Times New Roman" w:cstheme="minorHAnsi"/>
          <w:noProof/>
          <w:color w:val="000000"/>
          <w:lang w:eastAsia="en-GB"/>
        </w:rPr>
        <w:t>(Sandals and Bryant, 2014)</w:t>
      </w:r>
      <w:r w:rsidR="009464A6" w:rsidRPr="009B3747">
        <w:rPr>
          <w:rFonts w:eastAsia="Times New Roman" w:cstheme="minorHAnsi"/>
          <w:color w:val="000000"/>
          <w:lang w:eastAsia="en-GB"/>
        </w:rPr>
        <w:fldChar w:fldCharType="end"/>
      </w:r>
      <w:r w:rsidR="009464A6" w:rsidRPr="009B3747">
        <w:rPr>
          <w:rFonts w:eastAsia="Times New Roman" w:cstheme="minorHAnsi"/>
          <w:color w:val="000000"/>
          <w:lang w:eastAsia="en-GB"/>
        </w:rPr>
        <w:t>.</w:t>
      </w:r>
      <w:r w:rsidRPr="009B3747">
        <w:rPr>
          <w:rFonts w:eastAsia="Times New Roman" w:cstheme="minorHAnsi"/>
          <w:color w:val="000000"/>
          <w:lang w:eastAsia="en-GB"/>
        </w:rPr>
        <w:t xml:space="preserve"> </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9464A6" w:rsidRPr="009B3747" w:rsidRDefault="00A16FA3" w:rsidP="00413889">
      <w:pPr>
        <w:rPr>
          <w:rFonts w:eastAsia="Times New Roman" w:cstheme="minorHAnsi"/>
          <w:color w:val="000000"/>
          <w:lang w:eastAsia="en-GB"/>
        </w:rPr>
      </w:pPr>
      <w:r w:rsidRPr="009B3747">
        <w:rPr>
          <w:rFonts w:eastAsia="Times New Roman" w:cstheme="minorHAnsi"/>
          <w:color w:val="000000"/>
          <w:lang w:eastAsia="en-GB"/>
        </w:rPr>
        <w:t>More recently, the majority Conservative government has proposed controversial major reforms, including a proposal to convert all state-funded schools to academies by 2022, new accountability measures and significant changes to the curriculum</w:t>
      </w:r>
      <w:r w:rsidR="009464A6" w:rsidRPr="009B3747">
        <w:rPr>
          <w:rFonts w:eastAsia="Times New Roman" w:cstheme="minorHAnsi"/>
          <w:color w:val="000000"/>
          <w:lang w:eastAsia="en-GB"/>
        </w:rPr>
        <w:t xml:space="preserve"> </w:t>
      </w:r>
      <w:r w:rsidR="009464A6"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"Roberts", "given" : "N", "non-dropping-particle" : "", "parse-names" : false, "suffix" : "" }, { "dropping-particle" : "", "family" : "Bolton", "given" : "P", "non-dropping-particle" : "", "parse-names" : false, "suffix" : "" } ], "id" : "ITEM-1", "issued" : { "date-parts" : [ [ "2016" ] ] }, "publisher-place" : "London", "title" : "Changes to school accountability and 'league tables' in England in 2016", "type" : "report" }, "uris" : [ "http://www.mendeley.com/documents/?uuid=b209d369-dc12-4cd1-946d-1281967968b8" ] } ], "mendeley" : { "formattedCitation" : "(Roberts and Bolton, 2016)", "plainTextFormattedCitation" : "(Roberts and Bolton, 2016)", "previouslyFormattedCitation" : "(Roberts and Bolton, 2016)" }, "properties" : { "noteIndex" : 0 }, "schema" : "https://github.com/citation-style-language/schema/raw/master/csl-citation.json" }</w:instrText>
      </w:r>
      <w:r w:rsidR="009464A6" w:rsidRPr="009B3747">
        <w:rPr>
          <w:rFonts w:eastAsia="Times New Roman" w:cstheme="minorHAnsi"/>
          <w:color w:val="000000"/>
          <w:lang w:eastAsia="en-GB"/>
        </w:rPr>
        <w:fldChar w:fldCharType="separate"/>
      </w:r>
      <w:r w:rsidR="009464A6" w:rsidRPr="009B3747">
        <w:rPr>
          <w:rFonts w:eastAsia="Times New Roman" w:cstheme="minorHAnsi"/>
          <w:noProof/>
          <w:color w:val="000000"/>
          <w:lang w:eastAsia="en-GB"/>
        </w:rPr>
        <w:t>(Roberts and Bolton, 2016)</w:t>
      </w:r>
      <w:r w:rsidR="009464A6" w:rsidRPr="009B3747">
        <w:rPr>
          <w:rFonts w:eastAsia="Times New Roman" w:cstheme="minorHAnsi"/>
          <w:color w:val="000000"/>
          <w:lang w:eastAsia="en-GB"/>
        </w:rPr>
        <w:fldChar w:fldCharType="end"/>
      </w:r>
      <w:r w:rsidR="009464A6" w:rsidRPr="009B3747">
        <w:rPr>
          <w:rFonts w:eastAsia="Times New Roman" w:cstheme="minorHAnsi"/>
          <w:color w:val="000000"/>
          <w:lang w:eastAsia="en-GB"/>
        </w:rPr>
        <w:t xml:space="preserve">.  </w:t>
      </w:r>
      <w:r w:rsidRPr="009B3747">
        <w:rPr>
          <w:rFonts w:eastAsia="Times New Roman" w:cstheme="minorHAnsi"/>
          <w:color w:val="000000"/>
          <w:lang w:eastAsia="en-GB"/>
        </w:rPr>
        <w:t>Consequently, education at all levels in the UK is deemed to be in a ‘difficult period’</w:t>
      </w:r>
      <w:r w:rsidR="009464A6" w:rsidRPr="009B3747">
        <w:rPr>
          <w:rFonts w:eastAsia="Times New Roman" w:cstheme="minorHAnsi"/>
          <w:color w:val="000000"/>
          <w:lang w:eastAsia="en-GB"/>
        </w:rPr>
        <w:t xml:space="preserve"> </w:t>
      </w:r>
      <w:r w:rsidR="009464A6" w:rsidRPr="009B3747">
        <w:rPr>
          <w:rFonts w:eastAsia="Times New Roman" w:cstheme="minorHAnsi"/>
          <w:color w:val="000000"/>
          <w:lang w:eastAsia="en-GB"/>
        </w:rPr>
        <w:fldChar w:fldCharType="begin" w:fldLock="1"/>
      </w:r>
      <w:r w:rsidR="006D64A4" w:rsidRPr="009B3747">
        <w:rPr>
          <w:rFonts w:eastAsia="Times New Roman" w:cstheme="minorHAnsi"/>
          <w:color w:val="000000"/>
          <w:lang w:eastAsia="en-GB"/>
        </w:rPr>
        <w:instrText>ADDIN CSL_CITATION { "citationItems" : [ { "id" : "ITEM-1", "itemData" : { "DOI" : "10.1016/S0140-6736(13)60867-3", "ISSN" : "01406736", "author" : [ { "dropping-particle" : "", "family" : "The Lancet", "given" : "", "non-dropping-particle" : "", "parse-names" : false, "suffix" : "" } ], "container-title" : "The Lancet", "id" : "ITEM-1", "issue" : "9875", "issued" : { "date-parts" : [ [ "2013", "4", "20" ] ] }, "page" : "1334", "publisher" : "Elsevier", "title" : "Child and adolescent wellbeing in the UK", "type" : "article-journal", "volume" : "381" }, "uris" : [ "http://www.mendeley.com/documents/?uuid=33238725-4476-3a4b-9a70-1c70d260e0ed" ] } ], "mendeley" : { "formattedCitation" : "(The Lancet, 2013)", "plainTextFormattedCitation" : "(The Lancet, 2013)", "previouslyFormattedCitation" : "(The Lancet, 2013)" }, "properties" : { "noteIndex" : 0 }, "schema" : "https://github.com/citation-style-language/schema/raw/master/csl-citation.json" }</w:instrText>
      </w:r>
      <w:r w:rsidR="009464A6" w:rsidRPr="009B3747">
        <w:rPr>
          <w:rFonts w:eastAsia="Times New Roman" w:cstheme="minorHAnsi"/>
          <w:color w:val="000000"/>
          <w:lang w:eastAsia="en-GB"/>
        </w:rPr>
        <w:fldChar w:fldCharType="separate"/>
      </w:r>
      <w:r w:rsidR="009464A6" w:rsidRPr="009B3747">
        <w:rPr>
          <w:rFonts w:eastAsia="Times New Roman" w:cstheme="minorHAnsi"/>
          <w:noProof/>
          <w:color w:val="000000"/>
          <w:lang w:eastAsia="en-GB"/>
        </w:rPr>
        <w:t>(The Lancet, 2013)</w:t>
      </w:r>
      <w:r w:rsidR="009464A6" w:rsidRPr="009B3747">
        <w:rPr>
          <w:rFonts w:eastAsia="Times New Roman" w:cstheme="minorHAnsi"/>
          <w:color w:val="000000"/>
          <w:lang w:eastAsia="en-GB"/>
        </w:rPr>
        <w:fldChar w:fldCharType="end"/>
      </w:r>
      <w:r w:rsidR="006D64A4" w:rsidRPr="009B3747">
        <w:rPr>
          <w:rFonts w:eastAsia="Times New Roman" w:cstheme="minorHAnsi"/>
          <w:color w:val="000000"/>
          <w:lang w:eastAsia="en-GB"/>
        </w:rPr>
        <w:t>.</w:t>
      </w:r>
    </w:p>
    <w:p w:rsidR="00A16FA3" w:rsidRPr="009B3747" w:rsidRDefault="00A16FA3" w:rsidP="00413889">
      <w:pPr>
        <w:rPr>
          <w:rFonts w:eastAsia="Times New Roman" w:cstheme="minorHAnsi"/>
          <w:sz w:val="24"/>
          <w:szCs w:val="24"/>
          <w:lang w:eastAsia="en-GB"/>
        </w:rPr>
      </w:pPr>
      <w:r w:rsidRPr="009B3747">
        <w:rPr>
          <w:rFonts w:eastAsia="Times New Roman" w:cstheme="minorHAnsi"/>
          <w:sz w:val="24"/>
          <w:szCs w:val="24"/>
          <w:lang w:eastAsia="en-GB"/>
        </w:rPr>
        <w:t> </w:t>
      </w:r>
    </w:p>
    <w:p w:rsidR="00A16FA3" w:rsidRPr="009B3747" w:rsidRDefault="00C34D84" w:rsidP="00413889">
      <w:pPr>
        <w:rPr>
          <w:rFonts w:eastAsia="Times New Roman" w:cstheme="minorHAnsi"/>
          <w:sz w:val="24"/>
          <w:szCs w:val="24"/>
          <w:u w:val="single"/>
          <w:lang w:eastAsia="en-GB"/>
        </w:rPr>
      </w:pPr>
      <w:r w:rsidRPr="009B3747">
        <w:rPr>
          <w:rFonts w:eastAsia="Times New Roman" w:cstheme="minorHAnsi"/>
          <w:iCs/>
          <w:color w:val="000000"/>
          <w:u w:val="single"/>
          <w:lang w:eastAsia="en-GB"/>
        </w:rPr>
        <w:t>2</w:t>
      </w:r>
      <w:r w:rsidR="00D857B4" w:rsidRPr="009B3747">
        <w:rPr>
          <w:rFonts w:eastAsia="Times New Roman" w:cstheme="minorHAnsi"/>
          <w:iCs/>
          <w:color w:val="000000"/>
          <w:u w:val="single"/>
          <w:lang w:eastAsia="en-GB"/>
        </w:rPr>
        <w:t xml:space="preserve">.8.1 </w:t>
      </w:r>
      <w:r w:rsidR="00A16FA3" w:rsidRPr="009B3747">
        <w:rPr>
          <w:rFonts w:eastAsia="Times New Roman" w:cstheme="minorHAnsi"/>
          <w:iCs/>
          <w:color w:val="000000"/>
          <w:u w:val="single"/>
          <w:lang w:eastAsia="en-GB"/>
        </w:rPr>
        <w:t xml:space="preserve">School characteristics </w:t>
      </w:r>
    </w:p>
    <w:p w:rsidR="00A16FA3" w:rsidRPr="009B3747" w:rsidRDefault="00A16FA3" w:rsidP="00413889">
      <w:pPr>
        <w:rPr>
          <w:rFonts w:eastAsia="Times New Roman" w:cstheme="minorHAnsi"/>
          <w:sz w:val="24"/>
          <w:szCs w:val="24"/>
          <w:lang w:eastAsia="en-GB"/>
        </w:rPr>
      </w:pPr>
      <w:r w:rsidRPr="009B3747">
        <w:rPr>
          <w:rFonts w:eastAsia="Times New Roman" w:cstheme="minorHAnsi"/>
          <w:sz w:val="24"/>
          <w:szCs w:val="24"/>
          <w:lang w:eastAsia="en-GB"/>
        </w:rPr>
        <w:t> </w:t>
      </w:r>
    </w:p>
    <w:p w:rsidR="00A16FA3" w:rsidRPr="009B3747" w:rsidRDefault="00A16FA3" w:rsidP="00413889">
      <w:pPr>
        <w:rPr>
          <w:rFonts w:eastAsia="Times New Roman" w:cstheme="minorHAnsi"/>
          <w:color w:val="000000"/>
          <w:lang w:eastAsia="en-GB"/>
        </w:rPr>
      </w:pPr>
      <w:r w:rsidRPr="009B3747">
        <w:rPr>
          <w:rFonts w:eastAsia="Times New Roman" w:cstheme="minorHAnsi"/>
          <w:color w:val="000000"/>
          <w:lang w:eastAsia="en-GB"/>
        </w:rPr>
        <w:t>In England, primary schools</w:t>
      </w:r>
      <w:r w:rsidR="00413889" w:rsidRPr="009B3747">
        <w:rPr>
          <w:rFonts w:eastAsia="Times New Roman" w:cstheme="minorHAnsi"/>
          <w:color w:val="000000"/>
          <w:lang w:eastAsia="en-GB"/>
        </w:rPr>
        <w:t xml:space="preserve"> typically accept pupils aged 4 to </w:t>
      </w:r>
      <w:r w:rsidRPr="009B3747">
        <w:rPr>
          <w:rFonts w:eastAsia="Times New Roman" w:cstheme="minorHAnsi"/>
          <w:color w:val="000000"/>
          <w:lang w:eastAsia="en-GB"/>
        </w:rPr>
        <w:t>11 years and secondary schools aged 11 years and above, but there are increasing numbers of ‘All-through schools’, who take pupils of all compulsory school ages.  Different types of schools exist within England, with the vas</w:t>
      </w:r>
      <w:r w:rsidR="001217DC">
        <w:rPr>
          <w:rFonts w:eastAsia="Times New Roman" w:cstheme="minorHAnsi"/>
          <w:color w:val="000000"/>
          <w:lang w:eastAsia="en-GB"/>
        </w:rPr>
        <w:t>t majority (approximately 90%), b</w:t>
      </w:r>
      <w:r w:rsidRPr="009B3747">
        <w:rPr>
          <w:rFonts w:eastAsia="Times New Roman" w:cstheme="minorHAnsi"/>
          <w:color w:val="000000"/>
          <w:lang w:eastAsia="en-GB"/>
        </w:rPr>
        <w:t>eing funded by the state</w:t>
      </w:r>
      <w:r w:rsidR="006D64A4" w:rsidRPr="009B3747">
        <w:rPr>
          <w:rFonts w:eastAsia="Times New Roman" w:cstheme="minorHAnsi"/>
          <w:color w:val="000000"/>
          <w:lang w:eastAsia="en-GB"/>
        </w:rPr>
        <w:t xml:space="preserve"> </w:t>
      </w:r>
      <w:r w:rsidR="006D64A4"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"Department for Education", "given" : "", "non-dropping-particle" : "", "parse-names" : false, "suffix" : "" } ], "id" : "ITEM-1", "issued" : { "date-parts" : [ [ "2016" ] ] }, "publisher-place" : "London", "title" : "Schools, pupils and their characteristics", "type" : "report" }, "uris" : [ "http://www.mendeley.com/documents/?uuid=cb0a9280-f43f-4230-89f2-4d21d4c41146" ] } ], "mendeley" : { "formattedCitation" : "(Department for Education, 2016b)", "plainTextFormattedCitation" : "(Department for Education, 2016b)", "previouslyFormattedCitation" : "(Department for Education, 2016b)" }, "properties" : { "noteIndex" : 0 }, "schema" : "https://github.com/citation-style-language/schema/raw/master/csl-citation.json" }</w:instrText>
      </w:r>
      <w:r w:rsidR="006D64A4" w:rsidRPr="009B3747">
        <w:rPr>
          <w:rFonts w:eastAsia="Times New Roman" w:cstheme="minorHAnsi"/>
          <w:color w:val="000000"/>
          <w:lang w:eastAsia="en-GB"/>
        </w:rPr>
        <w:fldChar w:fldCharType="separate"/>
      </w:r>
      <w:r w:rsidR="006D64A4" w:rsidRPr="009B3747">
        <w:rPr>
          <w:rFonts w:eastAsia="Times New Roman" w:cstheme="minorHAnsi"/>
          <w:noProof/>
          <w:color w:val="000000"/>
          <w:lang w:eastAsia="en-GB"/>
        </w:rPr>
        <w:t>(Department for Education, 2016b)</w:t>
      </w:r>
      <w:r w:rsidR="006D64A4" w:rsidRPr="009B3747">
        <w:rPr>
          <w:rFonts w:eastAsia="Times New Roman" w:cstheme="minorHAnsi"/>
          <w:color w:val="000000"/>
          <w:lang w:eastAsia="en-GB"/>
        </w:rPr>
        <w:fldChar w:fldCharType="end"/>
      </w:r>
      <w:r w:rsidR="006D64A4" w:rsidRPr="009B3747">
        <w:rPr>
          <w:rFonts w:eastAsia="Times New Roman" w:cstheme="minorHAnsi"/>
          <w:color w:val="000000"/>
          <w:lang w:eastAsia="en-GB"/>
        </w:rPr>
        <w:t xml:space="preserve">.  As </w:t>
      </w:r>
      <w:r w:rsidRPr="009B3747">
        <w:rPr>
          <w:rFonts w:eastAsia="Times New Roman" w:cstheme="minorHAnsi"/>
          <w:color w:val="000000"/>
          <w:lang w:eastAsia="en-GB"/>
        </w:rPr>
        <w:t>of January 2016, the government were responsible for funding and inspecting 16,778 primary schools and 3</w:t>
      </w:r>
      <w:r w:rsidR="00CD7979" w:rsidRPr="009B3747">
        <w:rPr>
          <w:rFonts w:eastAsia="Times New Roman" w:cstheme="minorHAnsi"/>
          <w:color w:val="000000"/>
          <w:lang w:eastAsia="en-GB"/>
        </w:rPr>
        <w:t>,</w:t>
      </w:r>
      <w:r w:rsidRPr="009B3747">
        <w:rPr>
          <w:rFonts w:eastAsia="Times New Roman" w:cstheme="minorHAnsi"/>
          <w:color w:val="000000"/>
          <w:lang w:eastAsia="en-GB"/>
        </w:rPr>
        <w:t xml:space="preserve">401 secondary schools across England (not including special schools), </w:t>
      </w:r>
      <w:r w:rsidR="006D64A4"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"Department for Education", "given" : "", "non-dropping-particle" : "", "parse-names" : false, "suffix" : "" } ], "id" : "ITEM-1", "issued" : { "date-parts" : [ [ "2016" ] ] }, "publisher-place" : "London", "title" : "Schools, pupils and their characteristics", "type" : "report" }, "uris" : [ "http://www.mendeley.com/documents/?uuid=cb0a9280-f43f-4230-89f2-4d21d4c41146" ] } ], "mendeley" : { "formattedCitation" : "(Department for Education, 2016b)", "plainTextFormattedCitation" : "(Department for Education, 2016b)", "previouslyFormattedCitation" : "(Department for Education, 2016b)" }, "properties" : { "noteIndex" : 0 }, "schema" : "https://github.com/citation-style-language/schema/raw/master/csl-citation.json" }</w:instrText>
      </w:r>
      <w:r w:rsidR="006D64A4" w:rsidRPr="009B3747">
        <w:rPr>
          <w:rFonts w:eastAsia="Times New Roman" w:cstheme="minorHAnsi"/>
          <w:color w:val="000000"/>
          <w:lang w:eastAsia="en-GB"/>
        </w:rPr>
        <w:fldChar w:fldCharType="separate"/>
      </w:r>
      <w:r w:rsidR="006D64A4" w:rsidRPr="009B3747">
        <w:rPr>
          <w:rFonts w:eastAsia="Times New Roman" w:cstheme="minorHAnsi"/>
          <w:noProof/>
          <w:color w:val="000000"/>
          <w:lang w:eastAsia="en-GB"/>
        </w:rPr>
        <w:t>(Department for Education, 2016b)</w:t>
      </w:r>
      <w:r w:rsidR="006D64A4" w:rsidRPr="009B3747">
        <w:rPr>
          <w:rFonts w:eastAsia="Times New Roman" w:cstheme="minorHAnsi"/>
          <w:color w:val="000000"/>
          <w:lang w:eastAsia="en-GB"/>
        </w:rPr>
        <w:fldChar w:fldCharType="end"/>
      </w:r>
      <w:r w:rsidR="006D64A4" w:rsidRPr="009B3747">
        <w:rPr>
          <w:rFonts w:eastAsia="Times New Roman" w:cstheme="minorHAnsi"/>
          <w:color w:val="000000"/>
          <w:lang w:eastAsia="en-GB"/>
        </w:rPr>
        <w:t xml:space="preserve">.  </w:t>
      </w:r>
      <w:r w:rsidRPr="009B3747">
        <w:rPr>
          <w:rFonts w:eastAsia="Times New Roman" w:cstheme="minorHAnsi"/>
          <w:color w:val="000000"/>
          <w:lang w:eastAsia="en-GB"/>
        </w:rPr>
        <w:t>At both primary and secondary level, state funded schools can broadly be categorised into either ‘maint</w:t>
      </w:r>
      <w:r w:rsidR="006D64A4" w:rsidRPr="009B3747">
        <w:rPr>
          <w:rFonts w:eastAsia="Times New Roman" w:cstheme="minorHAnsi"/>
          <w:color w:val="000000"/>
          <w:lang w:eastAsia="en-GB"/>
        </w:rPr>
        <w:t>ained’</w:t>
      </w:r>
      <w:r w:rsidR="00846B21" w:rsidRPr="009B3747">
        <w:rPr>
          <w:rFonts w:eastAsia="Times New Roman" w:cstheme="minorHAnsi"/>
          <w:color w:val="000000"/>
          <w:lang w:eastAsia="en-GB"/>
        </w:rPr>
        <w:t xml:space="preserve"> or ‘academies’.  Table 2.3</w:t>
      </w:r>
      <w:r w:rsidRPr="009B3747">
        <w:rPr>
          <w:rFonts w:eastAsia="Times New Roman" w:cstheme="minorHAnsi"/>
          <w:color w:val="000000"/>
          <w:lang w:eastAsia="en-GB"/>
        </w:rPr>
        <w:t xml:space="preserve"> presents key characteristics of these two overarching state funded school groups in England</w:t>
      </w:r>
    </w:p>
    <w:p w:rsidR="00F757C7" w:rsidRPr="009B3747" w:rsidRDefault="00F757C7" w:rsidP="00F757C7">
      <w:pPr>
        <w:spacing w:line="276" w:lineRule="auto"/>
        <w:rPr>
          <w:rFonts w:eastAsia="Times New Roman" w:cstheme="minorHAnsi"/>
          <w:sz w:val="24"/>
          <w:szCs w:val="24"/>
          <w:lang w:eastAsia="en-GB"/>
        </w:rPr>
      </w:pPr>
    </w:p>
    <w:p w:rsidR="00A16FA3" w:rsidRPr="009B3747" w:rsidRDefault="00846B21" w:rsidP="00413889">
      <w:pPr>
        <w:spacing w:line="240" w:lineRule="auto"/>
        <w:rPr>
          <w:rFonts w:eastAsia="Times New Roman" w:cstheme="minorHAnsi"/>
          <w:iCs/>
          <w:color w:val="000000"/>
          <w:sz w:val="21"/>
          <w:szCs w:val="21"/>
          <w:u w:val="single"/>
          <w:lang w:eastAsia="en-GB"/>
        </w:rPr>
      </w:pPr>
      <w:r w:rsidRPr="009B3747">
        <w:rPr>
          <w:rFonts w:eastAsia="Times New Roman" w:cstheme="minorHAnsi"/>
          <w:b/>
          <w:bCs/>
          <w:color w:val="000000"/>
          <w:sz w:val="21"/>
          <w:szCs w:val="21"/>
          <w:u w:val="single"/>
          <w:lang w:eastAsia="en-GB"/>
        </w:rPr>
        <w:t>Table 2.3</w:t>
      </w:r>
      <w:r w:rsidR="00A16FA3" w:rsidRPr="009B3747">
        <w:rPr>
          <w:rFonts w:eastAsia="Times New Roman" w:cstheme="minorHAnsi"/>
          <w:color w:val="000000"/>
          <w:sz w:val="21"/>
          <w:szCs w:val="21"/>
          <w:u w:val="single"/>
          <w:lang w:eastAsia="en-GB"/>
        </w:rPr>
        <w:t xml:space="preserve"> – </w:t>
      </w:r>
      <w:r w:rsidR="00A16FA3" w:rsidRPr="009B3747">
        <w:rPr>
          <w:rFonts w:eastAsia="Times New Roman" w:cstheme="minorHAnsi"/>
          <w:iCs/>
          <w:color w:val="000000"/>
          <w:sz w:val="21"/>
          <w:szCs w:val="21"/>
          <w:u w:val="single"/>
          <w:lang w:eastAsia="en-GB"/>
        </w:rPr>
        <w:t>Key characteristics of state funded school groups in England</w:t>
      </w:r>
    </w:p>
    <w:p w:rsidR="00413889" w:rsidRPr="009B3747" w:rsidRDefault="00413889" w:rsidP="00413889">
      <w:pPr>
        <w:spacing w:line="240" w:lineRule="auto"/>
        <w:rPr>
          <w:rFonts w:eastAsia="Times New Roman" w:cstheme="minorHAnsi"/>
          <w:sz w:val="24"/>
          <w:szCs w:val="24"/>
          <w:u w:val="single"/>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1533"/>
        <w:gridCol w:w="3560"/>
        <w:gridCol w:w="3913"/>
      </w:tblGrid>
      <w:tr w:rsidR="00A16FA3" w:rsidRPr="009B3747" w:rsidTr="0083682E">
        <w:tc>
          <w:tcPr>
            <w:tcW w:w="1533"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413889">
            <w:pPr>
              <w:spacing w:line="240" w:lineRule="auto"/>
              <w:rPr>
                <w:rFonts w:eastAsia="Times New Roman" w:cstheme="minorHAnsi"/>
                <w:sz w:val="24"/>
                <w:szCs w:val="24"/>
                <w:lang w:eastAsia="en-GB"/>
              </w:rPr>
            </w:pPr>
          </w:p>
        </w:tc>
        <w:tc>
          <w:tcPr>
            <w:tcW w:w="747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413889">
            <w:pPr>
              <w:spacing w:line="240" w:lineRule="auto"/>
              <w:jc w:val="center"/>
              <w:rPr>
                <w:rFonts w:eastAsia="Times New Roman" w:cstheme="minorHAnsi"/>
                <w:sz w:val="24"/>
                <w:szCs w:val="24"/>
                <w:lang w:eastAsia="en-GB"/>
              </w:rPr>
            </w:pPr>
            <w:r w:rsidRPr="009B3747">
              <w:rPr>
                <w:rFonts w:eastAsia="Times New Roman" w:cstheme="minorHAnsi"/>
                <w:b/>
                <w:bCs/>
                <w:color w:val="000000"/>
                <w:lang w:eastAsia="en-GB"/>
              </w:rPr>
              <w:t>School group</w:t>
            </w:r>
          </w:p>
        </w:tc>
      </w:tr>
      <w:tr w:rsidR="00A16FA3" w:rsidRPr="009B3747" w:rsidTr="0083682E">
        <w:tc>
          <w:tcPr>
            <w:tcW w:w="1533" w:type="dxa"/>
            <w:vMerge/>
            <w:tcBorders>
              <w:top w:val="single" w:sz="8" w:space="0" w:color="000000"/>
              <w:left w:val="single" w:sz="8" w:space="0" w:color="000000"/>
              <w:bottom w:val="single" w:sz="8" w:space="0" w:color="000000"/>
              <w:right w:val="single" w:sz="8" w:space="0" w:color="000000"/>
            </w:tcBorders>
            <w:vAlign w:val="center"/>
            <w:hideMark/>
          </w:tcPr>
          <w:p w:rsidR="00A16FA3" w:rsidRPr="009B3747" w:rsidRDefault="00A16FA3" w:rsidP="00413889">
            <w:pPr>
              <w:spacing w:line="240" w:lineRule="auto"/>
              <w:rPr>
                <w:rFonts w:eastAsia="Times New Roman" w:cstheme="minorHAnsi"/>
                <w:sz w:val="24"/>
                <w:szCs w:val="24"/>
                <w:lang w:eastAsia="en-GB"/>
              </w:rPr>
            </w:pPr>
          </w:p>
        </w:tc>
        <w:tc>
          <w:tcPr>
            <w:tcW w:w="3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413889">
            <w:pPr>
              <w:spacing w:line="240" w:lineRule="auto"/>
              <w:jc w:val="center"/>
              <w:rPr>
                <w:rFonts w:eastAsia="Times New Roman" w:cstheme="minorHAnsi"/>
                <w:sz w:val="24"/>
                <w:szCs w:val="24"/>
                <w:lang w:eastAsia="en-GB"/>
              </w:rPr>
            </w:pPr>
            <w:r w:rsidRPr="009B3747">
              <w:rPr>
                <w:rFonts w:eastAsia="Times New Roman" w:cstheme="minorHAnsi"/>
                <w:b/>
                <w:bCs/>
                <w:color w:val="000000"/>
                <w:lang w:eastAsia="en-GB"/>
              </w:rPr>
              <w:t>Maintained schools</w:t>
            </w:r>
          </w:p>
        </w:tc>
        <w:tc>
          <w:tcPr>
            <w:tcW w:w="3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413889">
            <w:pPr>
              <w:spacing w:line="240" w:lineRule="auto"/>
              <w:jc w:val="center"/>
              <w:rPr>
                <w:rFonts w:eastAsia="Times New Roman" w:cstheme="minorHAnsi"/>
                <w:sz w:val="24"/>
                <w:szCs w:val="24"/>
                <w:lang w:eastAsia="en-GB"/>
              </w:rPr>
            </w:pPr>
            <w:r w:rsidRPr="009B3747">
              <w:rPr>
                <w:rFonts w:eastAsia="Times New Roman" w:cstheme="minorHAnsi"/>
                <w:b/>
                <w:bCs/>
                <w:color w:val="000000"/>
                <w:lang w:eastAsia="en-GB"/>
              </w:rPr>
              <w:t>Academies</w:t>
            </w:r>
          </w:p>
        </w:tc>
      </w:tr>
      <w:tr w:rsidR="00A16FA3" w:rsidRPr="009B3747" w:rsidTr="0083682E">
        <w:tc>
          <w:tcPr>
            <w:tcW w:w="15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413889">
            <w:pPr>
              <w:spacing w:line="240" w:lineRule="auto"/>
              <w:jc w:val="center"/>
              <w:rPr>
                <w:rFonts w:eastAsia="Times New Roman" w:cstheme="minorHAnsi"/>
                <w:sz w:val="24"/>
                <w:szCs w:val="24"/>
                <w:lang w:eastAsia="en-GB"/>
              </w:rPr>
            </w:pPr>
            <w:r w:rsidRPr="009B3747">
              <w:rPr>
                <w:rFonts w:eastAsia="Times New Roman" w:cstheme="minorHAnsi"/>
                <w:b/>
                <w:bCs/>
                <w:color w:val="000000"/>
                <w:lang w:eastAsia="en-GB"/>
              </w:rPr>
              <w:t>School type</w:t>
            </w:r>
          </w:p>
        </w:tc>
        <w:tc>
          <w:tcPr>
            <w:tcW w:w="3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413889">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Foundation, community, grammar, voluntary controlled/voluntary aided (often faith schools)</w:t>
            </w:r>
          </w:p>
        </w:tc>
        <w:tc>
          <w:tcPr>
            <w:tcW w:w="3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413889">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Academies, free, city technology colleges, studio</w:t>
            </w:r>
          </w:p>
        </w:tc>
      </w:tr>
      <w:tr w:rsidR="00A16FA3" w:rsidRPr="009B3747" w:rsidTr="0083682E">
        <w:tc>
          <w:tcPr>
            <w:tcW w:w="15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413889">
            <w:pPr>
              <w:spacing w:line="240" w:lineRule="auto"/>
              <w:jc w:val="center"/>
              <w:rPr>
                <w:rFonts w:eastAsia="Times New Roman" w:cstheme="minorHAnsi"/>
                <w:sz w:val="24"/>
                <w:szCs w:val="24"/>
                <w:lang w:eastAsia="en-GB"/>
              </w:rPr>
            </w:pPr>
            <w:r w:rsidRPr="009B3747">
              <w:rPr>
                <w:rFonts w:eastAsia="Times New Roman" w:cstheme="minorHAnsi"/>
                <w:b/>
                <w:bCs/>
                <w:color w:val="000000"/>
                <w:lang w:eastAsia="en-GB"/>
              </w:rPr>
              <w:t>Funding source</w:t>
            </w:r>
          </w:p>
        </w:tc>
        <w:tc>
          <w:tcPr>
            <w:tcW w:w="3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413889">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Publicly funded and disbursed by local authorities</w:t>
            </w:r>
          </w:p>
        </w:tc>
        <w:tc>
          <w:tcPr>
            <w:tcW w:w="3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413889">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Publicly funded and directly by the Department of Education</w:t>
            </w:r>
          </w:p>
        </w:tc>
      </w:tr>
      <w:tr w:rsidR="00A16FA3" w:rsidRPr="009B3747" w:rsidTr="0083682E">
        <w:tc>
          <w:tcPr>
            <w:tcW w:w="15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413889">
            <w:pPr>
              <w:spacing w:line="240" w:lineRule="auto"/>
              <w:jc w:val="center"/>
              <w:rPr>
                <w:rFonts w:eastAsia="Times New Roman" w:cstheme="minorHAnsi"/>
                <w:sz w:val="24"/>
                <w:szCs w:val="24"/>
                <w:lang w:eastAsia="en-GB"/>
              </w:rPr>
            </w:pPr>
            <w:r w:rsidRPr="009B3747">
              <w:rPr>
                <w:rFonts w:eastAsia="Times New Roman" w:cstheme="minorHAnsi"/>
                <w:b/>
                <w:bCs/>
                <w:color w:val="000000"/>
                <w:lang w:eastAsia="en-GB"/>
              </w:rPr>
              <w:t>Funding allocation</w:t>
            </w:r>
          </w:p>
        </w:tc>
        <w:tc>
          <w:tcPr>
            <w:tcW w:w="3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413889">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Schools free to allocate funds</w:t>
            </w:r>
            <w:r w:rsidR="00281979">
              <w:rPr>
                <w:rFonts w:eastAsia="Times New Roman" w:cstheme="minorHAnsi"/>
                <w:color w:val="000000"/>
                <w:sz w:val="20"/>
                <w:szCs w:val="20"/>
                <w:lang w:eastAsia="en-GB"/>
              </w:rPr>
              <w:t>,</w:t>
            </w:r>
            <w:r w:rsidRPr="009B3747">
              <w:rPr>
                <w:rFonts w:eastAsia="Times New Roman" w:cstheme="minorHAnsi"/>
                <w:color w:val="000000"/>
                <w:sz w:val="20"/>
                <w:szCs w:val="20"/>
                <w:lang w:eastAsia="en-GB"/>
              </w:rPr>
              <w:t xml:space="preserve"> but local authorities retains a proportion for central services</w:t>
            </w:r>
          </w:p>
        </w:tc>
        <w:tc>
          <w:tcPr>
            <w:tcW w:w="3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413889">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Full flexibility to allocate funds, including services normally provided by local authorities</w:t>
            </w:r>
          </w:p>
        </w:tc>
      </w:tr>
      <w:tr w:rsidR="00A16FA3" w:rsidRPr="009B3747" w:rsidTr="0083682E">
        <w:tc>
          <w:tcPr>
            <w:tcW w:w="15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413889">
            <w:pPr>
              <w:spacing w:line="240" w:lineRule="auto"/>
              <w:jc w:val="center"/>
              <w:rPr>
                <w:rFonts w:eastAsia="Times New Roman" w:cstheme="minorHAnsi"/>
                <w:sz w:val="24"/>
                <w:szCs w:val="24"/>
                <w:lang w:eastAsia="en-GB"/>
              </w:rPr>
            </w:pPr>
            <w:r w:rsidRPr="009B3747">
              <w:rPr>
                <w:rFonts w:eastAsia="Times New Roman" w:cstheme="minorHAnsi"/>
                <w:b/>
                <w:bCs/>
                <w:color w:val="000000"/>
                <w:lang w:eastAsia="en-GB"/>
              </w:rPr>
              <w:lastRenderedPageBreak/>
              <w:t>Accountability</w:t>
            </w:r>
          </w:p>
        </w:tc>
        <w:tc>
          <w:tcPr>
            <w:tcW w:w="3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413889">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Controlled and run either by the local authority or the school governing body.</w:t>
            </w:r>
          </w:p>
        </w:tc>
        <w:tc>
          <w:tcPr>
            <w:tcW w:w="3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413889">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Through a contract directly with the government.  They are free from local authority control</w:t>
            </w:r>
          </w:p>
        </w:tc>
      </w:tr>
      <w:tr w:rsidR="00A16FA3" w:rsidRPr="009B3747" w:rsidTr="0083682E">
        <w:tc>
          <w:tcPr>
            <w:tcW w:w="15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413889">
            <w:pPr>
              <w:spacing w:line="240" w:lineRule="auto"/>
              <w:jc w:val="center"/>
              <w:rPr>
                <w:rFonts w:eastAsia="Times New Roman" w:cstheme="minorHAnsi"/>
                <w:sz w:val="24"/>
                <w:szCs w:val="24"/>
                <w:lang w:eastAsia="en-GB"/>
              </w:rPr>
            </w:pPr>
            <w:r w:rsidRPr="009B3747">
              <w:rPr>
                <w:rFonts w:eastAsia="Times New Roman" w:cstheme="minorHAnsi"/>
                <w:b/>
                <w:bCs/>
                <w:color w:val="000000"/>
                <w:lang w:eastAsia="en-GB"/>
              </w:rPr>
              <w:t>Curriculum</w:t>
            </w:r>
          </w:p>
        </w:tc>
        <w:tc>
          <w:tcPr>
            <w:tcW w:w="3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413889">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Must meet the requirements of the National curriculum</w:t>
            </w:r>
          </w:p>
        </w:tc>
        <w:tc>
          <w:tcPr>
            <w:tcW w:w="3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413889">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Exempt from national curriculum although must teach certain subjects (e.g. Maths, English, Science</w:t>
            </w:r>
          </w:p>
        </w:tc>
      </w:tr>
      <w:tr w:rsidR="00A16FA3" w:rsidRPr="009B3747" w:rsidTr="0083682E">
        <w:tc>
          <w:tcPr>
            <w:tcW w:w="15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413889">
            <w:pPr>
              <w:spacing w:line="240" w:lineRule="auto"/>
              <w:jc w:val="center"/>
              <w:rPr>
                <w:rFonts w:eastAsia="Times New Roman" w:cstheme="minorHAnsi"/>
                <w:sz w:val="24"/>
                <w:szCs w:val="24"/>
                <w:lang w:eastAsia="en-GB"/>
              </w:rPr>
            </w:pPr>
            <w:r w:rsidRPr="009B3747">
              <w:rPr>
                <w:rFonts w:eastAsia="Times New Roman" w:cstheme="minorHAnsi"/>
                <w:b/>
                <w:bCs/>
                <w:color w:val="000000"/>
                <w:lang w:eastAsia="en-GB"/>
              </w:rPr>
              <w:t>Teaching hours</w:t>
            </w:r>
          </w:p>
        </w:tc>
        <w:tc>
          <w:tcPr>
            <w:tcW w:w="3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413889">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Extensive consultation process has to be used to change school day</w:t>
            </w:r>
          </w:p>
        </w:tc>
        <w:tc>
          <w:tcPr>
            <w:tcW w:w="3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413889">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Free to change day and term lengths</w:t>
            </w:r>
          </w:p>
        </w:tc>
      </w:tr>
      <w:tr w:rsidR="00A16FA3" w:rsidRPr="009B3747" w:rsidTr="0083682E">
        <w:tc>
          <w:tcPr>
            <w:tcW w:w="15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413889">
            <w:pPr>
              <w:spacing w:line="240" w:lineRule="auto"/>
              <w:jc w:val="center"/>
              <w:rPr>
                <w:rFonts w:eastAsia="Times New Roman" w:cstheme="minorHAnsi"/>
                <w:sz w:val="24"/>
                <w:szCs w:val="24"/>
                <w:lang w:eastAsia="en-GB"/>
              </w:rPr>
            </w:pPr>
            <w:r w:rsidRPr="009B3747">
              <w:rPr>
                <w:rFonts w:eastAsia="Times New Roman" w:cstheme="minorHAnsi"/>
                <w:b/>
                <w:bCs/>
                <w:color w:val="000000"/>
                <w:lang w:eastAsia="en-GB"/>
              </w:rPr>
              <w:t>Performance monitoring and reporting</w:t>
            </w:r>
          </w:p>
        </w:tc>
        <w:tc>
          <w:tcPr>
            <w:tcW w:w="3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413889">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By Local Authority and Ofsted (Office for Standards in Education)</w:t>
            </w:r>
          </w:p>
        </w:tc>
        <w:tc>
          <w:tcPr>
            <w:tcW w:w="3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413889">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Ofsted and Department for Education</w:t>
            </w:r>
          </w:p>
        </w:tc>
      </w:tr>
      <w:tr w:rsidR="00A16FA3" w:rsidRPr="009B3747" w:rsidTr="0083682E">
        <w:tc>
          <w:tcPr>
            <w:tcW w:w="15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413889">
            <w:pPr>
              <w:spacing w:line="240" w:lineRule="auto"/>
              <w:jc w:val="center"/>
              <w:rPr>
                <w:rFonts w:eastAsia="Times New Roman" w:cstheme="minorHAnsi"/>
                <w:sz w:val="24"/>
                <w:szCs w:val="24"/>
                <w:lang w:eastAsia="en-GB"/>
              </w:rPr>
            </w:pPr>
            <w:r w:rsidRPr="009B3747">
              <w:rPr>
                <w:rFonts w:eastAsia="Times New Roman" w:cstheme="minorHAnsi"/>
                <w:b/>
                <w:bCs/>
                <w:color w:val="000000"/>
                <w:lang w:eastAsia="en-GB"/>
              </w:rPr>
              <w:t>Personnel - pay and conditions</w:t>
            </w:r>
          </w:p>
        </w:tc>
        <w:tc>
          <w:tcPr>
            <w:tcW w:w="3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413889">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Follow Nationally set pay and conditions</w:t>
            </w:r>
          </w:p>
        </w:tc>
        <w:tc>
          <w:tcPr>
            <w:tcW w:w="3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413889">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Free to set own pay and conditions</w:t>
            </w:r>
          </w:p>
        </w:tc>
      </w:tr>
      <w:tr w:rsidR="00A16FA3" w:rsidRPr="009B3747" w:rsidTr="0083682E">
        <w:tc>
          <w:tcPr>
            <w:tcW w:w="15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413889">
            <w:pPr>
              <w:spacing w:line="240" w:lineRule="auto"/>
              <w:jc w:val="center"/>
              <w:rPr>
                <w:rFonts w:eastAsia="Times New Roman" w:cstheme="minorHAnsi"/>
                <w:sz w:val="24"/>
                <w:szCs w:val="24"/>
                <w:lang w:eastAsia="en-GB"/>
              </w:rPr>
            </w:pPr>
            <w:r w:rsidRPr="009B3747">
              <w:rPr>
                <w:rFonts w:eastAsia="Times New Roman" w:cstheme="minorHAnsi"/>
                <w:b/>
                <w:bCs/>
                <w:color w:val="000000"/>
                <w:lang w:eastAsia="en-GB"/>
              </w:rPr>
              <w:t>Decision-making</w:t>
            </w:r>
          </w:p>
        </w:tc>
        <w:tc>
          <w:tcPr>
            <w:tcW w:w="3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413889">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Governing body and local authority</w:t>
            </w:r>
          </w:p>
        </w:tc>
        <w:tc>
          <w:tcPr>
            <w:tcW w:w="3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6FA3" w:rsidRPr="009B3747" w:rsidRDefault="00A16FA3" w:rsidP="00413889">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Governing body/Trustees</w:t>
            </w:r>
          </w:p>
        </w:tc>
      </w:tr>
    </w:tbl>
    <w:p w:rsidR="00A16FA3" w:rsidRPr="009B3747" w:rsidRDefault="005F1170" w:rsidP="00413889">
      <w:pPr>
        <w:spacing w:line="240" w:lineRule="auto"/>
        <w:ind w:left="3600"/>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           </w:t>
      </w:r>
      <w:r w:rsidR="006D64A4" w:rsidRPr="009B3747">
        <w:rPr>
          <w:rFonts w:eastAsia="Times New Roman" w:cstheme="minorHAnsi"/>
          <w:iCs/>
          <w:color w:val="000000"/>
          <w:sz w:val="20"/>
          <w:szCs w:val="20"/>
          <w:lang w:eastAsia="en-GB"/>
        </w:rPr>
        <w:t>(</w:t>
      </w:r>
      <w:r w:rsidRPr="009B3747">
        <w:rPr>
          <w:rFonts w:eastAsia="Times New Roman" w:cstheme="minorHAnsi"/>
          <w:iCs/>
          <w:color w:val="000000"/>
          <w:sz w:val="20"/>
          <w:szCs w:val="20"/>
          <w:lang w:eastAsia="en-GB"/>
        </w:rPr>
        <w:t xml:space="preserve">Source - </w:t>
      </w:r>
      <w:r w:rsidR="006D64A4" w:rsidRPr="009B3747">
        <w:rPr>
          <w:rFonts w:eastAsia="Times New Roman" w:cstheme="minorHAnsi"/>
          <w:iCs/>
          <w:color w:val="000000"/>
          <w:sz w:val="20"/>
          <w:szCs w:val="20"/>
          <w:lang w:eastAsia="en-GB"/>
        </w:rPr>
        <w:fldChar w:fldCharType="begin" w:fldLock="1"/>
      </w:r>
      <w:r w:rsidR="00A84723" w:rsidRPr="009B3747">
        <w:rPr>
          <w:rFonts w:eastAsia="Times New Roman" w:cstheme="minorHAnsi"/>
          <w:iCs/>
          <w:color w:val="000000"/>
          <w:sz w:val="20"/>
          <w:szCs w:val="20"/>
          <w:lang w:eastAsia="en-GB"/>
        </w:rPr>
        <w:instrText>ADDIN CSL_CITATION { "citationItems" : [ { "id" : "ITEM-1", "itemData" : { "author" : [ { "dropping-particle" : "", "family" : "New School Network", "given" : "", "non-dropping-particle" : "", "parse-names" : false, "suffix" : "" } ], "id" : "ITEM-1", "issued" : { "date-parts" : [ [ "2015" ] ] }, "publisher-place" : "London", "title" : "Comparison of different types of school - A guide to schools in England", "type" : "report" }, "uris" : [ "http://www.mendeley.com/documents/?uuid=5948d96b-6b3f-4d4a-b168-12ce81247b87" ] }, { "id" : "ITEM-2", "itemData" : { "author" : [ { "dropping-particle" : "", "family" : "Department for Education", "given" : "", "non-dropping-particle" : "", "parse-names" : false, "suffix" : "" } ], "id" : "ITEM-2", "issued" : { "date-parts" : [ [ "2016" ] ] }, "publisher-place" : "London", "title" : "Schools, pupils and their characteristics", "type" : "report" }, "uris" : [ "http://www.mendeley.com/documents/?uuid=cb0a9280-f43f-4230-89f2-4d21d4c41146" ] } ], "mendeley" : { "formattedCitation" : "(New School Network, 2015; Department for Education, 2016b)", "manualFormatting" : "Network, 2015; Department for Education, 2016b", "plainTextFormattedCitation" : "(New School Network, 2015; Department for Education, 2016b)", "previouslyFormattedCitation" : "(New School Network, 2015; Department for Education, 2016b)" }, "properties" : { "noteIndex" : 0 }, "schema" : "https://github.com/citation-style-language/schema/raw/master/csl-citation.json" }</w:instrText>
      </w:r>
      <w:r w:rsidR="006D64A4" w:rsidRPr="009B3747">
        <w:rPr>
          <w:rFonts w:eastAsia="Times New Roman" w:cstheme="minorHAnsi"/>
          <w:iCs/>
          <w:color w:val="000000"/>
          <w:sz w:val="20"/>
          <w:szCs w:val="20"/>
          <w:lang w:eastAsia="en-GB"/>
        </w:rPr>
        <w:fldChar w:fldCharType="separate"/>
      </w:r>
      <w:r w:rsidR="006D64A4" w:rsidRPr="009B3747">
        <w:rPr>
          <w:rFonts w:eastAsia="Times New Roman" w:cstheme="minorHAnsi"/>
          <w:iCs/>
          <w:noProof/>
          <w:color w:val="000000"/>
          <w:sz w:val="20"/>
          <w:szCs w:val="20"/>
          <w:lang w:eastAsia="en-GB"/>
        </w:rPr>
        <w:t>Network, 2015; Department for Education, 2016b</w:t>
      </w:r>
      <w:r w:rsidR="006D64A4" w:rsidRPr="009B3747">
        <w:rPr>
          <w:rFonts w:eastAsia="Times New Roman" w:cstheme="minorHAnsi"/>
          <w:iCs/>
          <w:color w:val="000000"/>
          <w:sz w:val="20"/>
          <w:szCs w:val="20"/>
          <w:lang w:eastAsia="en-GB"/>
        </w:rPr>
        <w:fldChar w:fldCharType="end"/>
      </w:r>
      <w:r w:rsidR="006D64A4" w:rsidRPr="009B3747">
        <w:rPr>
          <w:rFonts w:eastAsia="Times New Roman" w:cstheme="minorHAnsi"/>
          <w:iCs/>
          <w:color w:val="000000"/>
          <w:sz w:val="20"/>
          <w:szCs w:val="20"/>
          <w:lang w:eastAsia="en-GB"/>
        </w:rPr>
        <w:t>)</w:t>
      </w:r>
    </w:p>
    <w:p w:rsidR="00F757C7" w:rsidRPr="009B3747" w:rsidRDefault="00F757C7" w:rsidP="00413889">
      <w:pPr>
        <w:spacing w:line="240" w:lineRule="auto"/>
        <w:rPr>
          <w:rFonts w:eastAsia="Times New Roman" w:cstheme="minorHAnsi"/>
          <w:color w:val="000000"/>
          <w:lang w:eastAsia="en-GB"/>
        </w:rPr>
      </w:pPr>
    </w:p>
    <w:p w:rsidR="0083682E" w:rsidRPr="009B3747" w:rsidRDefault="0083682E" w:rsidP="00A16FA3">
      <w:pPr>
        <w:rPr>
          <w:rFonts w:eastAsia="Times New Roman" w:cstheme="minorHAnsi"/>
          <w:color w:val="000000"/>
          <w:lang w:eastAsia="en-GB"/>
        </w:rPr>
      </w:pPr>
    </w:p>
    <w:p w:rsidR="00A16FA3" w:rsidRPr="009B3747" w:rsidRDefault="00A16FA3" w:rsidP="00A16FA3">
      <w:pPr>
        <w:rPr>
          <w:rFonts w:eastAsia="Times New Roman" w:cstheme="minorHAnsi"/>
          <w:sz w:val="24"/>
          <w:szCs w:val="24"/>
          <w:lang w:eastAsia="en-GB"/>
        </w:rPr>
      </w:pPr>
      <w:r w:rsidRPr="009B3747">
        <w:rPr>
          <w:rFonts w:eastAsia="Times New Roman" w:cstheme="minorHAnsi"/>
          <w:color w:val="000000"/>
          <w:lang w:eastAsia="en-GB"/>
        </w:rPr>
        <w:t>In addition to state funded schools, as of January 2016, 2,311 independent primary and secondary level schools (not including special)</w:t>
      </w:r>
      <w:r w:rsidR="001217DC">
        <w:rPr>
          <w:rFonts w:eastAsia="Times New Roman" w:cstheme="minorHAnsi"/>
          <w:color w:val="000000"/>
          <w:lang w:eastAsia="en-GB"/>
        </w:rPr>
        <w:t>,</w:t>
      </w:r>
      <w:r w:rsidRPr="009B3747">
        <w:rPr>
          <w:rFonts w:eastAsia="Times New Roman" w:cstheme="minorHAnsi"/>
          <w:color w:val="000000"/>
          <w:lang w:eastAsia="en-GB"/>
        </w:rPr>
        <w:t xml:space="preserve"> provided privately funded education for children across England</w:t>
      </w:r>
      <w:r w:rsidR="006D64A4" w:rsidRPr="009B3747">
        <w:rPr>
          <w:rFonts w:eastAsia="Times New Roman" w:cstheme="minorHAnsi"/>
          <w:color w:val="000000"/>
          <w:lang w:eastAsia="en-GB"/>
        </w:rPr>
        <w:t xml:space="preserve"> </w:t>
      </w:r>
      <w:r w:rsidR="006D64A4"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"Department for Education", "given" : "", "non-dropping-particle" : "", "parse-names" : false, "suffix" : "" } ], "id" : "ITEM-1", "issued" : { "date-parts" : [ [ "2016" ] ] }, "publisher-place" : "London", "title" : "Schools, pupils and their characteristics", "type" : "report" }, "uris" : [ "http://www.mendeley.com/documents/?uuid=cb0a9280-f43f-4230-89f2-4d21d4c41146" ] } ], "mendeley" : { "formattedCitation" : "(Department for Education, 2016b)", "plainTextFormattedCitation" : "(Department for Education, 2016b)", "previouslyFormattedCitation" : "(Department for Education, 2016b)" }, "properties" : { "noteIndex" : 0 }, "schema" : "https://github.com/citation-style-language/schema/raw/master/csl-citation.json" }</w:instrText>
      </w:r>
      <w:r w:rsidR="006D64A4" w:rsidRPr="009B3747">
        <w:rPr>
          <w:rFonts w:eastAsia="Times New Roman" w:cstheme="minorHAnsi"/>
          <w:color w:val="000000"/>
          <w:lang w:eastAsia="en-GB"/>
        </w:rPr>
        <w:fldChar w:fldCharType="separate"/>
      </w:r>
      <w:r w:rsidR="006D64A4" w:rsidRPr="009B3747">
        <w:rPr>
          <w:rFonts w:eastAsia="Times New Roman" w:cstheme="minorHAnsi"/>
          <w:noProof/>
          <w:color w:val="000000"/>
          <w:lang w:eastAsia="en-GB"/>
        </w:rPr>
        <w:t>(Department for Education, 2016b)</w:t>
      </w:r>
      <w:r w:rsidR="006D64A4" w:rsidRPr="009B3747">
        <w:rPr>
          <w:rFonts w:eastAsia="Times New Roman" w:cstheme="minorHAnsi"/>
          <w:color w:val="000000"/>
          <w:lang w:eastAsia="en-GB"/>
        </w:rPr>
        <w:fldChar w:fldCharType="end"/>
      </w:r>
      <w:r w:rsidRPr="009B3747">
        <w:rPr>
          <w:rFonts w:eastAsia="Times New Roman" w:cstheme="minorHAnsi"/>
          <w:color w:val="000000"/>
          <w:lang w:eastAsia="en-GB"/>
        </w:rPr>
        <w:t>.  Despite the necessity to be registered with government, they do not receive financi</w:t>
      </w:r>
      <w:r w:rsidR="001217DC">
        <w:rPr>
          <w:rFonts w:eastAsia="Times New Roman" w:cstheme="minorHAnsi"/>
          <w:color w:val="000000"/>
          <w:lang w:eastAsia="en-GB"/>
        </w:rPr>
        <w:t>al assistance from the state and</w:t>
      </w:r>
      <w:r w:rsidRPr="009B3747">
        <w:rPr>
          <w:rFonts w:eastAsia="Times New Roman" w:cstheme="minorHAnsi"/>
          <w:color w:val="000000"/>
          <w:lang w:eastAsia="en-GB"/>
        </w:rPr>
        <w:t xml:space="preserve"> ove</w:t>
      </w:r>
      <w:r w:rsidR="001217DC">
        <w:rPr>
          <w:rFonts w:eastAsia="Times New Roman" w:cstheme="minorHAnsi"/>
          <w:color w:val="000000"/>
          <w:lang w:eastAsia="en-GB"/>
        </w:rPr>
        <w:t>r half are inspected by Ofsted (</w:t>
      </w:r>
      <w:r w:rsidRPr="009B3747">
        <w:rPr>
          <w:rFonts w:eastAsia="Times New Roman" w:cstheme="minorHAnsi"/>
          <w:color w:val="000000"/>
          <w:lang w:eastAsia="en-GB"/>
        </w:rPr>
        <w:t>with the remainder inspected by alternative organisations</w:t>
      </w:r>
      <w:r w:rsidR="001217DC">
        <w:rPr>
          <w:rFonts w:eastAsia="Times New Roman" w:cstheme="minorHAnsi"/>
          <w:color w:val="000000"/>
          <w:lang w:eastAsia="en-GB"/>
        </w:rPr>
        <w:t>),</w:t>
      </w:r>
      <w:r w:rsidR="006D64A4" w:rsidRPr="009B3747">
        <w:rPr>
          <w:rFonts w:eastAsia="Times New Roman" w:cstheme="minorHAnsi"/>
          <w:color w:val="000000"/>
          <w:lang w:eastAsia="en-GB"/>
        </w:rPr>
        <w:t xml:space="preserve"> </w:t>
      </w:r>
      <w:r w:rsidR="006D64A4" w:rsidRPr="009B3747">
        <w:rPr>
          <w:rFonts w:eastAsia="Times New Roman" w:cstheme="minorHAnsi"/>
          <w:color w:val="000000"/>
          <w:lang w:eastAsia="en-GB"/>
        </w:rPr>
        <w:fldChar w:fldCharType="begin" w:fldLock="1"/>
      </w:r>
      <w:r w:rsidR="00516326" w:rsidRPr="009B3747">
        <w:rPr>
          <w:rFonts w:eastAsia="Times New Roman" w:cstheme="minorHAnsi"/>
          <w:color w:val="000000"/>
          <w:lang w:eastAsia="en-GB"/>
        </w:rPr>
        <w:instrText>ADDIN CSL_CITATION { "citationItems" : [ { "id" : "ITEM-1", "itemData" : { "URL" : "http://www.education.gov.uk/schools/performance/", "author" : [ { "dropping-particle" : "", "family" : "Department for Education", "given" : "", "non-dropping-particle" : "", "parse-names" : false, "suffix" : "" } ], "id" : "ITEM-1", "issued" : { "date-parts" : [ [ "2015" ] ] }, "title" : "School and college performance tables", "type" : "webpage" }, "uris" : [ "http://www.mendeley.com/documents/?uuid=a69b46e2-594e-4de0-8519-aa156f5f621e" ] } ], "mendeley" : { "formattedCitation" : "(Department for Education, 2015c)", "plainTextFormattedCitation" : "(Department for Education, 2015c)", "previouslyFormattedCitation" : "(Department for Education, 2015c)" }, "properties" : { "noteIndex" : 0 }, "schema" : "https://github.com/citation-style-language/schema/raw/master/csl-citation.json" }</w:instrText>
      </w:r>
      <w:r w:rsidR="006D64A4" w:rsidRPr="009B3747">
        <w:rPr>
          <w:rFonts w:eastAsia="Times New Roman" w:cstheme="minorHAnsi"/>
          <w:color w:val="000000"/>
          <w:lang w:eastAsia="en-GB"/>
        </w:rPr>
        <w:fldChar w:fldCharType="separate"/>
      </w:r>
      <w:r w:rsidR="00516326" w:rsidRPr="009B3747">
        <w:rPr>
          <w:rFonts w:eastAsia="Times New Roman" w:cstheme="minorHAnsi"/>
          <w:noProof/>
          <w:color w:val="000000"/>
          <w:lang w:eastAsia="en-GB"/>
        </w:rPr>
        <w:t>(Department for Education, 2015c)</w:t>
      </w:r>
      <w:r w:rsidR="006D64A4" w:rsidRPr="009B3747">
        <w:rPr>
          <w:rFonts w:eastAsia="Times New Roman" w:cstheme="minorHAnsi"/>
          <w:color w:val="000000"/>
          <w:lang w:eastAsia="en-GB"/>
        </w:rPr>
        <w:fldChar w:fldCharType="end"/>
      </w:r>
      <w:r w:rsidR="006D64A4" w:rsidRPr="009B3747">
        <w:rPr>
          <w:rFonts w:eastAsia="Times New Roman" w:cstheme="minorHAnsi"/>
          <w:color w:val="000000"/>
          <w:lang w:eastAsia="en-GB"/>
        </w:rPr>
        <w:t xml:space="preserve">.  </w:t>
      </w:r>
      <w:r w:rsidRPr="009B3747">
        <w:rPr>
          <w:rFonts w:eastAsia="Times New Roman" w:cstheme="minorHAnsi"/>
          <w:color w:val="000000"/>
          <w:lang w:eastAsia="en-GB"/>
        </w:rPr>
        <w:t>Independent schools are able to determine their own curriculum, personnel arrangements and teaching hours.  </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A16FA3" w:rsidRPr="009B3747" w:rsidRDefault="00C34D84" w:rsidP="00A16FA3">
      <w:pPr>
        <w:rPr>
          <w:rFonts w:eastAsia="Times New Roman" w:cstheme="minorHAnsi"/>
          <w:sz w:val="24"/>
          <w:szCs w:val="24"/>
          <w:u w:val="single"/>
          <w:lang w:eastAsia="en-GB"/>
        </w:rPr>
      </w:pPr>
      <w:r w:rsidRPr="009B3747">
        <w:rPr>
          <w:rFonts w:eastAsia="Times New Roman" w:cstheme="minorHAnsi"/>
          <w:iCs/>
          <w:color w:val="000000"/>
          <w:u w:val="single"/>
          <w:lang w:eastAsia="en-GB"/>
        </w:rPr>
        <w:t>2</w:t>
      </w:r>
      <w:r w:rsidR="00D857B4" w:rsidRPr="009B3747">
        <w:rPr>
          <w:rFonts w:eastAsia="Times New Roman" w:cstheme="minorHAnsi"/>
          <w:iCs/>
          <w:color w:val="000000"/>
          <w:u w:val="single"/>
          <w:lang w:eastAsia="en-GB"/>
        </w:rPr>
        <w:t xml:space="preserve">.8.2 </w:t>
      </w:r>
      <w:r w:rsidR="00A16FA3" w:rsidRPr="009B3747">
        <w:rPr>
          <w:rFonts w:eastAsia="Times New Roman" w:cstheme="minorHAnsi"/>
          <w:iCs/>
          <w:color w:val="000000"/>
          <w:u w:val="single"/>
          <w:lang w:eastAsia="en-GB"/>
        </w:rPr>
        <w:t>Secondary schools in England</w:t>
      </w:r>
    </w:p>
    <w:p w:rsidR="00A16FA3" w:rsidRPr="009B3747" w:rsidRDefault="00A16FA3" w:rsidP="00A16FA3">
      <w:pPr>
        <w:rPr>
          <w:rFonts w:eastAsia="Times New Roman" w:cstheme="minorHAnsi"/>
          <w:sz w:val="24"/>
          <w:szCs w:val="24"/>
          <w:lang w:eastAsia="en-GB"/>
        </w:rPr>
      </w:pPr>
      <w:r w:rsidRPr="009B3747">
        <w:rPr>
          <w:rFonts w:eastAsia="Times New Roman" w:cstheme="minorHAnsi"/>
          <w:sz w:val="24"/>
          <w:szCs w:val="24"/>
          <w:lang w:eastAsia="en-GB"/>
        </w:rPr>
        <w:t> </w:t>
      </w:r>
    </w:p>
    <w:p w:rsidR="00A16FA3" w:rsidRPr="009B3747" w:rsidRDefault="00A16FA3" w:rsidP="00A16FA3">
      <w:pPr>
        <w:rPr>
          <w:rFonts w:eastAsia="Times New Roman" w:cstheme="minorHAnsi"/>
          <w:color w:val="000000"/>
          <w:lang w:eastAsia="en-GB"/>
        </w:rPr>
      </w:pPr>
      <w:r w:rsidRPr="009B3747">
        <w:rPr>
          <w:rFonts w:eastAsia="Times New Roman" w:cstheme="minorHAnsi"/>
          <w:color w:val="000000"/>
          <w:lang w:eastAsia="en-GB"/>
        </w:rPr>
        <w:t>Of particular interest to this study in relation to adolescent obesity prevention is the third educational stage (secondary education).  In England, secondary schools cater for</w:t>
      </w:r>
      <w:r w:rsidR="00413889" w:rsidRPr="009B3747">
        <w:rPr>
          <w:rFonts w:eastAsia="Times New Roman" w:cstheme="minorHAnsi"/>
          <w:color w:val="000000"/>
          <w:lang w:eastAsia="en-GB"/>
        </w:rPr>
        <w:t xml:space="preserve"> the compulsory education of 11 to </w:t>
      </w:r>
      <w:r w:rsidRPr="009B3747">
        <w:rPr>
          <w:rFonts w:eastAsia="Times New Roman" w:cstheme="minorHAnsi"/>
          <w:color w:val="000000"/>
          <w:lang w:eastAsia="en-GB"/>
        </w:rPr>
        <w:t>16 years old, with some providing teaching and learning up to the age of 18 years.  Pupils complete their secondary education by undertaking formal assessments most commonly the General Certificate of Secondary Education (GCSE).  The Department for Education releases information every year detailing statistics related to schools and their pupils.  The latest statistical release, reports that in England -  </w:t>
      </w:r>
    </w:p>
    <w:p w:rsidR="00D857B4" w:rsidRDefault="00D857B4" w:rsidP="00A16FA3">
      <w:pPr>
        <w:rPr>
          <w:rFonts w:eastAsia="Times New Roman" w:cstheme="minorHAnsi"/>
          <w:sz w:val="24"/>
          <w:szCs w:val="24"/>
          <w:lang w:eastAsia="en-GB"/>
        </w:rPr>
      </w:pPr>
    </w:p>
    <w:p w:rsidR="001217DC" w:rsidRPr="009B3747" w:rsidRDefault="001217DC" w:rsidP="00A16FA3">
      <w:pPr>
        <w:rPr>
          <w:rFonts w:eastAsia="Times New Roman" w:cstheme="minorHAnsi"/>
          <w:sz w:val="24"/>
          <w:szCs w:val="24"/>
          <w:lang w:eastAsia="en-GB"/>
        </w:rPr>
      </w:pPr>
    </w:p>
    <w:p w:rsidR="00A16FA3" w:rsidRPr="009B3747" w:rsidRDefault="00A16FA3" w:rsidP="00A16FA3">
      <w:pPr>
        <w:numPr>
          <w:ilvl w:val="0"/>
          <w:numId w:val="4"/>
        </w:numPr>
        <w:textAlignment w:val="baseline"/>
        <w:rPr>
          <w:rFonts w:eastAsia="Times New Roman" w:cstheme="minorHAnsi"/>
          <w:color w:val="000000"/>
          <w:lang w:eastAsia="en-GB"/>
        </w:rPr>
      </w:pPr>
      <w:r w:rsidRPr="009B3747">
        <w:rPr>
          <w:rFonts w:eastAsia="Times New Roman" w:cstheme="minorHAnsi"/>
          <w:color w:val="000000"/>
          <w:lang w:eastAsia="en-GB"/>
        </w:rPr>
        <w:lastRenderedPageBreak/>
        <w:t>There are 3,401 state-funded secondary schools</w:t>
      </w:r>
    </w:p>
    <w:p w:rsidR="00A16FA3" w:rsidRPr="009B3747" w:rsidRDefault="00A16FA3" w:rsidP="00A16FA3">
      <w:pPr>
        <w:numPr>
          <w:ilvl w:val="0"/>
          <w:numId w:val="4"/>
        </w:numPr>
        <w:textAlignment w:val="baseline"/>
        <w:rPr>
          <w:rFonts w:eastAsia="Times New Roman" w:cstheme="minorHAnsi"/>
          <w:color w:val="000000"/>
          <w:lang w:eastAsia="en-GB"/>
        </w:rPr>
      </w:pPr>
      <w:r w:rsidRPr="009B3747">
        <w:rPr>
          <w:rFonts w:eastAsia="Times New Roman" w:cstheme="minorHAnsi"/>
          <w:color w:val="000000"/>
          <w:lang w:eastAsia="en-GB"/>
        </w:rPr>
        <w:t>3,193,420 pupils attend a secondary school</w:t>
      </w:r>
    </w:p>
    <w:p w:rsidR="00A16FA3" w:rsidRPr="009B3747" w:rsidRDefault="00A16FA3" w:rsidP="00A16FA3">
      <w:pPr>
        <w:numPr>
          <w:ilvl w:val="0"/>
          <w:numId w:val="5"/>
        </w:numPr>
        <w:textAlignment w:val="baseline"/>
        <w:rPr>
          <w:rFonts w:eastAsia="Times New Roman" w:cstheme="minorHAnsi"/>
          <w:color w:val="000000"/>
          <w:lang w:eastAsia="en-GB"/>
        </w:rPr>
      </w:pPr>
      <w:r w:rsidRPr="009B3747">
        <w:rPr>
          <w:rFonts w:eastAsia="Times New Roman" w:cstheme="minorHAnsi"/>
          <w:color w:val="000000"/>
          <w:lang w:eastAsia="en-GB"/>
        </w:rPr>
        <w:t xml:space="preserve">65.6% of all secondary school pupils attend academies </w:t>
      </w:r>
    </w:p>
    <w:p w:rsidR="00A16FA3" w:rsidRPr="009B3747" w:rsidRDefault="00A16FA3" w:rsidP="00A16FA3">
      <w:pPr>
        <w:numPr>
          <w:ilvl w:val="0"/>
          <w:numId w:val="5"/>
        </w:numPr>
        <w:textAlignment w:val="baseline"/>
        <w:rPr>
          <w:rFonts w:eastAsia="Times New Roman" w:cstheme="minorHAnsi"/>
          <w:color w:val="000000"/>
          <w:lang w:eastAsia="en-GB"/>
        </w:rPr>
      </w:pPr>
      <w:r w:rsidRPr="009B3747">
        <w:rPr>
          <w:rFonts w:eastAsia="Times New Roman" w:cstheme="minorHAnsi"/>
          <w:color w:val="000000"/>
          <w:lang w:eastAsia="en-GB"/>
        </w:rPr>
        <w:t>939 is the average number of pupils in a secondary school</w:t>
      </w:r>
    </w:p>
    <w:p w:rsidR="00A16FA3" w:rsidRPr="009B3747" w:rsidRDefault="00A16FA3" w:rsidP="00A16FA3">
      <w:pPr>
        <w:numPr>
          <w:ilvl w:val="0"/>
          <w:numId w:val="5"/>
        </w:numPr>
        <w:textAlignment w:val="baseline"/>
        <w:rPr>
          <w:rFonts w:eastAsia="Times New Roman" w:cstheme="minorHAnsi"/>
          <w:color w:val="000000"/>
          <w:lang w:eastAsia="en-GB"/>
        </w:rPr>
      </w:pPr>
      <w:r w:rsidRPr="009B3747">
        <w:rPr>
          <w:rFonts w:eastAsia="Times New Roman" w:cstheme="minorHAnsi"/>
          <w:color w:val="000000"/>
          <w:lang w:eastAsia="en-GB"/>
        </w:rPr>
        <w:t>13.2% of secondary school pupils were eligible for and claiming free school meals*</w:t>
      </w:r>
    </w:p>
    <w:p w:rsidR="00A16FA3" w:rsidRPr="009B3747" w:rsidRDefault="00A16FA3" w:rsidP="00A16FA3">
      <w:pPr>
        <w:numPr>
          <w:ilvl w:val="0"/>
          <w:numId w:val="5"/>
        </w:numPr>
        <w:textAlignment w:val="baseline"/>
        <w:rPr>
          <w:rFonts w:eastAsia="Times New Roman" w:cstheme="minorHAnsi"/>
          <w:color w:val="000000"/>
          <w:lang w:eastAsia="en-GB"/>
        </w:rPr>
      </w:pPr>
      <w:r w:rsidRPr="009B3747">
        <w:rPr>
          <w:rFonts w:eastAsia="Times New Roman" w:cstheme="minorHAnsi"/>
          <w:color w:val="000000"/>
          <w:lang w:eastAsia="en-GB"/>
        </w:rPr>
        <w:t>27.9% of secondary school pupils are recorded as of minority ethnic origin</w:t>
      </w:r>
    </w:p>
    <w:p w:rsidR="00A16FA3" w:rsidRPr="009B3747" w:rsidRDefault="006D64A4" w:rsidP="006D64A4">
      <w:pPr>
        <w:ind w:left="4320" w:firstLine="720"/>
        <w:rPr>
          <w:rFonts w:eastAsia="Times New Roman" w:cstheme="minorHAnsi"/>
          <w:color w:val="000000"/>
          <w:sz w:val="20"/>
          <w:szCs w:val="20"/>
          <w:lang w:eastAsia="en-GB"/>
        </w:rPr>
      </w:pPr>
      <w:r w:rsidRPr="009B3747">
        <w:rPr>
          <w:rFonts w:eastAsia="Times New Roman" w:cstheme="minorHAnsi"/>
          <w:color w:val="000000"/>
          <w:sz w:val="20"/>
          <w:szCs w:val="20"/>
          <w:lang w:eastAsia="en-GB"/>
        </w:rPr>
        <w:t xml:space="preserve">        </w:t>
      </w:r>
      <w:r w:rsidR="005F1170" w:rsidRPr="009B3747">
        <w:rPr>
          <w:rFonts w:eastAsia="Times New Roman" w:cstheme="minorHAnsi"/>
          <w:color w:val="000000"/>
          <w:sz w:val="20"/>
          <w:szCs w:val="20"/>
          <w:lang w:eastAsia="en-GB"/>
        </w:rPr>
        <w:t xml:space="preserve">(Source - </w:t>
      </w:r>
      <w:r w:rsidRPr="009B3747">
        <w:rPr>
          <w:rFonts w:eastAsia="Times New Roman" w:cstheme="minorHAnsi"/>
          <w:color w:val="000000"/>
          <w:sz w:val="20"/>
          <w:szCs w:val="20"/>
          <w:lang w:eastAsia="en-GB"/>
        </w:rPr>
        <w:fldChar w:fldCharType="begin" w:fldLock="1"/>
      </w:r>
      <w:r w:rsidR="004862DC">
        <w:rPr>
          <w:rFonts w:eastAsia="Times New Roman" w:cstheme="minorHAnsi"/>
          <w:color w:val="000000"/>
          <w:sz w:val="20"/>
          <w:szCs w:val="20"/>
          <w:lang w:eastAsia="en-GB"/>
        </w:rPr>
        <w:instrText>ADDIN CSL_CITATION { "citationItems" : [ { "id" : "ITEM-1", "itemData" : { "author" : [ { "dropping-particle" : "", "family" : "Department for Education", "given" : "", "non-dropping-particle" : "", "parse-names" : false, "suffix" : "" } ], "id" : "ITEM-1", "issued" : { "date-parts" : [ [ "2016" ] ] }, "publisher-place" : "London", "title" : "Schools, pupils and their characteristics", "type" : "report" }, "uris" : [ "http://www.mendeley.com/documents/?uuid=cb0a9280-f43f-4230-89f2-4d21d4c41146" ] } ], "mendeley" : { "formattedCitation" : "(Department for Education, 2016b)", "manualFormatting" : "Department for Education, 2016b)", "plainTextFormattedCitation" : "(Department for Education, 2016b)", "previouslyFormattedCitation" : "(Department for Education, 2016b)" }, "properties" : { "noteIndex" : 0 }, "schema" : "https://github.com/citation-style-language/schema/raw/master/csl-citation.json" }</w:instrText>
      </w:r>
      <w:r w:rsidRPr="009B3747">
        <w:rPr>
          <w:rFonts w:eastAsia="Times New Roman" w:cstheme="minorHAnsi"/>
          <w:color w:val="000000"/>
          <w:sz w:val="20"/>
          <w:szCs w:val="20"/>
          <w:lang w:eastAsia="en-GB"/>
        </w:rPr>
        <w:fldChar w:fldCharType="separate"/>
      </w:r>
      <w:r w:rsidRPr="009B3747">
        <w:rPr>
          <w:rFonts w:eastAsia="Times New Roman" w:cstheme="minorHAnsi"/>
          <w:noProof/>
          <w:color w:val="000000"/>
          <w:sz w:val="20"/>
          <w:szCs w:val="20"/>
          <w:lang w:eastAsia="en-GB"/>
        </w:rPr>
        <w:t>Department for Education, 2016b)</w:t>
      </w:r>
      <w:r w:rsidRPr="009B3747">
        <w:rPr>
          <w:rFonts w:eastAsia="Times New Roman" w:cstheme="minorHAnsi"/>
          <w:color w:val="000000"/>
          <w:sz w:val="20"/>
          <w:szCs w:val="20"/>
          <w:lang w:eastAsia="en-GB"/>
        </w:rPr>
        <w:fldChar w:fldCharType="end"/>
      </w:r>
    </w:p>
    <w:p w:rsidR="006D64A4" w:rsidRPr="009B3747" w:rsidRDefault="006D64A4" w:rsidP="00A16FA3">
      <w:pPr>
        <w:ind w:left="5760"/>
        <w:rPr>
          <w:rFonts w:eastAsia="Times New Roman" w:cstheme="minorHAnsi"/>
          <w:sz w:val="24"/>
          <w:szCs w:val="24"/>
          <w:lang w:eastAsia="en-GB"/>
        </w:rPr>
      </w:pPr>
    </w:p>
    <w:p w:rsidR="00A16FA3" w:rsidRPr="009B3747" w:rsidRDefault="00A16FA3" w:rsidP="00A16FA3">
      <w:pPr>
        <w:rPr>
          <w:rFonts w:eastAsia="Times New Roman" w:cstheme="minorHAnsi"/>
          <w:sz w:val="20"/>
          <w:szCs w:val="20"/>
          <w:lang w:eastAsia="en-GB"/>
        </w:rPr>
      </w:pPr>
      <w:r w:rsidRPr="009B3747">
        <w:rPr>
          <w:rFonts w:eastAsia="Times New Roman" w:cstheme="minorHAnsi"/>
          <w:color w:val="000000"/>
          <w:sz w:val="20"/>
          <w:szCs w:val="20"/>
          <w:lang w:eastAsia="en-GB"/>
        </w:rPr>
        <w:t>*Eligibility for free school meals is dependent on a parent/carer being in receipt of one or more income based benefits or support under Part VI of the Immigration and Asylum Act 1999</w:t>
      </w:r>
    </w:p>
    <w:p w:rsidR="005F1170" w:rsidRPr="009B3747" w:rsidRDefault="005F1170" w:rsidP="00A16FA3">
      <w:pPr>
        <w:rPr>
          <w:rFonts w:eastAsia="Times New Roman" w:cstheme="minorHAnsi"/>
          <w:color w:val="000000"/>
          <w:u w:val="single"/>
          <w:lang w:eastAsia="en-GB"/>
        </w:rPr>
      </w:pPr>
    </w:p>
    <w:p w:rsidR="00A16FA3" w:rsidRPr="009B3747" w:rsidRDefault="00C34D84" w:rsidP="00A16FA3">
      <w:pPr>
        <w:rPr>
          <w:rFonts w:eastAsia="Times New Roman" w:cstheme="minorHAnsi"/>
          <w:color w:val="000000"/>
          <w:u w:val="single"/>
          <w:lang w:eastAsia="en-GB"/>
        </w:rPr>
      </w:pPr>
      <w:r w:rsidRPr="009B3747">
        <w:rPr>
          <w:rFonts w:eastAsia="Times New Roman" w:cstheme="minorHAnsi"/>
          <w:color w:val="000000"/>
          <w:u w:val="single"/>
          <w:lang w:eastAsia="en-GB"/>
        </w:rPr>
        <w:t>2</w:t>
      </w:r>
      <w:r w:rsidR="00D857B4" w:rsidRPr="009B3747">
        <w:rPr>
          <w:rFonts w:eastAsia="Times New Roman" w:cstheme="minorHAnsi"/>
          <w:color w:val="000000"/>
          <w:u w:val="single"/>
          <w:lang w:eastAsia="en-GB"/>
        </w:rPr>
        <w:t>.8.3</w:t>
      </w:r>
      <w:r w:rsidR="00F757C7" w:rsidRPr="009B3747">
        <w:rPr>
          <w:rFonts w:eastAsia="Times New Roman" w:cstheme="minorHAnsi"/>
          <w:color w:val="000000"/>
          <w:u w:val="single"/>
          <w:lang w:eastAsia="en-GB"/>
        </w:rPr>
        <w:t xml:space="preserve"> </w:t>
      </w:r>
      <w:r w:rsidR="00A16FA3" w:rsidRPr="009B3747">
        <w:rPr>
          <w:rFonts w:eastAsia="Times New Roman" w:cstheme="minorHAnsi"/>
          <w:color w:val="000000"/>
          <w:u w:val="single"/>
          <w:lang w:eastAsia="en-GB"/>
        </w:rPr>
        <w:t>School leadership and governance</w:t>
      </w:r>
    </w:p>
    <w:p w:rsidR="00F757C7" w:rsidRPr="009B3747" w:rsidRDefault="00F757C7" w:rsidP="00A16FA3">
      <w:pPr>
        <w:rPr>
          <w:rFonts w:eastAsia="Times New Roman" w:cstheme="minorHAnsi"/>
          <w:sz w:val="24"/>
          <w:szCs w:val="24"/>
          <w:lang w:eastAsia="en-GB"/>
        </w:rPr>
      </w:pPr>
    </w:p>
    <w:p w:rsidR="0083682E" w:rsidRPr="009B3747" w:rsidRDefault="00A16FA3" w:rsidP="00A16FA3">
      <w:pPr>
        <w:rPr>
          <w:rFonts w:eastAsia="Times New Roman" w:cstheme="minorHAnsi"/>
          <w:color w:val="000000"/>
          <w:lang w:eastAsia="en-GB"/>
        </w:rPr>
      </w:pPr>
      <w:r w:rsidRPr="009B3747">
        <w:rPr>
          <w:rFonts w:eastAsia="Times New Roman" w:cstheme="minorHAnsi"/>
          <w:color w:val="000000"/>
          <w:lang w:eastAsia="en-GB"/>
        </w:rPr>
        <w:t>Effective leadership and governance is of critical importance to determining student outcomes and the overall performance of a school</w:t>
      </w:r>
      <w:r w:rsidR="006D64A4" w:rsidRPr="009B3747">
        <w:rPr>
          <w:rFonts w:eastAsia="Times New Roman" w:cstheme="minorHAnsi"/>
          <w:color w:val="000000"/>
          <w:lang w:eastAsia="en-GB"/>
        </w:rPr>
        <w:t xml:space="preserve"> </w:t>
      </w:r>
      <w:r w:rsidR="006D64A4"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"Leithwood", "given" : "K", "non-dropping-particle" : "", "parse-names" : false, "suffix" : "" }, { "dropping-particle" : "", "family" : "Louis", "given" : "K Seashore", "non-dropping-particle" : "", "parse-names" : false, "suffix" : "" } ], "id" : "ITEM-1", "issued" : { "date-parts" : [ [ "2004" ] ] }, "title" : "Review of research: How leadership influences student learning", "type" : "article-journal" }, "uris" : [ "http://www.mendeley.com/documents/?uuid=2d492fd6-82e6-45fb-946c-6ae8aa4cf462" ] }, { "id" : "ITEM-2", "itemData" : { "author" : [ { "dropping-particle" : "", "family" : "Brundrett", "given" : "M", "non-dropping-particle" : "", "parse-names" : false, "suffix" : "" } ], "container-title" : "Developing school leaders: An International Perspective", "editor" : [ { "dropping-particle" : "", "family" : "Brundrett", "given" : "M", "non-dropping-particle" : "", "parse-names" : false, "suffix" : "" }, { "dropping-particle" : "", "family" : "Crawford", "given" : "M", "non-dropping-particle" : "", "parse-names" : false, "suffix" : "" } ], "id" : "ITEM-2", "issued" : { "date-parts" : [ [ "2008" ] ] }, "page" : "7-22", "publisher" : "Routledge", "publisher-place" : "Abingdon", "title" : "Educational leadership development in England", "type" : "chapter" }, "uris" : [ "http://www.mendeley.com/documents/?uuid=2738bdb4-b5fe-40f2-9fe6-13844aa61aa1" ] }, { "id" : "ITEM-3", "itemData" : { "author" : [ { "dropping-particle" : "", "family" : "Day", "given" : "C", "non-dropping-particle" : "", "parse-names" : false, "suffix" : "" }, { "dropping-particle" : "", "family" : "Sammons", "given" : "P", "non-dropping-particle" : "", "parse-names" : false, "suffix" : "" }, { "dropping-particle" : "", "family" : "Leithwood", "given" : "K", "non-dropping-particle" : "", "parse-names" : false, "suffix" : "" } ], "id" : "ITEM-3", "issued" : { "date-parts" : [ [ "2009" ] ] }, "publisher-place" : "Nottingham", "title" : "The Impact of Leadership on Pupil Outcomes", "type" : "report" }, "uris" : [ "http://www.mendeley.com/documents/?uuid=ee52e29b-23df-4bf7-aee3-9cc5afff9430" ] }, { "id" : "ITEM-4", "itemData" : { "DOI" : "10.1108/09513541111100134", "ISBN" : "0951-354X", "ISSN" : "0951-354X", "abstract" : "Purpose: This study aims to explore the impact of school leadership, particularly that of the principal (head teacher), on school improvement in England. Design/methodology/approach: The study adopts a mixed-methods (MM), longitudinal design to investigate the leadership of a sample of academically effective and improving schools identified from analyses of national assessment and examination data sets. In addition, questionnaire surveys of principals and key staff and 20 qualitative school case studies were conducted. The paper reports results from the questionnaire analyses and changes in measures of school performance over three school years using data from 378 primary and 362 secondary schools. Confirmatory factor analysis and structural equation models (SEM) test direct and indirect effects of school leadership and school and classroom processes in predicting changes in schools' academic results. Findings: The analyses identified robust underlying dimensions of leadership and school and classroom processes and highlighted strategies and actions that school principals and staff had adopted to raise pupil attainment. The SEM models reveal both direct and indirect effects of leadership on a range of school and classroom processes that in turn predicted changes (improvements) in schools' academic performance. Originality/value: This original empirical study presents new results on the leadership of a large sample of effective and improving primary and secondary schools in England. A dynamic model is presented predicting changes in schools' academic performance over three years and identifying direct effects of leadership on school and classroom processes and indirect effects on improvements in schools' academic results. (Contains 7 tables and 3 figures.)", "author" : [ { "dropping-particle" : "", "family" : "Sammons", "given" : "Pam", "non-dropping-particle" : "", "parse-names" : false, "suffix" : "" }, { "dropping-particle" : "", "family" : "Gu", "given" : "Qing", "non-dropping-particle" : "", "parse-names" : false, "suffix" : "" }, { "dropping-particle" : "", "family" : "Day", "given" : "Christopher", "non-dropping-particle" : "", "parse-names" : false, "suffix" : "" }, { "dropping-particle" : "", "family" : "Ko", "given" : "James", "non-dropping-particle" : "", "parse-names" : false, "suffix" : "" } ], "container-title" : "International Journal of Educational Management", "id" : "ITEM-4", "issue" : "1", "issued" : { "date-parts" : [ [ "2011" ] ] }, "page" : "83-101", "title" : "Exploring the impact of school leadership on pupil outcomes: Results from a study of academically improved and effective schools in England", "type" : "article-journal", "volume" : "25" }, "uris" : [ "http://www.mendeley.com/documents/?uuid=1641f1b5-b244-4aa2-9c60-23d79ef9fcb2" ] }, { "id" : "ITEM-5", "itemData" : { "author" : [ { "dropping-particle" : "", "family" : "Department for Education", "given" : "", "non-dropping-particle" : "", "parse-names" : false, "suffix" : "" } ], "id" : "ITEM-5", "issued" : { "date-parts" : [ [ "2014" ] ] }, "publisher-place" : "London", "title" : "Governors\u2019 handbook", "type" : "report" }, "uris" : [ "http://www.mendeley.com/documents/?uuid=9c50c954-d2b5-48be-a1f6-84a0f7cf8985" ] }, { "id" : "ITEM-6", "itemData" : { "author" : [ { "dropping-particle" : "", "family" : "Department for Education", "given" : "", "non-dropping-particle" : "", "parse-names" : false, "suffix" : "" } ], "id" : "ITEM-6", "issued" : { "date-parts" : [ [ "2015" ] ] }, "publisher-place" : "London", "title" : "National standards of excellence for headteachers", "type" : "report" }, "uris" : [ "http://www.mendeley.com/documents/?uuid=2615a369-fc01-4e04-bd98-bb47d833567a" ] } ], "mendeley" : { "formattedCitation" : "(Leithwood and Louis, 2004; Brundrett, 2008; Day et al., 2009; Sammons et al., 2011; Department for Education, 2014a, 2015b)", "plainTextFormattedCitation" : "(Leithwood and Louis, 2004; Brundrett, 2008; Day et al., 2009; Sammons et al., 2011; Department for Education, 2014a, 2015b)", "previouslyFormattedCitation" : "(Leithwood and Louis, 2004; Brundrett, 2008; Day et al., 2009; Sammons et al., 2011; Department for Education, 2014a, 2015b)" }, "properties" : { "noteIndex" : 0 }, "schema" : "https://github.com/citation-style-language/schema/raw/master/csl-citation.json" }</w:instrText>
      </w:r>
      <w:r w:rsidR="006D64A4" w:rsidRPr="009B3747">
        <w:rPr>
          <w:rFonts w:eastAsia="Times New Roman" w:cstheme="minorHAnsi"/>
          <w:color w:val="000000"/>
          <w:lang w:eastAsia="en-GB"/>
        </w:rPr>
        <w:fldChar w:fldCharType="separate"/>
      </w:r>
      <w:r w:rsidR="0047189B" w:rsidRPr="009B3747">
        <w:rPr>
          <w:rFonts w:eastAsia="Times New Roman" w:cstheme="minorHAnsi"/>
          <w:noProof/>
          <w:color w:val="000000"/>
          <w:lang w:eastAsia="en-GB"/>
        </w:rPr>
        <w:t>(Leithwood and Louis, 2004; Brundrett, 2008; Day et al., 2009; Sammons et al., 2011; Department for Education, 2014a, 2015b)</w:t>
      </w:r>
      <w:r w:rsidR="006D64A4" w:rsidRPr="009B3747">
        <w:rPr>
          <w:rFonts w:eastAsia="Times New Roman" w:cstheme="minorHAnsi"/>
          <w:color w:val="000000"/>
          <w:lang w:eastAsia="en-GB"/>
        </w:rPr>
        <w:fldChar w:fldCharType="end"/>
      </w:r>
      <w:r w:rsidR="006D64A4" w:rsidRPr="009B3747">
        <w:rPr>
          <w:rFonts w:eastAsia="Times New Roman" w:cstheme="minorHAnsi"/>
          <w:color w:val="000000"/>
          <w:lang w:eastAsia="en-GB"/>
        </w:rPr>
        <w:t xml:space="preserve">.  </w:t>
      </w:r>
      <w:r w:rsidRPr="009B3747">
        <w:rPr>
          <w:rFonts w:eastAsia="Times New Roman" w:cstheme="minorHAnsi"/>
          <w:color w:val="000000"/>
          <w:lang w:eastAsia="en-GB"/>
        </w:rPr>
        <w:t>All schools in England are legally required to have an appointed headteacher and governing b</w:t>
      </w:r>
      <w:r w:rsidR="001217DC">
        <w:rPr>
          <w:rFonts w:eastAsia="Times New Roman" w:cstheme="minorHAnsi"/>
          <w:color w:val="000000"/>
          <w:lang w:eastAsia="en-GB"/>
        </w:rPr>
        <w:t>ody, which</w:t>
      </w:r>
      <w:r w:rsidR="00CD3F14" w:rsidRPr="009B3747">
        <w:rPr>
          <w:rFonts w:eastAsia="Times New Roman" w:cstheme="minorHAnsi"/>
          <w:color w:val="000000"/>
          <w:lang w:eastAsia="en-GB"/>
        </w:rPr>
        <w:t xml:space="preserve"> includes an elected c</w:t>
      </w:r>
      <w:r w:rsidRPr="009B3747">
        <w:rPr>
          <w:rFonts w:eastAsia="Times New Roman" w:cstheme="minorHAnsi"/>
          <w:color w:val="000000"/>
          <w:lang w:eastAsia="en-GB"/>
        </w:rPr>
        <w:t xml:space="preserve">hair of </w:t>
      </w:r>
      <w:r w:rsidR="00CD3F14" w:rsidRPr="009B3747">
        <w:rPr>
          <w:rFonts w:eastAsia="Times New Roman" w:cstheme="minorHAnsi"/>
          <w:color w:val="000000"/>
          <w:lang w:eastAsia="en-GB"/>
        </w:rPr>
        <w:t>g</w:t>
      </w:r>
      <w:r w:rsidRPr="009B3747">
        <w:rPr>
          <w:rFonts w:eastAsia="Times New Roman" w:cstheme="minorHAnsi"/>
          <w:color w:val="000000"/>
          <w:lang w:eastAsia="en-GB"/>
        </w:rPr>
        <w:t>overnors</w:t>
      </w:r>
      <w:r w:rsidR="001217DC">
        <w:rPr>
          <w:rFonts w:eastAsia="Times New Roman" w:cstheme="minorHAnsi"/>
          <w:color w:val="000000"/>
          <w:lang w:eastAsia="en-GB"/>
        </w:rPr>
        <w:t>.</w:t>
      </w:r>
    </w:p>
    <w:p w:rsidR="0083682E" w:rsidRPr="009B3747" w:rsidRDefault="0083682E" w:rsidP="00A16FA3">
      <w:pPr>
        <w:rPr>
          <w:rFonts w:eastAsia="Times New Roman" w:cstheme="minorHAnsi"/>
          <w:color w:val="000000"/>
          <w:lang w:eastAsia="en-GB"/>
        </w:rPr>
      </w:pPr>
    </w:p>
    <w:p w:rsidR="00D857B4" w:rsidRPr="009B3747" w:rsidRDefault="00A16FA3" w:rsidP="00A16FA3">
      <w:pPr>
        <w:rPr>
          <w:rFonts w:eastAsia="Times New Roman" w:cstheme="minorHAnsi"/>
          <w:color w:val="000000"/>
          <w:lang w:eastAsia="en-GB"/>
        </w:rPr>
      </w:pPr>
      <w:r w:rsidRPr="009B3747">
        <w:rPr>
          <w:rFonts w:eastAsia="Times New Roman" w:cstheme="minorHAnsi"/>
          <w:color w:val="000000"/>
          <w:lang w:eastAsia="en-GB"/>
        </w:rPr>
        <w:t xml:space="preserve">As </w:t>
      </w:r>
      <w:r w:rsidRPr="009B3747">
        <w:rPr>
          <w:rFonts w:eastAsia="Times New Roman" w:cstheme="minorHAnsi"/>
          <w:i/>
          <w:color w:val="000000"/>
          <w:lang w:eastAsia="en-GB"/>
        </w:rPr>
        <w:t xml:space="preserve">the </w:t>
      </w:r>
      <w:r w:rsidR="00CD3F14" w:rsidRPr="009B3747">
        <w:rPr>
          <w:rFonts w:eastAsia="Times New Roman" w:cstheme="minorHAnsi"/>
          <w:i/>
          <w:iCs/>
          <w:color w:val="000000"/>
          <w:lang w:eastAsia="en-GB"/>
        </w:rPr>
        <w:t>“</w:t>
      </w:r>
      <w:r w:rsidRPr="009B3747">
        <w:rPr>
          <w:rFonts w:eastAsia="Times New Roman" w:cstheme="minorHAnsi"/>
          <w:i/>
          <w:iCs/>
          <w:color w:val="000000"/>
          <w:lang w:eastAsia="en-GB"/>
        </w:rPr>
        <w:t xml:space="preserve">guardians of the </w:t>
      </w:r>
      <w:r w:rsidR="00670813" w:rsidRPr="009B3747">
        <w:rPr>
          <w:rFonts w:eastAsia="Times New Roman" w:cstheme="minorHAnsi"/>
          <w:i/>
          <w:iCs/>
          <w:color w:val="000000"/>
          <w:lang w:eastAsia="en-GB"/>
        </w:rPr>
        <w:t>nation’s</w:t>
      </w:r>
      <w:r w:rsidRPr="009B3747">
        <w:rPr>
          <w:rFonts w:eastAsia="Times New Roman" w:cstheme="minorHAnsi"/>
          <w:i/>
          <w:iCs/>
          <w:color w:val="000000"/>
          <w:lang w:eastAsia="en-GB"/>
        </w:rPr>
        <w:t xml:space="preserve"> schools</w:t>
      </w:r>
      <w:r w:rsidR="00CD3F14" w:rsidRPr="009B3747">
        <w:rPr>
          <w:rFonts w:eastAsia="Times New Roman" w:cstheme="minorHAnsi"/>
          <w:i/>
          <w:iCs/>
          <w:color w:val="000000"/>
          <w:lang w:eastAsia="en-GB"/>
        </w:rPr>
        <w:t>”</w:t>
      </w:r>
      <w:r w:rsidRPr="009B3747">
        <w:rPr>
          <w:rFonts w:eastAsia="Times New Roman" w:cstheme="minorHAnsi"/>
          <w:color w:val="000000"/>
          <w:lang w:eastAsia="en-GB"/>
        </w:rPr>
        <w:t>, (</w:t>
      </w:r>
      <w:r w:rsidR="006D64A4"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"Department for Education", "given" : "", "non-dropping-particle" : "", "parse-names" : false, "suffix" : "" } ], "id" : "ITEM-1", "issued" : { "date-parts" : [ [ "2015" ] ] }, "publisher-place" : "London", "title" : "National standards of excellence for headteachers", "type" : "report" }, "uris" : [ "http://www.mendeley.com/documents/?uuid=2615a369-fc01-4e04-bd98-bb47d833567a" ] } ], "mendeley" : { "formattedCitation" : "(Department for Education, 2015b)", "manualFormatting" : "Department for Education, 2015a, p.5)", "plainTextFormattedCitation" : "(Department for Education, 2015b)", "previouslyFormattedCitation" : "(Department for Education, 2015b)" }, "properties" : { "noteIndex" : 0 }, "schema" : "https://github.com/citation-style-language/schema/raw/master/csl-citation.json" }</w:instrText>
      </w:r>
      <w:r w:rsidR="006D64A4" w:rsidRPr="009B3747">
        <w:rPr>
          <w:rFonts w:eastAsia="Times New Roman" w:cstheme="minorHAnsi"/>
          <w:color w:val="000000"/>
          <w:lang w:eastAsia="en-GB"/>
        </w:rPr>
        <w:fldChar w:fldCharType="separate"/>
      </w:r>
      <w:r w:rsidR="006D64A4" w:rsidRPr="009B3747">
        <w:rPr>
          <w:rFonts w:eastAsia="Times New Roman" w:cstheme="minorHAnsi"/>
          <w:noProof/>
          <w:color w:val="000000"/>
          <w:lang w:eastAsia="en-GB"/>
        </w:rPr>
        <w:t>Department for Educ</w:t>
      </w:r>
      <w:r w:rsidR="00FB5B00" w:rsidRPr="009B3747">
        <w:rPr>
          <w:rFonts w:eastAsia="Times New Roman" w:cstheme="minorHAnsi"/>
          <w:noProof/>
          <w:color w:val="000000"/>
          <w:lang w:eastAsia="en-GB"/>
        </w:rPr>
        <w:t>ation, 2015a, p.</w:t>
      </w:r>
      <w:r w:rsidR="006D64A4" w:rsidRPr="009B3747">
        <w:rPr>
          <w:rFonts w:eastAsia="Times New Roman" w:cstheme="minorHAnsi"/>
          <w:noProof/>
          <w:color w:val="000000"/>
          <w:lang w:eastAsia="en-GB"/>
        </w:rPr>
        <w:t>5)</w:t>
      </w:r>
      <w:r w:rsidR="006D64A4" w:rsidRPr="009B3747">
        <w:rPr>
          <w:rFonts w:eastAsia="Times New Roman" w:cstheme="minorHAnsi"/>
          <w:color w:val="000000"/>
          <w:lang w:eastAsia="en-GB"/>
        </w:rPr>
        <w:fldChar w:fldCharType="end"/>
      </w:r>
      <w:r w:rsidRPr="009B3747">
        <w:rPr>
          <w:rFonts w:eastAsia="Times New Roman" w:cstheme="minorHAnsi"/>
          <w:color w:val="000000"/>
          <w:lang w:eastAsia="en-GB"/>
        </w:rPr>
        <w:t>, headeachers and chairs of governors are argued to hold highly influential positions within society, impacting on a wide range of stakeholders across the community their school serves.  Consequently, significant demands and pressures are associated with holding these critical positions in both primary and secondary schools</w:t>
      </w:r>
      <w:r w:rsidR="004975EA" w:rsidRPr="009B3747">
        <w:rPr>
          <w:rFonts w:eastAsia="Times New Roman" w:cstheme="minorHAnsi"/>
          <w:color w:val="000000"/>
          <w:lang w:eastAsia="en-GB"/>
        </w:rPr>
        <w:t xml:space="preserve"> </w:t>
      </w:r>
      <w:r w:rsidR="004975EA"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"James", "given" : "C", "non-dropping-particle" : "", "parse-names" : false, "suffix" : "" }, { "dropping-particle" : "", "family" : "Jones", "given" : "J", "non-dropping-particle" : "", "parse-names" : false, "suffix" : "" }, { "dropping-particle" : "", "family" : "Connolly", "given" : "M", "non-dropping-particle" : "", "parse-names" : false, "suffix" : "" } ], "container-title" : "School Leadership &amp; Management", "id" : "ITEM-1", "issue" : "1", "issued" : { "date-parts" : [ [ "2012" ] ] }, "page" : "3-19", "title" : "The role of the chair of the school governing body in England", "type" : "article-journal", "volume" : "32" }, "uris" : [ "http://www.mendeley.com/documents/?uuid=167dc1e4-b94c-435f-8ab6-d543f3ed0d9a" ] }, { "id" : "ITEM-2", "itemData" : { "author" : [ { "dropping-particle" : "", "family" : "Wilkins", "given" : "A", "non-dropping-particle" : "", "parse-names" : false, "suffix" : "" } ], "container-title" : "Journal of education policy", "id" : "ITEM-2", "issue" : "2", "issued" : { "date-parts" : [ [ "2015" ] ] }, "page" : "182-200", "title" : "Professionalizing school governance: the disciplinary effects of school autonomy and inspection on the changing role of school governors", "type" : "article-journal", "volume" : "30" }, "uris" : [ "http://www.mendeley.com/documents/?uuid=03c264fa-fd18-49c7-8d6b-e038a0df7201" ] } ], "mendeley" : { "formattedCitation" : "(James et al., 2012; Wilkins, 2015)", "plainTextFormattedCitation" : "(James et al., 2012; Wilkins, 2015)", "previouslyFormattedCitation" : "(James et al., 2012; Wilkins, 2015)" }, "properties" : { "noteIndex" : 0 }, "schema" : "https://github.com/citation-style-language/schema/raw/master/csl-citation.json" }</w:instrText>
      </w:r>
      <w:r w:rsidR="004975EA" w:rsidRPr="009B3747">
        <w:rPr>
          <w:rFonts w:eastAsia="Times New Roman" w:cstheme="minorHAnsi"/>
          <w:color w:val="000000"/>
          <w:lang w:eastAsia="en-GB"/>
        </w:rPr>
        <w:fldChar w:fldCharType="separate"/>
      </w:r>
      <w:r w:rsidR="004975EA" w:rsidRPr="009B3747">
        <w:rPr>
          <w:rFonts w:eastAsia="Times New Roman" w:cstheme="minorHAnsi"/>
          <w:noProof/>
          <w:color w:val="000000"/>
          <w:lang w:eastAsia="en-GB"/>
        </w:rPr>
        <w:t>(James et al., 2012; Wilkins, 2015)</w:t>
      </w:r>
      <w:r w:rsidR="004975EA" w:rsidRPr="009B3747">
        <w:rPr>
          <w:rFonts w:eastAsia="Times New Roman" w:cstheme="minorHAnsi"/>
          <w:color w:val="000000"/>
          <w:lang w:eastAsia="en-GB"/>
        </w:rPr>
        <w:fldChar w:fldCharType="end"/>
      </w:r>
      <w:r w:rsidR="004975EA" w:rsidRPr="009B3747">
        <w:rPr>
          <w:rFonts w:eastAsia="Times New Roman" w:cstheme="minorHAnsi"/>
          <w:color w:val="000000"/>
          <w:lang w:eastAsia="en-GB"/>
        </w:rPr>
        <w:t>.</w:t>
      </w:r>
    </w:p>
    <w:p w:rsidR="004975EA" w:rsidRPr="009B3747" w:rsidRDefault="004975EA" w:rsidP="00A16FA3">
      <w:pPr>
        <w:rPr>
          <w:rFonts w:eastAsia="Times New Roman" w:cstheme="minorHAnsi"/>
          <w:color w:val="000000"/>
          <w:lang w:eastAsia="en-GB"/>
        </w:rPr>
      </w:pPr>
    </w:p>
    <w:p w:rsidR="0083682E" w:rsidRPr="009B3747" w:rsidRDefault="00A16FA3" w:rsidP="00A16FA3">
      <w:pPr>
        <w:rPr>
          <w:rFonts w:eastAsia="Times New Roman" w:cstheme="minorHAnsi"/>
          <w:color w:val="000000"/>
          <w:lang w:eastAsia="en-GB"/>
        </w:rPr>
      </w:pPr>
      <w:r w:rsidRPr="009B3747">
        <w:rPr>
          <w:rFonts w:eastAsia="Times New Roman" w:cstheme="minorHAnsi"/>
          <w:color w:val="000000"/>
          <w:lang w:eastAsia="en-GB"/>
        </w:rPr>
        <w:t xml:space="preserve">The Department for Education sets out the distinct roles, responsibilities and expected standards of headteachers and chairs of governors </w:t>
      </w:r>
      <w:r w:rsidR="004975EA"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"Department for Education", "given" : "", "non-dropping-particle" : "", "parse-names" : false, "suffix" : "" } ], "id" : "ITEM-1", "issued" : { "date-parts" : [ [ "2014" ] ] }, "publisher-place" : "London", "title" : "Governors\u2019 handbook", "type" : "report" }, "uris" : [ "http://www.mendeley.com/documents/?uuid=9c50c954-d2b5-48be-a1f6-84a0f7cf8985" ] }, { "id" : "ITEM-2", "itemData" : { "author" : [ { "dropping-particle" : "", "family" : "Department for Education", "given" : "", "non-dropping-particle" : "", "parse-names" : false, "suffix" : "" } ], "id" : "ITEM-2", "issued" : { "date-parts" : [ [ "2015" ] ] }, "publisher-place" : "London", "title" : "National standards of excellence for headteachers", "type" : "report" }, "uris" : [ "http://www.mendeley.com/documents/?uuid=2615a369-fc01-4e04-bd98-bb47d833567a" ] } ], "mendeley" : { "formattedCitation" : "(Department for Education, 2014a, 2015b)", "plainTextFormattedCitation" : "(Department for Education, 2014a, 2015b)", "previouslyFormattedCitation" : "(Department for Education, 2014a, 2015b)" }, "properties" : { "noteIndex" : 0 }, "schema" : "https://github.com/citation-style-language/schema/raw/master/csl-citation.json" }</w:instrText>
      </w:r>
      <w:r w:rsidR="004975EA" w:rsidRPr="009B3747">
        <w:rPr>
          <w:rFonts w:eastAsia="Times New Roman" w:cstheme="minorHAnsi"/>
          <w:color w:val="000000"/>
          <w:lang w:eastAsia="en-GB"/>
        </w:rPr>
        <w:fldChar w:fldCharType="separate"/>
      </w:r>
      <w:r w:rsidR="0047189B" w:rsidRPr="009B3747">
        <w:rPr>
          <w:rFonts w:eastAsia="Times New Roman" w:cstheme="minorHAnsi"/>
          <w:noProof/>
          <w:color w:val="000000"/>
          <w:lang w:eastAsia="en-GB"/>
        </w:rPr>
        <w:t>(Department for Education, 2014a, 2015b)</w:t>
      </w:r>
      <w:r w:rsidR="004975EA" w:rsidRPr="009B3747">
        <w:rPr>
          <w:rFonts w:eastAsia="Times New Roman" w:cstheme="minorHAnsi"/>
          <w:color w:val="000000"/>
          <w:lang w:eastAsia="en-GB"/>
        </w:rPr>
        <w:fldChar w:fldCharType="end"/>
      </w:r>
      <w:r w:rsidR="004975EA" w:rsidRPr="009B3747">
        <w:rPr>
          <w:rFonts w:eastAsia="Times New Roman" w:cstheme="minorHAnsi"/>
          <w:color w:val="000000"/>
          <w:lang w:eastAsia="en-GB"/>
        </w:rPr>
        <w:t xml:space="preserve">.  </w:t>
      </w:r>
      <w:r w:rsidR="00CD3F14" w:rsidRPr="009B3747">
        <w:rPr>
          <w:rFonts w:eastAsia="Times New Roman" w:cstheme="minorHAnsi"/>
          <w:color w:val="000000"/>
          <w:lang w:eastAsia="en-GB"/>
        </w:rPr>
        <w:t>The governing body, led by the chair of g</w:t>
      </w:r>
      <w:r w:rsidRPr="009B3747">
        <w:rPr>
          <w:rFonts w:eastAsia="Times New Roman" w:cstheme="minorHAnsi"/>
          <w:color w:val="000000"/>
          <w:lang w:eastAsia="en-GB"/>
        </w:rPr>
        <w:t>overnors is the key strategic decision-making hub of every school.  The governing body is expected to set the school’s strategic direction, oversee financial management and hold the headteacher to account on a school’s educational performance</w:t>
      </w:r>
      <w:r w:rsidR="004975EA" w:rsidRPr="009B3747">
        <w:rPr>
          <w:rFonts w:eastAsia="Times New Roman" w:cstheme="minorHAnsi"/>
          <w:color w:val="000000"/>
          <w:lang w:eastAsia="en-GB"/>
        </w:rPr>
        <w:t xml:space="preserve"> </w:t>
      </w:r>
      <w:r w:rsidR="004975EA"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"Department for Education", "given" : "", "non-dropping-particle" : "", "parse-names" : false, "suffix" : "" } ], "id" : "ITEM-1", "issued" : { "date-parts" : [ [ "2014" ] ] }, "publisher-place" : "London", "title" : "Governors\u2019 handbook", "type" : "report" }, "uris" : [ "http://www.mendeley.com/documents/?uuid=9c50c954-d2b5-48be-a1f6-84a0f7cf8985" ] } ], "mendeley" : { "formattedCitation" : "(Department for Education, 2014a)", "plainTextFormattedCitation" : "(Department for Education, 2014a)", "previouslyFormattedCitation" : "(Department for Education, 2014a)" }, "properties" : { "noteIndex" : 0 }, "schema" : "https://github.com/citation-style-language/schema/raw/master/csl-citation.json" }</w:instrText>
      </w:r>
      <w:r w:rsidR="004975EA" w:rsidRPr="009B3747">
        <w:rPr>
          <w:rFonts w:eastAsia="Times New Roman" w:cstheme="minorHAnsi"/>
          <w:color w:val="000000"/>
          <w:lang w:eastAsia="en-GB"/>
        </w:rPr>
        <w:fldChar w:fldCharType="separate"/>
      </w:r>
      <w:r w:rsidR="0047189B" w:rsidRPr="009B3747">
        <w:rPr>
          <w:rFonts w:eastAsia="Times New Roman" w:cstheme="minorHAnsi"/>
          <w:noProof/>
          <w:color w:val="000000"/>
          <w:lang w:eastAsia="en-GB"/>
        </w:rPr>
        <w:t>(Department for Education, 2014a)</w:t>
      </w:r>
      <w:r w:rsidR="004975EA" w:rsidRPr="009B3747">
        <w:rPr>
          <w:rFonts w:eastAsia="Times New Roman" w:cstheme="minorHAnsi"/>
          <w:color w:val="000000"/>
          <w:lang w:eastAsia="en-GB"/>
        </w:rPr>
        <w:fldChar w:fldCharType="end"/>
      </w:r>
      <w:r w:rsidR="004975EA" w:rsidRPr="009B3747">
        <w:rPr>
          <w:rFonts w:eastAsia="Times New Roman" w:cstheme="minorHAnsi"/>
          <w:color w:val="000000"/>
          <w:lang w:eastAsia="en-GB"/>
        </w:rPr>
        <w:t xml:space="preserve">.  </w:t>
      </w:r>
    </w:p>
    <w:p w:rsidR="0083682E" w:rsidRPr="009B3747" w:rsidRDefault="0083682E" w:rsidP="00A16FA3">
      <w:pPr>
        <w:rPr>
          <w:rFonts w:eastAsia="Times New Roman" w:cstheme="minorHAnsi"/>
          <w:color w:val="000000"/>
          <w:lang w:eastAsia="en-GB"/>
        </w:rPr>
      </w:pPr>
    </w:p>
    <w:p w:rsidR="00A16FA3" w:rsidRPr="009B3747" w:rsidRDefault="004975EA" w:rsidP="00A16FA3">
      <w:pPr>
        <w:rPr>
          <w:rFonts w:eastAsia="Times New Roman" w:cstheme="minorHAnsi"/>
          <w:color w:val="000000"/>
          <w:lang w:eastAsia="en-GB"/>
        </w:rPr>
      </w:pPr>
      <w:r w:rsidRPr="009B3747">
        <w:rPr>
          <w:rFonts w:eastAsia="Times New Roman" w:cstheme="minorHAnsi"/>
          <w:color w:val="000000"/>
          <w:lang w:eastAsia="en-GB"/>
        </w:rPr>
        <w:t>T</w:t>
      </w:r>
      <w:r w:rsidR="00A16FA3" w:rsidRPr="009B3747">
        <w:rPr>
          <w:rFonts w:eastAsia="Times New Roman" w:cstheme="minorHAnsi"/>
          <w:color w:val="000000"/>
          <w:lang w:eastAsia="en-GB"/>
        </w:rPr>
        <w:t xml:space="preserve">he headteacher provides professional leadership and is responsible for the operational management, organisation and control of a school.  As the responsible lead for teaching and learning, headteachers create necessary policies and practices in order to ensure the highest </w:t>
      </w:r>
      <w:r w:rsidR="00A16FA3" w:rsidRPr="009B3747">
        <w:rPr>
          <w:rFonts w:eastAsia="Times New Roman" w:cstheme="minorHAnsi"/>
          <w:color w:val="000000"/>
          <w:lang w:eastAsia="en-GB"/>
        </w:rPr>
        <w:lastRenderedPageBreak/>
        <w:t>educational outcomes are achieved</w:t>
      </w:r>
      <w:r w:rsidRPr="009B3747">
        <w:rPr>
          <w:rFonts w:eastAsia="Times New Roman" w:cstheme="minorHAnsi"/>
          <w:color w:val="000000"/>
          <w:lang w:eastAsia="en-GB"/>
        </w:rPr>
        <w:t xml:space="preserve"> </w:t>
      </w:r>
      <w:r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"Department for Education", "given" : "", "non-dropping-particle" : "", "parse-names" : false, "suffix" : "" } ], "id" : "ITEM-1", "issued" : { "date-parts" : [ [ "2015" ] ] }, "publisher-place" : "London", "title" : "National standards of excellence for headteachers", "type" : "report" }, "uris" : [ "http://www.mendeley.com/documents/?uuid=2615a369-fc01-4e04-bd98-bb47d833567a" ] } ], "mendeley" : { "formattedCitation" : "(Department for Education, 2015b)", "plainTextFormattedCitation" : "(Department for Education, 2015b)", "previouslyFormattedCitation" : "(Department for Education, 2015b)" }, "properties" : { "noteIndex" : 0 }, "schema" : "https://github.com/citation-style-language/schema/raw/master/csl-citation.json" }</w:instrText>
      </w:r>
      <w:r w:rsidRPr="009B3747">
        <w:rPr>
          <w:rFonts w:eastAsia="Times New Roman" w:cstheme="minorHAnsi"/>
          <w:color w:val="000000"/>
          <w:lang w:eastAsia="en-GB"/>
        </w:rPr>
        <w:fldChar w:fldCharType="separate"/>
      </w:r>
      <w:r w:rsidR="00516326" w:rsidRPr="009B3747">
        <w:rPr>
          <w:rFonts w:eastAsia="Times New Roman" w:cstheme="minorHAnsi"/>
          <w:noProof/>
          <w:color w:val="000000"/>
          <w:lang w:eastAsia="en-GB"/>
        </w:rPr>
        <w:t>(Department for Education, 2015b)</w:t>
      </w:r>
      <w:r w:rsidRPr="009B3747">
        <w:rPr>
          <w:rFonts w:eastAsia="Times New Roman" w:cstheme="minorHAnsi"/>
          <w:color w:val="000000"/>
          <w:lang w:eastAsia="en-GB"/>
        </w:rPr>
        <w:fldChar w:fldCharType="end"/>
      </w:r>
      <w:r w:rsidR="00A16FA3" w:rsidRPr="009B3747">
        <w:rPr>
          <w:rFonts w:eastAsia="Times New Roman" w:cstheme="minorHAnsi"/>
          <w:color w:val="000000"/>
          <w:lang w:eastAsia="en-GB"/>
        </w:rPr>
        <w:t>.  Whilst fulfilling largely disparate</w:t>
      </w:r>
      <w:r w:rsidR="00281979">
        <w:rPr>
          <w:rFonts w:eastAsia="Times New Roman" w:cstheme="minorHAnsi"/>
          <w:color w:val="000000"/>
          <w:lang w:eastAsia="en-GB"/>
        </w:rPr>
        <w:t>,</w:t>
      </w:r>
      <w:r w:rsidR="00A16FA3" w:rsidRPr="009B3747">
        <w:rPr>
          <w:rFonts w:eastAsia="Times New Roman" w:cstheme="minorHAnsi"/>
          <w:color w:val="000000"/>
          <w:lang w:eastAsia="en-GB"/>
        </w:rPr>
        <w:t xml:space="preserve"> but complementary functions, both are expected to develop an effective partnership </w:t>
      </w:r>
      <w:r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"James", "given" : "C", "non-dropping-particle" : "", "parse-names" : false, "suffix" : "" }, { "dropping-particle" : "", "family" : "Jones", "given" : "J", "non-dropping-particle" : "", "parse-names" : false, "suffix" : "" }, { "dropping-particle" : "", "family" : "Connolly", "given" : "M", "non-dropping-particle" : "", "parse-names" : false, "suffix" : "" } ], "container-title" : "School Leadership &amp; Management", "id" : "ITEM-1", "issue" : "1", "issued" : { "date-parts" : [ [ "2012" ] ] }, "page" : "3-19", "title" : "The role of the chair of the school governing body in England", "type" : "article-journal", "volume" : "32" }, "uris" : [ "http://www.mendeley.com/documents/?uuid=167dc1e4-b94c-435f-8ab6-d543f3ed0d9a" ] } ], "mendeley" : { "formattedCitation" : "(James et al., 2012)", "plainTextFormattedCitation" : "(James et al., 2012)", "previouslyFormattedCitation" : "(James et al., 2012)" }, "properties" : { "noteIndex" : 0 }, "schema" : "https://github.com/citation-style-language/schema/raw/master/csl-citation.json" }</w:instrText>
      </w:r>
      <w:r w:rsidRPr="009B3747">
        <w:rPr>
          <w:rFonts w:eastAsia="Times New Roman" w:cstheme="minorHAnsi"/>
          <w:color w:val="000000"/>
          <w:lang w:eastAsia="en-GB"/>
        </w:rPr>
        <w:fldChar w:fldCharType="separate"/>
      </w:r>
      <w:r w:rsidRPr="009B3747">
        <w:rPr>
          <w:rFonts w:eastAsia="Times New Roman" w:cstheme="minorHAnsi"/>
          <w:noProof/>
          <w:color w:val="000000"/>
          <w:lang w:eastAsia="en-GB"/>
        </w:rPr>
        <w:t>(James et al., 2012)</w:t>
      </w:r>
      <w:r w:rsidRPr="009B3747">
        <w:rPr>
          <w:rFonts w:eastAsia="Times New Roman" w:cstheme="minorHAnsi"/>
          <w:color w:val="000000"/>
          <w:lang w:eastAsia="en-GB"/>
        </w:rPr>
        <w:fldChar w:fldCharType="end"/>
      </w:r>
      <w:r w:rsidR="00A16FA3" w:rsidRPr="009B3747">
        <w:rPr>
          <w:rFonts w:eastAsia="Times New Roman" w:cstheme="minorHAnsi"/>
          <w:color w:val="000000"/>
          <w:lang w:eastAsia="en-GB"/>
        </w:rPr>
        <w:t xml:space="preserve"> with governors acting as a critical friend</w:t>
      </w:r>
      <w:r w:rsidRPr="009B3747">
        <w:rPr>
          <w:rFonts w:eastAsia="Times New Roman" w:cstheme="minorHAnsi"/>
          <w:color w:val="000000"/>
          <w:lang w:eastAsia="en-GB"/>
        </w:rPr>
        <w:t xml:space="preserve"> </w:t>
      </w:r>
      <w:r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"Department for Education", "given" : "", "non-dropping-particle" : "", "parse-names" : false, "suffix" : "" } ], "id" : "ITEM-1", "issued" : { "date-parts" : [ [ "2015" ] ] }, "publisher-place" : "London", "title" : "National standards of excellence for headteachers", "type" : "report" }, "uris" : [ "http://www.mendeley.com/documents/?uuid=2615a369-fc01-4e04-bd98-bb47d833567a" ] } ], "mendeley" : { "formattedCitation" : "(Department for Education, 2015b)", "plainTextFormattedCitation" : "(Department for Education, 2015b)", "previouslyFormattedCitation" : "(Department for Education, 2015b)" }, "properties" : { "noteIndex" : 0 }, "schema" : "https://github.com/citation-style-language/schema/raw/master/csl-citation.json" }</w:instrText>
      </w:r>
      <w:r w:rsidRPr="009B3747">
        <w:rPr>
          <w:rFonts w:eastAsia="Times New Roman" w:cstheme="minorHAnsi"/>
          <w:color w:val="000000"/>
          <w:lang w:eastAsia="en-GB"/>
        </w:rPr>
        <w:fldChar w:fldCharType="separate"/>
      </w:r>
      <w:r w:rsidR="00516326" w:rsidRPr="009B3747">
        <w:rPr>
          <w:rFonts w:eastAsia="Times New Roman" w:cstheme="minorHAnsi"/>
          <w:noProof/>
          <w:color w:val="000000"/>
          <w:lang w:eastAsia="en-GB"/>
        </w:rPr>
        <w:t>(Department for Education, 2015b)</w:t>
      </w:r>
      <w:r w:rsidRPr="009B3747">
        <w:rPr>
          <w:rFonts w:eastAsia="Times New Roman" w:cstheme="minorHAnsi"/>
          <w:color w:val="000000"/>
          <w:lang w:eastAsia="en-GB"/>
        </w:rPr>
        <w:fldChar w:fldCharType="end"/>
      </w:r>
      <w:r w:rsidR="00A16FA3" w:rsidRPr="009B3747">
        <w:rPr>
          <w:rFonts w:eastAsia="Times New Roman" w:cstheme="minorHAnsi"/>
          <w:color w:val="000000"/>
          <w:lang w:eastAsia="en-GB"/>
        </w:rPr>
        <w:t xml:space="preserve"> and headteachers as their main advisor. </w:t>
      </w:r>
    </w:p>
    <w:p w:rsidR="00D857B4" w:rsidRPr="009B3747" w:rsidRDefault="00D857B4" w:rsidP="00A16FA3">
      <w:pPr>
        <w:rPr>
          <w:rFonts w:eastAsia="Times New Roman" w:cstheme="minorHAnsi"/>
          <w:sz w:val="24"/>
          <w:szCs w:val="24"/>
          <w:lang w:eastAsia="en-GB"/>
        </w:rPr>
      </w:pPr>
    </w:p>
    <w:p w:rsidR="00A16FA3" w:rsidRPr="009B3747" w:rsidRDefault="00A16FA3" w:rsidP="00A16FA3">
      <w:pPr>
        <w:rPr>
          <w:rFonts w:eastAsia="Times New Roman" w:cstheme="minorHAnsi"/>
          <w:color w:val="000000"/>
          <w:lang w:eastAsia="en-GB"/>
        </w:rPr>
      </w:pPr>
      <w:r w:rsidRPr="009B3747">
        <w:rPr>
          <w:rFonts w:eastAsia="Times New Roman" w:cstheme="minorHAnsi"/>
          <w:color w:val="000000"/>
          <w:lang w:eastAsia="en-GB"/>
        </w:rPr>
        <w:t>The focus on developing self-improving school systems</w:t>
      </w:r>
      <w:r w:rsidR="004975EA" w:rsidRPr="009B3747">
        <w:rPr>
          <w:rFonts w:eastAsia="Times New Roman" w:cstheme="minorHAnsi"/>
          <w:color w:val="000000"/>
          <w:lang w:eastAsia="en-GB"/>
        </w:rPr>
        <w:t xml:space="preserve"> </w:t>
      </w:r>
      <w:r w:rsidR="004975EA"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"Hargreaves", "given" : "DH", "non-dropping-particle" : "", "parse-names" : false, "suffix" : "" } ], "id" : "ITEM-1", "issued" : { "date-parts" : [ [ "2011" ] ] }, "publisher-place" : "Cambridge", "title" : "Leading a self-improving school system", "type" : "report" }, "uris" : [ "http://www.mendeley.com/documents/?uuid=146d3ff5-34e8-4e4d-838b-9897a9657f86" ] }, { "id" : "ITEM-2", "itemData" : { "author" : [ { "dropping-particle" : "", "family" : "Hargreaves", "given" : "DH", "non-dropping-particle" : "", "parse-names" : false, "suffix" : "" } ], "id" : "ITEM-2", "issued" : { "date-parts" : [ [ "2012" ] ] }, "publisher-place" : "Cambridge", "title" : "A self-improving school system: towards maturity", "type" : "report" }, "uris" : [ "http://www.mendeley.com/documents/?uuid=242214eb-6f65-4b17-934a-d679732d3808" ] } ], "mendeley" : { "formattedCitation" : "(Hargreaves, 2011, 2012)", "plainTextFormattedCitation" : "(Hargreaves, 2011, 2012)", "previouslyFormattedCitation" : "(Hargreaves, 2011, 2012)" }, "properties" : { "noteIndex" : 0 }, "schema" : "https://github.com/citation-style-language/schema/raw/master/csl-citation.json" }</w:instrText>
      </w:r>
      <w:r w:rsidR="004975EA" w:rsidRPr="009B3747">
        <w:rPr>
          <w:rFonts w:eastAsia="Times New Roman" w:cstheme="minorHAnsi"/>
          <w:color w:val="000000"/>
          <w:lang w:eastAsia="en-GB"/>
        </w:rPr>
        <w:fldChar w:fldCharType="separate"/>
      </w:r>
      <w:r w:rsidR="004975EA" w:rsidRPr="009B3747">
        <w:rPr>
          <w:rFonts w:eastAsia="Times New Roman" w:cstheme="minorHAnsi"/>
          <w:noProof/>
          <w:color w:val="000000"/>
          <w:lang w:eastAsia="en-GB"/>
        </w:rPr>
        <w:t>(Hargreaves, 2011, 2012)</w:t>
      </w:r>
      <w:r w:rsidR="004975EA" w:rsidRPr="009B3747">
        <w:rPr>
          <w:rFonts w:eastAsia="Times New Roman" w:cstheme="minorHAnsi"/>
          <w:color w:val="000000"/>
          <w:lang w:eastAsia="en-GB"/>
        </w:rPr>
        <w:fldChar w:fldCharType="end"/>
      </w:r>
      <w:r w:rsidR="001217DC">
        <w:rPr>
          <w:rFonts w:eastAsia="Times New Roman" w:cstheme="minorHAnsi"/>
          <w:color w:val="000000"/>
          <w:lang w:eastAsia="en-GB"/>
        </w:rPr>
        <w:t xml:space="preserve">, </w:t>
      </w:r>
      <w:r w:rsidRPr="009B3747">
        <w:rPr>
          <w:rFonts w:eastAsia="Times New Roman" w:cstheme="minorHAnsi"/>
          <w:color w:val="000000"/>
          <w:lang w:eastAsia="en-GB"/>
        </w:rPr>
        <w:t xml:space="preserve">has increased the expectation that headteachers and chairs of governors (representing the governing body) will operate with </w:t>
      </w:r>
      <w:r w:rsidR="001217DC">
        <w:rPr>
          <w:rFonts w:eastAsia="Times New Roman" w:cstheme="minorHAnsi"/>
          <w:color w:val="000000"/>
          <w:lang w:eastAsia="en-GB"/>
        </w:rPr>
        <w:t>greater</w:t>
      </w:r>
      <w:r w:rsidRPr="009B3747">
        <w:rPr>
          <w:rFonts w:eastAsia="Times New Roman" w:cstheme="minorHAnsi"/>
          <w:color w:val="000000"/>
          <w:lang w:eastAsia="en-GB"/>
        </w:rPr>
        <w:t xml:space="preserve"> autono</w:t>
      </w:r>
      <w:r w:rsidR="004975EA" w:rsidRPr="009B3747">
        <w:rPr>
          <w:rFonts w:eastAsia="Times New Roman" w:cstheme="minorHAnsi"/>
          <w:color w:val="000000"/>
          <w:lang w:eastAsia="en-GB"/>
        </w:rPr>
        <w:t xml:space="preserve">my, accountability and control </w:t>
      </w:r>
      <w:r w:rsidR="004975EA"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"Earley", "given" : "P", "non-dropping-particle" : "", "parse-names" : false, "suffix" : "" }, { "dropping-particle" : "", "family" : "Bubb", "given" : "S", "non-dropping-particle" : "", "parse-names" : false, "suffix" : "" } ], "container-title" : "Educational Management Administration &amp; \u2026", "id" : "ITEM-1", "issue" : "6", "issued" : { "date-parts" : [ [ "2013" ] ] }, "page" : "782-799", "title" : "A Day in the Life of New Headteachers Learning from Observation", "type" : "article-journal", "volume" : "41" }, "uris" : [ "http://www.mendeley.com/documents/?uuid=b390061a-13d7-4450-be2c-d3ea7f3d6715" ] }, { "id" : "ITEM-2", "itemData" : { "author" : [ { "dropping-particle" : "", "family" : "Wilkins", "given" : "A", "non-dropping-particle" : "", "parse-names" : false, "suffix" : "" } ], "container-title" : "Journal of education policy", "id" : "ITEM-2", "issue" : "2", "issued" : { "date-parts" : [ [ "2015" ] ] }, "page" : "182-200", "title" : "Professionalizing school governance: the disciplinary effects of school autonomy and inspection on the changing role of school governors", "type" : "article-journal", "volume" : "30" }, "uris" : [ "http://www.mendeley.com/documents/?uuid=03c264fa-fd18-49c7-8d6b-e038a0df7201" ] } ], "mendeley" : { "formattedCitation" : "(Earley and Bubb, 2013; Wilkins, 2015)", "plainTextFormattedCitation" : "(Earley and Bubb, 2013; Wilkins, 2015)", "previouslyFormattedCitation" : "(Earley and Bubb, 2013; Wilkins, 2015)" }, "properties" : { "noteIndex" : 0 }, "schema" : "https://github.com/citation-style-language/schema/raw/master/csl-citation.json" }</w:instrText>
      </w:r>
      <w:r w:rsidR="004975EA" w:rsidRPr="009B3747">
        <w:rPr>
          <w:rFonts w:eastAsia="Times New Roman" w:cstheme="minorHAnsi"/>
          <w:color w:val="000000"/>
          <w:lang w:eastAsia="en-GB"/>
        </w:rPr>
        <w:fldChar w:fldCharType="separate"/>
      </w:r>
      <w:r w:rsidR="004975EA" w:rsidRPr="009B3747">
        <w:rPr>
          <w:rFonts w:eastAsia="Times New Roman" w:cstheme="minorHAnsi"/>
          <w:noProof/>
          <w:color w:val="000000"/>
          <w:lang w:eastAsia="en-GB"/>
        </w:rPr>
        <w:t>(Earley and Bubb, 2013; Wilkins, 2015)</w:t>
      </w:r>
      <w:r w:rsidR="004975EA" w:rsidRPr="009B3747">
        <w:rPr>
          <w:rFonts w:eastAsia="Times New Roman" w:cstheme="minorHAnsi"/>
          <w:color w:val="000000"/>
          <w:lang w:eastAsia="en-GB"/>
        </w:rPr>
        <w:fldChar w:fldCharType="end"/>
      </w:r>
      <w:r w:rsidRPr="009B3747">
        <w:rPr>
          <w:rFonts w:eastAsia="Times New Roman" w:cstheme="minorHAnsi"/>
          <w:color w:val="000000"/>
          <w:lang w:eastAsia="en-GB"/>
        </w:rPr>
        <w:t>.  Whilst this</w:t>
      </w:r>
      <w:r w:rsidR="00CD3F14" w:rsidRPr="009B3747">
        <w:rPr>
          <w:rFonts w:eastAsia="Times New Roman" w:cstheme="minorHAnsi"/>
          <w:color w:val="000000"/>
          <w:lang w:eastAsia="en-GB"/>
        </w:rPr>
        <w:t xml:space="preserve"> has afforded headteachers and chairs of g</w:t>
      </w:r>
      <w:r w:rsidR="00670813" w:rsidRPr="009B3747">
        <w:rPr>
          <w:rFonts w:eastAsia="Times New Roman" w:cstheme="minorHAnsi"/>
          <w:color w:val="000000"/>
          <w:lang w:eastAsia="en-GB"/>
        </w:rPr>
        <w:t xml:space="preserve">overnors </w:t>
      </w:r>
      <w:r w:rsidRPr="009B3747">
        <w:rPr>
          <w:rFonts w:eastAsia="Times New Roman" w:cstheme="minorHAnsi"/>
          <w:color w:val="000000"/>
          <w:lang w:eastAsia="en-GB"/>
        </w:rPr>
        <w:t>greater flexibility in decision-making for raising their school’s standards, a paradox exists.  In spite of the shift to devolve power to schools, there are some practitioners within those settings who perceive themselves to even more constrained by current government requirements</w:t>
      </w:r>
      <w:r w:rsidR="004975EA" w:rsidRPr="009B3747">
        <w:rPr>
          <w:rFonts w:eastAsia="Times New Roman" w:cstheme="minorHAnsi"/>
          <w:color w:val="000000"/>
          <w:lang w:eastAsia="en-GB"/>
        </w:rPr>
        <w:t xml:space="preserve"> </w:t>
      </w:r>
      <w:r w:rsidR="004975EA"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"Glatter", "given" : "R", "non-dropping-particle" : "", "parse-names" : false, "suffix" : "" } ], "container-title" : "Educational management administration &amp; \u2026", "id" : "ITEM-1", "issue" : "559-575", "issued" : { "date-parts" : [ [ "2012" ] ] }, "title" : "Persistent Preoccupations The Rise and Rise of School Autonomy and Accountability In England", "type" : "article-journal", "volume" : "40" }, "uris" : [ "http://www.mendeley.com/documents/?uuid=eb788522-4d69-4177-8203-f1335c05b410" ] }, { "id" : "ITEM-2", "itemData" : { "author" : [ { "dropping-particle" : "", "family" : "Higham", "given" : "R", "non-dropping-particle" : "", "parse-names" : false, "suffix" : "" }, { "dropping-particle" : "", "family" : "Earley", "given" : "P", "non-dropping-particle" : "", "parse-names" : false, "suffix" : "" } ], "container-title" : "Educational Management Administration \u2026", "id" : "ITEM-2", "issue" : "6", "issued" : { "date-parts" : [ [ "2013" ] ] }, "page" : "701-717", "title" : "School Autonomy and Government Control School Leaders' Views on a Changing Policy Landscape in England", "type" : "article-journal", "volume" : "41" }, "uris" : [ "http://www.mendeley.com/documents/?uuid=398d6b23-ae2f-42f4-8829-da28b66916cf" ] } ], "mendeley" : { "formattedCitation" : "(Glatter, 2012; Higham and Earley, 2013)", "plainTextFormattedCitation" : "(Glatter, 2012; Higham and Earley, 2013)", "previouslyFormattedCitation" : "(Glatter, 2012; Higham and Earley, 2013)" }, "properties" : { "noteIndex" : 0 }, "schema" : "https://github.com/citation-style-language/schema/raw/master/csl-citation.json" }</w:instrText>
      </w:r>
      <w:r w:rsidR="004975EA" w:rsidRPr="009B3747">
        <w:rPr>
          <w:rFonts w:eastAsia="Times New Roman" w:cstheme="minorHAnsi"/>
          <w:color w:val="000000"/>
          <w:lang w:eastAsia="en-GB"/>
        </w:rPr>
        <w:fldChar w:fldCharType="separate"/>
      </w:r>
      <w:r w:rsidR="004975EA" w:rsidRPr="009B3747">
        <w:rPr>
          <w:rFonts w:eastAsia="Times New Roman" w:cstheme="minorHAnsi"/>
          <w:noProof/>
          <w:color w:val="000000"/>
          <w:lang w:eastAsia="en-GB"/>
        </w:rPr>
        <w:t>(Glatter, 2012; Higham and Earley, 2013)</w:t>
      </w:r>
      <w:r w:rsidR="004975EA" w:rsidRPr="009B3747">
        <w:rPr>
          <w:rFonts w:eastAsia="Times New Roman" w:cstheme="minorHAnsi"/>
          <w:color w:val="000000"/>
          <w:lang w:eastAsia="en-GB"/>
        </w:rPr>
        <w:fldChar w:fldCharType="end"/>
      </w:r>
      <w:r w:rsidR="004975EA" w:rsidRPr="009B3747">
        <w:rPr>
          <w:rFonts w:eastAsia="Times New Roman" w:cstheme="minorHAnsi"/>
          <w:color w:val="000000"/>
          <w:lang w:eastAsia="en-GB"/>
        </w:rPr>
        <w:t>.</w:t>
      </w:r>
    </w:p>
    <w:p w:rsidR="004975EA" w:rsidRPr="009B3747" w:rsidRDefault="004975EA" w:rsidP="00A16FA3">
      <w:pPr>
        <w:rPr>
          <w:rFonts w:eastAsia="Times New Roman" w:cstheme="minorHAnsi"/>
          <w:sz w:val="24"/>
          <w:szCs w:val="24"/>
          <w:lang w:eastAsia="en-GB"/>
        </w:rPr>
      </w:pPr>
    </w:p>
    <w:p w:rsidR="00A16FA3" w:rsidRPr="009B3747" w:rsidRDefault="00A16FA3" w:rsidP="00A16FA3">
      <w:pPr>
        <w:rPr>
          <w:rFonts w:eastAsia="Times New Roman" w:cstheme="minorHAnsi"/>
          <w:sz w:val="24"/>
          <w:szCs w:val="24"/>
          <w:lang w:eastAsia="en-GB"/>
        </w:rPr>
      </w:pPr>
      <w:r w:rsidRPr="009B3747">
        <w:rPr>
          <w:rFonts w:eastAsia="Times New Roman" w:cstheme="minorHAnsi"/>
          <w:color w:val="000000"/>
          <w:lang w:eastAsia="en-GB"/>
        </w:rPr>
        <w:t>The above reflections about school organisation and leadership and governance present important considerations for the proposed research topic, given that headteachers and chairs of governors are identified as crucial stakeholders for childhood and adolescent obesity prevention.  Understanding their local context is therefore imperative, in order that perspectives about obesity are situated against the backdrop of current educational reforms, practices and experiences.  </w:t>
      </w:r>
    </w:p>
    <w:p w:rsidR="0083682E" w:rsidRPr="009B3747" w:rsidRDefault="0083682E" w:rsidP="0083682E">
      <w:pPr>
        <w:jc w:val="center"/>
        <w:rPr>
          <w:rFonts w:eastAsia="Times New Roman" w:cstheme="minorHAnsi"/>
          <w:b/>
          <w:bCs/>
          <w:color w:val="000000"/>
          <w:sz w:val="36"/>
          <w:szCs w:val="36"/>
          <w:u w:val="single"/>
          <w:lang w:eastAsia="en-GB"/>
        </w:rPr>
      </w:pPr>
    </w:p>
    <w:p w:rsidR="0083682E" w:rsidRPr="009B3747" w:rsidRDefault="0083682E" w:rsidP="0083682E">
      <w:pPr>
        <w:jc w:val="center"/>
        <w:rPr>
          <w:rFonts w:eastAsia="Times New Roman" w:cstheme="minorHAnsi"/>
          <w:b/>
          <w:bCs/>
          <w:color w:val="000000"/>
          <w:sz w:val="36"/>
          <w:szCs w:val="36"/>
          <w:u w:val="single"/>
          <w:lang w:eastAsia="en-GB"/>
        </w:rPr>
      </w:pPr>
    </w:p>
    <w:p w:rsidR="0083682E" w:rsidRPr="009B3747" w:rsidRDefault="0083682E" w:rsidP="0083682E">
      <w:pPr>
        <w:jc w:val="center"/>
        <w:rPr>
          <w:rFonts w:eastAsia="Times New Roman" w:cstheme="minorHAnsi"/>
          <w:b/>
          <w:bCs/>
          <w:color w:val="000000"/>
          <w:sz w:val="36"/>
          <w:szCs w:val="36"/>
          <w:u w:val="single"/>
          <w:lang w:eastAsia="en-GB"/>
        </w:rPr>
      </w:pPr>
    </w:p>
    <w:p w:rsidR="0083682E" w:rsidRPr="009B3747" w:rsidRDefault="0083682E" w:rsidP="0083682E">
      <w:pPr>
        <w:jc w:val="center"/>
        <w:rPr>
          <w:rFonts w:eastAsia="Times New Roman" w:cstheme="minorHAnsi"/>
          <w:b/>
          <w:bCs/>
          <w:color w:val="000000"/>
          <w:sz w:val="36"/>
          <w:szCs w:val="36"/>
          <w:u w:val="single"/>
          <w:lang w:eastAsia="en-GB"/>
        </w:rPr>
      </w:pPr>
    </w:p>
    <w:p w:rsidR="0083682E" w:rsidRPr="009B3747" w:rsidRDefault="0083682E" w:rsidP="0083682E">
      <w:pPr>
        <w:jc w:val="center"/>
        <w:rPr>
          <w:rFonts w:eastAsia="Times New Roman" w:cstheme="minorHAnsi"/>
          <w:b/>
          <w:bCs/>
          <w:color w:val="000000"/>
          <w:sz w:val="36"/>
          <w:szCs w:val="36"/>
          <w:u w:val="single"/>
          <w:lang w:eastAsia="en-GB"/>
        </w:rPr>
      </w:pPr>
    </w:p>
    <w:p w:rsidR="0083682E" w:rsidRPr="009B3747" w:rsidRDefault="0083682E" w:rsidP="0083682E">
      <w:pPr>
        <w:jc w:val="center"/>
        <w:rPr>
          <w:rFonts w:eastAsia="Times New Roman" w:cstheme="minorHAnsi"/>
          <w:b/>
          <w:bCs/>
          <w:color w:val="000000"/>
          <w:sz w:val="36"/>
          <w:szCs w:val="36"/>
          <w:u w:val="single"/>
          <w:lang w:eastAsia="en-GB"/>
        </w:rPr>
      </w:pPr>
    </w:p>
    <w:p w:rsidR="0083682E" w:rsidRPr="009B3747" w:rsidRDefault="0083682E" w:rsidP="0083682E">
      <w:pPr>
        <w:jc w:val="center"/>
        <w:rPr>
          <w:rFonts w:eastAsia="Times New Roman" w:cstheme="minorHAnsi"/>
          <w:b/>
          <w:bCs/>
          <w:color w:val="000000"/>
          <w:sz w:val="36"/>
          <w:szCs w:val="36"/>
          <w:u w:val="single"/>
          <w:lang w:eastAsia="en-GB"/>
        </w:rPr>
      </w:pPr>
    </w:p>
    <w:p w:rsidR="0083682E" w:rsidRPr="009B3747" w:rsidRDefault="0083682E" w:rsidP="0083682E">
      <w:pPr>
        <w:jc w:val="center"/>
        <w:rPr>
          <w:rFonts w:eastAsia="Times New Roman" w:cstheme="minorHAnsi"/>
          <w:b/>
          <w:bCs/>
          <w:color w:val="000000"/>
          <w:sz w:val="36"/>
          <w:szCs w:val="36"/>
          <w:u w:val="single"/>
          <w:lang w:eastAsia="en-GB"/>
        </w:rPr>
      </w:pPr>
    </w:p>
    <w:p w:rsidR="0083682E" w:rsidRPr="009B3747" w:rsidRDefault="0083682E" w:rsidP="0083682E">
      <w:pPr>
        <w:jc w:val="center"/>
        <w:rPr>
          <w:rFonts w:eastAsia="Times New Roman" w:cstheme="minorHAnsi"/>
          <w:b/>
          <w:bCs/>
          <w:color w:val="000000"/>
          <w:sz w:val="36"/>
          <w:szCs w:val="36"/>
          <w:u w:val="single"/>
          <w:lang w:eastAsia="en-GB"/>
        </w:rPr>
      </w:pPr>
    </w:p>
    <w:p w:rsidR="0083682E" w:rsidRPr="009B3747" w:rsidRDefault="0083682E" w:rsidP="0083682E">
      <w:pPr>
        <w:jc w:val="center"/>
        <w:rPr>
          <w:rFonts w:eastAsia="Times New Roman" w:cstheme="minorHAnsi"/>
          <w:b/>
          <w:bCs/>
          <w:color w:val="000000"/>
          <w:sz w:val="36"/>
          <w:szCs w:val="36"/>
          <w:u w:val="single"/>
          <w:lang w:eastAsia="en-GB"/>
        </w:rPr>
      </w:pPr>
    </w:p>
    <w:p w:rsidR="00CD3F14" w:rsidRPr="009B3747" w:rsidRDefault="003F1507" w:rsidP="0083682E">
      <w:pPr>
        <w:jc w:val="center"/>
        <w:rPr>
          <w:rFonts w:eastAsia="Times New Roman" w:cstheme="minorHAnsi"/>
          <w:sz w:val="24"/>
          <w:szCs w:val="24"/>
          <w:lang w:eastAsia="en-GB"/>
        </w:rPr>
      </w:pPr>
      <w:r w:rsidRPr="009B3747">
        <w:rPr>
          <w:rFonts w:eastAsia="Times New Roman" w:cstheme="minorHAnsi"/>
          <w:b/>
          <w:bCs/>
          <w:color w:val="000000"/>
          <w:sz w:val="36"/>
          <w:szCs w:val="36"/>
          <w:u w:val="single"/>
          <w:lang w:eastAsia="en-GB"/>
        </w:rPr>
        <w:lastRenderedPageBreak/>
        <w:t xml:space="preserve">Chapter </w:t>
      </w:r>
      <w:r w:rsidR="00C34D84" w:rsidRPr="009B3747">
        <w:rPr>
          <w:rFonts w:eastAsia="Times New Roman" w:cstheme="minorHAnsi"/>
          <w:b/>
          <w:bCs/>
          <w:color w:val="000000"/>
          <w:sz w:val="36"/>
          <w:szCs w:val="36"/>
          <w:u w:val="single"/>
          <w:lang w:eastAsia="en-GB"/>
        </w:rPr>
        <w:t>3</w:t>
      </w:r>
    </w:p>
    <w:p w:rsidR="00CD3F14" w:rsidRPr="009B3747" w:rsidRDefault="00CD3F14" w:rsidP="00CD3F14">
      <w:pPr>
        <w:ind w:left="2880" w:firstLine="720"/>
        <w:rPr>
          <w:rFonts w:eastAsia="Times New Roman" w:cstheme="minorHAnsi"/>
          <w:b/>
          <w:bCs/>
          <w:color w:val="000000"/>
          <w:sz w:val="32"/>
          <w:szCs w:val="32"/>
          <w:u w:val="single"/>
          <w:lang w:eastAsia="en-GB"/>
        </w:rPr>
      </w:pPr>
    </w:p>
    <w:p w:rsidR="003F1507" w:rsidRPr="009B3747" w:rsidRDefault="003F1507" w:rsidP="003F1507">
      <w:pPr>
        <w:rPr>
          <w:rFonts w:eastAsia="Times New Roman" w:cstheme="minorHAnsi"/>
          <w:sz w:val="24"/>
          <w:szCs w:val="24"/>
          <w:lang w:eastAsia="en-GB"/>
        </w:rPr>
      </w:pPr>
      <w:r w:rsidRPr="009B3747">
        <w:rPr>
          <w:rFonts w:eastAsia="Times New Roman" w:cstheme="minorHAnsi"/>
          <w:b/>
          <w:bCs/>
          <w:color w:val="000000"/>
          <w:sz w:val="32"/>
          <w:szCs w:val="32"/>
          <w:u w:val="single"/>
          <w:lang w:eastAsia="en-GB"/>
        </w:rPr>
        <w:t xml:space="preserve">Systematic review and qualitative synthesis </w:t>
      </w:r>
    </w:p>
    <w:p w:rsidR="0083682E" w:rsidRPr="009B3747" w:rsidRDefault="0083682E"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CD3F14" w:rsidRPr="009B3747" w:rsidRDefault="00CD3F14" w:rsidP="003F1507">
      <w:pPr>
        <w:rPr>
          <w:rFonts w:eastAsia="Times New Roman" w:cstheme="minorHAnsi"/>
          <w:sz w:val="24"/>
          <w:szCs w:val="24"/>
          <w:lang w:eastAsia="en-GB"/>
        </w:rPr>
      </w:pPr>
      <w:r w:rsidRPr="009B3747">
        <w:rPr>
          <w:rFonts w:eastAsia="Times New Roman" w:cstheme="minorHAnsi"/>
          <w:b/>
          <w:color w:val="000000"/>
          <w:sz w:val="24"/>
          <w:szCs w:val="24"/>
          <w:u w:val="single"/>
          <w:lang w:eastAsia="en-GB"/>
        </w:rPr>
        <w:t>3.1 Introduction</w:t>
      </w:r>
    </w:p>
    <w:p w:rsidR="00CD3F14" w:rsidRPr="009B3747" w:rsidRDefault="00CD3F14" w:rsidP="003F1507">
      <w:pPr>
        <w:rPr>
          <w:rFonts w:eastAsia="Times New Roman" w:cstheme="minorHAnsi"/>
          <w:color w:val="000000"/>
          <w:lang w:eastAsia="en-GB"/>
        </w:rPr>
      </w:pPr>
    </w:p>
    <w:p w:rsidR="003F1507" w:rsidRPr="009B3747" w:rsidRDefault="003F1507" w:rsidP="00CD3F14">
      <w:pPr>
        <w:rPr>
          <w:rFonts w:eastAsia="Times New Roman" w:cstheme="minorHAnsi"/>
          <w:sz w:val="24"/>
          <w:szCs w:val="24"/>
          <w:lang w:eastAsia="en-GB"/>
        </w:rPr>
      </w:pPr>
      <w:r w:rsidRPr="009B3747">
        <w:rPr>
          <w:rFonts w:eastAsia="Times New Roman" w:cstheme="minorHAnsi"/>
          <w:color w:val="000000"/>
          <w:lang w:eastAsia="en-GB"/>
        </w:rPr>
        <w:t>This chapter details the processes and outcomes of conducting a systematic r</w:t>
      </w:r>
      <w:r w:rsidR="004944F2">
        <w:rPr>
          <w:rFonts w:eastAsia="Times New Roman" w:cstheme="minorHAnsi"/>
          <w:color w:val="000000"/>
          <w:lang w:eastAsia="en-GB"/>
        </w:rPr>
        <w:t xml:space="preserve">eview and qualitative synthesis, </w:t>
      </w:r>
      <w:r w:rsidRPr="009B3747">
        <w:rPr>
          <w:rFonts w:eastAsia="Times New Roman" w:cstheme="minorHAnsi"/>
          <w:color w:val="000000"/>
          <w:lang w:eastAsia="en-GB"/>
        </w:rPr>
        <w:t>of academic literature pertinent to the research topic and question under study.  </w:t>
      </w:r>
      <w:r w:rsidR="00CD3F14" w:rsidRPr="009B3747">
        <w:rPr>
          <w:rFonts w:eastAsia="Times New Roman" w:cstheme="minorHAnsi"/>
          <w:color w:val="000000"/>
          <w:lang w:eastAsia="en-GB"/>
        </w:rPr>
        <w:t xml:space="preserve">The </w:t>
      </w:r>
      <w:r w:rsidRPr="009B3747">
        <w:rPr>
          <w:rFonts w:eastAsia="Times New Roman" w:cstheme="minorHAnsi"/>
          <w:color w:val="000000"/>
          <w:lang w:eastAsia="en-GB"/>
        </w:rPr>
        <w:t>chapter begins by presenting the proposed re</w:t>
      </w:r>
      <w:r w:rsidR="004944F2">
        <w:rPr>
          <w:rFonts w:eastAsia="Times New Roman" w:cstheme="minorHAnsi"/>
          <w:color w:val="000000"/>
          <w:lang w:eastAsia="en-GB"/>
        </w:rPr>
        <w:t xml:space="preserve">search question for this systematic review and qualitative synthesis, </w:t>
      </w:r>
      <w:r w:rsidRPr="009B3747">
        <w:rPr>
          <w:rFonts w:eastAsia="Times New Roman" w:cstheme="minorHAnsi"/>
          <w:color w:val="000000"/>
          <w:lang w:eastAsia="en-GB"/>
        </w:rPr>
        <w:t xml:space="preserve">in addition to the aims and objectives.  Following this, the methods utilised for searching for, screening and selecting </w:t>
      </w:r>
      <w:r w:rsidR="00CD3F14" w:rsidRPr="009B3747">
        <w:rPr>
          <w:rFonts w:eastAsia="Times New Roman" w:cstheme="minorHAnsi"/>
          <w:color w:val="000000"/>
          <w:lang w:eastAsia="en-GB"/>
        </w:rPr>
        <w:t>relevant academic literature is reported.  A</w:t>
      </w:r>
      <w:r w:rsidRPr="009B3747">
        <w:rPr>
          <w:rFonts w:eastAsia="Times New Roman" w:cstheme="minorHAnsi"/>
          <w:color w:val="000000"/>
          <w:lang w:eastAsia="en-GB"/>
        </w:rPr>
        <w:t>n overview of how data and findings were extracted and synthesised from th</w:t>
      </w:r>
      <w:r w:rsidR="00CD3F14" w:rsidRPr="009B3747">
        <w:rPr>
          <w:rFonts w:eastAsia="Times New Roman" w:cstheme="minorHAnsi"/>
          <w:color w:val="000000"/>
          <w:lang w:eastAsia="en-GB"/>
        </w:rPr>
        <w:t xml:space="preserve">e resultant literature obtained is then provided. </w:t>
      </w:r>
      <w:r w:rsidRPr="009B3747">
        <w:rPr>
          <w:rFonts w:eastAsia="Times New Roman" w:cstheme="minorHAnsi"/>
          <w:color w:val="000000"/>
          <w:lang w:eastAsia="en-GB"/>
        </w:rPr>
        <w:t xml:space="preserve">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 xml:space="preserve">The second </w:t>
      </w:r>
      <w:r w:rsidR="00CD3F14" w:rsidRPr="009B3747">
        <w:rPr>
          <w:rFonts w:eastAsia="Times New Roman" w:cstheme="minorHAnsi"/>
          <w:color w:val="000000"/>
          <w:lang w:eastAsia="en-GB"/>
        </w:rPr>
        <w:t>part</w:t>
      </w:r>
      <w:r w:rsidRPr="009B3747">
        <w:rPr>
          <w:rFonts w:eastAsia="Times New Roman" w:cstheme="minorHAnsi"/>
          <w:color w:val="000000"/>
          <w:lang w:eastAsia="en-GB"/>
        </w:rPr>
        <w:t xml:space="preserve"> of this chapter, presents the results of the systematic review and qualitative synthesis.  This includes a tabular summary of each included study, an overview of the quality assessments performed</w:t>
      </w:r>
      <w:r w:rsidR="004944F2">
        <w:rPr>
          <w:rFonts w:eastAsia="Times New Roman" w:cstheme="minorHAnsi"/>
          <w:color w:val="000000"/>
          <w:lang w:eastAsia="en-GB"/>
        </w:rPr>
        <w:t>,</w:t>
      </w:r>
      <w:r w:rsidRPr="009B3747">
        <w:rPr>
          <w:rFonts w:eastAsia="Times New Roman" w:cstheme="minorHAnsi"/>
          <w:color w:val="000000"/>
          <w:lang w:eastAsia="en-GB"/>
        </w:rPr>
        <w:t xml:space="preserve"> and the outcomes of a thematic synthesis undertaken across and inclusive of all selected studies.  The chapter concludes with a discussion of the key findings, the limitations of the review itself and recommendations for future research.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C34D84" w:rsidP="003F1507">
      <w:pPr>
        <w:rPr>
          <w:rFonts w:eastAsia="Times New Roman" w:cstheme="minorHAnsi"/>
          <w:b/>
          <w:sz w:val="24"/>
          <w:szCs w:val="24"/>
          <w:lang w:eastAsia="en-GB"/>
        </w:rPr>
      </w:pPr>
      <w:r w:rsidRPr="009B3747">
        <w:rPr>
          <w:rFonts w:eastAsia="Times New Roman" w:cstheme="minorHAnsi"/>
          <w:b/>
          <w:color w:val="000000"/>
          <w:sz w:val="24"/>
          <w:szCs w:val="24"/>
          <w:u w:val="single"/>
          <w:lang w:eastAsia="en-GB"/>
        </w:rPr>
        <w:t>3</w:t>
      </w:r>
      <w:r w:rsidR="003F1507" w:rsidRPr="009B3747">
        <w:rPr>
          <w:rFonts w:eastAsia="Times New Roman" w:cstheme="minorHAnsi"/>
          <w:b/>
          <w:color w:val="000000"/>
          <w:sz w:val="24"/>
          <w:szCs w:val="24"/>
          <w:u w:val="single"/>
          <w:lang w:eastAsia="en-GB"/>
        </w:rPr>
        <w:t>.</w:t>
      </w:r>
      <w:r w:rsidR="00CD3F14" w:rsidRPr="009B3747">
        <w:rPr>
          <w:rFonts w:eastAsia="Times New Roman" w:cstheme="minorHAnsi"/>
          <w:b/>
          <w:color w:val="000000"/>
          <w:sz w:val="24"/>
          <w:szCs w:val="24"/>
          <w:u w:val="single"/>
          <w:lang w:eastAsia="en-GB"/>
        </w:rPr>
        <w:t>2</w:t>
      </w:r>
      <w:r w:rsidR="003F1507" w:rsidRPr="009B3747">
        <w:rPr>
          <w:rFonts w:eastAsia="Times New Roman" w:cstheme="minorHAnsi"/>
          <w:b/>
          <w:color w:val="000000"/>
          <w:sz w:val="24"/>
          <w:szCs w:val="24"/>
          <w:u w:val="single"/>
          <w:lang w:eastAsia="en-GB"/>
        </w:rPr>
        <w:t xml:space="preserve"> Scope of the review</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627CA5" w:rsidP="003F1507">
      <w:pPr>
        <w:rPr>
          <w:rFonts w:eastAsia="Times New Roman" w:cstheme="minorHAnsi"/>
          <w:sz w:val="24"/>
          <w:szCs w:val="24"/>
          <w:lang w:eastAsia="en-GB"/>
        </w:rPr>
      </w:pPr>
      <w:r w:rsidRPr="009B3747">
        <w:rPr>
          <w:rFonts w:eastAsia="Times New Roman" w:cstheme="minorHAnsi"/>
          <w:color w:val="000000"/>
          <w:lang w:eastAsia="en-GB"/>
        </w:rPr>
        <w:t>The previous chapter</w:t>
      </w:r>
      <w:r w:rsidR="003F1507" w:rsidRPr="009B3747">
        <w:rPr>
          <w:rFonts w:eastAsia="Times New Roman" w:cstheme="minorHAnsi"/>
          <w:color w:val="000000"/>
          <w:lang w:eastAsia="en-GB"/>
        </w:rPr>
        <w:t xml:space="preserve"> provided a comprehensive background to the review topic under study, both in relation to the scale and severity of adolesc</w:t>
      </w:r>
      <w:r w:rsidR="004944F2">
        <w:rPr>
          <w:rFonts w:eastAsia="Times New Roman" w:cstheme="minorHAnsi"/>
          <w:color w:val="000000"/>
          <w:lang w:eastAsia="en-GB"/>
        </w:rPr>
        <w:t xml:space="preserve">ent obesity, </w:t>
      </w:r>
      <w:r w:rsidR="003F1507" w:rsidRPr="009B3747">
        <w:rPr>
          <w:rFonts w:eastAsia="Times New Roman" w:cstheme="minorHAnsi"/>
          <w:color w:val="000000"/>
          <w:lang w:eastAsia="en-GB"/>
        </w:rPr>
        <w:t>but also the role and importance of secondary school settings and key school stakeholders in its pre</w:t>
      </w:r>
      <w:r w:rsidR="00E379EE" w:rsidRPr="009B3747">
        <w:rPr>
          <w:rFonts w:eastAsia="Times New Roman" w:cstheme="minorHAnsi"/>
          <w:color w:val="000000"/>
          <w:lang w:eastAsia="en-GB"/>
        </w:rPr>
        <w:t>vention.  Furthermore, c</w:t>
      </w:r>
      <w:r w:rsidRPr="009B3747">
        <w:rPr>
          <w:rFonts w:eastAsia="Times New Roman" w:cstheme="minorHAnsi"/>
          <w:color w:val="000000"/>
          <w:lang w:eastAsia="en-GB"/>
        </w:rPr>
        <w:t>hapter two</w:t>
      </w:r>
      <w:r w:rsidR="003F1507" w:rsidRPr="009B3747">
        <w:rPr>
          <w:rFonts w:eastAsia="Times New Roman" w:cstheme="minorHAnsi"/>
          <w:color w:val="000000"/>
          <w:lang w:eastAsia="en-GB"/>
        </w:rPr>
        <w:t xml:space="preserve"> explicitly justified that given their leadership and governance responsibilities, headteachers and chairs of governors play a crucial role in determining whether and how a secondary school engages in preventing obesity in adolescence.  Consequently exploring their views on this topic was deemed of significant importance and forms therefore the central focus of this doctoral research study.  To guide this exploration, the following overarching research quest</w:t>
      </w:r>
      <w:r w:rsidR="0043373D" w:rsidRPr="009B3747">
        <w:rPr>
          <w:rFonts w:eastAsia="Times New Roman" w:cstheme="minorHAnsi"/>
          <w:color w:val="000000"/>
          <w:lang w:eastAsia="en-GB"/>
        </w:rPr>
        <w:t>ion was established</w:t>
      </w:r>
      <w:r w:rsidR="00CD3F14" w:rsidRPr="009B3747">
        <w:rPr>
          <w:rFonts w:eastAsia="Times New Roman" w:cstheme="minorHAnsi"/>
          <w:color w:val="000000"/>
          <w:lang w:eastAsia="en-GB"/>
        </w:rPr>
        <w:t>:</w:t>
      </w:r>
      <w:r w:rsidR="003F1507" w:rsidRPr="009B3747">
        <w:rPr>
          <w:rFonts w:eastAsia="Times New Roman" w:cstheme="minorHAnsi"/>
          <w:color w:val="000000"/>
          <w:lang w:eastAsia="en-GB"/>
        </w:rPr>
        <w:t xml:space="preserve">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Default="0083682E" w:rsidP="003F1507">
      <w:pPr>
        <w:rPr>
          <w:rFonts w:eastAsia="Times New Roman" w:cstheme="minorHAnsi"/>
          <w:i/>
          <w:iCs/>
          <w:color w:val="000000"/>
          <w:lang w:eastAsia="en-GB"/>
        </w:rPr>
      </w:pPr>
      <w:r w:rsidRPr="009B3747">
        <w:rPr>
          <w:rFonts w:eastAsia="Times New Roman" w:cstheme="minorHAnsi"/>
          <w:i/>
          <w:iCs/>
          <w:color w:val="000000"/>
          <w:lang w:eastAsia="en-GB"/>
        </w:rPr>
        <w:lastRenderedPageBreak/>
        <w:t>‘</w:t>
      </w:r>
      <w:r w:rsidR="003F1507" w:rsidRPr="009B3747">
        <w:rPr>
          <w:rFonts w:eastAsia="Times New Roman" w:cstheme="minorHAnsi"/>
          <w:i/>
          <w:iCs/>
          <w:color w:val="000000"/>
          <w:lang w:eastAsia="en-GB"/>
        </w:rPr>
        <w:t>What are headteachers</w:t>
      </w:r>
      <w:r w:rsidR="00961B10" w:rsidRPr="009B3747">
        <w:rPr>
          <w:rFonts w:eastAsia="Times New Roman" w:cstheme="minorHAnsi"/>
          <w:i/>
          <w:iCs/>
          <w:color w:val="000000"/>
          <w:lang w:eastAsia="en-GB"/>
        </w:rPr>
        <w:t>’</w:t>
      </w:r>
      <w:r w:rsidR="003F1507" w:rsidRPr="009B3747">
        <w:rPr>
          <w:rFonts w:eastAsia="Times New Roman" w:cstheme="minorHAnsi"/>
          <w:i/>
          <w:iCs/>
          <w:color w:val="000000"/>
          <w:lang w:eastAsia="en-GB"/>
        </w:rPr>
        <w:t xml:space="preserve"> and chairs of </w:t>
      </w:r>
      <w:r w:rsidR="00627CA5" w:rsidRPr="009B3747">
        <w:rPr>
          <w:rFonts w:eastAsia="Times New Roman" w:cstheme="minorHAnsi"/>
          <w:i/>
          <w:iCs/>
          <w:color w:val="000000"/>
          <w:lang w:eastAsia="en-GB"/>
        </w:rPr>
        <w:t>governors’</w:t>
      </w:r>
      <w:r w:rsidR="003F1507" w:rsidRPr="009B3747">
        <w:rPr>
          <w:rFonts w:eastAsia="Times New Roman" w:cstheme="minorHAnsi"/>
          <w:i/>
          <w:iCs/>
          <w:color w:val="000000"/>
          <w:lang w:eastAsia="en-GB"/>
        </w:rPr>
        <w:t xml:space="preserve"> perspectives on adolescent obesity and its prevention in English secondary school settings?</w:t>
      </w:r>
      <w:r w:rsidRPr="009B3747">
        <w:rPr>
          <w:rFonts w:eastAsia="Times New Roman" w:cstheme="minorHAnsi"/>
          <w:i/>
          <w:iCs/>
          <w:color w:val="000000"/>
          <w:lang w:eastAsia="en-GB"/>
        </w:rPr>
        <w:t>’</w:t>
      </w:r>
    </w:p>
    <w:p w:rsidR="004944F2" w:rsidRPr="009B3747" w:rsidRDefault="004944F2" w:rsidP="003F1507">
      <w:pPr>
        <w:rPr>
          <w:rFonts w:eastAsia="Times New Roman" w:cstheme="minorHAnsi"/>
          <w:sz w:val="24"/>
          <w:szCs w:val="24"/>
          <w:lang w:eastAsia="en-GB"/>
        </w:rPr>
      </w:pPr>
    </w:p>
    <w:p w:rsidR="00C967E9" w:rsidRPr="009B3747" w:rsidRDefault="003F1507" w:rsidP="003F1507">
      <w:pPr>
        <w:rPr>
          <w:rFonts w:eastAsia="Times New Roman" w:cstheme="minorHAnsi"/>
          <w:color w:val="000000"/>
          <w:shd w:val="clear" w:color="auto" w:fill="FFFFFF"/>
          <w:lang w:eastAsia="en-GB"/>
        </w:rPr>
      </w:pPr>
      <w:r w:rsidRPr="009B3747">
        <w:rPr>
          <w:rFonts w:eastAsia="Times New Roman" w:cstheme="minorHAnsi"/>
          <w:color w:val="000000"/>
          <w:lang w:eastAsia="en-GB"/>
        </w:rPr>
        <w:t xml:space="preserve">In order to position the proposed research question within </w:t>
      </w:r>
      <w:r w:rsidR="00CD3F14" w:rsidRPr="009B3747">
        <w:rPr>
          <w:rFonts w:eastAsia="Times New Roman" w:cstheme="minorHAnsi"/>
          <w:color w:val="000000"/>
          <w:lang w:eastAsia="en-GB"/>
        </w:rPr>
        <w:t xml:space="preserve">the established evidence base, </w:t>
      </w:r>
      <w:r w:rsidRPr="009B3747">
        <w:rPr>
          <w:rFonts w:eastAsia="Times New Roman" w:cstheme="minorHAnsi"/>
          <w:color w:val="000000"/>
          <w:lang w:eastAsia="en-GB"/>
        </w:rPr>
        <w:t>and identify literature</w:t>
      </w:r>
      <w:r w:rsidR="0071085A">
        <w:rPr>
          <w:rFonts w:eastAsia="Times New Roman" w:cstheme="minorHAnsi"/>
          <w:color w:val="000000"/>
          <w:lang w:eastAsia="en-GB"/>
        </w:rPr>
        <w:t>,</w:t>
      </w:r>
      <w:r w:rsidRPr="009B3747">
        <w:rPr>
          <w:rFonts w:eastAsia="Times New Roman" w:cstheme="minorHAnsi"/>
          <w:color w:val="000000"/>
          <w:lang w:eastAsia="en-GB"/>
        </w:rPr>
        <w:t xml:space="preserve"> which could contribute meaningful and existing insights, it was deemed necessary to conduct a literature review.  A lit</w:t>
      </w:r>
      <w:r w:rsidR="00CD3F14" w:rsidRPr="009B3747">
        <w:rPr>
          <w:rFonts w:eastAsia="Times New Roman" w:cstheme="minorHAnsi"/>
          <w:color w:val="000000"/>
          <w:lang w:eastAsia="en-GB"/>
        </w:rPr>
        <w:t xml:space="preserve">erature review is defined as a </w:t>
      </w:r>
      <w:r w:rsidR="00CD3F14" w:rsidRPr="009B3747">
        <w:rPr>
          <w:rFonts w:eastAsia="Times New Roman" w:cstheme="minorHAnsi"/>
          <w:i/>
          <w:color w:val="000000"/>
          <w:lang w:eastAsia="en-GB"/>
        </w:rPr>
        <w:t>“</w:t>
      </w:r>
      <w:r w:rsidRPr="009B3747">
        <w:rPr>
          <w:rFonts w:eastAsia="Times New Roman" w:cstheme="minorHAnsi"/>
          <w:i/>
          <w:color w:val="000000"/>
          <w:lang w:eastAsia="en-GB"/>
        </w:rPr>
        <w:t>systematic, explicit and reproducible method for identifying, evaluating and synthesising the existing body of completed work produced by research</w:t>
      </w:r>
      <w:r w:rsidR="00CD3F14" w:rsidRPr="009B3747">
        <w:rPr>
          <w:rFonts w:eastAsia="Times New Roman" w:cstheme="minorHAnsi"/>
          <w:i/>
          <w:color w:val="000000"/>
          <w:lang w:eastAsia="en-GB"/>
        </w:rPr>
        <w:t>ers, scholars and practitioners”</w:t>
      </w:r>
      <w:r w:rsidR="00E379EE" w:rsidRPr="009B3747">
        <w:rPr>
          <w:rFonts w:eastAsia="Times New Roman" w:cstheme="minorHAnsi"/>
          <w:i/>
          <w:color w:val="000000"/>
          <w:lang w:eastAsia="en-GB"/>
        </w:rPr>
        <w:t xml:space="preserve"> </w:t>
      </w:r>
      <w:r w:rsidR="00E379EE"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"ISBN" : "141290904X", "abstract" : "2nd ed. Reviewing the literature : why? for whom? how? -- Searching and screening : the practical screen and methodological quality (part 1 : research design and sampling) -- Searching and screening : methodological quality (part 2 : data collection, interventions, analysis, results, and conclusions) -- Doing the review -- What did you find? : synthesizing results.", "author" : [ { "dropping-particle" : "", "family" : "Fink", "given" : "Arlene.", "non-dropping-particle" : "", "parse-names" : false, "suffix" : "" } ], "edition" : "2nd", "id" : "ITEM-1", "issued" : { "date-parts" : [ [ "2005" ] ] }, "publisher" : "Sage Publications", "publisher-place" : "Thousand Oaks", "title" : "Conducting research literature reviews : from the Internet to paper", "type" : "book" }, "uris" : [ "http://www.mendeley.com/documents/?uuid=b35704bc-c903-3933-b5b5-1befc2cee144" ] } ], "mendeley" : { "formattedCitation" : "(Fink, 2005)", "manualFormatting" : "(Fink, 2005", "plainTextFormattedCitation" : "(Fink, 2005)", "previouslyFormattedCitation" : "(Fink, 2005)" }, "properties" : { "noteIndex" : 0 }, "schema" : "https://github.com/citation-style-language/schema/raw/master/csl-citation.json" }</w:instrText>
      </w:r>
      <w:r w:rsidR="00E379EE" w:rsidRPr="009B3747">
        <w:rPr>
          <w:rFonts w:eastAsia="Times New Roman" w:cstheme="minorHAnsi"/>
          <w:color w:val="000000"/>
          <w:lang w:eastAsia="en-GB"/>
        </w:rPr>
        <w:fldChar w:fldCharType="separate"/>
      </w:r>
      <w:r w:rsidR="00E379EE" w:rsidRPr="009B3747">
        <w:rPr>
          <w:rFonts w:eastAsia="Times New Roman" w:cstheme="minorHAnsi"/>
          <w:noProof/>
          <w:color w:val="000000"/>
          <w:lang w:eastAsia="en-GB"/>
        </w:rPr>
        <w:t>(Fink, 2005</w:t>
      </w:r>
      <w:r w:rsidR="00E379EE" w:rsidRPr="009B3747">
        <w:rPr>
          <w:rFonts w:eastAsia="Times New Roman" w:cstheme="minorHAnsi"/>
          <w:color w:val="000000"/>
          <w:lang w:eastAsia="en-GB"/>
        </w:rPr>
        <w:fldChar w:fldCharType="end"/>
      </w:r>
      <w:r w:rsidR="00FB5B00" w:rsidRPr="009B3747">
        <w:rPr>
          <w:rFonts w:eastAsia="Times New Roman" w:cstheme="minorHAnsi"/>
          <w:color w:val="000000"/>
          <w:lang w:eastAsia="en-GB"/>
        </w:rPr>
        <w:t>, p.</w:t>
      </w:r>
      <w:r w:rsidRPr="009B3747">
        <w:rPr>
          <w:rFonts w:eastAsia="Times New Roman" w:cstheme="minorHAnsi"/>
          <w:color w:val="000000"/>
          <w:lang w:eastAsia="en-GB"/>
        </w:rPr>
        <w:t>3).  Whilst many ty</w:t>
      </w:r>
      <w:r w:rsidR="005B2B4F" w:rsidRPr="009B3747">
        <w:rPr>
          <w:rFonts w:eastAsia="Times New Roman" w:cstheme="minorHAnsi"/>
          <w:color w:val="000000"/>
          <w:lang w:eastAsia="en-GB"/>
        </w:rPr>
        <w:t xml:space="preserve">pes of literature reviews exist </w:t>
      </w:r>
      <w:r w:rsidR="005B2B4F" w:rsidRPr="009B3747">
        <w:rPr>
          <w:rFonts w:eastAsia="Times New Roman" w:cstheme="minorHAnsi"/>
          <w:color w:val="000000"/>
          <w:lang w:eastAsia="en-GB"/>
        </w:rPr>
        <w:fldChar w:fldCharType="begin" w:fldLock="1"/>
      </w:r>
      <w:r w:rsidR="005B2B4F" w:rsidRPr="009B3747">
        <w:rPr>
          <w:rFonts w:eastAsia="Times New Roman" w:cstheme="minorHAnsi"/>
          <w:color w:val="000000"/>
          <w:lang w:eastAsia="en-GB"/>
        </w:rPr>
        <w:instrText>ADDIN CSL_CITATION { "citationItems" : [ { "id" : "ITEM-1", "itemData" : { "DOI" : "10.1186/1471-2288-12-114", "ISSN" : "1471-2288", "author" : [ { "dropping-particle" : "", "family" : "Kastner", "given" : "Monika", "non-dropping-particle" : "", "parse-names" : false, "suffix" : "" }, { "dropping-particle" : "", "family" : "Tricco", "given" : "Andrea C", "non-dropping-particle" : "", "parse-names" : false, "suffix" : "" }, { "dropping-particle" : "", "family" : "Soobiah", "given" : "Charlene", "non-dropping-particle" : "", "parse-names" : false, "suffix" : "" }, { "dropping-particle" : "", "family" : "Lillie", "given" : "Erin", "non-dropping-particle" : "", "parse-names" : false, "suffix" : "" }, { "dropping-particle" : "", "family" : "Perrier", "given" : "Laure", "non-dropping-particle" : "", "parse-names" : false, "suffix" : "" }, { "dropping-particle" : "", "family" : "Horsley", "given" : "Tanya", "non-dropping-particle" : "", "parse-names" : false, "suffix" : "" }, { "dropping-particle" : "", "family" : "Welch", "given" : "Vivian", "non-dropping-particle" : "", "parse-names" : false, "suffix" : "" }, { "dropping-particle" : "", "family" : "Cogo", "given" : "Elise", "non-dropping-particle" : "", "parse-names" : false, "suffix" : "" }, { "dropping-particle" : "", "family" : "Antony", "given" : "Jesmin", "non-dropping-particle" : "", "parse-names" : false, "suffix" : "" }, { "dropping-particle" : "", "family" : "Straus", "given" : "Sharon E", "non-dropping-particle" : "", "parse-names" : false, "suffix" : "" } ], "container-title" : "BMC Medical Research Methodology", "id" : "ITEM-1", "issue" : "1", "issued" : { "date-parts" : [ [ "2012", "12", "3" ] ] }, "page" : "114", "title" : "What is the most appropriate knowledge synthesis method to conduct a review? Protocol for a scoping review", "type" : "article-journal", "volume" : "12" }, "uris" : [ "http://www.mendeley.com/documents/?uuid=6c0f7978-f17a-3067-9674-7634a8da6b7d" ] } ], "mendeley" : { "formattedCitation" : "(Kastner et al., 2012)", "plainTextFormattedCitation" : "(Kastner et al., 2012)", "previouslyFormattedCitation" : "(Kastner et al., 2012)" }, "properties" : { "noteIndex" : 0 }, "schema" : "https://github.com/citation-style-language/schema/raw/master/csl-citation.json" }</w:instrText>
      </w:r>
      <w:r w:rsidR="005B2B4F" w:rsidRPr="009B3747">
        <w:rPr>
          <w:rFonts w:eastAsia="Times New Roman" w:cstheme="minorHAnsi"/>
          <w:color w:val="000000"/>
          <w:lang w:eastAsia="en-GB"/>
        </w:rPr>
        <w:fldChar w:fldCharType="separate"/>
      </w:r>
      <w:r w:rsidR="005B2B4F" w:rsidRPr="009B3747">
        <w:rPr>
          <w:rFonts w:eastAsia="Times New Roman" w:cstheme="minorHAnsi"/>
          <w:noProof/>
          <w:color w:val="000000"/>
          <w:lang w:eastAsia="en-GB"/>
        </w:rPr>
        <w:t>(Kastner et al., 2012)</w:t>
      </w:r>
      <w:r w:rsidR="005B2B4F" w:rsidRPr="009B3747">
        <w:rPr>
          <w:rFonts w:eastAsia="Times New Roman" w:cstheme="minorHAnsi"/>
          <w:color w:val="000000"/>
          <w:lang w:eastAsia="en-GB"/>
        </w:rPr>
        <w:fldChar w:fldCharType="end"/>
      </w:r>
      <w:r w:rsidRPr="009B3747">
        <w:rPr>
          <w:rFonts w:eastAsia="Times New Roman" w:cstheme="minorHAnsi"/>
          <w:color w:val="000000"/>
          <w:lang w:eastAsia="en-GB"/>
        </w:rPr>
        <w:t>, the importance of employing a systematic approach regardless of type, is argued on the basis of enhancing a literature review’s clarity, validity and auditability</w:t>
      </w:r>
      <w:r w:rsidR="00622B0B" w:rsidRPr="009B3747">
        <w:rPr>
          <w:rFonts w:eastAsia="Times New Roman" w:cstheme="minorHAnsi"/>
          <w:color w:val="000000"/>
          <w:lang w:eastAsia="en-GB"/>
        </w:rPr>
        <w:t xml:space="preserve"> </w:t>
      </w:r>
      <w:r w:rsidR="00E5284F"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"ISBN" : "9781473912458", "abstract" : "Second edition. \"Showing you how to take a structured and organized approach to a wide range of literature review types, this book helps you to choose which approach is right for your research. Packed with constructive tools, examples, case studies and hands-on exercises, the book covers the full range of literature review techniques\" -- Getting started on your literature review -- Taking a systematic approach to your literature review -- Choosing your review methods -- Planning and conducting your literature review -- Defining your scope -- Searching the literature -- Assessing the evidence base -- Synthesising and analysing quantitative studies -- Synthesising and analysing qualitative studies -- Writing, presenting and disseminating your review.", "author" : [ { "dropping-particle" : "", "family" : "Booth", "given" : "Andrew", "non-dropping-particle" : "", "parse-names" : false, "suffix" : "" }, { "dropping-particle" : "", "family" : "Sutton", "given" : "Anthea", "non-dropping-particle" : "", "parse-names" : false, "suffix" : "" }, { "dropping-particle" : "", "family" : "Papaioannou", "given" : "Diana", "non-dropping-particle" : "", "parse-names" : false, "suffix" : "" } ], "edition" : "2nd", "id" : "ITEM-1", "issued" : { "date-parts" : [ [ "2016" ] ] }, "publisher" : "Sage Publications", "publisher-place" : "London", "title" : "Systematic approaches to a successful literature review", "type" : "book" }, "uris" : [ "http://www.mendeley.com/documents/?uuid=165d8b81-c710-317d-a572-bc4ecf94c7a8" ] } ], "mendeley" : { "formattedCitation" : "(Booth et al., 2016)", "plainTextFormattedCitation" : "(Booth et al., 2016)", "previouslyFormattedCitation" : "(Booth et al., 2016)" }, "properties" : { "noteIndex" : 0 }, "schema" : "https://github.com/citation-style-language/schema/raw/master/csl-citation.json" }</w:instrText>
      </w:r>
      <w:r w:rsidR="00E5284F" w:rsidRPr="009B3747">
        <w:rPr>
          <w:rFonts w:eastAsia="Times New Roman" w:cstheme="minorHAnsi"/>
          <w:color w:val="000000"/>
          <w:lang w:eastAsia="en-GB"/>
        </w:rPr>
        <w:fldChar w:fldCharType="separate"/>
      </w:r>
      <w:r w:rsidR="00E5284F" w:rsidRPr="009B3747">
        <w:rPr>
          <w:rFonts w:eastAsia="Times New Roman" w:cstheme="minorHAnsi"/>
          <w:noProof/>
          <w:color w:val="000000"/>
          <w:lang w:eastAsia="en-GB"/>
        </w:rPr>
        <w:t>(Booth et al., 2016)</w:t>
      </w:r>
      <w:r w:rsidR="00E5284F"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A multitude of factors influence which type is chosen, including the availability of reviewer time and resources, level of expertise and fundamentally the overall purpose of conducting the review </w:t>
      </w:r>
      <w:r w:rsidR="005B2B4F" w:rsidRPr="009B3747">
        <w:rPr>
          <w:rFonts w:eastAsia="Times New Roman" w:cstheme="minorHAnsi"/>
          <w:color w:val="000000"/>
          <w:lang w:eastAsia="en-GB"/>
        </w:rPr>
        <w:fldChar w:fldCharType="begin" w:fldLock="1"/>
      </w:r>
      <w:r w:rsidR="00622B0B" w:rsidRPr="009B3747">
        <w:rPr>
          <w:rFonts w:eastAsia="Times New Roman" w:cstheme="minorHAnsi"/>
          <w:color w:val="000000"/>
          <w:lang w:eastAsia="en-GB"/>
        </w:rPr>
        <w:instrText>ADDIN CSL_CITATION { "citationItems" : [ { "id" : "ITEM-1", "itemData" : { "author" : [ { "dropping-particle" : "", "family" : "Okoli", "given" : "Chitu", "non-dropping-particle" : "", "parse-names" : false, "suffix" : "" } ], "container-title" : "Communications of the Association for Information Systems", "id" : "ITEM-1", "issue" : "43", "issued" : { "date-parts" : [ [ "2015" ] ] }, "title" : "A Guide to Conducting a Standalone Systematic Literature Review", "type" : "article-journal", "volume" : "37" }, "uris" : [ "http://www.mendeley.com/documents/?uuid=88638118-d5cc-4293-a4e0-af72348becb6" ] } ], "mendeley" : { "formattedCitation" : "(Okoli, 2015)", "plainTextFormattedCitation" : "(Okoli, 2015)", "previouslyFormattedCitation" : "(Okoli, 2015)" }, "properties" : { "noteIndex" : 0 }, "schema" : "https://github.com/citation-style-language/schema/raw/master/csl-citation.json" }</w:instrText>
      </w:r>
      <w:r w:rsidR="005B2B4F" w:rsidRPr="009B3747">
        <w:rPr>
          <w:rFonts w:eastAsia="Times New Roman" w:cstheme="minorHAnsi"/>
          <w:color w:val="000000"/>
          <w:lang w:eastAsia="en-GB"/>
        </w:rPr>
        <w:fldChar w:fldCharType="separate"/>
      </w:r>
      <w:r w:rsidR="005B2B4F" w:rsidRPr="009B3747">
        <w:rPr>
          <w:rFonts w:eastAsia="Times New Roman" w:cstheme="minorHAnsi"/>
          <w:noProof/>
          <w:color w:val="000000"/>
          <w:lang w:eastAsia="en-GB"/>
        </w:rPr>
        <w:t>(Okoli, 2015)</w:t>
      </w:r>
      <w:r w:rsidR="005B2B4F" w:rsidRPr="009B3747">
        <w:rPr>
          <w:rFonts w:eastAsia="Times New Roman" w:cstheme="minorHAnsi"/>
          <w:color w:val="000000"/>
          <w:lang w:eastAsia="en-GB"/>
        </w:rPr>
        <w:fldChar w:fldCharType="end"/>
      </w:r>
      <w:r w:rsidR="00C967E9" w:rsidRPr="009B3747">
        <w:rPr>
          <w:rFonts w:eastAsia="Times New Roman" w:cstheme="minorHAnsi"/>
          <w:color w:val="000000"/>
          <w:shd w:val="clear" w:color="auto" w:fill="FFFFFF"/>
          <w:lang w:eastAsia="en-GB"/>
        </w:rPr>
        <w:t>.</w:t>
      </w:r>
    </w:p>
    <w:p w:rsidR="00C967E9" w:rsidRPr="009B3747" w:rsidRDefault="00C967E9" w:rsidP="003F1507">
      <w:pPr>
        <w:rPr>
          <w:rFonts w:eastAsia="Times New Roman" w:cstheme="minorHAnsi"/>
          <w:color w:val="000000"/>
          <w:shd w:val="clear" w:color="auto" w:fill="FFFFFF"/>
          <w:lang w:eastAsia="en-GB"/>
        </w:rPr>
      </w:pPr>
    </w:p>
    <w:p w:rsidR="003F1507" w:rsidRPr="009B3747" w:rsidRDefault="003F1507" w:rsidP="003F1507">
      <w:pPr>
        <w:rPr>
          <w:rFonts w:eastAsia="Times New Roman" w:cstheme="minorHAnsi"/>
          <w:color w:val="000000"/>
          <w:shd w:val="clear" w:color="auto" w:fill="FFFFFF"/>
          <w:lang w:eastAsia="en-GB"/>
        </w:rPr>
      </w:pPr>
      <w:r w:rsidRPr="009B3747">
        <w:rPr>
          <w:rFonts w:eastAsia="Times New Roman" w:cstheme="minorHAnsi"/>
          <w:color w:val="000000"/>
          <w:lang w:eastAsia="en-GB"/>
        </w:rPr>
        <w:t xml:space="preserve">For this doctoral study, </w:t>
      </w:r>
      <w:r w:rsidR="005E0F20" w:rsidRPr="009B3747">
        <w:rPr>
          <w:rFonts w:eastAsia="Times New Roman" w:cstheme="minorHAnsi"/>
          <w:color w:val="000000"/>
          <w:lang w:eastAsia="en-GB"/>
        </w:rPr>
        <w:t xml:space="preserve">it was considered </w:t>
      </w:r>
      <w:r w:rsidRPr="009B3747">
        <w:rPr>
          <w:rFonts w:eastAsia="Times New Roman" w:cstheme="minorHAnsi"/>
          <w:color w:val="000000"/>
          <w:lang w:eastAsia="en-GB"/>
        </w:rPr>
        <w:t>appropriate to conduct a systematic rev</w:t>
      </w:r>
      <w:r w:rsidR="00E5284F" w:rsidRPr="009B3747">
        <w:rPr>
          <w:rFonts w:eastAsia="Times New Roman" w:cstheme="minorHAnsi"/>
          <w:color w:val="000000"/>
          <w:lang w:eastAsia="en-GB"/>
        </w:rPr>
        <w:t xml:space="preserve">iew and qualitative synthesis.  </w:t>
      </w:r>
      <w:r w:rsidR="00E5284F"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"ISBN" : "9781473912458", "abstract" : "Second edition. \"Showing you how to take a structured and organized approach to a wide range of literature review types, this book helps you to choose which approach is right for your research. Packed with constructive tools, examples, case studies and hands-on exercises, the book covers the full range of literature review techniques\" -- Getting started on your literature review -- Taking a systematic approach to your literature review -- Choosing your review methods -- Planning and conducting your literature review -- Defining your scope -- Searching the literature -- Assessing the evidence base -- Synthesising and analysing quantitative studies -- Synthesising and analysing qualitative studies -- Writing, presenting and disseminating your review.", "author" : [ { "dropping-particle" : "", "family" : "Booth", "given" : "Andrew", "non-dropping-particle" : "", "parse-names" : false, "suffix" : "" }, { "dropping-particle" : "", "family" : "Sutton", "given" : "Anthea", "non-dropping-particle" : "", "parse-names" : false, "suffix" : "" }, { "dropping-particle" : "", "family" : "Papaioannou", "given" : "Diana", "non-dropping-particle" : "", "parse-names" : false, "suffix" : "" } ], "edition" : "2nd", "id" : "ITEM-1", "issued" : { "date-parts" : [ [ "2016" ] ] }, "publisher" : "Sage Publications", "publisher-place" : "London", "title" : "Systematic approaches to a successful literature review", "type" : "book" }, "uris" : [ "http://www.mendeley.com/documents/?uuid=165d8b81-c710-317d-a572-bc4ecf94c7a8" ] } ], "mendeley" : { "formattedCitation" : "(Booth et al., 2016)", "plainTextFormattedCitation" : "(Booth et al., 2016)", "previouslyFormattedCitation" : "(Booth et al., 2016)" }, "properties" : { "noteIndex" : 0 }, "schema" : "https://github.com/citation-style-language/schema/raw/master/csl-citation.json" }</w:instrText>
      </w:r>
      <w:r w:rsidR="00E5284F" w:rsidRPr="009B3747">
        <w:rPr>
          <w:rFonts w:eastAsia="Times New Roman" w:cstheme="minorHAnsi"/>
          <w:color w:val="000000"/>
          <w:lang w:eastAsia="en-GB"/>
        </w:rPr>
        <w:fldChar w:fldCharType="separate"/>
      </w:r>
      <w:r w:rsidR="00E5284F" w:rsidRPr="009B3747">
        <w:rPr>
          <w:rFonts w:eastAsia="Times New Roman" w:cstheme="minorHAnsi"/>
          <w:noProof/>
          <w:color w:val="000000"/>
          <w:lang w:eastAsia="en-GB"/>
        </w:rPr>
        <w:t>(Booth et al., 2016)</w:t>
      </w:r>
      <w:r w:rsidR="00E5284F"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propose that a gold sta</w:t>
      </w:r>
      <w:r w:rsidR="00CD3F14" w:rsidRPr="009B3747">
        <w:rPr>
          <w:rFonts w:eastAsia="Times New Roman" w:cstheme="minorHAnsi"/>
          <w:color w:val="000000"/>
          <w:lang w:eastAsia="en-GB"/>
        </w:rPr>
        <w:t>ndard systematic review:</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i/>
          <w:iCs/>
          <w:color w:val="000000"/>
          <w:lang w:eastAsia="en-GB"/>
        </w:rPr>
        <w:t>“Prescribes an exhaustive search of the literature, checklist-driven quality assessment, complex synthesis using textual, numerical, graphical and tabular met</w:t>
      </w:r>
      <w:r w:rsidR="00CD3F14" w:rsidRPr="009B3747">
        <w:rPr>
          <w:rFonts w:eastAsia="Times New Roman" w:cstheme="minorHAnsi"/>
          <w:i/>
          <w:iCs/>
          <w:color w:val="000000"/>
          <w:lang w:eastAsia="en-GB"/>
        </w:rPr>
        <w:t>hods and sophisticated analysis”</w:t>
      </w:r>
      <w:r w:rsidR="00CD3F14" w:rsidRPr="009B3747">
        <w:rPr>
          <w:rFonts w:eastAsia="Times New Roman" w:cstheme="minorHAnsi"/>
          <w:iCs/>
          <w:color w:val="000000"/>
          <w:lang w:eastAsia="en-GB"/>
        </w:rPr>
        <w:t xml:space="preserve"> </w:t>
      </w:r>
      <w:r w:rsidRPr="009B3747">
        <w:rPr>
          <w:rFonts w:eastAsia="Times New Roman" w:cstheme="minorHAnsi"/>
          <w:iCs/>
          <w:color w:val="000000"/>
          <w:lang w:eastAsia="en-GB"/>
        </w:rPr>
        <w:t>(p23).</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4944F2" w:rsidRDefault="003F1507" w:rsidP="003F1507">
      <w:pPr>
        <w:rPr>
          <w:rFonts w:eastAsia="Times New Roman" w:cstheme="minorHAnsi"/>
          <w:color w:val="000000"/>
          <w:lang w:eastAsia="en-GB"/>
        </w:rPr>
      </w:pPr>
      <w:r w:rsidRPr="009B3747">
        <w:rPr>
          <w:rFonts w:eastAsia="Times New Roman" w:cstheme="minorHAnsi"/>
          <w:color w:val="000000"/>
          <w:lang w:eastAsia="en-GB"/>
        </w:rPr>
        <w:t>Despite being resource and time intensive and requiring an extensive range of skills to conduct a systematic review</w:t>
      </w:r>
      <w:r w:rsidR="00E5284F" w:rsidRPr="009B3747">
        <w:rPr>
          <w:rFonts w:eastAsia="Times New Roman" w:cstheme="minorHAnsi"/>
          <w:color w:val="000000"/>
          <w:lang w:eastAsia="en-GB"/>
        </w:rPr>
        <w:t xml:space="preserve"> </w:t>
      </w:r>
      <w:r w:rsidR="00E5284F"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"ISBN" : "9781473912458", "abstract" : "Second edition. \"Showing you how to take a structured and organized approach to a wide range of literature review types, this book helps you to choose which approach is right for your research. Packed with constructive tools, examples, case studies and hands-on exercises, the book covers the full range of literature review techniques\" -- Getting started on your literature review -- Taking a systematic approach to your literature review -- Choosing your review methods -- Planning and conducting your literature review -- Defining your scope -- Searching the literature -- Assessing the evidence base -- Synthesising and analysing quantitative studies -- Synthesising and analysing qualitative studies -- Writing, presenting and disseminating your review.", "author" : [ { "dropping-particle" : "", "family" : "Booth", "given" : "Andrew", "non-dropping-particle" : "", "parse-names" : false, "suffix" : "" }, { "dropping-particle" : "", "family" : "Sutton", "given" : "Anthea", "non-dropping-particle" : "", "parse-names" : false, "suffix" : "" }, { "dropping-particle" : "", "family" : "Papaioannou", "given" : "Diana", "non-dropping-particle" : "", "parse-names" : false, "suffix" : "" } ], "edition" : "2nd", "id" : "ITEM-1", "issued" : { "date-parts" : [ [ "2016" ] ] }, "publisher" : "Sage Publications", "publisher-place" : "London", "title" : "Systematic approaches to a successful literature review", "type" : "book" }, "uris" : [ "http://www.mendeley.com/documents/?uuid=165d8b81-c710-317d-a572-bc4ecf94c7a8" ] } ], "mendeley" : { "formattedCitation" : "(Booth et al., 2016)", "plainTextFormattedCitation" : "(Booth et al., 2016)", "previouslyFormattedCitation" : "(Booth et al., 2016)" }, "properties" : { "noteIndex" : 0 }, "schema" : "https://github.com/citation-style-language/schema/raw/master/csl-citation.json" }</w:instrText>
      </w:r>
      <w:r w:rsidR="00E5284F" w:rsidRPr="009B3747">
        <w:rPr>
          <w:rFonts w:eastAsia="Times New Roman" w:cstheme="minorHAnsi"/>
          <w:color w:val="000000"/>
          <w:lang w:eastAsia="en-GB"/>
        </w:rPr>
        <w:fldChar w:fldCharType="separate"/>
      </w:r>
      <w:r w:rsidR="00E5284F" w:rsidRPr="009B3747">
        <w:rPr>
          <w:rFonts w:eastAsia="Times New Roman" w:cstheme="minorHAnsi"/>
          <w:noProof/>
          <w:color w:val="000000"/>
          <w:lang w:eastAsia="en-GB"/>
        </w:rPr>
        <w:t>(Booth et al., 2016)</w:t>
      </w:r>
      <w:r w:rsidR="00E5284F" w:rsidRPr="009B3747">
        <w:rPr>
          <w:rFonts w:eastAsia="Times New Roman" w:cstheme="minorHAnsi"/>
          <w:color w:val="000000"/>
          <w:lang w:eastAsia="en-GB"/>
        </w:rPr>
        <w:fldChar w:fldCharType="end"/>
      </w:r>
      <w:r w:rsidR="004944F2">
        <w:rPr>
          <w:rFonts w:eastAsia="Times New Roman" w:cstheme="minorHAnsi"/>
          <w:color w:val="000000"/>
          <w:lang w:eastAsia="en-GB"/>
        </w:rPr>
        <w:t xml:space="preserve">, </w:t>
      </w:r>
      <w:r w:rsidRPr="009B3747">
        <w:rPr>
          <w:rFonts w:eastAsia="Times New Roman" w:cstheme="minorHAnsi"/>
          <w:color w:val="000000"/>
          <w:lang w:eastAsia="en-GB"/>
        </w:rPr>
        <w:t>the</w:t>
      </w:r>
      <w:r w:rsidR="00E5284F" w:rsidRPr="009B3747">
        <w:rPr>
          <w:rFonts w:eastAsia="Times New Roman" w:cstheme="minorHAnsi"/>
          <w:color w:val="000000"/>
          <w:lang w:eastAsia="en-GB"/>
        </w:rPr>
        <w:t xml:space="preserve"> researcher wanted to identify </w:t>
      </w:r>
      <w:r w:rsidR="00E5284F" w:rsidRPr="009B3747">
        <w:rPr>
          <w:rFonts w:eastAsia="Times New Roman" w:cstheme="minorHAnsi"/>
          <w:i/>
          <w:color w:val="000000"/>
          <w:lang w:eastAsia="en-GB"/>
        </w:rPr>
        <w:t>“</w:t>
      </w:r>
      <w:r w:rsidRPr="009B3747">
        <w:rPr>
          <w:rFonts w:eastAsia="Times New Roman" w:cstheme="minorHAnsi"/>
          <w:i/>
          <w:color w:val="000000"/>
          <w:lang w:eastAsia="en-GB"/>
        </w:rPr>
        <w:t>the full and comprehensive body of available evidence to pr</w:t>
      </w:r>
      <w:r w:rsidR="00E5284F" w:rsidRPr="009B3747">
        <w:rPr>
          <w:rFonts w:eastAsia="Times New Roman" w:cstheme="minorHAnsi"/>
          <w:i/>
          <w:color w:val="000000"/>
          <w:lang w:eastAsia="en-GB"/>
        </w:rPr>
        <w:t>ovide the best available answer”</w:t>
      </w:r>
      <w:r w:rsidRPr="009B3747">
        <w:rPr>
          <w:rFonts w:eastAsia="Times New Roman" w:cstheme="minorHAnsi"/>
          <w:color w:val="000000"/>
          <w:lang w:eastAsia="en-GB"/>
        </w:rPr>
        <w:t xml:space="preserve"> to the research question posed. </w:t>
      </w:r>
      <w:r w:rsidR="00E5284F" w:rsidRPr="009B3747">
        <w:rPr>
          <w:rFonts w:eastAsia="Times New Roman" w:cstheme="minorHAnsi"/>
          <w:color w:val="000000"/>
          <w:lang w:eastAsia="en-GB"/>
        </w:rPr>
        <w:fldChar w:fldCharType="begin" w:fldLock="1"/>
      </w:r>
      <w:r w:rsidR="00224C9C" w:rsidRPr="009B3747">
        <w:rPr>
          <w:rFonts w:eastAsia="Times New Roman" w:cstheme="minorHAnsi"/>
          <w:color w:val="000000"/>
          <w:lang w:eastAsia="en-GB"/>
        </w:rPr>
        <w:instrText>ADDIN CSL_CITATION { "citationItems" : [ { "id" : "ITEM-1", "itemData" : { "DOI" : "10.1080/19416520802211651", "ISSN" : "1941-6520", "abstract" : "Abstract This chapter advocates the good scientific practice of systematic research syntheses in Management and Organizational Science (MOS). A research synthesis is the systematic accumulation, analysis and reflective interpretation of the full body of relevant empirical evidence related to a question. It is the critical first step in effective use of scientific evidence. Synthesis is not a conventional literature review. Literature reviews are often position papers, cherry\u2010picking studies to advocate a point of view. Instead, syntheses systematically identify where research findings are clear (and where they aren\u2019t), a key first step to establishing the conclusions science supports. Syntheses are also important for identifying contested findings and productive lines for future research. Uses of MOS evidence, that is, the motives for undertaking a research synthesis include scientific discovery and explanation, improved management practice guidelines, and formulating public policy. We identify six criter...", "author" : [ { "dropping-particle" : "", "family" : "Rousseau", "given" : "Denise M.", "non-dropping-particle" : "", "parse-names" : false, "suffix" : "" }, { "dropping-particle" : "", "family" : "Manning", "given" : "Joshua", "non-dropping-particle" : "", "parse-names" : false, "suffix" : "" }, { "dropping-particle" : "", "family" : "Denyer", "given" : "David", "non-dropping-particle" : "", "parse-names" : false, "suffix" : "" } ], "container-title" : "The Academy of Management Annals", "id" : "ITEM-1", "issue" : "1", "issued" : { "date-parts" : [ [ "2008", "1" ] ] }, "page" : "475-515", "publisher" : " Routledge ", "title" : "11?Evidence in Management and Organizational Science: Assembling the Field?s Full Weight of Scientific Knowledge Through Syntheses", "type" : "article-journal", "volume" : "2" }, "uris" : [ "http://www.mendeley.com/documents/?uuid=65105fec-ed6b-34b8-84f9-8f2b0aa2f0aa" ] } ], "mendeley" : { "formattedCitation" : "(Rousseau et al., 2008)", "manualFormatting" : "(Rousseau et al., 2008, p.478)", "plainTextFormattedCitation" : "(Rousseau et al., 2008)", "previouslyFormattedCitation" : "(Rousseau et al., 2008)" }, "properties" : { "noteIndex" : 0 }, "schema" : "https://github.com/citation-style-language/schema/raw/master/csl-citation.json" }</w:instrText>
      </w:r>
      <w:r w:rsidR="00E5284F" w:rsidRPr="009B3747">
        <w:rPr>
          <w:rFonts w:eastAsia="Times New Roman" w:cstheme="minorHAnsi"/>
          <w:color w:val="000000"/>
          <w:lang w:eastAsia="en-GB"/>
        </w:rPr>
        <w:fldChar w:fldCharType="separate"/>
      </w:r>
      <w:r w:rsidR="00E5284F" w:rsidRPr="009B3747">
        <w:rPr>
          <w:rFonts w:eastAsia="Times New Roman" w:cstheme="minorHAnsi"/>
          <w:noProof/>
          <w:color w:val="000000"/>
          <w:lang w:eastAsia="en-GB"/>
        </w:rPr>
        <w:t>(Rousseau et al., 2008</w:t>
      </w:r>
      <w:r w:rsidR="00FB5B00" w:rsidRPr="009B3747">
        <w:rPr>
          <w:rFonts w:eastAsia="Times New Roman" w:cstheme="minorHAnsi"/>
          <w:noProof/>
          <w:color w:val="000000"/>
          <w:lang w:eastAsia="en-GB"/>
        </w:rPr>
        <w:t>, p.</w:t>
      </w:r>
      <w:r w:rsidR="00E5284F" w:rsidRPr="009B3747">
        <w:rPr>
          <w:rFonts w:eastAsia="Times New Roman" w:cstheme="minorHAnsi"/>
          <w:noProof/>
          <w:color w:val="000000"/>
          <w:lang w:eastAsia="en-GB"/>
        </w:rPr>
        <w:t>478)</w:t>
      </w:r>
      <w:r w:rsidR="00E5284F" w:rsidRPr="009B3747">
        <w:rPr>
          <w:rFonts w:eastAsia="Times New Roman" w:cstheme="minorHAnsi"/>
          <w:color w:val="000000"/>
          <w:lang w:eastAsia="en-GB"/>
        </w:rPr>
        <w:fldChar w:fldCharType="end"/>
      </w:r>
      <w:r w:rsidR="00E5284F" w:rsidRPr="009B3747">
        <w:rPr>
          <w:rFonts w:eastAsia="Times New Roman" w:cstheme="minorHAnsi"/>
          <w:color w:val="000000"/>
          <w:lang w:eastAsia="en-GB"/>
        </w:rPr>
        <w:t xml:space="preserve">.  </w:t>
      </w:r>
      <w:r w:rsidRPr="009B3747">
        <w:rPr>
          <w:rFonts w:eastAsia="Times New Roman" w:cstheme="minorHAnsi"/>
          <w:color w:val="000000"/>
          <w:lang w:eastAsia="en-GB"/>
        </w:rPr>
        <w:t>The decision to employ a qualitative rather than quantitative review and synthesis</w:t>
      </w:r>
      <w:r w:rsidR="004944F2">
        <w:rPr>
          <w:rFonts w:eastAsia="Times New Roman" w:cstheme="minorHAnsi"/>
          <w:color w:val="000000"/>
          <w:lang w:eastAsia="en-GB"/>
        </w:rPr>
        <w:t xml:space="preserve">, </w:t>
      </w:r>
      <w:r w:rsidRPr="009B3747">
        <w:rPr>
          <w:rFonts w:eastAsia="Times New Roman" w:cstheme="minorHAnsi"/>
          <w:color w:val="000000"/>
          <w:lang w:eastAsia="en-GB"/>
        </w:rPr>
        <w:t xml:space="preserve"> was based on the desire to obtain thick and rich data that would elicit a greater depth of understanding of headteachers</w:t>
      </w:r>
      <w:r w:rsidR="00961B10" w:rsidRPr="009B3747">
        <w:rPr>
          <w:rFonts w:eastAsia="Times New Roman" w:cstheme="minorHAnsi"/>
          <w:color w:val="000000"/>
          <w:lang w:eastAsia="en-GB"/>
        </w:rPr>
        <w:t>’</w:t>
      </w:r>
      <w:r w:rsidRPr="009B3747">
        <w:rPr>
          <w:rFonts w:eastAsia="Times New Roman" w:cstheme="minorHAnsi"/>
          <w:color w:val="000000"/>
          <w:lang w:eastAsia="en-GB"/>
        </w:rPr>
        <w:t xml:space="preserve"> and</w:t>
      </w:r>
      <w:r w:rsidR="00670813" w:rsidRPr="009B3747">
        <w:rPr>
          <w:rFonts w:eastAsia="Times New Roman" w:cstheme="minorHAnsi"/>
          <w:color w:val="000000"/>
          <w:lang w:eastAsia="en-GB"/>
        </w:rPr>
        <w:t xml:space="preserve"> chairs of governors’</w:t>
      </w:r>
      <w:r w:rsidRPr="009B3747">
        <w:rPr>
          <w:rFonts w:eastAsia="Times New Roman" w:cstheme="minorHAnsi"/>
          <w:color w:val="000000"/>
          <w:lang w:eastAsia="en-GB"/>
        </w:rPr>
        <w:t xml:space="preserve"> perspectives</w:t>
      </w:r>
      <w:r w:rsidR="00E5284F" w:rsidRPr="009B3747">
        <w:rPr>
          <w:rFonts w:eastAsia="Times New Roman" w:cstheme="minorHAnsi"/>
          <w:color w:val="000000"/>
          <w:lang w:eastAsia="en-GB"/>
        </w:rPr>
        <w:t xml:space="preserve"> </w:t>
      </w:r>
      <w:r w:rsidR="00E5284F" w:rsidRPr="009B3747">
        <w:rPr>
          <w:rFonts w:eastAsia="Times New Roman" w:cstheme="minorHAnsi"/>
          <w:color w:val="000000"/>
          <w:lang w:eastAsia="en-GB"/>
        </w:rPr>
        <w:fldChar w:fldCharType="begin" w:fldLock="1"/>
      </w:r>
      <w:r w:rsidR="001C33BA" w:rsidRPr="009B3747">
        <w:rPr>
          <w:rFonts w:eastAsia="Times New Roman" w:cstheme="minorHAnsi"/>
          <w:color w:val="000000"/>
          <w:lang w:eastAsia="en-GB"/>
        </w:rPr>
        <w:instrText>ADDIN CSL_CITATION { "citationItems" : [ { "id" : "ITEM-1", "itemData" : { "DOI" : "10.1111/j.1471-1842.2009.00848.x", "ISSN" : "14711834", "author" : [ { "dropping-particle" : "", "family" : "Grant", "given" : "Maria J.", "non-dropping-particle" : "", "parse-names" : false, "suffix" : "" }, { "dropping-particle" : "", "family" : "Booth", "given" : "Andrew", "non-dropping-particle" : "", "parse-names" : false, "suffix" : "" } ], "container-title" : "Health Information &amp; Libraries Journal", "id" : "ITEM-1", "issue" : "2", "issued" : { "date-parts" : [ [ "2009", "6", "1" ] ] }, "page" : "91-108", "publisher" : "Blackwell Publishing Ltd", "title" : "A typology of reviews: an analysis of 14 review types and associated methodologies", "type" : "article-journal", "volume" : "26" }, "uris" : [ "http://www.mendeley.com/documents/?uuid=983ae953-82f6-3e4c-8680-69a984566172" ] } ], "mendeley" : { "formattedCitation" : "(Grant and Booth, 2009)", "plainTextFormattedCitation" : "(Grant and Booth, 2009)", "previouslyFormattedCitation" : "(Grant and Booth, 2009)" }, "properties" : { "noteIndex" : 0 }, "schema" : "https://github.com/citation-style-language/schema/raw/master/csl-citation.json" }</w:instrText>
      </w:r>
      <w:r w:rsidR="00E5284F" w:rsidRPr="009B3747">
        <w:rPr>
          <w:rFonts w:eastAsia="Times New Roman" w:cstheme="minorHAnsi"/>
          <w:color w:val="000000"/>
          <w:lang w:eastAsia="en-GB"/>
        </w:rPr>
        <w:fldChar w:fldCharType="separate"/>
      </w:r>
      <w:r w:rsidR="00E5284F" w:rsidRPr="009B3747">
        <w:rPr>
          <w:rFonts w:eastAsia="Times New Roman" w:cstheme="minorHAnsi"/>
          <w:noProof/>
          <w:color w:val="000000"/>
          <w:lang w:eastAsia="en-GB"/>
        </w:rPr>
        <w:t>(Grant and Booth, 2009)</w:t>
      </w:r>
      <w:r w:rsidR="00E5284F" w:rsidRPr="009B3747">
        <w:rPr>
          <w:rFonts w:eastAsia="Times New Roman" w:cstheme="minorHAnsi"/>
          <w:color w:val="000000"/>
          <w:lang w:eastAsia="en-GB"/>
        </w:rPr>
        <w:fldChar w:fldCharType="end"/>
      </w:r>
      <w:r w:rsidR="00E5284F" w:rsidRPr="009B3747">
        <w:rPr>
          <w:rFonts w:eastAsia="Times New Roman" w:cstheme="minorHAnsi"/>
          <w:color w:val="000000"/>
          <w:lang w:eastAsia="en-GB"/>
        </w:rPr>
        <w:t xml:space="preserve">.  </w:t>
      </w:r>
    </w:p>
    <w:p w:rsidR="004944F2" w:rsidRDefault="004944F2" w:rsidP="003F1507">
      <w:pPr>
        <w:rPr>
          <w:rFonts w:eastAsia="Times New Roman" w:cstheme="minorHAnsi"/>
          <w:color w:val="000000"/>
          <w:lang w:eastAsia="en-GB"/>
        </w:rPr>
      </w:pP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 xml:space="preserve">Whilst primarily this was for the purpose of enhancing the researcher’s knowledge of the specific field of study and identifying gaps in the evidence base, scoping relevant literature for this review also presented the additional value of informing the </w:t>
      </w:r>
      <w:r w:rsidR="004944F2">
        <w:rPr>
          <w:rFonts w:eastAsia="Times New Roman" w:cstheme="minorHAnsi"/>
          <w:color w:val="000000"/>
          <w:lang w:eastAsia="en-GB"/>
        </w:rPr>
        <w:t xml:space="preserve">research design, data collection methods and providing crucial points to reflect on in the thesis discussion (chapter nine).  </w:t>
      </w:r>
    </w:p>
    <w:p w:rsidR="003F150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4944F2" w:rsidRDefault="004944F2" w:rsidP="003F1507">
      <w:pPr>
        <w:rPr>
          <w:rFonts w:eastAsia="Times New Roman" w:cstheme="minorHAnsi"/>
          <w:sz w:val="24"/>
          <w:szCs w:val="24"/>
          <w:lang w:eastAsia="en-GB"/>
        </w:rPr>
      </w:pPr>
    </w:p>
    <w:p w:rsidR="003F1507" w:rsidRPr="009B3747" w:rsidRDefault="003F1507" w:rsidP="003F1507">
      <w:pPr>
        <w:rPr>
          <w:rFonts w:eastAsia="Times New Roman" w:cstheme="minorHAnsi"/>
          <w:i/>
          <w:sz w:val="24"/>
          <w:szCs w:val="24"/>
          <w:lang w:eastAsia="en-GB"/>
        </w:rPr>
      </w:pPr>
      <w:r w:rsidRPr="009B3747">
        <w:rPr>
          <w:rFonts w:eastAsia="Times New Roman" w:cstheme="minorHAnsi"/>
          <w:i/>
          <w:color w:val="000000"/>
          <w:lang w:eastAsia="en-GB"/>
        </w:rPr>
        <w:lastRenderedPageBreak/>
        <w:t>Aim and objectives</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The aim of this review was to systematically identify and synthesise the rese</w:t>
      </w:r>
      <w:r w:rsidR="00A42BA8" w:rsidRPr="009B3747">
        <w:rPr>
          <w:rFonts w:eastAsia="Times New Roman" w:cstheme="minorHAnsi"/>
          <w:color w:val="000000"/>
          <w:lang w:eastAsia="en-GB"/>
        </w:rPr>
        <w:t>arch literature concerning the ‘</w:t>
      </w:r>
      <w:r w:rsidRPr="009B3747">
        <w:rPr>
          <w:rFonts w:eastAsia="Times New Roman" w:cstheme="minorHAnsi"/>
          <w:i/>
          <w:iCs/>
          <w:color w:val="000000"/>
          <w:lang w:eastAsia="en-GB"/>
        </w:rPr>
        <w:t>headteachers</w:t>
      </w:r>
      <w:r w:rsidR="00961B10" w:rsidRPr="009B3747">
        <w:rPr>
          <w:rFonts w:eastAsia="Times New Roman" w:cstheme="minorHAnsi"/>
          <w:i/>
          <w:iCs/>
          <w:color w:val="000000"/>
          <w:lang w:eastAsia="en-GB"/>
        </w:rPr>
        <w:t>’</w:t>
      </w:r>
      <w:r w:rsidRPr="009B3747">
        <w:rPr>
          <w:rFonts w:eastAsia="Times New Roman" w:cstheme="minorHAnsi"/>
          <w:i/>
          <w:iCs/>
          <w:color w:val="000000"/>
          <w:lang w:eastAsia="en-GB"/>
        </w:rPr>
        <w:t xml:space="preserve"> and chairs of governors</w:t>
      </w:r>
      <w:r w:rsidR="00961B10" w:rsidRPr="009B3747">
        <w:rPr>
          <w:rFonts w:eastAsia="Times New Roman" w:cstheme="minorHAnsi"/>
          <w:i/>
          <w:iCs/>
          <w:color w:val="000000"/>
          <w:lang w:eastAsia="en-GB"/>
        </w:rPr>
        <w:t>’ perspectives</w:t>
      </w:r>
      <w:r w:rsidRPr="009B3747">
        <w:rPr>
          <w:rFonts w:eastAsia="Times New Roman" w:cstheme="minorHAnsi"/>
          <w:i/>
          <w:iCs/>
          <w:color w:val="000000"/>
          <w:lang w:eastAsia="en-GB"/>
        </w:rPr>
        <w:t xml:space="preserve"> on childhood or adolescent obesity and it</w:t>
      </w:r>
      <w:r w:rsidR="00A42BA8" w:rsidRPr="009B3747">
        <w:rPr>
          <w:rFonts w:eastAsia="Times New Roman" w:cstheme="minorHAnsi"/>
          <w:i/>
          <w:iCs/>
          <w:color w:val="000000"/>
          <w:lang w:eastAsia="en-GB"/>
        </w:rPr>
        <w:t>s prevention in school settings’</w:t>
      </w:r>
      <w:r w:rsidRPr="009B3747">
        <w:rPr>
          <w:rFonts w:eastAsia="Times New Roman" w:cstheme="minorHAnsi"/>
          <w:color w:val="000000"/>
          <w:lang w:eastAsia="en-GB"/>
        </w:rPr>
        <w:t>.  The decision to broaden the scope of the review wider than</w:t>
      </w:r>
      <w:r w:rsidR="00FE4357">
        <w:rPr>
          <w:rFonts w:eastAsia="Times New Roman" w:cstheme="minorHAnsi"/>
          <w:color w:val="000000"/>
          <w:lang w:eastAsia="en-GB"/>
        </w:rPr>
        <w:t xml:space="preserve"> the original research question, </w:t>
      </w:r>
      <w:r w:rsidRPr="009B3747">
        <w:rPr>
          <w:rFonts w:eastAsia="Times New Roman" w:cstheme="minorHAnsi"/>
          <w:color w:val="000000"/>
          <w:lang w:eastAsia="en-GB"/>
        </w:rPr>
        <w:t>i.e. to include both childhood and adolescent obesity across school settings in ge</w:t>
      </w:r>
      <w:r w:rsidR="00E379EE" w:rsidRPr="009B3747">
        <w:rPr>
          <w:rFonts w:eastAsia="Times New Roman" w:cstheme="minorHAnsi"/>
          <w:color w:val="000000"/>
          <w:lang w:eastAsia="en-GB"/>
        </w:rPr>
        <w:t>neral is discussed in section 3.2</w:t>
      </w:r>
      <w:r w:rsidRPr="009B3747">
        <w:rPr>
          <w:rFonts w:eastAsia="Times New Roman" w:cstheme="minorHAnsi"/>
          <w:color w:val="000000"/>
          <w:lang w:eastAsia="en-GB"/>
        </w:rPr>
        <w:t xml:space="preserve"> below.</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In order to achieve the overarching aim, the follow objectives wer</w:t>
      </w:r>
      <w:r w:rsidR="00E379EE" w:rsidRPr="009B3747">
        <w:rPr>
          <w:rFonts w:eastAsia="Times New Roman" w:cstheme="minorHAnsi"/>
          <w:color w:val="000000"/>
          <w:lang w:eastAsia="en-GB"/>
        </w:rPr>
        <w:t>e established for this review:</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numPr>
          <w:ilvl w:val="0"/>
          <w:numId w:val="6"/>
        </w:numPr>
        <w:textAlignment w:val="baseline"/>
        <w:rPr>
          <w:rFonts w:eastAsia="Times New Roman" w:cstheme="minorHAnsi"/>
          <w:color w:val="000000"/>
          <w:lang w:eastAsia="en-GB"/>
        </w:rPr>
      </w:pPr>
      <w:r w:rsidRPr="009B3747">
        <w:rPr>
          <w:rFonts w:eastAsia="Times New Roman" w:cstheme="minorHAnsi"/>
          <w:color w:val="000000"/>
          <w:lang w:eastAsia="en-GB"/>
        </w:rPr>
        <w:t xml:space="preserve">Define the review scope and develop a review </w:t>
      </w:r>
      <w:r w:rsidR="006B3384" w:rsidRPr="009B3747">
        <w:rPr>
          <w:rFonts w:eastAsia="Times New Roman" w:cstheme="minorHAnsi"/>
          <w:color w:val="000000"/>
          <w:lang w:eastAsia="en-GB"/>
        </w:rPr>
        <w:t>protocol (see Appendix A</w:t>
      </w:r>
      <w:r w:rsidRPr="009B3747">
        <w:rPr>
          <w:rFonts w:eastAsia="Times New Roman" w:cstheme="minorHAnsi"/>
          <w:color w:val="000000"/>
          <w:lang w:eastAsia="en-GB"/>
        </w:rPr>
        <w:t>)</w:t>
      </w:r>
    </w:p>
    <w:p w:rsidR="003F1507" w:rsidRPr="009B3747" w:rsidRDefault="003F1507" w:rsidP="003F1507">
      <w:pPr>
        <w:numPr>
          <w:ilvl w:val="0"/>
          <w:numId w:val="6"/>
        </w:numPr>
        <w:textAlignment w:val="baseline"/>
        <w:rPr>
          <w:rFonts w:eastAsia="Times New Roman" w:cstheme="minorHAnsi"/>
          <w:color w:val="000000"/>
          <w:lang w:eastAsia="en-GB"/>
        </w:rPr>
      </w:pPr>
      <w:r w:rsidRPr="009B3747">
        <w:rPr>
          <w:rFonts w:eastAsia="Times New Roman" w:cstheme="minorHAnsi"/>
          <w:color w:val="000000"/>
          <w:lang w:eastAsia="en-GB"/>
        </w:rPr>
        <w:t>Undertake a systematic literature search, employing a robust search strategy and searching techniques</w:t>
      </w:r>
    </w:p>
    <w:p w:rsidR="003F1507" w:rsidRPr="009B3747" w:rsidRDefault="003F1507" w:rsidP="003F1507">
      <w:pPr>
        <w:numPr>
          <w:ilvl w:val="0"/>
          <w:numId w:val="6"/>
        </w:numPr>
        <w:textAlignment w:val="baseline"/>
        <w:rPr>
          <w:rFonts w:eastAsia="Times New Roman" w:cstheme="minorHAnsi"/>
          <w:color w:val="000000"/>
          <w:lang w:eastAsia="en-GB"/>
        </w:rPr>
      </w:pPr>
      <w:r w:rsidRPr="009B3747">
        <w:rPr>
          <w:rFonts w:eastAsia="Times New Roman" w:cstheme="minorHAnsi"/>
          <w:color w:val="000000"/>
          <w:lang w:eastAsia="en-GB"/>
        </w:rPr>
        <w:t>Perform screening on the obtained results, ensuring study eligibility against set inclusion and exclusion criteria</w:t>
      </w:r>
    </w:p>
    <w:p w:rsidR="003F1507" w:rsidRPr="009B3747" w:rsidRDefault="003F1507" w:rsidP="003F1507">
      <w:pPr>
        <w:numPr>
          <w:ilvl w:val="0"/>
          <w:numId w:val="6"/>
        </w:numPr>
        <w:textAlignment w:val="baseline"/>
        <w:rPr>
          <w:rFonts w:eastAsia="Times New Roman" w:cstheme="minorHAnsi"/>
          <w:color w:val="000000"/>
          <w:lang w:eastAsia="en-GB"/>
        </w:rPr>
      </w:pPr>
      <w:r w:rsidRPr="009B3747">
        <w:rPr>
          <w:rFonts w:eastAsia="Times New Roman" w:cstheme="minorHAnsi"/>
          <w:color w:val="000000"/>
          <w:lang w:eastAsia="en-GB"/>
        </w:rPr>
        <w:t>Complete a quality assessment of each included study using the CASP tool for qualitative studies</w:t>
      </w:r>
      <w:r w:rsidR="001C33BA" w:rsidRPr="009B3747">
        <w:rPr>
          <w:rFonts w:eastAsia="Times New Roman" w:cstheme="minorHAnsi"/>
          <w:color w:val="000000"/>
          <w:lang w:eastAsia="en-GB"/>
        </w:rPr>
        <w:t xml:space="preserve"> </w:t>
      </w:r>
      <w:r w:rsidR="001C33BA" w:rsidRPr="009B3747">
        <w:rPr>
          <w:rFonts w:eastAsia="Times New Roman" w:cstheme="minorHAnsi"/>
          <w:color w:val="000000"/>
          <w:lang w:eastAsia="en-GB"/>
        </w:rPr>
        <w:fldChar w:fldCharType="begin" w:fldLock="1"/>
      </w:r>
      <w:r w:rsidR="001C33BA" w:rsidRPr="009B3747">
        <w:rPr>
          <w:rFonts w:eastAsia="Times New Roman" w:cstheme="minorHAnsi"/>
          <w:color w:val="000000"/>
          <w:lang w:eastAsia="en-GB"/>
        </w:rPr>
        <w:instrText>ADDIN CSL_CITATION { "citationItems" : [ { "id" : "ITEM-1", "itemData" : { "URL" : "http://media.wix.com/ugd/dded87_29c5b002d99342f788c6ac670e49f274.pdf", "abstract" : "Critical Appraisal Skills Programme (CASP) 2014. CASP Checklists (URL used) Oxford. CASP", "author" : [ { "dropping-particle" : "", "family" : "Critical Appraisal Skills Programme (CASP)", "given" : "", "non-dropping-particle" : "", "parse-names" : false, "suffix" : "" } ], "container-title" : "CASP Checklists", "id" : "ITEM-1", "issued" : { "date-parts" : [ [ "2014" ] ] }, "title" : "CASP Qualitative Checklist", "type" : "webpage" }, "uris" : [ "http://www.mendeley.com/documents/?uuid=e4b86ca5-1a74-47a7-b903-53836d43205b" ] } ], "mendeley" : { "formattedCitation" : "(Critical Appraisal Skills Programme (CASP), 2014)", "plainTextFormattedCitation" : "(Critical Appraisal Skills Programme (CASP), 2014)", "previouslyFormattedCitation" : "(Critical Appraisal Skills Programme (CASP), 2014)" }, "properties" : { "noteIndex" : 0 }, "schema" : "https://github.com/citation-style-language/schema/raw/master/csl-citation.json" }</w:instrText>
      </w:r>
      <w:r w:rsidR="001C33BA" w:rsidRPr="009B3747">
        <w:rPr>
          <w:rFonts w:eastAsia="Times New Roman" w:cstheme="minorHAnsi"/>
          <w:color w:val="000000"/>
          <w:lang w:eastAsia="en-GB"/>
        </w:rPr>
        <w:fldChar w:fldCharType="separate"/>
      </w:r>
      <w:r w:rsidR="001C33BA" w:rsidRPr="009B3747">
        <w:rPr>
          <w:rFonts w:eastAsia="Times New Roman" w:cstheme="minorHAnsi"/>
          <w:noProof/>
          <w:color w:val="000000"/>
          <w:lang w:eastAsia="en-GB"/>
        </w:rPr>
        <w:t>(Critical Appraisal Skills Programme (CASP), 2014)</w:t>
      </w:r>
      <w:r w:rsidR="001C33BA" w:rsidRPr="009B3747">
        <w:rPr>
          <w:rFonts w:eastAsia="Times New Roman" w:cstheme="minorHAnsi"/>
          <w:color w:val="000000"/>
          <w:lang w:eastAsia="en-GB"/>
        </w:rPr>
        <w:fldChar w:fldCharType="end"/>
      </w:r>
      <w:r w:rsidR="0043373D" w:rsidRPr="009B3747">
        <w:rPr>
          <w:rFonts w:eastAsia="Times New Roman" w:cstheme="minorHAnsi"/>
          <w:color w:val="000000"/>
          <w:lang w:eastAsia="en-GB"/>
        </w:rPr>
        <w:t xml:space="preserve"> </w:t>
      </w:r>
    </w:p>
    <w:p w:rsidR="003F1507" w:rsidRPr="009B3747" w:rsidRDefault="003F1507" w:rsidP="003F1507">
      <w:pPr>
        <w:numPr>
          <w:ilvl w:val="0"/>
          <w:numId w:val="6"/>
        </w:numPr>
        <w:textAlignment w:val="baseline"/>
        <w:rPr>
          <w:rFonts w:eastAsia="Times New Roman" w:cstheme="minorHAnsi"/>
          <w:color w:val="000000"/>
          <w:lang w:eastAsia="en-GB"/>
        </w:rPr>
      </w:pPr>
      <w:r w:rsidRPr="009B3747">
        <w:rPr>
          <w:rFonts w:eastAsia="Times New Roman" w:cstheme="minorHAnsi"/>
          <w:color w:val="000000"/>
          <w:lang w:eastAsia="en-GB"/>
        </w:rPr>
        <w:t>Undertake data extraction and perform thematic synthesis in order to integrate the findings of multiple qualitative studies</w:t>
      </w:r>
    </w:p>
    <w:p w:rsidR="00C967E9" w:rsidRPr="009B3747" w:rsidRDefault="00C967E9" w:rsidP="00C967E9">
      <w:pPr>
        <w:textAlignment w:val="baseline"/>
        <w:rPr>
          <w:rFonts w:eastAsia="Times New Roman" w:cstheme="minorHAnsi"/>
          <w:color w:val="000000"/>
          <w:lang w:eastAsia="en-GB"/>
        </w:rPr>
      </w:pPr>
    </w:p>
    <w:p w:rsidR="00C967E9" w:rsidRPr="009B3747" w:rsidRDefault="00AB6B14" w:rsidP="00C967E9">
      <w:pPr>
        <w:textAlignment w:val="baseline"/>
        <w:rPr>
          <w:rFonts w:eastAsia="Times New Roman" w:cstheme="minorHAnsi"/>
          <w:color w:val="000000"/>
          <w:lang w:eastAsia="en-GB"/>
        </w:rPr>
      </w:pPr>
      <w:r w:rsidRPr="009B3747">
        <w:rPr>
          <w:rFonts w:eastAsia="Times New Roman" w:cstheme="minorHAnsi"/>
          <w:color w:val="000000"/>
          <w:lang w:eastAsia="en-GB"/>
        </w:rPr>
        <w:t xml:space="preserve">It </w:t>
      </w:r>
      <w:r w:rsidR="00C967E9" w:rsidRPr="009B3747">
        <w:rPr>
          <w:rFonts w:eastAsia="Times New Roman" w:cstheme="minorHAnsi"/>
          <w:color w:val="000000"/>
          <w:lang w:eastAsia="en-GB"/>
        </w:rPr>
        <w:t xml:space="preserve">is important to note that this systematic review and qualitative synthesis was registered </w:t>
      </w:r>
      <w:r w:rsidRPr="009B3747">
        <w:rPr>
          <w:rFonts w:eastAsia="Times New Roman" w:cstheme="minorHAnsi"/>
          <w:color w:val="000000"/>
          <w:lang w:eastAsia="en-GB"/>
        </w:rPr>
        <w:t>and published on</w:t>
      </w:r>
      <w:r w:rsidR="00C967E9" w:rsidRPr="009B3747">
        <w:rPr>
          <w:rFonts w:eastAsia="Times New Roman" w:cstheme="minorHAnsi"/>
          <w:color w:val="000000"/>
          <w:lang w:eastAsia="en-GB"/>
        </w:rPr>
        <w:t xml:space="preserve"> PROSPERO</w:t>
      </w:r>
      <w:r w:rsidRPr="009B3747">
        <w:rPr>
          <w:rFonts w:eastAsia="Times New Roman" w:cstheme="minorHAnsi"/>
          <w:color w:val="000000"/>
          <w:lang w:eastAsia="en-GB"/>
        </w:rPr>
        <w:t xml:space="preserve"> (Registration number - </w:t>
      </w:r>
      <w:r w:rsidRPr="009B3747">
        <w:rPr>
          <w:rFonts w:cstheme="minorHAnsi"/>
          <w:color w:val="222222"/>
          <w:sz w:val="19"/>
          <w:szCs w:val="19"/>
          <w:shd w:val="clear" w:color="auto" w:fill="FFFFFF"/>
        </w:rPr>
        <w:t>CRD42017069836).  PROSPERO is</w:t>
      </w:r>
      <w:r w:rsidRPr="009B3747">
        <w:rPr>
          <w:rFonts w:eastAsia="Times New Roman" w:cstheme="minorHAnsi"/>
          <w:color w:val="000000"/>
          <w:lang w:eastAsia="en-GB"/>
        </w:rPr>
        <w:t xml:space="preserve"> an international database</w:t>
      </w:r>
      <w:r w:rsidR="0071085A">
        <w:rPr>
          <w:rFonts w:eastAsia="Times New Roman" w:cstheme="minorHAnsi"/>
          <w:color w:val="000000"/>
          <w:lang w:eastAsia="en-GB"/>
        </w:rPr>
        <w:t>,</w:t>
      </w:r>
      <w:r w:rsidRPr="009B3747">
        <w:rPr>
          <w:rFonts w:eastAsia="Times New Roman" w:cstheme="minorHAnsi"/>
          <w:color w:val="000000"/>
          <w:lang w:eastAsia="en-GB"/>
        </w:rPr>
        <w:t xml:space="preserve"> which aims to provide a comprehensive list of prospectively registered systematic reviews from a </w:t>
      </w:r>
      <w:r w:rsidR="002C2432" w:rsidRPr="009B3747">
        <w:rPr>
          <w:rFonts w:eastAsia="Times New Roman" w:cstheme="minorHAnsi"/>
          <w:color w:val="000000"/>
          <w:lang w:eastAsia="en-GB"/>
        </w:rPr>
        <w:t xml:space="preserve">variety of disciplines where there is a health related outcome </w:t>
      </w:r>
      <w:r w:rsidR="002C2432" w:rsidRPr="009B3747">
        <w:rPr>
          <w:rFonts w:eastAsia="Times New Roman" w:cstheme="minorHAnsi"/>
          <w:color w:val="000000"/>
          <w:lang w:eastAsia="en-GB"/>
        </w:rPr>
        <w:fldChar w:fldCharType="begin" w:fldLock="1"/>
      </w:r>
      <w:r w:rsidR="002C2432" w:rsidRPr="009B3747">
        <w:rPr>
          <w:rFonts w:eastAsia="Times New Roman" w:cstheme="minorHAnsi"/>
          <w:color w:val="000000"/>
          <w:lang w:eastAsia="en-GB"/>
        </w:rPr>
        <w:instrText>ADDIN CSL_CITATION { "citationItems" : [ { "id" : "ITEM-1", "itemData" : { "URL" : "https://www.crd.york.ac.uk/PROSPERO/#index.php", "author" : [ { "dropping-particle" : "", "family" : "PROSPERO", "given" : "", "non-dropping-particle" : "", "parse-names" : false, "suffix" : "" } ], "id" : "ITEM-1", "issued" : { "date-parts" : [ [ "2017" ] ] }, "title" : "PROSPERO", "type" : "webpage" }, "uris" : [ "http://www.mendeley.com/documents/?uuid=4a0fe9b8-03f5-452b-921b-35b5daf3817b" ] } ], "mendeley" : { "formattedCitation" : "(PROSPERO, 2017)", "plainTextFormattedCitation" : "(PROSPERO, 2017)", "previouslyFormattedCitation" : "(PROSPERO, 2017)" }, "properties" : { "noteIndex" : 0 }, "schema" : "https://github.com/citation-style-language/schema/raw/master/csl-citation.json" }</w:instrText>
      </w:r>
      <w:r w:rsidR="002C2432" w:rsidRPr="009B3747">
        <w:rPr>
          <w:rFonts w:eastAsia="Times New Roman" w:cstheme="minorHAnsi"/>
          <w:color w:val="000000"/>
          <w:lang w:eastAsia="en-GB"/>
        </w:rPr>
        <w:fldChar w:fldCharType="separate"/>
      </w:r>
      <w:r w:rsidR="002C2432" w:rsidRPr="009B3747">
        <w:rPr>
          <w:rFonts w:eastAsia="Times New Roman" w:cstheme="minorHAnsi"/>
          <w:noProof/>
          <w:color w:val="000000"/>
          <w:lang w:eastAsia="en-GB"/>
        </w:rPr>
        <w:t>(PROSPERO, 2017)</w:t>
      </w:r>
      <w:r w:rsidR="002C2432" w:rsidRPr="009B3747">
        <w:rPr>
          <w:rFonts w:eastAsia="Times New Roman" w:cstheme="minorHAnsi"/>
          <w:color w:val="000000"/>
          <w:lang w:eastAsia="en-GB"/>
        </w:rPr>
        <w:fldChar w:fldCharType="end"/>
      </w:r>
      <w:r w:rsidR="002C2432" w:rsidRPr="009B3747">
        <w:rPr>
          <w:rFonts w:eastAsia="Times New Roman" w:cstheme="minorHAnsi"/>
          <w:color w:val="000000"/>
          <w:lang w:eastAsia="en-GB"/>
        </w:rPr>
        <w:t>.</w:t>
      </w:r>
    </w:p>
    <w:p w:rsidR="003F1507" w:rsidRPr="009B3747" w:rsidRDefault="003F1507" w:rsidP="003F1507">
      <w:pPr>
        <w:rPr>
          <w:rFonts w:eastAsia="Times New Roman" w:cstheme="minorHAnsi"/>
          <w:sz w:val="24"/>
          <w:szCs w:val="24"/>
          <w:lang w:eastAsia="en-GB"/>
        </w:rPr>
      </w:pPr>
    </w:p>
    <w:p w:rsidR="003F1507" w:rsidRPr="009B3747" w:rsidRDefault="00C34D84" w:rsidP="003F1507">
      <w:pPr>
        <w:rPr>
          <w:rFonts w:eastAsia="Times New Roman" w:cstheme="minorHAnsi"/>
          <w:sz w:val="24"/>
          <w:szCs w:val="24"/>
          <w:lang w:eastAsia="en-GB"/>
        </w:rPr>
      </w:pPr>
      <w:r w:rsidRPr="009B3747">
        <w:rPr>
          <w:rFonts w:eastAsia="Times New Roman" w:cstheme="minorHAnsi"/>
          <w:color w:val="000000"/>
          <w:u w:val="single"/>
          <w:lang w:eastAsia="en-GB"/>
        </w:rPr>
        <w:t>3</w:t>
      </w:r>
      <w:r w:rsidR="00C967E9" w:rsidRPr="009B3747">
        <w:rPr>
          <w:rFonts w:eastAsia="Times New Roman" w:cstheme="minorHAnsi"/>
          <w:color w:val="000000"/>
          <w:u w:val="single"/>
          <w:lang w:eastAsia="en-GB"/>
        </w:rPr>
        <w:t>.2</w:t>
      </w:r>
      <w:r w:rsidR="00E379EE" w:rsidRPr="009B3747">
        <w:rPr>
          <w:rFonts w:eastAsia="Times New Roman" w:cstheme="minorHAnsi"/>
          <w:color w:val="000000"/>
          <w:u w:val="single"/>
          <w:lang w:eastAsia="en-GB"/>
        </w:rPr>
        <w:t>.1</w:t>
      </w:r>
      <w:r w:rsidR="003F1507" w:rsidRPr="009B3747">
        <w:rPr>
          <w:rFonts w:eastAsia="Times New Roman" w:cstheme="minorHAnsi"/>
          <w:color w:val="000000"/>
          <w:u w:val="single"/>
          <w:lang w:eastAsia="en-GB"/>
        </w:rPr>
        <w:t xml:space="preserve"> Defining the scope</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color w:val="000000"/>
          <w:lang w:eastAsia="en-GB"/>
        </w:rPr>
      </w:pPr>
      <w:r w:rsidRPr="009B3747">
        <w:rPr>
          <w:rFonts w:eastAsia="Times New Roman" w:cstheme="minorHAnsi"/>
          <w:color w:val="000000"/>
          <w:lang w:eastAsia="en-GB"/>
        </w:rPr>
        <w:t xml:space="preserve">Having developed the research question, the researcher utilised </w:t>
      </w:r>
      <w:r w:rsidR="00E379EE" w:rsidRPr="009B3747">
        <w:rPr>
          <w:rFonts w:eastAsia="Times New Roman" w:cstheme="minorHAnsi"/>
          <w:color w:val="000000"/>
          <w:lang w:eastAsia="en-GB"/>
        </w:rPr>
        <w:t xml:space="preserve">a formal structure in order to </w:t>
      </w:r>
      <w:r w:rsidR="00E379EE" w:rsidRPr="009B3747">
        <w:rPr>
          <w:rFonts w:eastAsia="Times New Roman" w:cstheme="minorHAnsi"/>
          <w:i/>
          <w:color w:val="000000"/>
          <w:lang w:eastAsia="en-GB"/>
        </w:rPr>
        <w:t>“</w:t>
      </w:r>
      <w:r w:rsidRPr="009B3747">
        <w:rPr>
          <w:rFonts w:eastAsia="Times New Roman" w:cstheme="minorHAnsi"/>
          <w:i/>
          <w:color w:val="000000"/>
          <w:lang w:eastAsia="en-GB"/>
        </w:rPr>
        <w:t>unpack that question furt</w:t>
      </w:r>
      <w:r w:rsidR="00E379EE" w:rsidRPr="009B3747">
        <w:rPr>
          <w:rFonts w:eastAsia="Times New Roman" w:cstheme="minorHAnsi"/>
          <w:i/>
          <w:color w:val="000000"/>
          <w:lang w:eastAsia="en-GB"/>
        </w:rPr>
        <w:t>her into its component concepts”</w:t>
      </w:r>
      <w:r w:rsidRPr="009B3747">
        <w:rPr>
          <w:rFonts w:eastAsia="Times New Roman" w:cstheme="minorHAnsi"/>
          <w:color w:val="000000"/>
          <w:lang w:eastAsia="en-GB"/>
        </w:rPr>
        <w:t xml:space="preserve"> </w:t>
      </w:r>
      <w:r w:rsidR="001C33BA"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"ISBN" : "9781473912458", "abstract" : "Second edition. \"Showing you how to take a structured and organized approach to a wide range of literature review types, this book helps you to choose which approach is right for your research. Packed with constructive tools, examples, case studies and hands-on exercises, the book covers the full range of literature review techniques\" -- Getting started on your literature review -- Taking a systematic approach to your literature review -- Choosing your review methods -- Planning and conducting your literature review -- Defining your scope -- Searching the literature -- Assessing the evidence base -- Synthesising and analysing quantitative studies -- Synthesising and analysing qualitative studies -- Writing, presenting and disseminating your review.", "author" : [ { "dropping-particle" : "", "family" : "Booth", "given" : "Andrew", "non-dropping-particle" : "", "parse-names" : false, "suffix" : "" }, { "dropping-particle" : "", "family" : "Sutton", "given" : "Anthea", "non-dropping-particle" : "", "parse-names" : false, "suffix" : "" }, { "dropping-particle" : "", "family" : "Papaioannou", "given" : "Diana", "non-dropping-particle" : "", "parse-names" : false, "suffix" : "" } ], "edition" : "2nd", "id" : "ITEM-1", "issued" : { "date-parts" : [ [ "2016" ] ] }, "publisher" : "Sage Publications", "publisher-place" : "London", "title" : "Systematic approaches to a successful literature review", "type" : "book" }, "uris" : [ "http://www.mendeley.com/documents/?uuid=165d8b81-c710-317d-a572-bc4ecf94c7a8" ] } ], "mendeley" : { "formattedCitation" : "(Booth et al., 2016)", "manualFormatting" : "(Booth et al., 2016, p.86)", "plainTextFormattedCitation" : "(Booth et al., 2016)", "previouslyFormattedCitation" : "(Booth et al., 2016)" }, "properties" : { "noteIndex" : 0 }, "schema" : "https://github.com/citation-style-language/schema/raw/master/csl-citation.json" }</w:instrText>
      </w:r>
      <w:r w:rsidR="001C33BA" w:rsidRPr="009B3747">
        <w:rPr>
          <w:rFonts w:eastAsia="Times New Roman" w:cstheme="minorHAnsi"/>
          <w:color w:val="000000"/>
          <w:lang w:eastAsia="en-GB"/>
        </w:rPr>
        <w:fldChar w:fldCharType="separate"/>
      </w:r>
      <w:r w:rsidR="001C33BA" w:rsidRPr="009B3747">
        <w:rPr>
          <w:rFonts w:eastAsia="Times New Roman" w:cstheme="minorHAnsi"/>
          <w:noProof/>
          <w:color w:val="000000"/>
          <w:lang w:eastAsia="en-GB"/>
        </w:rPr>
        <w:t>(Booth et al., 2016</w:t>
      </w:r>
      <w:r w:rsidR="00FB5B00" w:rsidRPr="009B3747">
        <w:rPr>
          <w:rFonts w:eastAsia="Times New Roman" w:cstheme="minorHAnsi"/>
          <w:noProof/>
          <w:color w:val="000000"/>
          <w:lang w:eastAsia="en-GB"/>
        </w:rPr>
        <w:t>, p.</w:t>
      </w:r>
      <w:r w:rsidR="001C33BA" w:rsidRPr="009B3747">
        <w:rPr>
          <w:rFonts w:eastAsia="Times New Roman" w:cstheme="minorHAnsi"/>
          <w:noProof/>
          <w:color w:val="000000"/>
          <w:lang w:eastAsia="en-GB"/>
        </w:rPr>
        <w:t>86)</w:t>
      </w:r>
      <w:r w:rsidR="001C33BA" w:rsidRPr="009B3747">
        <w:rPr>
          <w:rFonts w:eastAsia="Times New Roman" w:cstheme="minorHAnsi"/>
          <w:color w:val="000000"/>
          <w:lang w:eastAsia="en-GB"/>
        </w:rPr>
        <w:fldChar w:fldCharType="end"/>
      </w:r>
      <w:r w:rsidR="001C33BA" w:rsidRPr="009B3747">
        <w:rPr>
          <w:rFonts w:eastAsia="Times New Roman" w:cstheme="minorHAnsi"/>
          <w:color w:val="000000"/>
          <w:lang w:eastAsia="en-GB"/>
        </w:rPr>
        <w:t xml:space="preserve">.  </w:t>
      </w:r>
      <w:r w:rsidRPr="009B3747">
        <w:rPr>
          <w:rFonts w:eastAsia="Times New Roman" w:cstheme="minorHAnsi"/>
          <w:color w:val="000000"/>
          <w:lang w:eastAsia="en-GB"/>
        </w:rPr>
        <w:t>Argued to be appropriate for qualitative research questions, the SPICE framework (Setting, Perspective, Interest - Phenomenon of, Comparison, Evaluation), enabled key concepts to be identified and key search term</w:t>
      </w:r>
      <w:r w:rsidR="00E379EE" w:rsidRPr="009B3747">
        <w:rPr>
          <w:rFonts w:eastAsia="Times New Roman" w:cstheme="minorHAnsi"/>
          <w:color w:val="000000"/>
          <w:lang w:eastAsia="en-GB"/>
        </w:rPr>
        <w:t>s to be developed (T</w:t>
      </w:r>
      <w:r w:rsidR="00846B21" w:rsidRPr="009B3747">
        <w:rPr>
          <w:rFonts w:eastAsia="Times New Roman" w:cstheme="minorHAnsi"/>
          <w:color w:val="000000"/>
          <w:lang w:eastAsia="en-GB"/>
        </w:rPr>
        <w:t>able 3.1</w:t>
      </w:r>
      <w:r w:rsidR="00E379EE" w:rsidRPr="009B3747">
        <w:rPr>
          <w:rFonts w:eastAsia="Times New Roman" w:cstheme="minorHAnsi"/>
          <w:color w:val="000000"/>
          <w:lang w:eastAsia="en-GB"/>
        </w:rPr>
        <w:t xml:space="preserve">), </w:t>
      </w:r>
      <w:r w:rsidR="001C33BA"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"ISBN" : "978-1856044714", "author" : [ { "dropping-particle" : "", "family" : "Booth", "given" : "Andrew", "non-dropping-particle" : "", "parse-names" : false, "suffix" : "" } ], "container-title" : "Evidence-based practice for information professionals: a handbook", "id" : "ITEM-1", "issued" : { "date-parts" : [ [ "2004" ] ] }, "page" : "61-70", "publisher" : "Facet", "publisher-place" : "London", "title" : "Formulating answerable questions", "type" : "chapter" }, "uris" : [ "http://www.mendeley.com/documents/?uuid=a754a227-13f8-3173-bb62-a592e8645400" ] } ], "mendeley" : { "formattedCitation" : "(Booth, 2004)", "plainTextFormattedCitation" : "(Booth, 2004)", "previouslyFormattedCitation" : "(Booth, 2004)" }, "properties" : { "noteIndex" : 0 }, "schema" : "https://github.com/citation-style-language/schema/raw/master/csl-citation.json" }</w:instrText>
      </w:r>
      <w:r w:rsidR="001C33BA" w:rsidRPr="009B3747">
        <w:rPr>
          <w:rFonts w:eastAsia="Times New Roman" w:cstheme="minorHAnsi"/>
          <w:color w:val="000000"/>
          <w:lang w:eastAsia="en-GB"/>
        </w:rPr>
        <w:fldChar w:fldCharType="separate"/>
      </w:r>
      <w:r w:rsidR="00B22CC4" w:rsidRPr="009B3747">
        <w:rPr>
          <w:rFonts w:eastAsia="Times New Roman" w:cstheme="minorHAnsi"/>
          <w:noProof/>
          <w:color w:val="000000"/>
          <w:lang w:eastAsia="en-GB"/>
        </w:rPr>
        <w:t>(Booth, 2004)</w:t>
      </w:r>
      <w:r w:rsidR="001C33BA" w:rsidRPr="009B3747">
        <w:rPr>
          <w:rFonts w:eastAsia="Times New Roman" w:cstheme="minorHAnsi"/>
          <w:color w:val="000000"/>
          <w:lang w:eastAsia="en-GB"/>
        </w:rPr>
        <w:fldChar w:fldCharType="end"/>
      </w:r>
      <w:r w:rsidR="001C33BA"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 </w:t>
      </w:r>
    </w:p>
    <w:p w:rsidR="00B37AD3" w:rsidRPr="009B3747" w:rsidRDefault="00B37AD3" w:rsidP="003F1507">
      <w:pPr>
        <w:rPr>
          <w:rFonts w:eastAsia="Times New Roman" w:cstheme="minorHAnsi"/>
          <w:color w:val="000000"/>
          <w:lang w:eastAsia="en-GB"/>
        </w:rPr>
      </w:pPr>
    </w:p>
    <w:p w:rsidR="00B37AD3" w:rsidRPr="009B3747" w:rsidRDefault="00B37AD3" w:rsidP="003F1507">
      <w:pPr>
        <w:rPr>
          <w:rFonts w:eastAsia="Times New Roman" w:cstheme="minorHAnsi"/>
          <w:color w:val="000000"/>
          <w:lang w:eastAsia="en-GB"/>
        </w:rPr>
      </w:pPr>
      <w:r w:rsidRPr="009B3747">
        <w:rPr>
          <w:rFonts w:eastAsia="Times New Roman" w:cstheme="minorHAnsi"/>
          <w:color w:val="000000"/>
          <w:lang w:eastAsia="en-GB"/>
        </w:rPr>
        <w:lastRenderedPageBreak/>
        <w:t xml:space="preserve">In order to trial the appropriateness of the key concepts and search terms developed from the SPICE framework, scoping searches were undertaken in August 2015 for the purpose of preparing for PhD confirmation review.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846B21" w:rsidP="00961B10">
      <w:pPr>
        <w:spacing w:line="240" w:lineRule="auto"/>
        <w:rPr>
          <w:rFonts w:eastAsia="Times New Roman" w:cstheme="minorHAnsi"/>
          <w:color w:val="000000"/>
          <w:u w:val="single"/>
          <w:lang w:eastAsia="en-GB"/>
        </w:rPr>
      </w:pPr>
      <w:r w:rsidRPr="009B3747">
        <w:rPr>
          <w:rFonts w:eastAsia="Times New Roman" w:cstheme="minorHAnsi"/>
          <w:color w:val="000000"/>
          <w:u w:val="single"/>
          <w:lang w:eastAsia="en-GB"/>
        </w:rPr>
        <w:t>Table 3.1</w:t>
      </w:r>
      <w:r w:rsidR="003F1507" w:rsidRPr="009B3747">
        <w:rPr>
          <w:rFonts w:eastAsia="Times New Roman" w:cstheme="minorHAnsi"/>
          <w:color w:val="000000"/>
          <w:u w:val="single"/>
          <w:lang w:eastAsia="en-GB"/>
        </w:rPr>
        <w:t xml:space="preserve"> - SPICE framework used to define the review scope and study selection</w:t>
      </w:r>
    </w:p>
    <w:p w:rsidR="00961B10" w:rsidRPr="009B3747" w:rsidRDefault="00961B10" w:rsidP="00961B10">
      <w:pPr>
        <w:spacing w:line="240" w:lineRule="auto"/>
        <w:rPr>
          <w:rFonts w:eastAsia="Times New Roman" w:cstheme="minorHAnsi"/>
          <w:sz w:val="24"/>
          <w:szCs w:val="24"/>
          <w:u w:val="single"/>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684"/>
        <w:gridCol w:w="4819"/>
      </w:tblGrid>
      <w:tr w:rsidR="003F1507" w:rsidRPr="009B3747" w:rsidTr="000F73E5">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Setting</w:t>
            </w:r>
          </w:p>
        </w:tc>
        <w:tc>
          <w:tcPr>
            <w:tcW w:w="48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Secondary schools in England</w:t>
            </w:r>
          </w:p>
        </w:tc>
      </w:tr>
      <w:tr w:rsidR="003F1507" w:rsidRPr="009B3747" w:rsidTr="000F73E5">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Perspective</w:t>
            </w:r>
          </w:p>
        </w:tc>
        <w:tc>
          <w:tcPr>
            <w:tcW w:w="48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Headteachers or chairs of governors</w:t>
            </w:r>
          </w:p>
        </w:tc>
      </w:tr>
      <w:tr w:rsidR="003F1507" w:rsidRPr="009B3747" w:rsidTr="000F73E5">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Interest (Phenomenon of)</w:t>
            </w:r>
          </w:p>
        </w:tc>
        <w:tc>
          <w:tcPr>
            <w:tcW w:w="48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Adolescent obesity</w:t>
            </w:r>
          </w:p>
        </w:tc>
      </w:tr>
      <w:tr w:rsidR="003F1507" w:rsidRPr="009B3747" w:rsidTr="000F73E5">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Comparison</w:t>
            </w:r>
          </w:p>
        </w:tc>
        <w:tc>
          <w:tcPr>
            <w:tcW w:w="48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Not applicable</w:t>
            </w:r>
          </w:p>
        </w:tc>
      </w:tr>
      <w:tr w:rsidR="003F1507" w:rsidRPr="009B3747" w:rsidTr="000F73E5">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Evaluation</w:t>
            </w:r>
          </w:p>
        </w:tc>
        <w:tc>
          <w:tcPr>
            <w:tcW w:w="48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Perspectives</w:t>
            </w:r>
          </w:p>
        </w:tc>
      </w:tr>
    </w:tbl>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A preliminary scoping search was repeated again in February 2017.  The scoping searches on both occasions resulted in no directly relevant studies being identified despite five large electronic databases being utilised (Medline,</w:t>
      </w:r>
      <w:r w:rsidR="00E379EE" w:rsidRPr="009B3747">
        <w:rPr>
          <w:rFonts w:eastAsia="Times New Roman" w:cstheme="minorHAnsi"/>
          <w:color w:val="000000"/>
          <w:lang w:eastAsia="en-GB"/>
        </w:rPr>
        <w:t xml:space="preserve"> </w:t>
      </w:r>
      <w:r w:rsidRPr="009B3747">
        <w:rPr>
          <w:rFonts w:eastAsia="Times New Roman" w:cstheme="minorHAnsi"/>
          <w:color w:val="000000"/>
          <w:lang w:eastAsia="en-GB"/>
        </w:rPr>
        <w:t>PubMed, EMBASE, PsychINFO, CINAHL).  The searches did however result in a number of studies being discovered</w:t>
      </w:r>
      <w:r w:rsidR="0071085A">
        <w:rPr>
          <w:rFonts w:eastAsia="Times New Roman" w:cstheme="minorHAnsi"/>
          <w:color w:val="000000"/>
          <w:lang w:eastAsia="en-GB"/>
        </w:rPr>
        <w:t>,</w:t>
      </w:r>
      <w:r w:rsidRPr="009B3747">
        <w:rPr>
          <w:rFonts w:eastAsia="Times New Roman" w:cstheme="minorHAnsi"/>
          <w:color w:val="000000"/>
          <w:lang w:eastAsia="en-GB"/>
        </w:rPr>
        <w:t xml:space="preserve"> which although were </w:t>
      </w:r>
      <w:r w:rsidR="00133672" w:rsidRPr="009B3747">
        <w:rPr>
          <w:rFonts w:eastAsia="Times New Roman" w:cstheme="minorHAnsi"/>
          <w:color w:val="000000"/>
          <w:lang w:eastAsia="en-GB"/>
        </w:rPr>
        <w:t xml:space="preserve">perceived </w:t>
      </w:r>
      <w:r w:rsidRPr="009B3747">
        <w:rPr>
          <w:rFonts w:eastAsia="Times New Roman" w:cstheme="minorHAnsi"/>
          <w:color w:val="000000"/>
          <w:lang w:eastAsia="en-GB"/>
        </w:rPr>
        <w:t>to be outside of the defined scope presented in table</w:t>
      </w:r>
      <w:r w:rsidR="00E379EE" w:rsidRPr="009B3747">
        <w:rPr>
          <w:rFonts w:eastAsia="Times New Roman" w:cstheme="minorHAnsi"/>
          <w:color w:val="000000"/>
          <w:lang w:eastAsia="en-GB"/>
        </w:rPr>
        <w:t xml:space="preserve"> 3.1</w:t>
      </w:r>
      <w:r w:rsidRPr="009B3747">
        <w:rPr>
          <w:rFonts w:eastAsia="Times New Roman" w:cstheme="minorHAnsi"/>
          <w:color w:val="000000"/>
          <w:lang w:eastAsia="en-GB"/>
        </w:rPr>
        <w:t>, were still viewed as offering potential value.  This included qualitative empirical research exploring primary school headteachers</w:t>
      </w:r>
      <w:r w:rsidR="00E379EE" w:rsidRPr="009B3747">
        <w:rPr>
          <w:rFonts w:eastAsia="Times New Roman" w:cstheme="minorHAnsi"/>
          <w:color w:val="000000"/>
          <w:lang w:eastAsia="en-GB"/>
        </w:rPr>
        <w:t>’</w:t>
      </w:r>
      <w:r w:rsidRPr="009B3747">
        <w:rPr>
          <w:rFonts w:eastAsia="Times New Roman" w:cstheme="minorHAnsi"/>
          <w:color w:val="000000"/>
          <w:lang w:eastAsia="en-GB"/>
        </w:rPr>
        <w:t xml:space="preserve"> or chairs of governors</w:t>
      </w:r>
      <w:r w:rsidR="00E379EE" w:rsidRPr="009B3747">
        <w:rPr>
          <w:rFonts w:eastAsia="Times New Roman" w:cstheme="minorHAnsi"/>
          <w:color w:val="000000"/>
          <w:lang w:eastAsia="en-GB"/>
        </w:rPr>
        <w:t>’</w:t>
      </w:r>
      <w:r w:rsidRPr="009B3747">
        <w:rPr>
          <w:rFonts w:eastAsia="Times New Roman" w:cstheme="minorHAnsi"/>
          <w:color w:val="000000"/>
          <w:lang w:eastAsia="en-GB"/>
        </w:rPr>
        <w:t xml:space="preserve"> perspectives on childhood rather than adolescent obesity within both UK and non-UK settings.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Consultation with an expert in evidence based information practice</w:t>
      </w:r>
      <w:r w:rsidR="004944F2">
        <w:rPr>
          <w:rFonts w:eastAsia="Times New Roman" w:cstheme="minorHAnsi"/>
          <w:color w:val="000000"/>
          <w:lang w:eastAsia="en-GB"/>
        </w:rPr>
        <w:t>,</w:t>
      </w:r>
      <w:r w:rsidRPr="009B3747">
        <w:rPr>
          <w:rFonts w:eastAsia="Times New Roman" w:cstheme="minorHAnsi"/>
          <w:color w:val="000000"/>
          <w:lang w:eastAsia="en-GB"/>
        </w:rPr>
        <w:t xml:space="preserve"> confirmed that whilst it is entirely legitimate for a systematic review to yield minimal or in fact no studies, in this instance there would be value in widening the original scope of the review (Personal Communication, 2017 - Dr Andrew Booth, ScHARR, The University of Sheffield).  It was agreed that although adopting a broader scope could reduce the direct rel</w:t>
      </w:r>
      <w:r w:rsidR="004944F2">
        <w:rPr>
          <w:rFonts w:eastAsia="Times New Roman" w:cstheme="minorHAnsi"/>
          <w:color w:val="000000"/>
          <w:lang w:eastAsia="en-GB"/>
        </w:rPr>
        <w:t xml:space="preserve">evance of the findings obtained, </w:t>
      </w:r>
      <w:r w:rsidRPr="009B3747">
        <w:rPr>
          <w:rFonts w:eastAsia="Times New Roman" w:cstheme="minorHAnsi"/>
          <w:color w:val="000000"/>
          <w:lang w:eastAsia="en-GB"/>
        </w:rPr>
        <w:t>resultant studies centred on alternative settings (i.e</w:t>
      </w:r>
      <w:r w:rsidR="00E379EE" w:rsidRPr="009B3747">
        <w:rPr>
          <w:rFonts w:eastAsia="Times New Roman" w:cstheme="minorHAnsi"/>
          <w:color w:val="000000"/>
          <w:lang w:eastAsia="en-GB"/>
        </w:rPr>
        <w:t>.</w:t>
      </w:r>
      <w:r w:rsidRPr="009B3747">
        <w:rPr>
          <w:rFonts w:eastAsia="Times New Roman" w:cstheme="minorHAnsi"/>
          <w:color w:val="000000"/>
          <w:lang w:eastAsia="en-GB"/>
        </w:rPr>
        <w:t xml:space="preserve"> primary instead of secondary schools</w:t>
      </w:r>
      <w:r w:rsidR="0043373D" w:rsidRPr="009B3747">
        <w:rPr>
          <w:rFonts w:eastAsia="Times New Roman" w:cstheme="minorHAnsi"/>
          <w:color w:val="000000"/>
          <w:lang w:eastAsia="en-GB"/>
        </w:rPr>
        <w:t xml:space="preserve"> and non-UK instead of UK</w:t>
      </w:r>
      <w:r w:rsidR="004944F2">
        <w:rPr>
          <w:rFonts w:eastAsia="Times New Roman" w:cstheme="minorHAnsi"/>
          <w:color w:val="000000"/>
          <w:lang w:eastAsia="en-GB"/>
        </w:rPr>
        <w:t>), s</w:t>
      </w:r>
      <w:r w:rsidRPr="009B3747">
        <w:rPr>
          <w:rFonts w:eastAsia="Times New Roman" w:cstheme="minorHAnsi"/>
          <w:color w:val="000000"/>
          <w:lang w:eastAsia="en-GB"/>
        </w:rPr>
        <w:t>till could contribute useful and pertinent insights.  Consequently the research question for the postgraduate research study was refined and expanded for</w:t>
      </w:r>
      <w:r w:rsidR="0083682E" w:rsidRPr="009B3747">
        <w:rPr>
          <w:rFonts w:eastAsia="Times New Roman" w:cstheme="minorHAnsi"/>
          <w:color w:val="000000"/>
          <w:lang w:eastAsia="en-GB"/>
        </w:rPr>
        <w:t xml:space="preserve"> the purpose of this review to:</w:t>
      </w:r>
      <w:r w:rsidRPr="009B3747">
        <w:rPr>
          <w:rFonts w:eastAsia="Times New Roman" w:cstheme="minorHAnsi"/>
          <w:color w:val="000000"/>
          <w:lang w:eastAsia="en-GB"/>
        </w:rPr>
        <w:t xml:space="preserve">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83682E" w:rsidP="003F1507">
      <w:pPr>
        <w:rPr>
          <w:rFonts w:eastAsia="Times New Roman" w:cstheme="minorHAnsi"/>
          <w:sz w:val="24"/>
          <w:szCs w:val="24"/>
          <w:lang w:eastAsia="en-GB"/>
        </w:rPr>
      </w:pPr>
      <w:r w:rsidRPr="009B3747">
        <w:rPr>
          <w:rFonts w:eastAsia="Times New Roman" w:cstheme="minorHAnsi"/>
          <w:i/>
          <w:iCs/>
          <w:color w:val="000000"/>
          <w:lang w:eastAsia="en-GB"/>
        </w:rPr>
        <w:t>‘</w:t>
      </w:r>
      <w:r w:rsidR="003F1507" w:rsidRPr="009B3747">
        <w:rPr>
          <w:rFonts w:eastAsia="Times New Roman" w:cstheme="minorHAnsi"/>
          <w:i/>
          <w:iCs/>
          <w:color w:val="000000"/>
          <w:lang w:eastAsia="en-GB"/>
        </w:rPr>
        <w:t>What are headteachers</w:t>
      </w:r>
      <w:r w:rsidR="001C33BA" w:rsidRPr="009B3747">
        <w:rPr>
          <w:rFonts w:eastAsia="Times New Roman" w:cstheme="minorHAnsi"/>
          <w:i/>
          <w:iCs/>
          <w:color w:val="000000"/>
          <w:lang w:eastAsia="en-GB"/>
        </w:rPr>
        <w:t>’</w:t>
      </w:r>
      <w:r w:rsidR="003F1507" w:rsidRPr="009B3747">
        <w:rPr>
          <w:rFonts w:eastAsia="Times New Roman" w:cstheme="minorHAnsi"/>
          <w:i/>
          <w:iCs/>
          <w:color w:val="000000"/>
          <w:lang w:eastAsia="en-GB"/>
        </w:rPr>
        <w:t xml:space="preserve"> and chairs of governors</w:t>
      </w:r>
      <w:r w:rsidR="001C33BA" w:rsidRPr="009B3747">
        <w:rPr>
          <w:rFonts w:eastAsia="Times New Roman" w:cstheme="minorHAnsi"/>
          <w:i/>
          <w:iCs/>
          <w:color w:val="000000"/>
          <w:lang w:eastAsia="en-GB"/>
        </w:rPr>
        <w:t>’</w:t>
      </w:r>
      <w:r w:rsidR="003F1507" w:rsidRPr="009B3747">
        <w:rPr>
          <w:rFonts w:eastAsia="Times New Roman" w:cstheme="minorHAnsi"/>
          <w:i/>
          <w:iCs/>
          <w:color w:val="000000"/>
          <w:lang w:eastAsia="en-GB"/>
        </w:rPr>
        <w:t xml:space="preserve"> perspectives on childhood or adolescent obesity and its</w:t>
      </w:r>
      <w:r w:rsidRPr="009B3747">
        <w:rPr>
          <w:rFonts w:eastAsia="Times New Roman" w:cstheme="minorHAnsi"/>
          <w:i/>
          <w:iCs/>
          <w:color w:val="000000"/>
          <w:lang w:eastAsia="en-GB"/>
        </w:rPr>
        <w:t xml:space="preserve"> prevention in school settings?’</w:t>
      </w:r>
    </w:p>
    <w:p w:rsidR="00961B10"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961B10" w:rsidRPr="009B3747" w:rsidRDefault="003F1507" w:rsidP="003F1507">
      <w:pPr>
        <w:rPr>
          <w:rFonts w:eastAsia="Times New Roman" w:cstheme="minorHAnsi"/>
          <w:color w:val="000000"/>
          <w:lang w:eastAsia="en-GB"/>
        </w:rPr>
      </w:pPr>
      <w:r w:rsidRPr="009B3747">
        <w:rPr>
          <w:rFonts w:eastAsia="Times New Roman" w:cstheme="minorHAnsi"/>
          <w:color w:val="000000"/>
          <w:lang w:eastAsia="en-GB"/>
        </w:rPr>
        <w:lastRenderedPageBreak/>
        <w:t xml:space="preserve">In addition, to refining the review question, the associated SPICE framework was revisited and revised </w:t>
      </w:r>
      <w:r w:rsidR="00961B10" w:rsidRPr="009B3747">
        <w:rPr>
          <w:rFonts w:eastAsia="Times New Roman" w:cstheme="minorHAnsi"/>
          <w:color w:val="000000"/>
          <w:lang w:eastAsia="en-GB"/>
        </w:rPr>
        <w:t>(Table 3.2).</w:t>
      </w:r>
    </w:p>
    <w:p w:rsidR="003F1507" w:rsidRPr="009B3747" w:rsidRDefault="003F1507" w:rsidP="003F1507">
      <w:pPr>
        <w:rPr>
          <w:rFonts w:eastAsia="Times New Roman" w:cstheme="minorHAnsi"/>
          <w:sz w:val="24"/>
          <w:szCs w:val="24"/>
          <w:lang w:eastAsia="en-GB"/>
        </w:rPr>
      </w:pPr>
    </w:p>
    <w:p w:rsidR="003F1507" w:rsidRPr="009B3747" w:rsidRDefault="00846B21" w:rsidP="00961B10">
      <w:pPr>
        <w:spacing w:line="240" w:lineRule="auto"/>
        <w:rPr>
          <w:rFonts w:eastAsia="Times New Roman" w:cstheme="minorHAnsi"/>
          <w:color w:val="000000"/>
          <w:u w:val="single"/>
          <w:lang w:eastAsia="en-GB"/>
        </w:rPr>
      </w:pPr>
      <w:r w:rsidRPr="009B3747">
        <w:rPr>
          <w:rFonts w:eastAsia="Times New Roman" w:cstheme="minorHAnsi"/>
          <w:color w:val="000000"/>
          <w:u w:val="single"/>
          <w:lang w:eastAsia="en-GB"/>
        </w:rPr>
        <w:t>Table 3.2</w:t>
      </w:r>
      <w:r w:rsidR="003F1507" w:rsidRPr="009B3747">
        <w:rPr>
          <w:rFonts w:eastAsia="Times New Roman" w:cstheme="minorHAnsi"/>
          <w:color w:val="000000"/>
          <w:u w:val="single"/>
          <w:lang w:eastAsia="en-GB"/>
        </w:rPr>
        <w:t xml:space="preserve"> - Revised SPICE framework used to define the review scope</w:t>
      </w:r>
    </w:p>
    <w:p w:rsidR="00961B10" w:rsidRPr="009B3747" w:rsidRDefault="00961B10" w:rsidP="00961B10">
      <w:pPr>
        <w:spacing w:line="240" w:lineRule="auto"/>
        <w:rPr>
          <w:rFonts w:eastAsia="Times New Roman" w:cstheme="minorHAnsi"/>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684"/>
        <w:gridCol w:w="5103"/>
      </w:tblGrid>
      <w:tr w:rsidR="003F1507" w:rsidRPr="009B3747" w:rsidTr="000F73E5">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Setting</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Schools (at primary or secondary education level - 5-16yrs) in a UK or non-UK context</w:t>
            </w:r>
          </w:p>
        </w:tc>
      </w:tr>
      <w:tr w:rsidR="003F1507" w:rsidRPr="009B3747" w:rsidTr="000F73E5">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Perspective</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Headteachers or chairs of governors</w:t>
            </w:r>
          </w:p>
        </w:tc>
      </w:tr>
      <w:tr w:rsidR="003F1507" w:rsidRPr="009B3747" w:rsidTr="000F73E5">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Interest (Phenomenon of)</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Childhood or adolescent obesity</w:t>
            </w:r>
          </w:p>
        </w:tc>
      </w:tr>
      <w:tr w:rsidR="003F1507" w:rsidRPr="009B3747" w:rsidTr="000F73E5">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Comparison</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Not applicable</w:t>
            </w:r>
          </w:p>
        </w:tc>
      </w:tr>
      <w:tr w:rsidR="003F1507" w:rsidRPr="009B3747" w:rsidTr="000F73E5">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Evaluation</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Perspectives</w:t>
            </w:r>
          </w:p>
        </w:tc>
      </w:tr>
    </w:tbl>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sz w:val="24"/>
          <w:szCs w:val="24"/>
          <w:lang w:eastAsia="en-GB"/>
        </w:rPr>
        <w:t> </w:t>
      </w:r>
    </w:p>
    <w:p w:rsidR="0043373D" w:rsidRPr="009B3747" w:rsidRDefault="0043373D" w:rsidP="003F1507">
      <w:pPr>
        <w:rPr>
          <w:rFonts w:eastAsia="Times New Roman" w:cstheme="minorHAnsi"/>
          <w:sz w:val="24"/>
          <w:szCs w:val="24"/>
          <w:lang w:eastAsia="en-GB"/>
        </w:rPr>
      </w:pPr>
    </w:p>
    <w:p w:rsidR="003F1507" w:rsidRPr="009B3747" w:rsidRDefault="00C34D84" w:rsidP="003F1507">
      <w:pPr>
        <w:rPr>
          <w:rFonts w:eastAsia="Times New Roman" w:cstheme="minorHAnsi"/>
          <w:b/>
          <w:color w:val="000000"/>
          <w:sz w:val="24"/>
          <w:szCs w:val="24"/>
          <w:u w:val="single"/>
          <w:lang w:eastAsia="en-GB"/>
        </w:rPr>
      </w:pPr>
      <w:r w:rsidRPr="009B3747">
        <w:rPr>
          <w:rFonts w:eastAsia="Times New Roman" w:cstheme="minorHAnsi"/>
          <w:b/>
          <w:color w:val="000000"/>
          <w:sz w:val="24"/>
          <w:szCs w:val="24"/>
          <w:u w:val="single"/>
          <w:lang w:eastAsia="en-GB"/>
        </w:rPr>
        <w:t>3</w:t>
      </w:r>
      <w:r w:rsidR="00C967E9" w:rsidRPr="009B3747">
        <w:rPr>
          <w:rFonts w:eastAsia="Times New Roman" w:cstheme="minorHAnsi"/>
          <w:b/>
          <w:color w:val="000000"/>
          <w:sz w:val="24"/>
          <w:szCs w:val="24"/>
          <w:u w:val="single"/>
          <w:lang w:eastAsia="en-GB"/>
        </w:rPr>
        <w:t>.3</w:t>
      </w:r>
      <w:r w:rsidR="00E379EE" w:rsidRPr="009B3747">
        <w:rPr>
          <w:rFonts w:eastAsia="Times New Roman" w:cstheme="minorHAnsi"/>
          <w:b/>
          <w:color w:val="000000"/>
          <w:sz w:val="24"/>
          <w:szCs w:val="24"/>
          <w:u w:val="single"/>
          <w:lang w:eastAsia="en-GB"/>
        </w:rPr>
        <w:t xml:space="preserve"> Review methods</w:t>
      </w:r>
    </w:p>
    <w:p w:rsidR="00E379EE" w:rsidRPr="009B3747" w:rsidRDefault="00E379EE" w:rsidP="003F1507">
      <w:pPr>
        <w:rPr>
          <w:rFonts w:eastAsia="Times New Roman" w:cstheme="minorHAnsi"/>
          <w:color w:val="000000"/>
          <w:u w:val="single"/>
          <w:lang w:eastAsia="en-GB"/>
        </w:rPr>
      </w:pPr>
    </w:p>
    <w:p w:rsidR="00E379EE" w:rsidRPr="009B3747" w:rsidRDefault="00C967E9" w:rsidP="003F1507">
      <w:pPr>
        <w:rPr>
          <w:rFonts w:eastAsia="Times New Roman" w:cstheme="minorHAnsi"/>
          <w:sz w:val="24"/>
          <w:szCs w:val="24"/>
          <w:lang w:eastAsia="en-GB"/>
        </w:rPr>
      </w:pPr>
      <w:r w:rsidRPr="009B3747">
        <w:rPr>
          <w:rFonts w:eastAsia="Times New Roman" w:cstheme="minorHAnsi"/>
          <w:color w:val="000000"/>
          <w:u w:val="single"/>
          <w:lang w:eastAsia="en-GB"/>
        </w:rPr>
        <w:t>3.3</w:t>
      </w:r>
      <w:r w:rsidR="00E379EE" w:rsidRPr="009B3747">
        <w:rPr>
          <w:rFonts w:eastAsia="Times New Roman" w:cstheme="minorHAnsi"/>
          <w:color w:val="000000"/>
          <w:u w:val="single"/>
          <w:lang w:eastAsia="en-GB"/>
        </w:rPr>
        <w:t xml:space="preserve">.1 Search strategy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color w:val="000000"/>
          <w:lang w:eastAsia="en-GB"/>
        </w:rPr>
      </w:pPr>
      <w:r w:rsidRPr="009B3747">
        <w:rPr>
          <w:rFonts w:eastAsia="Times New Roman" w:cstheme="minorHAnsi"/>
          <w:color w:val="000000"/>
          <w:lang w:eastAsia="en-GB"/>
        </w:rPr>
        <w:t xml:space="preserve">Prior to conducting the literature search, the SPICE framework formed the basis of identifying an </w:t>
      </w:r>
      <w:r w:rsidR="004944F2">
        <w:rPr>
          <w:rFonts w:eastAsia="Times New Roman" w:cstheme="minorHAnsi"/>
          <w:color w:val="000000"/>
          <w:lang w:eastAsia="en-GB"/>
        </w:rPr>
        <w:t>extensive range of keywords, which</w:t>
      </w:r>
      <w:r w:rsidRPr="009B3747">
        <w:rPr>
          <w:rFonts w:eastAsia="Times New Roman" w:cstheme="minorHAnsi"/>
          <w:color w:val="000000"/>
          <w:lang w:eastAsia="en-GB"/>
        </w:rPr>
        <w:t xml:space="preserve"> could be employed using Boolean logic and adjacency operati</w:t>
      </w:r>
      <w:r w:rsidR="00FE4357">
        <w:rPr>
          <w:rFonts w:eastAsia="Times New Roman" w:cstheme="minorHAnsi"/>
          <w:color w:val="000000"/>
          <w:lang w:eastAsia="en-GB"/>
        </w:rPr>
        <w:t xml:space="preserve">ons within electronic databases, </w:t>
      </w:r>
      <w:r w:rsidRPr="009B3747">
        <w:rPr>
          <w:rFonts w:eastAsia="Times New Roman" w:cstheme="minorHAnsi"/>
          <w:color w:val="000000"/>
          <w:lang w:eastAsia="en-GB"/>
        </w:rPr>
        <w:t>i.e. combining words or phrases with operators such as AND, OR or ADJ</w:t>
      </w:r>
      <w:r w:rsidR="001C33BA" w:rsidRPr="009B3747">
        <w:rPr>
          <w:rFonts w:eastAsia="Times New Roman" w:cstheme="minorHAnsi"/>
          <w:color w:val="000000"/>
          <w:lang w:eastAsia="en-GB"/>
        </w:rPr>
        <w:t xml:space="preserve"> </w:t>
      </w:r>
      <w:r w:rsidR="001C33BA" w:rsidRPr="009B3747">
        <w:rPr>
          <w:rFonts w:eastAsia="Times New Roman" w:cstheme="minorHAnsi"/>
          <w:color w:val="000000"/>
          <w:lang w:eastAsia="en-GB"/>
        </w:rPr>
        <w:fldChar w:fldCharType="begin" w:fldLock="1"/>
      </w:r>
      <w:r w:rsidR="00A84723" w:rsidRPr="009B3747">
        <w:rPr>
          <w:rFonts w:eastAsia="Times New Roman" w:cstheme="minorHAnsi"/>
          <w:color w:val="000000"/>
          <w:lang w:eastAsia="en-GB"/>
        </w:rPr>
        <w:instrText>ADDIN CSL_CITATION { "citationItems" : [ { "id" : "ITEM-1", "itemData" : { "ISBN" : "0761968091", "abstract" : "Includes index. Basic knowledge: organization of the literature, planning techniques and search management -- Literature types: working through the bibliographical framework -- Using information communications technology: more advanced knowledge and techniques.", "author" : [ { "dropping-particle" : "", "family" : "Hart", "given" : "Chris.", "non-dropping-particle" : "", "parse-names" : false, "suffix" : "" } ], "id" : "ITEM-1", "issued" : { "date-parts" : [ [ "2001" ] ] }, "number-of-pages" : "194", "publisher" : "SAGE Publications Ltd", "publisher-place" : "London", "title" : "Doing a literature search : a comprehensive guide for the social sciences", "type" : "book" }, "uris" : [ "http://www.mendeley.com/documents/?uuid=b32a2f22-c267-33ba-8e7f-c7ac74c66916" ] } ], "mendeley" : { "formattedCitation" : "(Hart, 2001)", "plainTextFormattedCitation" : "(Hart, 2001)", "previouslyFormattedCitation" : "(Hart, 2001)" }, "properties" : { "noteIndex" : 0 }, "schema" : "https://github.com/citation-style-language/schema/raw/master/csl-citation.json" }</w:instrText>
      </w:r>
      <w:r w:rsidR="001C33BA" w:rsidRPr="009B3747">
        <w:rPr>
          <w:rFonts w:eastAsia="Times New Roman" w:cstheme="minorHAnsi"/>
          <w:color w:val="000000"/>
          <w:lang w:eastAsia="en-GB"/>
        </w:rPr>
        <w:fldChar w:fldCharType="separate"/>
      </w:r>
      <w:r w:rsidR="00395650" w:rsidRPr="009B3747">
        <w:rPr>
          <w:rFonts w:eastAsia="Times New Roman" w:cstheme="minorHAnsi"/>
          <w:noProof/>
          <w:color w:val="000000"/>
          <w:lang w:eastAsia="en-GB"/>
        </w:rPr>
        <w:t>(Hart, 2001)</w:t>
      </w:r>
      <w:r w:rsidR="001C33BA" w:rsidRPr="009B3747">
        <w:rPr>
          <w:rFonts w:eastAsia="Times New Roman" w:cstheme="minorHAnsi"/>
          <w:color w:val="000000"/>
          <w:lang w:eastAsia="en-GB"/>
        </w:rPr>
        <w:fldChar w:fldCharType="end"/>
      </w:r>
      <w:r w:rsidRPr="009B3747">
        <w:rPr>
          <w:rFonts w:eastAsia="Times New Roman" w:cstheme="minorHAnsi"/>
          <w:color w:val="000000"/>
          <w:lang w:eastAsia="en-GB"/>
        </w:rPr>
        <w:t>.  This was in recognition of the fact that in different settings, different words</w:t>
      </w:r>
      <w:r w:rsidR="005B2B4F" w:rsidRPr="009B3747">
        <w:rPr>
          <w:rFonts w:eastAsia="Times New Roman" w:cstheme="minorHAnsi"/>
          <w:color w:val="000000"/>
          <w:lang w:eastAsia="en-GB"/>
        </w:rPr>
        <w:t xml:space="preserve"> or phrases could exist to deno</w:t>
      </w:r>
      <w:r w:rsidRPr="009B3747">
        <w:rPr>
          <w:rFonts w:eastAsia="Times New Roman" w:cstheme="minorHAnsi"/>
          <w:color w:val="000000"/>
          <w:lang w:eastAsia="en-GB"/>
        </w:rPr>
        <w:t>te the same participant or phenomenon of interest.  For example in non-UK settings, headteachers can be called ‘Principals’ or ‘Directors’ and obesity can be labelled ‘excess weight’ or ‘overweight’.  The comprehensive list of terms therefore utilised and combined during the searching proc</w:t>
      </w:r>
      <w:r w:rsidR="006B3384" w:rsidRPr="009B3747">
        <w:rPr>
          <w:rFonts w:eastAsia="Times New Roman" w:cstheme="minorHAnsi"/>
          <w:color w:val="000000"/>
          <w:lang w:eastAsia="en-GB"/>
        </w:rPr>
        <w:t xml:space="preserve">ess is presented in Appendix B. </w:t>
      </w:r>
      <w:r w:rsidRPr="009B3747">
        <w:rPr>
          <w:rFonts w:eastAsia="Times New Roman" w:cstheme="minorHAnsi"/>
          <w:color w:val="000000"/>
          <w:lang w:eastAsia="en-GB"/>
        </w:rPr>
        <w:t xml:space="preserve">  </w:t>
      </w:r>
    </w:p>
    <w:p w:rsidR="006B3384" w:rsidRPr="009B3747" w:rsidRDefault="006B3384" w:rsidP="003F1507">
      <w:pPr>
        <w:rPr>
          <w:rFonts w:eastAsia="Times New Roman" w:cstheme="minorHAnsi"/>
          <w:sz w:val="24"/>
          <w:szCs w:val="24"/>
          <w:lang w:eastAsia="en-GB"/>
        </w:rPr>
      </w:pP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 xml:space="preserve">Having established the key search words and the method of combining them (i.e. boolean logic), the researcher undertook three steps between March and June 2017, to ensure a systematic and robust searching process was completed -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numPr>
          <w:ilvl w:val="0"/>
          <w:numId w:val="7"/>
        </w:numPr>
        <w:textAlignment w:val="baseline"/>
        <w:rPr>
          <w:rFonts w:eastAsia="Times New Roman" w:cstheme="minorHAnsi"/>
          <w:color w:val="000000"/>
          <w:lang w:eastAsia="en-GB"/>
        </w:rPr>
      </w:pPr>
      <w:r w:rsidRPr="009B3747">
        <w:rPr>
          <w:rFonts w:eastAsia="Times New Roman" w:cstheme="minorHAnsi"/>
          <w:color w:val="000000"/>
          <w:lang w:eastAsia="en-GB"/>
        </w:rPr>
        <w:t xml:space="preserve">Via Healthcare Databases Advanced search (through NICE), the following electronic databases were searched - AMED, BNI, CINAHL, EMBASE, HMIC, Medline, PubMed, PsychINFO </w:t>
      </w:r>
    </w:p>
    <w:p w:rsidR="003F1507" w:rsidRPr="009B3747" w:rsidRDefault="003F1507" w:rsidP="003F1507">
      <w:pPr>
        <w:numPr>
          <w:ilvl w:val="0"/>
          <w:numId w:val="7"/>
        </w:numPr>
        <w:textAlignment w:val="baseline"/>
        <w:rPr>
          <w:rFonts w:eastAsia="Times New Roman" w:cstheme="minorHAnsi"/>
          <w:color w:val="000000"/>
          <w:lang w:eastAsia="en-GB"/>
        </w:rPr>
      </w:pPr>
      <w:r w:rsidRPr="009B3747">
        <w:rPr>
          <w:rFonts w:eastAsia="Times New Roman" w:cstheme="minorHAnsi"/>
          <w:color w:val="000000"/>
          <w:lang w:eastAsia="en-GB"/>
        </w:rPr>
        <w:lastRenderedPageBreak/>
        <w:t xml:space="preserve">Via EBSCO education databases, the following electronic databases were searched - </w:t>
      </w:r>
      <w:r w:rsidRPr="009B3747">
        <w:rPr>
          <w:rFonts w:eastAsia="Times New Roman" w:cstheme="minorHAnsi"/>
          <w:color w:val="000000"/>
          <w:shd w:val="clear" w:color="auto" w:fill="FFFFFF"/>
          <w:lang w:eastAsia="en-GB"/>
        </w:rPr>
        <w:t xml:space="preserve">Education Abstracts, British Education Index, Child Development &amp; Adolescent Studies, Educational Administration Abstracts, ERIC via </w:t>
      </w:r>
      <w:r w:rsidRPr="009B3747">
        <w:rPr>
          <w:rFonts w:eastAsia="Times New Roman" w:cstheme="minorHAnsi"/>
          <w:color w:val="000000"/>
          <w:lang w:eastAsia="en-GB"/>
        </w:rPr>
        <w:t xml:space="preserve">EBSCO </w:t>
      </w:r>
    </w:p>
    <w:p w:rsidR="003F1507" w:rsidRPr="009B3747" w:rsidRDefault="003F1507" w:rsidP="003F1507">
      <w:pPr>
        <w:numPr>
          <w:ilvl w:val="0"/>
          <w:numId w:val="7"/>
        </w:numPr>
        <w:textAlignment w:val="baseline"/>
        <w:rPr>
          <w:rFonts w:eastAsia="Times New Roman" w:cstheme="minorHAnsi"/>
          <w:color w:val="000000"/>
          <w:lang w:eastAsia="en-GB"/>
        </w:rPr>
      </w:pPr>
      <w:r w:rsidRPr="009B3747">
        <w:rPr>
          <w:rFonts w:eastAsia="Times New Roman" w:cstheme="minorHAnsi"/>
          <w:color w:val="000000"/>
          <w:lang w:eastAsia="en-GB"/>
        </w:rPr>
        <w:t xml:space="preserve">The Cochrane Library of databases and OpenGrey were searched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Where available and appropriate, in addition to free text searching, subject headings (including MeSH - Medical subject headings) were utilised to identify relevant literature within electronic databases</w:t>
      </w:r>
      <w:r w:rsidR="001C33BA" w:rsidRPr="009B3747">
        <w:rPr>
          <w:rFonts w:eastAsia="Times New Roman" w:cstheme="minorHAnsi"/>
          <w:color w:val="000000"/>
          <w:lang w:eastAsia="en-GB"/>
        </w:rPr>
        <w:t xml:space="preserve"> </w:t>
      </w:r>
      <w:r w:rsidR="001C33BA"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"ISBN" : "9781473912458", "abstract" : "Second edition. \"Showing you how to take a structured and organized approach to a wide range of literature review types, this book helps you to choose which approach is right for your research. Packed with constructive tools, examples, case studies and hands-on exercises, the book covers the full range of literature review techniques\" -- Getting started on your literature review -- Taking a systematic approach to your literature review -- Choosing your review methods -- Planning and conducting your literature review -- Defining your scope -- Searching the literature -- Assessing the evidence base -- Synthesising and analysing quantitative studies -- Synthesising and analysing qualitative studies -- Writing, presenting and disseminating your review.", "author" : [ { "dropping-particle" : "", "family" : "Booth", "given" : "Andrew", "non-dropping-particle" : "", "parse-names" : false, "suffix" : "" }, { "dropping-particle" : "", "family" : "Sutton", "given" : "Anthea", "non-dropping-particle" : "", "parse-names" : false, "suffix" : "" }, { "dropping-particle" : "", "family" : "Papaioannou", "given" : "Diana", "non-dropping-particle" : "", "parse-names" : false, "suffix" : "" } ], "edition" : "2nd", "id" : "ITEM-1", "issued" : { "date-parts" : [ [ "2016" ] ] }, "publisher" : "Sage Publications", "publisher-place" : "London", "title" : "Systematic approaches to a successful literature review", "type" : "book" }, "uris" : [ "http://www.mendeley.com/documents/?uuid=165d8b81-c710-317d-a572-bc4ecf94c7a8" ] } ], "mendeley" : { "formattedCitation" : "(Booth et al., 2016)", "plainTextFormattedCitation" : "(Booth et al., 2016)", "previouslyFormattedCitation" : "(Booth et al., 2016)" }, "properties" : { "noteIndex" : 0 }, "schema" : "https://github.com/citation-style-language/schema/raw/master/csl-citation.json" }</w:instrText>
      </w:r>
      <w:r w:rsidR="001C33BA" w:rsidRPr="009B3747">
        <w:rPr>
          <w:rFonts w:eastAsia="Times New Roman" w:cstheme="minorHAnsi"/>
          <w:color w:val="000000"/>
          <w:lang w:eastAsia="en-GB"/>
        </w:rPr>
        <w:fldChar w:fldCharType="separate"/>
      </w:r>
      <w:r w:rsidR="001C33BA" w:rsidRPr="009B3747">
        <w:rPr>
          <w:rFonts w:eastAsia="Times New Roman" w:cstheme="minorHAnsi"/>
          <w:noProof/>
          <w:color w:val="000000"/>
          <w:lang w:eastAsia="en-GB"/>
        </w:rPr>
        <w:t>(Booth et al., 2016)</w:t>
      </w:r>
      <w:r w:rsidR="001C33BA" w:rsidRPr="009B3747">
        <w:rPr>
          <w:rFonts w:eastAsia="Times New Roman" w:cstheme="minorHAnsi"/>
          <w:color w:val="000000"/>
          <w:lang w:eastAsia="en-GB"/>
        </w:rPr>
        <w:fldChar w:fldCharType="end"/>
      </w:r>
      <w:r w:rsidRPr="009B3747">
        <w:rPr>
          <w:rFonts w:eastAsia="Times New Roman" w:cstheme="minorHAnsi"/>
          <w:color w:val="000000"/>
          <w:lang w:eastAsia="en-GB"/>
        </w:rPr>
        <w:t>.  Given the expected paucity of literature available to address the review question posed, the search strategy was not restricted by date, study type or language.  In order to provide an example of the robust search strategy employe</w:t>
      </w:r>
      <w:r w:rsidR="006B3384" w:rsidRPr="009B3747">
        <w:rPr>
          <w:rFonts w:eastAsia="Times New Roman" w:cstheme="minorHAnsi"/>
          <w:color w:val="000000"/>
          <w:lang w:eastAsia="en-GB"/>
        </w:rPr>
        <w:t>d by the researcher, Appendix C</w:t>
      </w:r>
      <w:r w:rsidRPr="009B3747">
        <w:rPr>
          <w:rFonts w:eastAsia="Times New Roman" w:cstheme="minorHAnsi"/>
          <w:color w:val="000000"/>
          <w:lang w:eastAsia="en-GB"/>
        </w:rPr>
        <w:t xml:space="preserve"> presents a detailed account of a search employed for step one of the above process.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C34D84" w:rsidP="003F1507">
      <w:pPr>
        <w:rPr>
          <w:rFonts w:eastAsia="Times New Roman" w:cstheme="minorHAnsi"/>
          <w:sz w:val="24"/>
          <w:szCs w:val="24"/>
          <w:lang w:eastAsia="en-GB"/>
        </w:rPr>
      </w:pPr>
      <w:r w:rsidRPr="009B3747">
        <w:rPr>
          <w:rFonts w:eastAsia="Times New Roman" w:cstheme="minorHAnsi"/>
          <w:color w:val="000000"/>
          <w:u w:val="single"/>
          <w:lang w:eastAsia="en-GB"/>
        </w:rPr>
        <w:t>3.</w:t>
      </w:r>
      <w:r w:rsidR="00C967E9" w:rsidRPr="009B3747">
        <w:rPr>
          <w:rFonts w:eastAsia="Times New Roman" w:cstheme="minorHAnsi"/>
          <w:color w:val="000000"/>
          <w:u w:val="single"/>
          <w:lang w:eastAsia="en-GB"/>
        </w:rPr>
        <w:t>3</w:t>
      </w:r>
      <w:r w:rsidR="00E379EE" w:rsidRPr="009B3747">
        <w:rPr>
          <w:rFonts w:eastAsia="Times New Roman" w:cstheme="minorHAnsi"/>
          <w:color w:val="000000"/>
          <w:u w:val="single"/>
          <w:lang w:eastAsia="en-GB"/>
        </w:rPr>
        <w:t>.2</w:t>
      </w:r>
      <w:r w:rsidR="003F1507" w:rsidRPr="009B3747">
        <w:rPr>
          <w:rFonts w:eastAsia="Times New Roman" w:cstheme="minorHAnsi"/>
          <w:color w:val="000000"/>
          <w:u w:val="single"/>
          <w:lang w:eastAsia="en-GB"/>
        </w:rPr>
        <w:t xml:space="preserve"> Screening and selecting studies</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color w:val="000000"/>
          <w:lang w:eastAsia="en-GB"/>
        </w:rPr>
      </w:pPr>
      <w:r w:rsidRPr="009B3747">
        <w:rPr>
          <w:rFonts w:eastAsia="Times New Roman" w:cstheme="minorHAnsi"/>
          <w:color w:val="000000"/>
          <w:lang w:eastAsia="en-GB"/>
        </w:rPr>
        <w:t>Frequently there was insufficient information from the title to indicate whether an article would be of relevance.  Consequently, both the titles and abstracts of studies resulting from each stage of the three step searching process</w:t>
      </w:r>
      <w:r w:rsidR="004944F2">
        <w:rPr>
          <w:rFonts w:eastAsia="Times New Roman" w:cstheme="minorHAnsi"/>
          <w:color w:val="000000"/>
          <w:lang w:eastAsia="en-GB"/>
        </w:rPr>
        <w:t>,</w:t>
      </w:r>
      <w:r w:rsidRPr="009B3747">
        <w:rPr>
          <w:rFonts w:eastAsia="Times New Roman" w:cstheme="minorHAnsi"/>
          <w:color w:val="000000"/>
          <w:lang w:eastAsia="en-GB"/>
        </w:rPr>
        <w:t xml:space="preserve"> were practically screened</w:t>
      </w:r>
      <w:r w:rsidR="001C33BA" w:rsidRPr="009B3747">
        <w:rPr>
          <w:rFonts w:eastAsia="Times New Roman" w:cstheme="minorHAnsi"/>
          <w:color w:val="000000"/>
          <w:lang w:eastAsia="en-GB"/>
        </w:rPr>
        <w:t xml:space="preserve"> </w:t>
      </w:r>
      <w:r w:rsidR="001C33BA" w:rsidRPr="009B3747">
        <w:rPr>
          <w:rFonts w:eastAsia="Times New Roman" w:cstheme="minorHAnsi"/>
          <w:color w:val="000000"/>
          <w:lang w:eastAsia="en-GB"/>
        </w:rPr>
        <w:fldChar w:fldCharType="begin" w:fldLock="1"/>
      </w:r>
      <w:r w:rsidR="003F10B1" w:rsidRPr="009B3747">
        <w:rPr>
          <w:rFonts w:eastAsia="Times New Roman" w:cstheme="minorHAnsi"/>
          <w:color w:val="000000"/>
          <w:lang w:eastAsia="en-GB"/>
        </w:rPr>
        <w:instrText>ADDIN CSL_CITATION { "citationItems" : [ { "id" : "ITEM-1", "itemData" : { "author" : [ { "dropping-particle" : "", "family" : "Okoli", "given" : "Chitu", "non-dropping-particle" : "", "parse-names" : false, "suffix" : "" } ], "container-title" : "Communications of the Association for Information Systems", "id" : "ITEM-1", "issue" : "43", "issued" : { "date-parts" : [ [ "2015" ] ] }, "title" : "A Guide to Conducting a Standalone Systematic Literature Review", "type" : "article-journal", "volume" : "37" }, "uris" : [ "http://www.mendeley.com/documents/?uuid=88638118-d5cc-4293-a4e0-af72348becb6" ] } ], "mendeley" : { "formattedCitation" : "(Okoli, 2015)", "plainTextFormattedCitation" : "(Okoli, 2015)", "previouslyFormattedCitation" : "(Okoli, 2015)" }, "properties" : { "noteIndex" : 0 }, "schema" : "https://github.com/citation-style-language/schema/raw/master/csl-citation.json" }</w:instrText>
      </w:r>
      <w:r w:rsidR="001C33BA" w:rsidRPr="009B3747">
        <w:rPr>
          <w:rFonts w:eastAsia="Times New Roman" w:cstheme="minorHAnsi"/>
          <w:color w:val="000000"/>
          <w:lang w:eastAsia="en-GB"/>
        </w:rPr>
        <w:fldChar w:fldCharType="separate"/>
      </w:r>
      <w:r w:rsidR="001C33BA" w:rsidRPr="009B3747">
        <w:rPr>
          <w:rFonts w:eastAsia="Times New Roman" w:cstheme="minorHAnsi"/>
          <w:noProof/>
          <w:color w:val="000000"/>
          <w:lang w:eastAsia="en-GB"/>
        </w:rPr>
        <w:t>(Okoli, 2015)</w:t>
      </w:r>
      <w:r w:rsidR="001C33BA" w:rsidRPr="009B3747">
        <w:rPr>
          <w:rFonts w:eastAsia="Times New Roman" w:cstheme="minorHAnsi"/>
          <w:color w:val="000000"/>
          <w:lang w:eastAsia="en-GB"/>
        </w:rPr>
        <w:fldChar w:fldCharType="end"/>
      </w:r>
      <w:r w:rsidR="001C33BA" w:rsidRPr="009B3747">
        <w:rPr>
          <w:rFonts w:eastAsia="Times New Roman" w:cstheme="minorHAnsi"/>
          <w:color w:val="000000"/>
          <w:lang w:eastAsia="en-GB"/>
        </w:rPr>
        <w:t xml:space="preserve"> </w:t>
      </w:r>
      <w:r w:rsidRPr="009B3747">
        <w:rPr>
          <w:rFonts w:eastAsia="Times New Roman" w:cstheme="minorHAnsi"/>
          <w:color w:val="000000"/>
          <w:lang w:eastAsia="en-GB"/>
        </w:rPr>
        <w:t>for duplication and eligibility against initially and intentionally overly inclusive criteria</w:t>
      </w:r>
      <w:r w:rsidR="00FE4357">
        <w:rPr>
          <w:rFonts w:eastAsia="Times New Roman" w:cstheme="minorHAnsi"/>
          <w:color w:val="000000"/>
          <w:lang w:eastAsia="en-GB"/>
        </w:rPr>
        <w:t>,</w:t>
      </w:r>
      <w:r w:rsidRPr="009B3747">
        <w:rPr>
          <w:rFonts w:eastAsia="Times New Roman" w:cstheme="minorHAnsi"/>
          <w:color w:val="000000"/>
          <w:lang w:eastAsia="en-GB"/>
        </w:rPr>
        <w:t xml:space="preserve"> i.e. literature focusing on schools, general school stakeholders perspectives and any reference to obesity.  This approach was employed to minimise the risk of inappropriately excluding studies by a single reviewer.  Once this had been completed, titles and abstracts were screened again reflecting on the SPICE framework developed (</w:t>
      </w:r>
      <w:r w:rsidR="00846B21" w:rsidRPr="009B3747">
        <w:rPr>
          <w:rFonts w:eastAsia="Times New Roman" w:cstheme="minorHAnsi"/>
          <w:color w:val="000000"/>
          <w:lang w:eastAsia="en-GB"/>
        </w:rPr>
        <w:t>table 3.2</w:t>
      </w:r>
      <w:r w:rsidRPr="009B3747">
        <w:rPr>
          <w:rFonts w:eastAsia="Times New Roman" w:cstheme="minorHAnsi"/>
          <w:color w:val="000000"/>
          <w:lang w:eastAsia="en-GB"/>
        </w:rPr>
        <w:t xml:space="preserve">).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 xml:space="preserve">Full-text copies of studies of interest resulting from this screening process were obtained and their eligibility checked against explicit inclusion and </w:t>
      </w:r>
      <w:r w:rsidR="00846B21" w:rsidRPr="009B3747">
        <w:rPr>
          <w:rFonts w:eastAsia="Times New Roman" w:cstheme="minorHAnsi"/>
          <w:color w:val="000000"/>
          <w:lang w:eastAsia="en-GB"/>
        </w:rPr>
        <w:t>exclusion criteria (table 3.</w:t>
      </w:r>
      <w:r w:rsidR="003F10B1" w:rsidRPr="009B3747">
        <w:rPr>
          <w:rFonts w:eastAsia="Times New Roman" w:cstheme="minorHAnsi"/>
          <w:color w:val="000000"/>
          <w:lang w:eastAsia="en-GB"/>
        </w:rPr>
        <w:t>3 below</w:t>
      </w:r>
      <w:r w:rsidRPr="009B3747">
        <w:rPr>
          <w:rFonts w:eastAsia="Times New Roman" w:cstheme="minorHAnsi"/>
          <w:color w:val="000000"/>
          <w:lang w:eastAsia="en-GB"/>
        </w:rPr>
        <w:t>).  </w:t>
      </w:r>
    </w:p>
    <w:p w:rsidR="003F1507" w:rsidRPr="009B3747" w:rsidRDefault="003F1507" w:rsidP="00B37AD3">
      <w:pPr>
        <w:spacing w:line="276" w:lineRule="auto"/>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846B21" w:rsidP="00B37AD3">
      <w:pPr>
        <w:spacing w:line="276" w:lineRule="auto"/>
        <w:rPr>
          <w:rFonts w:eastAsia="Times New Roman" w:cstheme="minorHAnsi"/>
          <w:color w:val="000000"/>
          <w:u w:val="single"/>
          <w:lang w:eastAsia="en-GB"/>
        </w:rPr>
      </w:pPr>
      <w:r w:rsidRPr="009B3747">
        <w:rPr>
          <w:rFonts w:eastAsia="Times New Roman" w:cstheme="minorHAnsi"/>
          <w:color w:val="000000"/>
          <w:u w:val="single"/>
          <w:lang w:eastAsia="en-GB"/>
        </w:rPr>
        <w:t>Table 3.3</w:t>
      </w:r>
      <w:r w:rsidR="003F1507" w:rsidRPr="009B3747">
        <w:rPr>
          <w:rFonts w:eastAsia="Times New Roman" w:cstheme="minorHAnsi"/>
          <w:color w:val="000000"/>
          <w:u w:val="single"/>
          <w:lang w:eastAsia="en-GB"/>
        </w:rPr>
        <w:t xml:space="preserve"> - Inclusion and exclusion criteria for selecting studies</w:t>
      </w:r>
    </w:p>
    <w:p w:rsidR="00961B10" w:rsidRPr="009B3747" w:rsidRDefault="00961B10" w:rsidP="00B37AD3">
      <w:pPr>
        <w:spacing w:line="276" w:lineRule="auto"/>
        <w:rPr>
          <w:rFonts w:eastAsia="Times New Roman" w:cstheme="minorHAnsi"/>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4243"/>
        <w:gridCol w:w="4763"/>
      </w:tblGrid>
      <w:tr w:rsidR="003F1507" w:rsidRPr="009B3747" w:rsidTr="00961B10">
        <w:tc>
          <w:tcPr>
            <w:tcW w:w="42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sz w:val="24"/>
                <w:szCs w:val="24"/>
                <w:lang w:eastAsia="en-GB"/>
              </w:rPr>
              <w:t> </w:t>
            </w:r>
            <w:r w:rsidRPr="009B3747">
              <w:rPr>
                <w:rFonts w:eastAsia="Times New Roman" w:cstheme="minorHAnsi"/>
                <w:b/>
                <w:bCs/>
                <w:color w:val="000000"/>
                <w:lang w:eastAsia="en-GB"/>
              </w:rPr>
              <w:t>Inclusion criteria</w:t>
            </w:r>
          </w:p>
        </w:tc>
        <w:tc>
          <w:tcPr>
            <w:tcW w:w="4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b/>
                <w:bCs/>
                <w:color w:val="000000"/>
                <w:lang w:eastAsia="en-GB"/>
              </w:rPr>
              <w:t xml:space="preserve">Exclusion criteria </w:t>
            </w:r>
          </w:p>
        </w:tc>
      </w:tr>
      <w:tr w:rsidR="003F1507" w:rsidRPr="009B3747" w:rsidTr="00961B10">
        <w:tc>
          <w:tcPr>
            <w:tcW w:w="42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Setting</w:t>
            </w:r>
          </w:p>
          <w:p w:rsidR="003F1507" w:rsidRPr="009B3747" w:rsidRDefault="003F1507" w:rsidP="00961B10">
            <w:pPr>
              <w:numPr>
                <w:ilvl w:val="0"/>
                <w:numId w:val="8"/>
              </w:numPr>
              <w:spacing w:line="240"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Primary or secondary level schools (i.e. education provision for ages 5-16yrs)</w:t>
            </w:r>
          </w:p>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Perspective</w:t>
            </w:r>
          </w:p>
          <w:p w:rsidR="003F1507" w:rsidRPr="009B3747" w:rsidRDefault="003F1507" w:rsidP="00961B10">
            <w:pPr>
              <w:numPr>
                <w:ilvl w:val="0"/>
                <w:numId w:val="9"/>
              </w:numPr>
              <w:spacing w:line="240"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lastRenderedPageBreak/>
              <w:t>Explicit reference to and inclusion of headteachers</w:t>
            </w:r>
            <w:r w:rsidR="00A42BA8" w:rsidRPr="009B3747">
              <w:rPr>
                <w:rFonts w:eastAsia="Times New Roman" w:cstheme="minorHAnsi"/>
                <w:color w:val="000000"/>
                <w:sz w:val="20"/>
                <w:szCs w:val="20"/>
                <w:lang w:eastAsia="en-GB"/>
              </w:rPr>
              <w:t>’</w:t>
            </w:r>
            <w:r w:rsidRPr="009B3747">
              <w:rPr>
                <w:rFonts w:eastAsia="Times New Roman" w:cstheme="minorHAnsi"/>
                <w:color w:val="000000"/>
                <w:sz w:val="20"/>
                <w:szCs w:val="20"/>
                <w:lang w:eastAsia="en-GB"/>
              </w:rPr>
              <w:t xml:space="preserve"> or chairs of governors</w:t>
            </w:r>
            <w:r w:rsidR="00A42BA8" w:rsidRPr="009B3747">
              <w:rPr>
                <w:rFonts w:eastAsia="Times New Roman" w:cstheme="minorHAnsi"/>
                <w:color w:val="000000"/>
                <w:sz w:val="20"/>
                <w:szCs w:val="20"/>
                <w:lang w:eastAsia="en-GB"/>
              </w:rPr>
              <w:t>’</w:t>
            </w:r>
            <w:r w:rsidRPr="009B3747">
              <w:rPr>
                <w:rFonts w:eastAsia="Times New Roman" w:cstheme="minorHAnsi"/>
                <w:color w:val="000000"/>
                <w:sz w:val="20"/>
                <w:szCs w:val="20"/>
                <w:lang w:eastAsia="en-GB"/>
              </w:rPr>
              <w:t xml:space="preserve"> perspectives (identifiable in both study methods and extractable from findings)</w:t>
            </w:r>
          </w:p>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Phenomenon of interest</w:t>
            </w:r>
          </w:p>
          <w:p w:rsidR="003F1507" w:rsidRPr="009B3747" w:rsidRDefault="003F1507" w:rsidP="00961B10">
            <w:pPr>
              <w:numPr>
                <w:ilvl w:val="0"/>
                <w:numId w:val="10"/>
              </w:numPr>
              <w:spacing w:line="240"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Explicit reference to childhood or adolescent obesity (including overweight)</w:t>
            </w:r>
          </w:p>
          <w:p w:rsidR="003F1507" w:rsidRPr="009B3747" w:rsidRDefault="003F1507" w:rsidP="00961B10">
            <w:pPr>
              <w:numPr>
                <w:ilvl w:val="0"/>
                <w:numId w:val="10"/>
              </w:numPr>
              <w:spacing w:line="240"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Prevention of obesity</w:t>
            </w:r>
          </w:p>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sz w:val="24"/>
                <w:szCs w:val="24"/>
                <w:lang w:eastAsia="en-GB"/>
              </w:rPr>
              <w:t> </w:t>
            </w:r>
          </w:p>
          <w:p w:rsidR="00961B10" w:rsidRPr="009B3747" w:rsidRDefault="00B37AD3" w:rsidP="00961B10">
            <w:pPr>
              <w:spacing w:line="240" w:lineRule="auto"/>
              <w:rPr>
                <w:rFonts w:eastAsia="Times New Roman" w:cstheme="minorHAnsi"/>
                <w:color w:val="000000"/>
                <w:sz w:val="20"/>
                <w:szCs w:val="20"/>
                <w:lang w:eastAsia="en-GB"/>
              </w:rPr>
            </w:pPr>
            <w:r w:rsidRPr="009B3747">
              <w:rPr>
                <w:rFonts w:eastAsia="Times New Roman" w:cstheme="minorHAnsi"/>
                <w:sz w:val="24"/>
                <w:szCs w:val="24"/>
                <w:lang w:eastAsia="en-GB"/>
              </w:rPr>
              <w:t> </w:t>
            </w:r>
          </w:p>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Study types</w:t>
            </w:r>
          </w:p>
          <w:p w:rsidR="00FE4357" w:rsidRPr="00FE4357" w:rsidRDefault="003F1507" w:rsidP="00FE4357">
            <w:pPr>
              <w:numPr>
                <w:ilvl w:val="0"/>
                <w:numId w:val="11"/>
              </w:numPr>
              <w:spacing w:line="240" w:lineRule="auto"/>
              <w:textAlignment w:val="baseline"/>
              <w:rPr>
                <w:rFonts w:eastAsia="Times New Roman" w:cstheme="minorHAnsi"/>
                <w:sz w:val="24"/>
                <w:szCs w:val="24"/>
                <w:lang w:eastAsia="en-GB"/>
              </w:rPr>
            </w:pPr>
            <w:r w:rsidRPr="00FE4357">
              <w:rPr>
                <w:rFonts w:eastAsia="Times New Roman" w:cstheme="minorHAnsi"/>
                <w:color w:val="000000"/>
                <w:sz w:val="20"/>
                <w:szCs w:val="20"/>
                <w:lang w:eastAsia="en-GB"/>
              </w:rPr>
              <w:t xml:space="preserve">Empirical qualitative studies and mixed-methods studies (inclusive of qualitative </w:t>
            </w:r>
            <w:r w:rsidR="00FE4357" w:rsidRPr="00FE4357">
              <w:rPr>
                <w:rFonts w:eastAsia="Times New Roman" w:cstheme="minorHAnsi"/>
                <w:color w:val="000000"/>
                <w:sz w:val="20"/>
                <w:szCs w:val="20"/>
                <w:lang w:eastAsia="en-GB"/>
              </w:rPr>
              <w:t>findings that can be extracted)</w:t>
            </w:r>
            <w:r w:rsidRPr="00FE4357">
              <w:rPr>
                <w:rFonts w:eastAsia="Times New Roman" w:cstheme="minorHAnsi"/>
                <w:color w:val="000000"/>
                <w:sz w:val="20"/>
                <w:szCs w:val="20"/>
                <w:lang w:eastAsia="en-GB"/>
              </w:rPr>
              <w:t xml:space="preserve"> </w:t>
            </w:r>
          </w:p>
          <w:p w:rsidR="00FE4357" w:rsidRDefault="00FE4357" w:rsidP="00961B10">
            <w:pPr>
              <w:spacing w:line="240" w:lineRule="auto"/>
              <w:rPr>
                <w:rFonts w:eastAsia="Times New Roman" w:cstheme="minorHAnsi"/>
                <w:color w:val="000000"/>
                <w:sz w:val="20"/>
                <w:szCs w:val="20"/>
                <w:lang w:eastAsia="en-GB"/>
              </w:rPr>
            </w:pPr>
          </w:p>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Language</w:t>
            </w:r>
            <w:r w:rsidRPr="009B3747">
              <w:rPr>
                <w:rFonts w:eastAsia="Times New Roman" w:cstheme="minorHAnsi"/>
                <w:sz w:val="24"/>
                <w:szCs w:val="24"/>
                <w:lang w:eastAsia="en-GB"/>
              </w:rPr>
              <w:t> </w:t>
            </w:r>
          </w:p>
          <w:p w:rsidR="003F1507" w:rsidRPr="009B3747" w:rsidRDefault="003F1507" w:rsidP="00961B10">
            <w:pPr>
              <w:numPr>
                <w:ilvl w:val="0"/>
                <w:numId w:val="12"/>
              </w:numPr>
              <w:spacing w:line="240"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English language studies</w:t>
            </w:r>
          </w:p>
        </w:tc>
        <w:tc>
          <w:tcPr>
            <w:tcW w:w="4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lastRenderedPageBreak/>
              <w:t>Setting</w:t>
            </w:r>
          </w:p>
          <w:p w:rsidR="003F1507" w:rsidRPr="009B3747" w:rsidRDefault="003F1507" w:rsidP="00961B10">
            <w:pPr>
              <w:numPr>
                <w:ilvl w:val="0"/>
                <w:numId w:val="13"/>
              </w:numPr>
              <w:spacing w:line="240"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Pre-school, further or higher education contexts (i.e. education provision for ages &lt;5yrs or &gt;16yrs)</w:t>
            </w:r>
          </w:p>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Perspective</w:t>
            </w:r>
          </w:p>
          <w:p w:rsidR="003F1507" w:rsidRPr="009B3747" w:rsidRDefault="003F1507" w:rsidP="00961B10">
            <w:pPr>
              <w:numPr>
                <w:ilvl w:val="0"/>
                <w:numId w:val="14"/>
              </w:numPr>
              <w:spacing w:line="240"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lastRenderedPageBreak/>
              <w:t>Other school stakeholders</w:t>
            </w:r>
            <w:r w:rsidR="00A42BA8" w:rsidRPr="009B3747">
              <w:rPr>
                <w:rFonts w:eastAsia="Times New Roman" w:cstheme="minorHAnsi"/>
                <w:color w:val="000000"/>
                <w:sz w:val="20"/>
                <w:szCs w:val="20"/>
                <w:lang w:eastAsia="en-GB"/>
              </w:rPr>
              <w:t>’</w:t>
            </w:r>
            <w:r w:rsidRPr="009B3747">
              <w:rPr>
                <w:rFonts w:eastAsia="Times New Roman" w:cstheme="minorHAnsi"/>
                <w:color w:val="000000"/>
                <w:sz w:val="20"/>
                <w:szCs w:val="20"/>
                <w:lang w:eastAsia="en-GB"/>
              </w:rPr>
              <w:t xml:space="preserve"> perspectives without reference to headteachers or chairs of governors</w:t>
            </w:r>
            <w:r w:rsidR="00FE4357">
              <w:rPr>
                <w:rFonts w:eastAsia="Times New Roman" w:cstheme="minorHAnsi"/>
                <w:color w:val="000000"/>
                <w:sz w:val="20"/>
                <w:szCs w:val="20"/>
                <w:lang w:eastAsia="en-GB"/>
              </w:rPr>
              <w:t xml:space="preserve"> (</w:t>
            </w:r>
            <w:r w:rsidRPr="009B3747">
              <w:rPr>
                <w:rFonts w:eastAsia="Times New Roman" w:cstheme="minorHAnsi"/>
                <w:color w:val="000000"/>
                <w:sz w:val="20"/>
                <w:szCs w:val="20"/>
                <w:lang w:eastAsia="en-GB"/>
              </w:rPr>
              <w:t>i.e. school nurses, teachers, parents, pupils</w:t>
            </w:r>
            <w:r w:rsidR="00FE4357">
              <w:rPr>
                <w:rFonts w:eastAsia="Times New Roman" w:cstheme="minorHAnsi"/>
                <w:color w:val="000000"/>
                <w:sz w:val="20"/>
                <w:szCs w:val="20"/>
                <w:lang w:eastAsia="en-GB"/>
              </w:rPr>
              <w:t>)</w:t>
            </w:r>
          </w:p>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Phenomenon of interest</w:t>
            </w:r>
          </w:p>
          <w:p w:rsidR="003F1507" w:rsidRPr="009B3747" w:rsidRDefault="003F1507" w:rsidP="00961B10">
            <w:pPr>
              <w:numPr>
                <w:ilvl w:val="0"/>
                <w:numId w:val="15"/>
              </w:numPr>
              <w:spacing w:line="240"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Dietary or physical activity behaviours only (without explicit reference to obesity or obesity prevention)</w:t>
            </w:r>
          </w:p>
          <w:p w:rsidR="003F1507" w:rsidRPr="009B3747" w:rsidRDefault="003F1507" w:rsidP="00961B10">
            <w:pPr>
              <w:numPr>
                <w:ilvl w:val="0"/>
                <w:numId w:val="15"/>
              </w:numPr>
              <w:spacing w:line="240"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Setting specific obesity prevention policies, strategies or interventions</w:t>
            </w:r>
          </w:p>
          <w:p w:rsidR="003F1507" w:rsidRPr="009B3747" w:rsidRDefault="003F1507" w:rsidP="00961B10">
            <w:pPr>
              <w:numPr>
                <w:ilvl w:val="0"/>
                <w:numId w:val="15"/>
              </w:numPr>
              <w:spacing w:line="240"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Treatment of obesity</w:t>
            </w:r>
          </w:p>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Study types</w:t>
            </w:r>
          </w:p>
          <w:p w:rsidR="003F1507" w:rsidRPr="009B3747" w:rsidRDefault="003F1507" w:rsidP="00961B10">
            <w:pPr>
              <w:numPr>
                <w:ilvl w:val="0"/>
                <w:numId w:val="16"/>
              </w:numPr>
              <w:spacing w:line="240"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 xml:space="preserve">Quantitative studies, non-empirical studies </w:t>
            </w:r>
            <w:r w:rsidR="00FE4357">
              <w:rPr>
                <w:rFonts w:eastAsia="Times New Roman" w:cstheme="minorHAnsi"/>
                <w:color w:val="000000"/>
                <w:sz w:val="20"/>
                <w:szCs w:val="20"/>
                <w:lang w:eastAsia="en-GB"/>
              </w:rPr>
              <w:t>(</w:t>
            </w:r>
            <w:r w:rsidR="0087726E" w:rsidRPr="009B3747">
              <w:rPr>
                <w:rFonts w:eastAsia="Times New Roman" w:cstheme="minorHAnsi"/>
                <w:color w:val="000000"/>
                <w:sz w:val="20"/>
                <w:szCs w:val="20"/>
                <w:lang w:eastAsia="en-GB"/>
              </w:rPr>
              <w:t>i.e. editorials</w:t>
            </w:r>
            <w:r w:rsidR="00FE4357">
              <w:rPr>
                <w:rFonts w:eastAsia="Times New Roman" w:cstheme="minorHAnsi"/>
                <w:color w:val="000000"/>
                <w:sz w:val="20"/>
                <w:szCs w:val="20"/>
                <w:lang w:eastAsia="en-GB"/>
              </w:rPr>
              <w:t xml:space="preserve">), </w:t>
            </w:r>
            <w:r w:rsidRPr="009B3747">
              <w:rPr>
                <w:rFonts w:eastAsia="Times New Roman" w:cstheme="minorHAnsi"/>
                <w:color w:val="000000"/>
                <w:sz w:val="20"/>
                <w:szCs w:val="20"/>
                <w:lang w:eastAsia="en-GB"/>
              </w:rPr>
              <w:t xml:space="preserve">non-peer reviewed literature </w:t>
            </w:r>
            <w:r w:rsidR="00FE4357">
              <w:rPr>
                <w:rFonts w:eastAsia="Times New Roman" w:cstheme="minorHAnsi"/>
                <w:color w:val="000000"/>
                <w:sz w:val="20"/>
                <w:szCs w:val="20"/>
                <w:lang w:eastAsia="en-GB"/>
              </w:rPr>
              <w:t>(</w:t>
            </w:r>
            <w:r w:rsidRPr="009B3747">
              <w:rPr>
                <w:rFonts w:eastAsia="Times New Roman" w:cstheme="minorHAnsi"/>
                <w:color w:val="000000"/>
                <w:sz w:val="20"/>
                <w:szCs w:val="20"/>
                <w:lang w:eastAsia="en-GB"/>
              </w:rPr>
              <w:t>i.e. theses</w:t>
            </w:r>
            <w:r w:rsidR="00FE4357">
              <w:rPr>
                <w:rFonts w:eastAsia="Times New Roman" w:cstheme="minorHAnsi"/>
                <w:color w:val="000000"/>
                <w:sz w:val="20"/>
                <w:szCs w:val="20"/>
                <w:lang w:eastAsia="en-GB"/>
              </w:rPr>
              <w:t>)</w:t>
            </w:r>
            <w:r w:rsidRPr="009B3747">
              <w:rPr>
                <w:rFonts w:eastAsia="Times New Roman" w:cstheme="minorHAnsi"/>
                <w:color w:val="000000"/>
                <w:sz w:val="20"/>
                <w:szCs w:val="20"/>
                <w:lang w:eastAsia="en-GB"/>
              </w:rPr>
              <w:t xml:space="preserve"> </w:t>
            </w:r>
          </w:p>
          <w:p w:rsidR="00FE435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sz w:val="24"/>
                <w:szCs w:val="24"/>
                <w:lang w:eastAsia="en-GB"/>
              </w:rPr>
              <w:t> </w:t>
            </w:r>
          </w:p>
          <w:p w:rsidR="00FE435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Language</w:t>
            </w:r>
            <w:r w:rsidRPr="009B3747">
              <w:rPr>
                <w:rFonts w:eastAsia="Times New Roman" w:cstheme="minorHAnsi"/>
                <w:sz w:val="24"/>
                <w:szCs w:val="24"/>
                <w:lang w:eastAsia="en-GB"/>
              </w:rPr>
              <w:t> </w:t>
            </w:r>
          </w:p>
          <w:p w:rsidR="003F1507" w:rsidRPr="009B3747" w:rsidRDefault="003F1507" w:rsidP="00961B10">
            <w:pPr>
              <w:numPr>
                <w:ilvl w:val="0"/>
                <w:numId w:val="17"/>
              </w:numPr>
              <w:spacing w:line="240"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Non-English language studies</w:t>
            </w:r>
          </w:p>
        </w:tc>
      </w:tr>
    </w:tbl>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sz w:val="24"/>
          <w:szCs w:val="24"/>
          <w:lang w:eastAsia="en-GB"/>
        </w:rPr>
        <w:lastRenderedPageBreak/>
        <w:t> </w:t>
      </w:r>
    </w:p>
    <w:p w:rsidR="003F1507" w:rsidRPr="009B3747" w:rsidRDefault="003F1507" w:rsidP="00961B10">
      <w:pPr>
        <w:spacing w:line="240" w:lineRule="auto"/>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C34D84" w:rsidP="003F1507">
      <w:pPr>
        <w:rPr>
          <w:rFonts w:eastAsia="Times New Roman" w:cstheme="minorHAnsi"/>
          <w:sz w:val="24"/>
          <w:szCs w:val="24"/>
          <w:lang w:eastAsia="en-GB"/>
        </w:rPr>
      </w:pPr>
      <w:r w:rsidRPr="009B3747">
        <w:rPr>
          <w:rFonts w:eastAsia="Times New Roman" w:cstheme="minorHAnsi"/>
          <w:color w:val="000000"/>
          <w:u w:val="single"/>
          <w:lang w:eastAsia="en-GB"/>
        </w:rPr>
        <w:t>3</w:t>
      </w:r>
      <w:r w:rsidR="00C967E9" w:rsidRPr="009B3747">
        <w:rPr>
          <w:rFonts w:eastAsia="Times New Roman" w:cstheme="minorHAnsi"/>
          <w:color w:val="000000"/>
          <w:u w:val="single"/>
          <w:lang w:eastAsia="en-GB"/>
        </w:rPr>
        <w:t>.3</w:t>
      </w:r>
      <w:r w:rsidR="00E379EE" w:rsidRPr="009B3747">
        <w:rPr>
          <w:rFonts w:eastAsia="Times New Roman" w:cstheme="minorHAnsi"/>
          <w:color w:val="000000"/>
          <w:u w:val="single"/>
          <w:lang w:eastAsia="en-GB"/>
        </w:rPr>
        <w:t>.3</w:t>
      </w:r>
      <w:r w:rsidR="003F1507" w:rsidRPr="009B3747">
        <w:rPr>
          <w:rFonts w:eastAsia="Times New Roman" w:cstheme="minorHAnsi"/>
          <w:color w:val="000000"/>
          <w:u w:val="single"/>
          <w:lang w:eastAsia="en-GB"/>
        </w:rPr>
        <w:t xml:space="preserve"> Quality assessment method</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961B10" w:rsidRPr="009B3747" w:rsidRDefault="003F1507" w:rsidP="003F1507">
      <w:pPr>
        <w:rPr>
          <w:rFonts w:eastAsia="Times New Roman" w:cstheme="minorHAnsi"/>
          <w:color w:val="000000"/>
          <w:lang w:eastAsia="en-GB"/>
        </w:rPr>
      </w:pPr>
      <w:r w:rsidRPr="009B3747">
        <w:rPr>
          <w:rFonts w:eastAsia="Times New Roman" w:cstheme="minorHAnsi"/>
          <w:color w:val="000000"/>
          <w:lang w:eastAsia="en-GB"/>
        </w:rPr>
        <w:t xml:space="preserve">Critical appraisal (i.e. quality assessment) is described as </w:t>
      </w:r>
      <w:r w:rsidR="003F10B1" w:rsidRPr="009B3747">
        <w:rPr>
          <w:rFonts w:eastAsia="Times New Roman" w:cstheme="minorHAnsi"/>
          <w:i/>
          <w:color w:val="000000"/>
          <w:lang w:eastAsia="en-GB"/>
        </w:rPr>
        <w:t>“</w:t>
      </w:r>
      <w:r w:rsidRPr="009B3747">
        <w:rPr>
          <w:rFonts w:eastAsia="Times New Roman" w:cstheme="minorHAnsi"/>
          <w:i/>
          <w:color w:val="000000"/>
          <w:lang w:eastAsia="en-GB"/>
        </w:rPr>
        <w:t>the process of assessing and interpreting evidence by systematically considering its validity, results and re</w:t>
      </w:r>
      <w:r w:rsidR="003F10B1" w:rsidRPr="009B3747">
        <w:rPr>
          <w:rFonts w:eastAsia="Times New Roman" w:cstheme="minorHAnsi"/>
          <w:i/>
          <w:color w:val="000000"/>
          <w:lang w:eastAsia="en-GB"/>
        </w:rPr>
        <w:t>levance to an individual’s work”</w:t>
      </w:r>
      <w:r w:rsidRPr="009B3747">
        <w:rPr>
          <w:rFonts w:eastAsia="Times New Roman" w:cstheme="minorHAnsi"/>
          <w:i/>
          <w:color w:val="000000"/>
          <w:lang w:eastAsia="en-GB"/>
        </w:rPr>
        <w:t xml:space="preserve"> </w:t>
      </w:r>
      <w:r w:rsidR="003F10B1" w:rsidRPr="009B3747">
        <w:rPr>
          <w:rFonts w:eastAsia="Times New Roman" w:cstheme="minorHAnsi"/>
          <w:color w:val="000000"/>
          <w:lang w:eastAsia="en-GB"/>
        </w:rPr>
        <w:fldChar w:fldCharType="begin" w:fldLock="1"/>
      </w:r>
      <w:r w:rsidR="00224C9C" w:rsidRPr="009B3747">
        <w:rPr>
          <w:rFonts w:eastAsia="Times New Roman" w:cstheme="minorHAnsi"/>
          <w:color w:val="000000"/>
          <w:lang w:eastAsia="en-GB"/>
        </w:rPr>
        <w:instrText>ADDIN CSL_CITATION { "citationItems" : [ { "id" : "ITEM-1", "itemData" : { "DOI" : "10.1002/14651858.CD001270.pub2", "ISSN" : "1469-493X", "PMID" : "22071800", "abstract" : "BACKGROUND Critical appraisal is the process of assessing and interpreting evidence by systematically considering its validity, results and relevance to an individual's work. Within the last decade critical appraisal has been added as a topic to many medical school and UK Royal College curricula, and several continuing professional development ventures have been funded to provide further training. This is an update of a Cochrane review first published in 2001. OBJECTIVES To assess the effects of teaching critical appraisal skills to health professionals on the process of care, patient outcomes and knowledge of health professionals. SEARCH METHODS. We updated the search (see Appendix 1 for search strategies by database) and used those search strategies to search the Cochrane Central Register of Controlled Trials (1997 to June 2011) and MEDLINE (from 1997 to June 2011). We also searched EMBASE, CINAHL and PsycINFO (up to January 2010). We searched LISA (up to January 2010), ERIC (up to January 2010), SIGLE (up to January 2010) and Web of Knowledge (up to January 2010). We also searched the Cochrane Database of Systematic Reviews (CDSR), Database of Abstracts of Reviews of Effects (DARE) and the Cochrane Effective Practice and Organisation of Care (EPOC) Group Specialised Register up to January 2010. SELECTION CRITERIA Randomised trials, controlled clinical trials, controlled before and after studies and interrupted time series analyses that examined the effectiveness of educational interventions teaching critical appraisal to health professionals. The outcomes included process of care, patient mortality, morbidity, quality of life and satisfaction. We included studies reporting on health professional knowledge/awareness only when based upon objective, standardised, validated instruments. We did not consider studies involving students. DATA COLLECTION AND ANALYSIS Two review authors independently extracted data and assessed risk of bias. We contacted authors of included studies to obtain missing data. MAIN RESULTS In total, we reviewed a total of 11,057 titles and abstracts, of which 148 appeared potentially relevant to the review. We included three studies involving 272 people in this review. None of the included studies evaluated process of care or patient outcomes. Statistically significant improvements in participants' knowledge were reported in domains of critical appraisal (variable approaches across studies) in two of the three studies. We determine\u2026", "author" : [ { "dropping-particle" : "", "family" : "Horsley", "given" : "Tanya", "non-dropping-particle" : "", "parse-names" : false, "suffix" : "" }, { "dropping-particle" : "", "family" : "Hyde", "given" : "Chris", "non-dropping-particle" : "", "parse-names" : false, "suffix" : "" }, { "dropping-particle" : "", "family" : "Santesso", "given" : "Nancy", "non-dropping-particle" : "", "parse-names" : false, "suffix" : "" }, { "dropping-particle" : "", "family" : "Parkes", "given" : "Julie", "non-dropping-particle" : "", "parse-names" : false, "suffix" : "" }, { "dropping-particle" : "", "family" : "Milne", "given" : "Ruairidh", "non-dropping-particle" : "", "parse-names" : false, "suffix" : "" }, { "dropping-particle" : "", "family" : "Stewart", "given" : "Ruth", "non-dropping-particle" : "", "parse-names" : false, "suffix" : "" } ], "container-title" : "Cochrane Database of Systematic Reviews", "editor" : [ { "dropping-particle" : "", "family" : "Horsley", "given" : "Tanya", "non-dropping-particle" : "", "parse-names" : false, "suffix" : "" } ], "id" : "ITEM-1", "issue" : "11", "issued" : { "date-parts" : [ [ "2011", "11", "9" ] ] }, "page" : "CD001270", "publisher" : "John Wiley &amp; Sons, Ltd", "publisher-place" : "Chichester, UK", "title" : "Teaching critical appraisal skills in healthcare settings", "type" : "chapter" }, "uris" : [ "http://www.mendeley.com/documents/?uuid=c0dd8050-c27e-3bfc-9602-f4b056d132e1" ] } ], "mendeley" : { "formattedCitation" : "(Horsley et al., 2011)", "manualFormatting" : "(Horsley et al., 2011, p.1)", "plainTextFormattedCitation" : "(Horsley et al., 2011)", "previouslyFormattedCitation" : "(Horsley et al., 2011)" }, "properties" : { "noteIndex" : 0 }, "schema" : "https://github.com/citation-style-language/schema/raw/master/csl-citation.json" }</w:instrText>
      </w:r>
      <w:r w:rsidR="003F10B1" w:rsidRPr="009B3747">
        <w:rPr>
          <w:rFonts w:eastAsia="Times New Roman" w:cstheme="minorHAnsi"/>
          <w:color w:val="000000"/>
          <w:lang w:eastAsia="en-GB"/>
        </w:rPr>
        <w:fldChar w:fldCharType="separate"/>
      </w:r>
      <w:r w:rsidR="003F10B1" w:rsidRPr="009B3747">
        <w:rPr>
          <w:rFonts w:eastAsia="Times New Roman" w:cstheme="minorHAnsi"/>
          <w:noProof/>
          <w:color w:val="000000"/>
          <w:lang w:eastAsia="en-GB"/>
        </w:rPr>
        <w:t>(Horsley et al., 2011</w:t>
      </w:r>
      <w:r w:rsidR="00FB5B00" w:rsidRPr="009B3747">
        <w:rPr>
          <w:rFonts w:eastAsia="Times New Roman" w:cstheme="minorHAnsi"/>
          <w:noProof/>
          <w:color w:val="000000"/>
          <w:lang w:eastAsia="en-GB"/>
        </w:rPr>
        <w:t>, p.</w:t>
      </w:r>
      <w:r w:rsidR="003F10B1" w:rsidRPr="009B3747">
        <w:rPr>
          <w:rFonts w:eastAsia="Times New Roman" w:cstheme="minorHAnsi"/>
          <w:noProof/>
          <w:color w:val="000000"/>
          <w:lang w:eastAsia="en-GB"/>
        </w:rPr>
        <w:t>1)</w:t>
      </w:r>
      <w:r w:rsidR="003F10B1" w:rsidRPr="009B3747">
        <w:rPr>
          <w:rFonts w:eastAsia="Times New Roman" w:cstheme="minorHAnsi"/>
          <w:color w:val="000000"/>
          <w:lang w:eastAsia="en-GB"/>
        </w:rPr>
        <w:fldChar w:fldCharType="end"/>
      </w:r>
      <w:r w:rsidRPr="009B3747">
        <w:rPr>
          <w:rFonts w:eastAsia="Times New Roman" w:cstheme="minorHAnsi"/>
          <w:color w:val="000000"/>
          <w:lang w:eastAsia="en-GB"/>
        </w:rPr>
        <w:t>.  Argued to be an essential process when conducting systematic reviews, critical appraisal not only enables the quality of included studies to be assessed, but supports a reviewer to identify recommendations for future research</w:t>
      </w:r>
      <w:r w:rsidR="003F10B1" w:rsidRPr="009B3747">
        <w:rPr>
          <w:rFonts w:eastAsia="Times New Roman" w:cstheme="minorHAnsi"/>
          <w:color w:val="000000"/>
          <w:lang w:eastAsia="en-GB"/>
        </w:rPr>
        <w:t xml:space="preserve"> </w:t>
      </w:r>
      <w:r w:rsidR="003F10B1"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"ISBN" : "9781473912458", "abstract" : "Second edition. \"Showing you how to take a structured and organized approach to a wide range of literature review types, this book helps you to choose which approach is right for your research. Packed with constructive tools, examples, case studies and hands-on exercises, the book covers the full range of literature review techniques\" -- Getting started on your literature review -- Taking a systematic approach to your literature review -- Choosing your review methods -- Planning and conducting your literature review -- Defining your scope -- Searching the literature -- Assessing the evidence base -- Synthesising and analysing quantitative studies -- Synthesising and analysing qualitative studies -- Writing, presenting and disseminating your review.", "author" : [ { "dropping-particle" : "", "family" : "Booth", "given" : "Andrew", "non-dropping-particle" : "", "parse-names" : false, "suffix" : "" }, { "dropping-particle" : "", "family" : "Sutton", "given" : "Anthea", "non-dropping-particle" : "", "parse-names" : false, "suffix" : "" }, { "dropping-particle" : "", "family" : "Papaioannou", "given" : "Diana", "non-dropping-particle" : "", "parse-names" : false, "suffix" : "" } ], "edition" : "2nd", "id" : "ITEM-1", "issued" : { "date-parts" : [ [ "2016" ] ] }, "publisher" : "Sage Publications", "publisher-place" : "London", "title" : "Systematic approaches to a successful literature review", "type" : "book" }, "uris" : [ "http://www.mendeley.com/documents/?uuid=165d8b81-c710-317d-a572-bc4ecf94c7a8" ] } ], "mendeley" : { "formattedCitation" : "(Booth et al., 2016)", "plainTextFormattedCitation" : "(Booth et al., 2016)", "previouslyFormattedCitation" : "(Booth et al., 2016)" }, "properties" : { "noteIndex" : 0 }, "schema" : "https://github.com/citation-style-language/schema/raw/master/csl-citation.json" }</w:instrText>
      </w:r>
      <w:r w:rsidR="003F10B1" w:rsidRPr="009B3747">
        <w:rPr>
          <w:rFonts w:eastAsia="Times New Roman" w:cstheme="minorHAnsi"/>
          <w:color w:val="000000"/>
          <w:lang w:eastAsia="en-GB"/>
        </w:rPr>
        <w:fldChar w:fldCharType="separate"/>
      </w:r>
      <w:r w:rsidR="003F10B1" w:rsidRPr="009B3747">
        <w:rPr>
          <w:rFonts w:eastAsia="Times New Roman" w:cstheme="minorHAnsi"/>
          <w:noProof/>
          <w:color w:val="000000"/>
          <w:lang w:eastAsia="en-GB"/>
        </w:rPr>
        <w:t>(Booth et al., 2016)</w:t>
      </w:r>
      <w:r w:rsidR="003F10B1" w:rsidRPr="009B3747">
        <w:rPr>
          <w:rFonts w:eastAsia="Times New Roman" w:cstheme="minorHAnsi"/>
          <w:color w:val="000000"/>
          <w:lang w:eastAsia="en-GB"/>
        </w:rPr>
        <w:fldChar w:fldCharType="end"/>
      </w:r>
      <w:r w:rsidR="003F10B1" w:rsidRPr="009B3747">
        <w:rPr>
          <w:rFonts w:eastAsia="Times New Roman" w:cstheme="minorHAnsi"/>
          <w:color w:val="000000"/>
          <w:lang w:eastAsia="en-GB"/>
        </w:rPr>
        <w:t xml:space="preserve">.  </w:t>
      </w:r>
      <w:r w:rsidRPr="009B3747">
        <w:rPr>
          <w:rFonts w:eastAsia="Times New Roman" w:cstheme="minorHAnsi"/>
          <w:color w:val="000000"/>
          <w:lang w:eastAsia="en-GB"/>
        </w:rPr>
        <w:t>However critically appraising qualitative research is a contested methodological issue, with arguments centred on whether and how the quality of qualitative research should be assessed</w:t>
      </w:r>
      <w:r w:rsidR="003F10B1" w:rsidRPr="009B3747">
        <w:rPr>
          <w:rFonts w:eastAsia="Times New Roman" w:cstheme="minorHAnsi"/>
          <w:color w:val="000000"/>
          <w:lang w:eastAsia="en-GB"/>
        </w:rPr>
        <w:t xml:space="preserve"> </w:t>
      </w:r>
      <w:r w:rsidR="003F10B1"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"DOI" : "10.1177/104973239800800305", "ISSN" : "1049-7323", "abstract" : "Despite growing recognition of the need for qualitative methods in health services research, there have been few attempts to define quality standards for assessing the results. This article acknowledges the desirability of a plurality of standards. However, it is argued that three interrelated criteria can be identified as the foundation of good qualitative health research: interpretation of subjective meaning, description of social context, and attention to lay knowledge. These criteria can be examined in relation to different dimensions of any research report, including theoretical basis, sampling strategy, scope of data collection, description of data collected, and concern with generalizability or typicality. But if the concern is with the appropriateness of care and with understanding the factors that shape lay and clinical behavior, then these criteria must form the basis of a hierarchy of qualitative research evidence.", "author" : [ { "dropping-particle" : "", "family" : "Popay", "given" : "J.", "non-dropping-particle" : "", "parse-names" : false, "suffix" : "" }, { "dropping-particle" : "", "family" : "Rogers", "given" : "A.", "non-dropping-particle" : "", "parse-names" : false, "suffix" : "" }, { "dropping-particle" : "", "family" : "Williams", "given" : "G.", "non-dropping-particle" : "", "parse-names" : false, "suffix" : "" } ], "container-title" : "Qualitative Health Research", "id" : "ITEM-1", "issue" : "3", "issued" : { "date-parts" : [ [ "1998", "5", "1" ] ] }, "page" : "341-351", "publisher" : "Sage PublicationsSage CA: Thousand Oaks, CA", "title" : "Rationale and Standards for the Systematic Review of Qualitative Literature in Health Services Research", "type" : "article-journal", "volume" : "8" }, "uris" : [ "http://www.mendeley.com/documents/?uuid=69383336-8983-3dac-af28-e76f7ce69276" ] }, { "id" : "ITEM-2", "itemData" : { "ISBN" : "1842792555", "abstract" : "Title from PDF cover page (viewed on Nov. 3, 2008).", "author" : [ { "dropping-particle" : "", "family" : "Dixon-Woods", "given" : "Mary.", "non-dropping-particle" : "", "parse-names" : false, "suffix" : "" }, { "dropping-particle" : "", "family" : "NHS Health Development Agency.", "given" : "", "non-dropping-particle" : "", "parse-names" : false, "suffix" : "" } ], "id" : "ITEM-2", "issued" : { "date-parts" : [ [ "2004" ] ] }, "publisher" : "Health Development Agency", "publisher-place" : "London", "title" : "Integrative approaches to qualitative and quantitative evidence", "type" : "report" }, "uris" : [ "http://www.mendeley.com/documents/?uuid=67f9ee60-f3ab-3877-b41a-3f16b030df24" ] } ], "mendeley" : { "formattedCitation" : "(Popay et al., 1998; Dixon-Woods and NHS Health Development Agency., 2004)", "plainTextFormattedCitation" : "(Popay et al., 1998; Dixon-Woods and NHS Health Development Agency., 2004)", "previouslyFormattedCitation" : "(Popay et al., 1998; Dixon-Woods and NHS Health Development Agency., 2004)" }, "properties" : { "noteIndex" : 0 }, "schema" : "https://github.com/citation-style-language/schema/raw/master/csl-citation.json" }</w:instrText>
      </w:r>
      <w:r w:rsidR="003F10B1" w:rsidRPr="009B3747">
        <w:rPr>
          <w:rFonts w:eastAsia="Times New Roman" w:cstheme="minorHAnsi"/>
          <w:color w:val="000000"/>
          <w:lang w:eastAsia="en-GB"/>
        </w:rPr>
        <w:fldChar w:fldCharType="separate"/>
      </w:r>
      <w:r w:rsidR="003F10B1" w:rsidRPr="009B3747">
        <w:rPr>
          <w:rFonts w:eastAsia="Times New Roman" w:cstheme="minorHAnsi"/>
          <w:noProof/>
          <w:color w:val="000000"/>
          <w:lang w:eastAsia="en-GB"/>
        </w:rPr>
        <w:t>(Popay et al., 1998; Dixon-Woods and NHS Health Development Agency., 2004)</w:t>
      </w:r>
      <w:r w:rsidR="003F10B1" w:rsidRPr="009B3747">
        <w:rPr>
          <w:rFonts w:eastAsia="Times New Roman" w:cstheme="minorHAnsi"/>
          <w:color w:val="000000"/>
          <w:lang w:eastAsia="en-GB"/>
        </w:rPr>
        <w:fldChar w:fldCharType="end"/>
      </w:r>
      <w:r w:rsidRPr="009B3747">
        <w:rPr>
          <w:rFonts w:eastAsia="Times New Roman" w:cstheme="minorHAnsi"/>
          <w:color w:val="000000"/>
          <w:lang w:eastAsia="en-GB"/>
        </w:rPr>
        <w:t>.   </w:t>
      </w:r>
    </w:p>
    <w:p w:rsidR="00961B10" w:rsidRPr="009B3747" w:rsidRDefault="00961B10" w:rsidP="003F1507">
      <w:pPr>
        <w:rPr>
          <w:rFonts w:eastAsia="Times New Roman" w:cstheme="minorHAnsi"/>
          <w:color w:val="000000"/>
          <w:lang w:eastAsia="en-GB"/>
        </w:rPr>
      </w:pP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More recently, the debate has progressed from whether critical appraisal of qualitative research should be undertaken, to which criteria should be adopted</w:t>
      </w:r>
      <w:r w:rsidR="003F10B1" w:rsidRPr="009B3747">
        <w:rPr>
          <w:rFonts w:eastAsia="Times New Roman" w:cstheme="minorHAnsi"/>
          <w:color w:val="000000"/>
          <w:lang w:eastAsia="en-GB"/>
        </w:rPr>
        <w:t xml:space="preserve"> </w:t>
      </w:r>
      <w:r w:rsidR="003F10B1" w:rsidRPr="009B3747">
        <w:rPr>
          <w:rFonts w:eastAsia="Times New Roman" w:cstheme="minorHAnsi"/>
          <w:color w:val="000000"/>
          <w:lang w:eastAsia="en-GB"/>
        </w:rPr>
        <w:fldChar w:fldCharType="begin" w:fldLock="1"/>
      </w:r>
      <w:r w:rsidR="003F10B1" w:rsidRPr="009B3747">
        <w:rPr>
          <w:rFonts w:eastAsia="Times New Roman" w:cstheme="minorHAnsi"/>
          <w:color w:val="000000"/>
          <w:lang w:eastAsia="en-GB"/>
        </w:rPr>
        <w:instrText>ADDIN CSL_CITATION { "citationItems" : [ { "id" : "ITEM-1", "itemData" : { "DOI" : "10.1111/hir.12108", "ISSN" : "14711834", "PMID" : "26095232", "abstract" : "BACKGROUND In recognising the potential value of theory in understanding how interventions work comes a challenge - how to make identification of theory less haphazard? OBJECTIVES To explore the feasibility of systematic identification of theory. METHOD We searched PubMed for published reviews (1998-2012) that had explicitly sought to identify theory. Systematic searching may be characterised by a structured question, methodological filters and an itemised search procedure. We constructed a template (BeHEMoTh - Behaviour of interest; Health context; Exclusions; Models or Theories) for use when systematically identifying theory. The authors tested the template within two systematic reviews. RESULTS Of 34 systematic reviews, only 12 reviews (35%) reported a method for identifying theory. Nineteen did not specify how they identified studies containing theory. Data were unavailable for three reviews. Candidate terms include concept(s)/conceptual, framework(s), model(s), and theory/theories/theoretical. Information professionals must overcome inadequate reporting and the use of theory out of context. The review team faces an additional concern in lack of 'theory fidelity'. CONCLUSIONS Based on experience with two systematic reviews, the BeHEMoTh template and procedure offers a feasible and useful approach for identification of theory. Applications include realist synthesis, framework synthesis or review of complex interventions. The procedure requires rigorous evaluation.", "author" : [ { "dropping-particle" : "", "family" : "Booth", "given" : "Andrew", "non-dropping-particle" : "", "parse-names" : false, "suffix" : "" }, { "dropping-particle" : "", "family" : "Carroll", "given" : "Christopher", "non-dropping-particle" : "", "parse-names" : false, "suffix" : "" } ], "container-title" : "Health Information &amp; Libraries Journal", "id" : "ITEM-1", "issue" : "3", "issued" : { "date-parts" : [ [ "2015", "9" ] ] }, "page" : "220-235", "title" : "Systematic searching for theory to inform systematic reviews: is it feasible? Is it desirable?", "type" : "article-journal", "volume" : "32" }, "uris" : [ "http://www.mendeley.com/documents/?uuid=c0868e52-c1a9-3a9a-997a-081dc082e044" ] } ], "mendeley" : { "formattedCitation" : "(Booth and Carroll, 2015)", "plainTextFormattedCitation" : "(Booth and Carroll, 2015)", "previouslyFormattedCitation" : "(Booth and Carroll, 2015)" }, "properties" : { "noteIndex" : 0 }, "schema" : "https://github.com/citation-style-language/schema/raw/master/csl-citation.json" }</w:instrText>
      </w:r>
      <w:r w:rsidR="003F10B1" w:rsidRPr="009B3747">
        <w:rPr>
          <w:rFonts w:eastAsia="Times New Roman" w:cstheme="minorHAnsi"/>
          <w:color w:val="000000"/>
          <w:lang w:eastAsia="en-GB"/>
        </w:rPr>
        <w:fldChar w:fldCharType="separate"/>
      </w:r>
      <w:r w:rsidR="003F10B1" w:rsidRPr="009B3747">
        <w:rPr>
          <w:rFonts w:eastAsia="Times New Roman" w:cstheme="minorHAnsi"/>
          <w:noProof/>
          <w:color w:val="000000"/>
          <w:lang w:eastAsia="en-GB"/>
        </w:rPr>
        <w:t>(Booth and Carroll, 2015)</w:t>
      </w:r>
      <w:r w:rsidR="003F10B1" w:rsidRPr="009B3747">
        <w:rPr>
          <w:rFonts w:eastAsia="Times New Roman" w:cstheme="minorHAnsi"/>
          <w:color w:val="000000"/>
          <w:lang w:eastAsia="en-GB"/>
        </w:rPr>
        <w:fldChar w:fldCharType="end"/>
      </w:r>
      <w:r w:rsidRPr="009B3747">
        <w:rPr>
          <w:rFonts w:eastAsia="Times New Roman" w:cstheme="minorHAnsi"/>
          <w:color w:val="000000"/>
          <w:lang w:eastAsia="en-GB"/>
        </w:rPr>
        <w:t>.  This debate is especially relevant given that over a hundred tools are proposed as being able to undertake the task</w:t>
      </w:r>
      <w:r w:rsidR="003F10B1" w:rsidRPr="009B3747">
        <w:rPr>
          <w:rFonts w:eastAsia="Times New Roman" w:cstheme="minorHAnsi"/>
          <w:color w:val="000000"/>
          <w:lang w:eastAsia="en-GB"/>
        </w:rPr>
        <w:t xml:space="preserve"> </w:t>
      </w:r>
      <w:r w:rsidR="003F10B1"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"Higgins", "given" : "J", "non-dropping-particle" : "", "parse-names" : false, "suffix" : "" }, { "dropping-particle" : "", "family" : "Green", "given" : "S", "non-dropping-particle" : "", "parse-names" : false, "suffix" : "" } ], "id" : "ITEM-1", "issued" : { "date-parts" : [ [ "2011" ] ] }, "title" : "Cochrane Handbook for Systematic Reviews of Interventions Version 5.1.0 [updated March 2011]", "type" : "report" }, "uris" : [ "http://www.mendeley.com/documents/?uuid=21f8124f-640d-45ab-badc-48c9e27a66e5" ] } ], "mendeley" : { "formattedCitation" : "(Higgins and Green, 2011)", "plainTextFormattedCitation" : "(Higgins and Green, 2011)", "previouslyFormattedCitation" : "(Higgins and Green, 2011)" }, "properties" : { "noteIndex" : 0 }, "schema" : "https://github.com/citation-style-language/schema/raw/master/csl-citation.json" }</w:instrText>
      </w:r>
      <w:r w:rsidR="003F10B1" w:rsidRPr="009B3747">
        <w:rPr>
          <w:rFonts w:eastAsia="Times New Roman" w:cstheme="minorHAnsi"/>
          <w:color w:val="000000"/>
          <w:lang w:eastAsia="en-GB"/>
        </w:rPr>
        <w:fldChar w:fldCharType="separate"/>
      </w:r>
      <w:r w:rsidR="003F10B1" w:rsidRPr="009B3747">
        <w:rPr>
          <w:rFonts w:eastAsia="Times New Roman" w:cstheme="minorHAnsi"/>
          <w:noProof/>
          <w:color w:val="000000"/>
          <w:lang w:eastAsia="en-GB"/>
        </w:rPr>
        <w:t>(Higgins and Green, 2011)</w:t>
      </w:r>
      <w:r w:rsidR="003F10B1" w:rsidRPr="009B3747">
        <w:rPr>
          <w:rFonts w:eastAsia="Times New Roman" w:cstheme="minorHAnsi"/>
          <w:color w:val="000000"/>
          <w:lang w:eastAsia="en-GB"/>
        </w:rPr>
        <w:fldChar w:fldCharType="end"/>
      </w:r>
      <w:r w:rsidR="003F10B1" w:rsidRPr="009B3747">
        <w:rPr>
          <w:rFonts w:eastAsia="Times New Roman" w:cstheme="minorHAnsi"/>
          <w:color w:val="000000"/>
          <w:lang w:eastAsia="en-GB"/>
        </w:rPr>
        <w:t xml:space="preserve">.  </w:t>
      </w:r>
      <w:r w:rsidRPr="009B3747">
        <w:rPr>
          <w:rFonts w:eastAsia="Times New Roman" w:cstheme="minorHAnsi"/>
          <w:color w:val="000000"/>
          <w:lang w:eastAsia="en-GB"/>
        </w:rPr>
        <w:t>For the purpose of this review, qualit</w:t>
      </w:r>
      <w:r w:rsidR="003F10B1" w:rsidRPr="009B3747">
        <w:rPr>
          <w:rFonts w:eastAsia="Times New Roman" w:cstheme="minorHAnsi"/>
          <w:color w:val="000000"/>
          <w:lang w:eastAsia="en-GB"/>
        </w:rPr>
        <w:t xml:space="preserve">y assessment was undertaken to mediate messages </w:t>
      </w:r>
      <w:r w:rsidR="003F10B1" w:rsidRPr="009B3747">
        <w:rPr>
          <w:rFonts w:eastAsia="Times New Roman" w:cstheme="minorHAnsi"/>
          <w:color w:val="000000"/>
          <w:lang w:eastAsia="en-GB"/>
        </w:rPr>
        <w:fldChar w:fldCharType="begin" w:fldLock="1"/>
      </w:r>
      <w:r w:rsidR="003F10B1" w:rsidRPr="009B3747">
        <w:rPr>
          <w:rFonts w:eastAsia="Times New Roman" w:cstheme="minorHAnsi"/>
          <w:color w:val="000000"/>
          <w:lang w:eastAsia="en-GB"/>
        </w:rPr>
        <w:instrText>ADDIN CSL_CITATION { "citationItems" : [ { "id" : "ITEM-1", "itemData" : { "DOI" : "10.1111/j.1471-1842.2009.00848.x", "ISSN" : "14711834", "author" : [ { "dropping-particle" : "", "family" : "Grant", "given" : "Maria J.", "non-dropping-particle" : "", "parse-names" : false, "suffix" : "" }, { "dropping-particle" : "", "family" : "Booth", "given" : "Andrew", "non-dropping-particle" : "", "parse-names" : false, "suffix" : "" } ], "container-title" : "Health Information &amp; Libraries Journal", "id" : "ITEM-1", "issue" : "2", "issued" : { "date-parts" : [ [ "2009", "6", "1" ] ] }, "page" : "91-108", "publisher" : "Blackwell Publishing Ltd", "title" : "A typology of reviews: an analysis of 14 review types and associated methodologies", "type" : "article-journal", "volume" : "26" }, "uris" : [ "http://www.mendeley.com/documents/?uuid=983ae953-82f6-3e4c-8680-69a984566172" ] } ], "mendeley" : { "formattedCitation" : "(Grant and Booth, 2009)", "plainTextFormattedCitation" : "(Grant and Booth, 2009)", "previouslyFormattedCitation" : "(Grant and Booth, 2009)" }, "properties" : { "noteIndex" : 0 }, "schema" : "https://github.com/citation-style-language/schema/raw/master/csl-citation.json" }</w:instrText>
      </w:r>
      <w:r w:rsidR="003F10B1" w:rsidRPr="009B3747">
        <w:rPr>
          <w:rFonts w:eastAsia="Times New Roman" w:cstheme="minorHAnsi"/>
          <w:color w:val="000000"/>
          <w:lang w:eastAsia="en-GB"/>
        </w:rPr>
        <w:fldChar w:fldCharType="separate"/>
      </w:r>
      <w:r w:rsidR="003F10B1" w:rsidRPr="009B3747">
        <w:rPr>
          <w:rFonts w:eastAsia="Times New Roman" w:cstheme="minorHAnsi"/>
          <w:noProof/>
          <w:color w:val="000000"/>
          <w:lang w:eastAsia="en-GB"/>
        </w:rPr>
        <w:t>(Grant and Booth, 2009)</w:t>
      </w:r>
      <w:r w:rsidR="003F10B1" w:rsidRPr="009B3747">
        <w:rPr>
          <w:rFonts w:eastAsia="Times New Roman" w:cstheme="minorHAnsi"/>
          <w:color w:val="000000"/>
          <w:lang w:eastAsia="en-GB"/>
        </w:rPr>
        <w:fldChar w:fldCharType="end"/>
      </w:r>
      <w:r w:rsidR="003F10B1"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but not to inform inclusion or exclusion of studies.  This </w:t>
      </w:r>
      <w:r w:rsidR="003F10B1" w:rsidRPr="009B3747">
        <w:rPr>
          <w:rFonts w:eastAsia="Times New Roman" w:cstheme="minorHAnsi"/>
          <w:color w:val="000000"/>
          <w:lang w:eastAsia="en-GB"/>
        </w:rPr>
        <w:t xml:space="preserve">was due to the perception that </w:t>
      </w:r>
      <w:r w:rsidR="003F10B1" w:rsidRPr="009B3747">
        <w:rPr>
          <w:rFonts w:eastAsia="Times New Roman" w:cstheme="minorHAnsi"/>
          <w:i/>
          <w:color w:val="000000"/>
          <w:lang w:eastAsia="en-GB"/>
        </w:rPr>
        <w:t>“</w:t>
      </w:r>
      <w:r w:rsidRPr="009B3747">
        <w:rPr>
          <w:rFonts w:eastAsia="Times New Roman" w:cstheme="minorHAnsi"/>
          <w:i/>
          <w:color w:val="000000"/>
          <w:lang w:eastAsia="en-GB"/>
        </w:rPr>
        <w:t>even low quality studies may be abl</w:t>
      </w:r>
      <w:r w:rsidR="003F10B1" w:rsidRPr="009B3747">
        <w:rPr>
          <w:rFonts w:eastAsia="Times New Roman" w:cstheme="minorHAnsi"/>
          <w:i/>
          <w:color w:val="000000"/>
          <w:lang w:eastAsia="en-GB"/>
        </w:rPr>
        <w:t>e to contribute to the findings”</w:t>
      </w:r>
      <w:r w:rsidR="003F10B1" w:rsidRPr="009B3747">
        <w:rPr>
          <w:rFonts w:eastAsia="Times New Roman" w:cstheme="minorHAnsi"/>
          <w:color w:val="000000"/>
          <w:lang w:eastAsia="en-GB"/>
        </w:rPr>
        <w:t xml:space="preserve"> </w:t>
      </w:r>
      <w:r w:rsidR="003F10B1" w:rsidRPr="009B3747">
        <w:rPr>
          <w:rFonts w:eastAsia="Times New Roman" w:cstheme="minorHAnsi"/>
          <w:color w:val="000000"/>
          <w:lang w:eastAsia="en-GB"/>
        </w:rPr>
        <w:fldChar w:fldCharType="begin" w:fldLock="1"/>
      </w:r>
      <w:r w:rsidR="00224C9C" w:rsidRPr="009B3747">
        <w:rPr>
          <w:rFonts w:eastAsia="Times New Roman" w:cstheme="minorHAnsi"/>
          <w:color w:val="000000"/>
          <w:lang w:eastAsia="en-GB"/>
        </w:rPr>
        <w:instrText>ADDIN CSL_CITATION { "citationItems" : [ { "id" : "ITEM-1", "itemData" : { "DOI" : "10.1016/j.ijnurstu.2009.09.009", "ISSN" : "00207489", "PMID" : "19854441", "abstract" : "OBJECTIVE To explore older people's and their relatives' views on and experiences of acute health care. DESIGN Systematic procedures were used for study selection and data extraction and analysis. A comparative thematic approach to synthesis was taken with a number of features adopted from the literature on meta-ethnography. DATA SOURCES Worldwide grey and published literature written in English between January 1999 and June 2008 identified from databases: CINAHL, Medline, British Nursing Index, EMBASE Psychiatry, International Bibliography of the Social Sciences, PsychINFO, and AgeInfo. REVIEW METHODS We conducted a systematic review and synthesis of qualitative studies describing older patients' and/or their relatives' experiences of care in acute hospital settings. 42 primary studies and 1 systematic review met the inclusion criteria. RESULTS A number of themes emerged. The quality of technical care is often taken for granted by older patients, and good or bad experiences are described more in terms of relational aspects of care. Older patients in hospital may feel worthless, fearful or not in control of what happens, especially if they have impaired cognition, or communication difficulties. Three key features of care consistently mediated these negative feelings and were linked to more positive experiences: \"creating communities: connect with me\", \"maintaining identity: see who I am\" and \"sharing decision-making: include me\". CONCLUSION These findings highlight the perspectives of older people and their relatives on the delivery of personalized and dignified care in acute settings. They lend support to previous calls for relationship-centred approaches to care and provide a useful experience-based framework for practice for those involved in care for older people.", "author" : [ { "dropping-particle" : "", "family" : "Bridges", "given" : "Jackie", "non-dropping-particle" : "", "parse-names" : false, "suffix" : "" }, { "dropping-particle" : "", "family" : "Flatley", "given" : "Mary", "non-dropping-particle" : "", "parse-names" : false, "suffix" : "" }, { "dropping-particle" : "", "family" : "Meyer", "given" : "Julienne", "non-dropping-particle" : "", "parse-names" : false, "suffix" : "" } ], "container-title" : "International Journal of Nursing Studies", "id" : "ITEM-1", "issue" : "1", "issued" : { "date-parts" : [ [ "2010", "1" ] ] }, "page" : "89-107", "title" : "Older people's and relatives? experiences in acute care settings: Systematic review and synthesis of qualitative studies", "type" : "article-journal", "volume" : "47" }, "uris" : [ "http://www.mendeley.com/documents/?uuid=550cff91-cda8-3996-8191-2b36cb42e947" ] } ], "mendeley" : { "formattedCitation" : "(Bridges et al., 2010)", "manualFormatting" : "(Bridges et al., 2010, p.91)", "plainTextFormattedCitation" : "(Bridges et al., 2010)", "previouslyFormattedCitation" : "(Bridges et al., 2010)" }, "properties" : { "noteIndex" : 0 }, "schema" : "https://github.com/citation-style-language/schema/raw/master/csl-citation.json" }</w:instrText>
      </w:r>
      <w:r w:rsidR="003F10B1" w:rsidRPr="009B3747">
        <w:rPr>
          <w:rFonts w:eastAsia="Times New Roman" w:cstheme="minorHAnsi"/>
          <w:color w:val="000000"/>
          <w:lang w:eastAsia="en-GB"/>
        </w:rPr>
        <w:fldChar w:fldCharType="separate"/>
      </w:r>
      <w:r w:rsidR="003F10B1" w:rsidRPr="009B3747">
        <w:rPr>
          <w:rFonts w:eastAsia="Times New Roman" w:cstheme="minorHAnsi"/>
          <w:noProof/>
          <w:color w:val="000000"/>
          <w:lang w:eastAsia="en-GB"/>
        </w:rPr>
        <w:t>(Bridges et al., 2010</w:t>
      </w:r>
      <w:r w:rsidR="00FB5B00" w:rsidRPr="009B3747">
        <w:rPr>
          <w:rFonts w:eastAsia="Times New Roman" w:cstheme="minorHAnsi"/>
          <w:noProof/>
          <w:color w:val="000000"/>
          <w:lang w:eastAsia="en-GB"/>
        </w:rPr>
        <w:t>, p.</w:t>
      </w:r>
      <w:r w:rsidR="003F10B1" w:rsidRPr="009B3747">
        <w:rPr>
          <w:rFonts w:eastAsia="Times New Roman" w:cstheme="minorHAnsi"/>
          <w:noProof/>
          <w:color w:val="000000"/>
          <w:lang w:eastAsia="en-GB"/>
        </w:rPr>
        <w:t>91)</w:t>
      </w:r>
      <w:r w:rsidR="003F10B1" w:rsidRPr="009B3747">
        <w:rPr>
          <w:rFonts w:eastAsia="Times New Roman" w:cstheme="minorHAnsi"/>
          <w:color w:val="000000"/>
          <w:lang w:eastAsia="en-GB"/>
        </w:rPr>
        <w:fldChar w:fldCharType="end"/>
      </w:r>
      <w:r w:rsidR="003F10B1" w:rsidRPr="009B3747">
        <w:rPr>
          <w:rFonts w:eastAsia="Times New Roman" w:cstheme="minorHAnsi"/>
          <w:color w:val="000000"/>
          <w:lang w:eastAsia="en-GB"/>
        </w:rPr>
        <w:t>.</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24307E" w:rsidRPr="009B3747" w:rsidRDefault="003F1507" w:rsidP="003F1507">
      <w:pPr>
        <w:rPr>
          <w:rFonts w:eastAsia="Times New Roman" w:cstheme="minorHAnsi"/>
          <w:color w:val="000000"/>
          <w:lang w:eastAsia="en-GB"/>
        </w:rPr>
      </w:pPr>
      <w:r w:rsidRPr="009B3747">
        <w:rPr>
          <w:rFonts w:eastAsia="Times New Roman" w:cstheme="minorHAnsi"/>
          <w:color w:val="000000"/>
          <w:lang w:eastAsia="en-GB"/>
        </w:rPr>
        <w:lastRenderedPageBreak/>
        <w:t xml:space="preserve">To guide the quality assessment of included studies for this systematic review and qualitative synthesis, the use of a Critical Appraisal Skills Programme (CASP) checklist for qualitative research </w:t>
      </w:r>
      <w:r w:rsidR="003F10B1" w:rsidRPr="009B3747">
        <w:rPr>
          <w:rFonts w:eastAsia="Times New Roman" w:cstheme="minorHAnsi"/>
          <w:color w:val="000000"/>
          <w:lang w:eastAsia="en-GB"/>
        </w:rPr>
        <w:fldChar w:fldCharType="begin" w:fldLock="1"/>
      </w:r>
      <w:r w:rsidR="0024307E" w:rsidRPr="009B3747">
        <w:rPr>
          <w:rFonts w:eastAsia="Times New Roman" w:cstheme="minorHAnsi"/>
          <w:color w:val="000000"/>
          <w:lang w:eastAsia="en-GB"/>
        </w:rPr>
        <w:instrText>ADDIN CSL_CITATION { "citationItems" : [ { "id" : "ITEM-1", "itemData" : { "URL" : "http://media.wix.com/ugd/dded87_29c5b002d99342f788c6ac670e49f274.pdf", "abstract" : "Critical Appraisal Skills Programme (CASP) 2014. CASP Checklists (URL used) Oxford. CASP", "author" : [ { "dropping-particle" : "", "family" : "Critical Appraisal Skills Programme (CASP)", "given" : "", "non-dropping-particle" : "", "parse-names" : false, "suffix" : "" } ], "container-title" : "CASP Checklists", "id" : "ITEM-1", "issued" : { "date-parts" : [ [ "2014" ] ] }, "title" : "CASP Qualitative Checklist", "type" : "webpage" }, "uris" : [ "http://www.mendeley.com/documents/?uuid=e4b86ca5-1a74-47a7-b903-53836d43205b" ] } ], "mendeley" : { "formattedCitation" : "(Critical Appraisal Skills Programme (CASP), 2014)", "plainTextFormattedCitation" : "(Critical Appraisal Skills Programme (CASP), 2014)", "previouslyFormattedCitation" : "(Critical Appraisal Skills Programme (CASP), 2014)" }, "properties" : { "noteIndex" : 0 }, "schema" : "https://github.com/citation-style-language/schema/raw/master/csl-citation.json" }</w:instrText>
      </w:r>
      <w:r w:rsidR="003F10B1" w:rsidRPr="009B3747">
        <w:rPr>
          <w:rFonts w:eastAsia="Times New Roman" w:cstheme="minorHAnsi"/>
          <w:color w:val="000000"/>
          <w:lang w:eastAsia="en-GB"/>
        </w:rPr>
        <w:fldChar w:fldCharType="separate"/>
      </w:r>
      <w:r w:rsidR="003F10B1" w:rsidRPr="009B3747">
        <w:rPr>
          <w:rFonts w:eastAsia="Times New Roman" w:cstheme="minorHAnsi"/>
          <w:noProof/>
          <w:color w:val="000000"/>
          <w:lang w:eastAsia="en-GB"/>
        </w:rPr>
        <w:t>(Critical Appraisal Skills Programme (CASP), 2014)</w:t>
      </w:r>
      <w:r w:rsidR="003F10B1"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was deemed to be appropriate.  This was chosen given that it is useful for researchers and reviewers with limited experience of a formal quality assessment process</w:t>
      </w:r>
      <w:r w:rsidR="0024307E" w:rsidRPr="009B3747">
        <w:rPr>
          <w:rFonts w:eastAsia="Times New Roman" w:cstheme="minorHAnsi"/>
          <w:color w:val="000000"/>
          <w:lang w:eastAsia="en-GB"/>
        </w:rPr>
        <w:t xml:space="preserve"> </w:t>
      </w:r>
      <w:r w:rsidR="0024307E" w:rsidRPr="009B3747">
        <w:rPr>
          <w:rFonts w:eastAsia="Times New Roman" w:cstheme="minorHAnsi"/>
          <w:color w:val="000000"/>
          <w:lang w:eastAsia="en-GB"/>
        </w:rPr>
        <w:fldChar w:fldCharType="begin" w:fldLock="1"/>
      </w:r>
      <w:r w:rsidR="00AB10E7">
        <w:rPr>
          <w:rFonts w:eastAsia="Times New Roman" w:cstheme="minorHAnsi"/>
          <w:color w:val="000000"/>
          <w:lang w:eastAsia="en-GB"/>
        </w:rPr>
        <w:instrText>ADDIN CSL_CITATION { "citationItems" : [ { "id" : "ITEM-1", "itemData" : { "ISBN" : "1473904455", "abstract" : "An Introduction To Qualitative Research Designs Practical Philosophy Methodology: The Blueprint for Qualitative Research Action Research Discourse Analysis Ethnography Grounded Theory Historical Research Case Study Narrative Inquiry Phenomenology Writing Your Formal Proposal Quality in Qualitative Research A New Era of Qualitative Research", "author" : [ { "dropping-particle" : "", "family" : "Mills", "given" : "Jane (Jane Elizabeth)", "non-dropping-particle" : "", "parse-names" : false, "suffix" : "" }, { "dropping-particle" : "", "family" : "Birks", "given" : "Melanie", "non-dropping-particle" : "", "parse-names" : false, "suffix" : "" } ], "id" : "ITEM-1", "issued" : { "date-parts" : [ [ "2014" ] ] }, "number-of-pages" : "288", "publisher" : "SAGE Publications Ltd", "publisher-place" : "London", "title" : "Qualitative methodology : a practical guide", "type" : "book" }, "uris" : [ "http://www.mendeley.com/documents/?uuid=3549c4d4-2d60-38fe-b12f-6f5feaf8d3b7" ] } ], "mendeley" : { "formattedCitation" : "(Mills and Birks, 2014)", "manualFormatting" : "(Mills and Birks, 2014)", "plainTextFormattedCitation" : "(Mills and Birks, 2014)", "previouslyFormattedCitation" : "(Mills and Birks, 2014)" }, "properties" : { "noteIndex" : 0 }, "schema" : "https://github.com/citation-style-language/schema/raw/master/csl-citation.json" }</w:instrText>
      </w:r>
      <w:r w:rsidR="0024307E" w:rsidRPr="009B3747">
        <w:rPr>
          <w:rFonts w:eastAsia="Times New Roman" w:cstheme="minorHAnsi"/>
          <w:color w:val="000000"/>
          <w:lang w:eastAsia="en-GB"/>
        </w:rPr>
        <w:fldChar w:fldCharType="separate"/>
      </w:r>
      <w:r w:rsidR="0024307E" w:rsidRPr="009B3747">
        <w:rPr>
          <w:rFonts w:eastAsia="Times New Roman" w:cstheme="minorHAnsi"/>
          <w:noProof/>
          <w:color w:val="000000"/>
          <w:lang w:eastAsia="en-GB"/>
        </w:rPr>
        <w:t>(Mills and Birks, 2014)</w:t>
      </w:r>
      <w:r w:rsidR="0024307E" w:rsidRPr="009B3747">
        <w:rPr>
          <w:rFonts w:eastAsia="Times New Roman" w:cstheme="minorHAnsi"/>
          <w:color w:val="000000"/>
          <w:lang w:eastAsia="en-GB"/>
        </w:rPr>
        <w:fldChar w:fldCharType="end"/>
      </w:r>
      <w:r w:rsidR="0024307E" w:rsidRPr="009B3747">
        <w:rPr>
          <w:rFonts w:eastAsia="Times New Roman" w:cstheme="minorHAnsi"/>
          <w:color w:val="000000"/>
          <w:lang w:eastAsia="en-GB"/>
        </w:rPr>
        <w:t>.</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The CASP checklist for qualitative research pose</w:t>
      </w:r>
      <w:r w:rsidR="006B3384" w:rsidRPr="009B3747">
        <w:rPr>
          <w:rFonts w:eastAsia="Times New Roman" w:cstheme="minorHAnsi"/>
          <w:color w:val="000000"/>
          <w:lang w:eastAsia="en-GB"/>
        </w:rPr>
        <w:t>s ten questions (see Appendix D</w:t>
      </w:r>
      <w:r w:rsidRPr="009B3747">
        <w:rPr>
          <w:rFonts w:eastAsia="Times New Roman" w:cstheme="minorHAnsi"/>
          <w:color w:val="000000"/>
          <w:lang w:eastAsia="en-GB"/>
        </w:rPr>
        <w:t xml:space="preserve">) related to broad and overarching considerations of research </w:t>
      </w:r>
      <w:r w:rsidR="00FE4357">
        <w:rPr>
          <w:rFonts w:eastAsia="Times New Roman" w:cstheme="minorHAnsi"/>
          <w:color w:val="000000"/>
          <w:lang w:eastAsia="en-GB"/>
        </w:rPr>
        <w:t>quality,</w:t>
      </w:r>
      <w:r w:rsidRPr="009B3747">
        <w:rPr>
          <w:rFonts w:eastAsia="Times New Roman" w:cstheme="minorHAnsi"/>
          <w:color w:val="000000"/>
          <w:lang w:eastAsia="en-GB"/>
        </w:rPr>
        <w:t xml:space="preserve"> i.e. validity, reliability and relevance</w:t>
      </w:r>
      <w:r w:rsidR="0024307E" w:rsidRPr="009B3747">
        <w:rPr>
          <w:rFonts w:eastAsia="Times New Roman" w:cstheme="minorHAnsi"/>
          <w:color w:val="000000"/>
          <w:lang w:eastAsia="en-GB"/>
        </w:rPr>
        <w:t xml:space="preserve"> </w:t>
      </w:r>
      <w:r w:rsidR="0024307E" w:rsidRPr="009B3747">
        <w:rPr>
          <w:rFonts w:eastAsia="Times New Roman" w:cstheme="minorHAnsi"/>
          <w:color w:val="000000"/>
          <w:lang w:eastAsia="en-GB"/>
        </w:rPr>
        <w:fldChar w:fldCharType="begin" w:fldLock="1"/>
      </w:r>
      <w:r w:rsidR="005C6ABE" w:rsidRPr="009B3747">
        <w:rPr>
          <w:rFonts w:eastAsia="Times New Roman" w:cstheme="minorHAnsi"/>
          <w:color w:val="000000"/>
          <w:lang w:eastAsia="en-GB"/>
        </w:rPr>
        <w:instrText>ADDIN CSL_CITATION { "citationItems" : [ { "id" : "ITEM-1", "itemData" : { "URL" : "http://media.wix.com/ugd/dded87_29c5b002d99342f788c6ac670e49f274.pdf", "abstract" : "Critical Appraisal Skills Programme (CASP) 2014. CASP Checklists (URL used) Oxford. CASP", "author" : [ { "dropping-particle" : "", "family" : "Critical Appraisal Skills Programme (CASP)", "given" : "", "non-dropping-particle" : "", "parse-names" : false, "suffix" : "" } ], "container-title" : "CASP Checklists", "id" : "ITEM-1", "issued" : { "date-parts" : [ [ "2014" ] ] }, "title" : "CASP Qualitative Checklist", "type" : "webpage" }, "uris" : [ "http://www.mendeley.com/documents/?uuid=e4b86ca5-1a74-47a7-b903-53836d43205b" ] } ], "mendeley" : { "formattedCitation" : "(Critical Appraisal Skills Programme (CASP), 2014)", "plainTextFormattedCitation" : "(Critical Appraisal Skills Programme (CASP), 2014)", "previouslyFormattedCitation" : "(Critical Appraisal Skills Programme (CASP), 2014)" }, "properties" : { "noteIndex" : 0 }, "schema" : "https://github.com/citation-style-language/schema/raw/master/csl-citation.json" }</w:instrText>
      </w:r>
      <w:r w:rsidR="0024307E" w:rsidRPr="009B3747">
        <w:rPr>
          <w:rFonts w:eastAsia="Times New Roman" w:cstheme="minorHAnsi"/>
          <w:color w:val="000000"/>
          <w:lang w:eastAsia="en-GB"/>
        </w:rPr>
        <w:fldChar w:fldCharType="separate"/>
      </w:r>
      <w:r w:rsidR="0024307E" w:rsidRPr="009B3747">
        <w:rPr>
          <w:rFonts w:eastAsia="Times New Roman" w:cstheme="minorHAnsi"/>
          <w:noProof/>
          <w:color w:val="000000"/>
          <w:lang w:eastAsia="en-GB"/>
        </w:rPr>
        <w:t>(Critical Appraisal Skills Programme (CASP), 2014)</w:t>
      </w:r>
      <w:r w:rsidR="0024307E" w:rsidRPr="009B3747">
        <w:rPr>
          <w:rFonts w:eastAsia="Times New Roman" w:cstheme="minorHAnsi"/>
          <w:color w:val="000000"/>
          <w:lang w:eastAsia="en-GB"/>
        </w:rPr>
        <w:fldChar w:fldCharType="end"/>
      </w:r>
      <w:r w:rsidRPr="009B3747">
        <w:rPr>
          <w:rFonts w:eastAsia="Times New Roman" w:cstheme="minorHAnsi"/>
          <w:color w:val="000000"/>
          <w:lang w:eastAsia="en-GB"/>
        </w:rPr>
        <w:t>.  </w:t>
      </w:r>
      <w:r w:rsidR="006B3384" w:rsidRPr="009B3747">
        <w:rPr>
          <w:rFonts w:eastAsia="Times New Roman" w:cstheme="minorHAnsi"/>
          <w:color w:val="000000"/>
          <w:lang w:eastAsia="en-GB"/>
        </w:rPr>
        <w:t xml:space="preserve">Appendix D, presents the form developed to assess research quality based on the ten checklist questions.  </w:t>
      </w:r>
      <w:r w:rsidRPr="009B3747">
        <w:rPr>
          <w:rFonts w:eastAsia="Times New Roman" w:cstheme="minorHAnsi"/>
          <w:color w:val="000000"/>
          <w:lang w:eastAsia="en-GB"/>
        </w:rPr>
        <w:t xml:space="preserve">An </w:t>
      </w:r>
      <w:r w:rsidR="006B3384" w:rsidRPr="009B3747">
        <w:rPr>
          <w:rFonts w:eastAsia="Times New Roman" w:cstheme="minorHAnsi"/>
          <w:color w:val="000000"/>
          <w:lang w:eastAsia="en-GB"/>
        </w:rPr>
        <w:t xml:space="preserve">overview of the assessed quality of </w:t>
      </w:r>
      <w:r w:rsidRPr="009B3747">
        <w:rPr>
          <w:rFonts w:eastAsia="Times New Roman" w:cstheme="minorHAnsi"/>
          <w:color w:val="000000"/>
          <w:lang w:eastAsia="en-GB"/>
        </w:rPr>
        <w:t>studies is included in the rev</w:t>
      </w:r>
      <w:r w:rsidR="004944F2">
        <w:rPr>
          <w:rFonts w:eastAsia="Times New Roman" w:cstheme="minorHAnsi"/>
          <w:color w:val="000000"/>
          <w:lang w:eastAsia="en-GB"/>
        </w:rPr>
        <w:t xml:space="preserve">iew (see results section below), </w:t>
      </w:r>
      <w:r w:rsidRPr="009B3747">
        <w:rPr>
          <w:rFonts w:eastAsia="Times New Roman" w:cstheme="minorHAnsi"/>
          <w:color w:val="000000"/>
          <w:lang w:eastAsia="en-GB"/>
        </w:rPr>
        <w:t xml:space="preserve">but as previously stated studies were not excluded on the basis of inadequate quality.  Given that sufficient quality was not a determining criteria for inclusion in this review, it was </w:t>
      </w:r>
      <w:r w:rsidR="00133672" w:rsidRPr="009B3747">
        <w:rPr>
          <w:rFonts w:eastAsia="Times New Roman" w:cstheme="minorHAnsi"/>
          <w:color w:val="000000"/>
          <w:lang w:eastAsia="en-GB"/>
        </w:rPr>
        <w:t>viewed as</w:t>
      </w:r>
      <w:r w:rsidRPr="009B3747">
        <w:rPr>
          <w:rFonts w:eastAsia="Times New Roman" w:cstheme="minorHAnsi"/>
          <w:color w:val="000000"/>
          <w:lang w:eastAsia="en-GB"/>
        </w:rPr>
        <w:t xml:space="preserve"> unnecessary to have a second reviewer independently and critically appraise a sample of resultant studies.</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C34D84" w:rsidP="003F1507">
      <w:pPr>
        <w:rPr>
          <w:rFonts w:eastAsia="Times New Roman" w:cstheme="minorHAnsi"/>
          <w:sz w:val="24"/>
          <w:szCs w:val="24"/>
          <w:lang w:eastAsia="en-GB"/>
        </w:rPr>
      </w:pPr>
      <w:r w:rsidRPr="009B3747">
        <w:rPr>
          <w:rFonts w:eastAsia="Times New Roman" w:cstheme="minorHAnsi"/>
          <w:color w:val="000000"/>
          <w:u w:val="single"/>
          <w:lang w:eastAsia="en-GB"/>
        </w:rPr>
        <w:t>3</w:t>
      </w:r>
      <w:r w:rsidR="00C967E9" w:rsidRPr="009B3747">
        <w:rPr>
          <w:rFonts w:eastAsia="Times New Roman" w:cstheme="minorHAnsi"/>
          <w:color w:val="000000"/>
          <w:u w:val="single"/>
          <w:lang w:eastAsia="en-GB"/>
        </w:rPr>
        <w:t>.3</w:t>
      </w:r>
      <w:r w:rsidR="005C6ABE" w:rsidRPr="009B3747">
        <w:rPr>
          <w:rFonts w:eastAsia="Times New Roman" w:cstheme="minorHAnsi"/>
          <w:color w:val="000000"/>
          <w:u w:val="single"/>
          <w:lang w:eastAsia="en-GB"/>
        </w:rPr>
        <w:t>.4</w:t>
      </w:r>
      <w:r w:rsidR="003F1507" w:rsidRPr="009B3747">
        <w:rPr>
          <w:rFonts w:eastAsia="Times New Roman" w:cstheme="minorHAnsi"/>
          <w:color w:val="000000"/>
          <w:u w:val="single"/>
          <w:lang w:eastAsia="en-GB"/>
        </w:rPr>
        <w:t xml:space="preserve"> Data extraction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 xml:space="preserve">To facilitate the ability of obtaining </w:t>
      </w:r>
      <w:r w:rsidR="00961B10" w:rsidRPr="009B3747">
        <w:rPr>
          <w:rFonts w:eastAsia="Times New Roman" w:cstheme="minorHAnsi"/>
          <w:i/>
          <w:color w:val="000000"/>
          <w:lang w:eastAsia="en-GB"/>
        </w:rPr>
        <w:t>“</w:t>
      </w:r>
      <w:r w:rsidRPr="009B3747">
        <w:rPr>
          <w:rFonts w:eastAsia="Times New Roman" w:cstheme="minorHAnsi"/>
          <w:i/>
          <w:color w:val="000000"/>
          <w:lang w:eastAsia="en-GB"/>
        </w:rPr>
        <w:t>meaningful infor</w:t>
      </w:r>
      <w:r w:rsidR="00961B10" w:rsidRPr="009B3747">
        <w:rPr>
          <w:rFonts w:eastAsia="Times New Roman" w:cstheme="minorHAnsi"/>
          <w:i/>
          <w:color w:val="000000"/>
          <w:lang w:eastAsia="en-GB"/>
        </w:rPr>
        <w:t>mation from each included study”</w:t>
      </w:r>
      <w:r w:rsidR="005C6ABE" w:rsidRPr="009B3747">
        <w:rPr>
          <w:rFonts w:eastAsia="Times New Roman" w:cstheme="minorHAnsi"/>
          <w:color w:val="000000"/>
          <w:lang w:eastAsia="en-GB"/>
        </w:rPr>
        <w:t xml:space="preserve"> </w:t>
      </w:r>
      <w:r w:rsidR="005C6ABE"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"ISBN" : "9781473912458", "abstract" : "Second edition. \"Showing you how to take a structured and organized approach to a wide range of literature review types, this book helps you to choose which approach is right for your research. Packed with constructive tools, examples, case studies and hands-on exercises, the book covers the full range of literature review techniques\" -- Getting started on your literature review -- Taking a systematic approach to your literature review -- Choosing your review methods -- Planning and conducting your literature review -- Defining your scope -- Searching the literature -- Assessing the evidence base -- Synthesising and analysing quantitative studies -- Synthesising and analysing qualitative studies -- Writing, presenting and disseminating your review.", "author" : [ { "dropping-particle" : "", "family" : "Booth", "given" : "Andrew", "non-dropping-particle" : "", "parse-names" : false, "suffix" : "" }, { "dropping-particle" : "", "family" : "Sutton", "given" : "Anthea", "non-dropping-particle" : "", "parse-names" : false, "suffix" : "" }, { "dropping-particle" : "", "family" : "Papaioannou", "given" : "Diana", "non-dropping-particle" : "", "parse-names" : false, "suffix" : "" } ], "edition" : "2nd", "id" : "ITEM-1", "issued" : { "date-parts" : [ [ "2016" ] ] }, "publisher" : "Sage Publications", "publisher-place" : "London", "title" : "Systematic approaches to a successful literature review", "type" : "book" }, "uris" : [ "http://www.mendeley.com/documents/?uuid=165d8b81-c710-317d-a572-bc4ecf94c7a8" ] } ], "mendeley" : { "formattedCitation" : "(Booth et al., 2016)", "manualFormatting" : "(Booth et al., 2016, p.145)", "plainTextFormattedCitation" : "(Booth et al., 2016)", "previouslyFormattedCitation" : "(Booth et al., 2016)" }, "properties" : { "noteIndex" : 0 }, "schema" : "https://github.com/citation-style-language/schema/raw/master/csl-citation.json" }</w:instrText>
      </w:r>
      <w:r w:rsidR="005C6ABE" w:rsidRPr="009B3747">
        <w:rPr>
          <w:rFonts w:eastAsia="Times New Roman" w:cstheme="minorHAnsi"/>
          <w:color w:val="000000"/>
          <w:lang w:eastAsia="en-GB"/>
        </w:rPr>
        <w:fldChar w:fldCharType="separate"/>
      </w:r>
      <w:r w:rsidR="005C6ABE" w:rsidRPr="009B3747">
        <w:rPr>
          <w:rFonts w:eastAsia="Times New Roman" w:cstheme="minorHAnsi"/>
          <w:noProof/>
          <w:color w:val="000000"/>
          <w:lang w:eastAsia="en-GB"/>
        </w:rPr>
        <w:t>(Booth et al., 2016</w:t>
      </w:r>
      <w:r w:rsidR="00FB5B00" w:rsidRPr="009B3747">
        <w:rPr>
          <w:rFonts w:eastAsia="Times New Roman" w:cstheme="minorHAnsi"/>
          <w:noProof/>
          <w:color w:val="000000"/>
          <w:lang w:eastAsia="en-GB"/>
        </w:rPr>
        <w:t>, p.</w:t>
      </w:r>
      <w:r w:rsidR="005C6ABE" w:rsidRPr="009B3747">
        <w:rPr>
          <w:rFonts w:eastAsia="Times New Roman" w:cstheme="minorHAnsi"/>
          <w:noProof/>
          <w:color w:val="000000"/>
          <w:lang w:eastAsia="en-GB"/>
        </w:rPr>
        <w:t>145)</w:t>
      </w:r>
      <w:r w:rsidR="005C6ABE" w:rsidRPr="009B3747">
        <w:rPr>
          <w:rFonts w:eastAsia="Times New Roman" w:cstheme="minorHAnsi"/>
          <w:color w:val="000000"/>
          <w:lang w:eastAsia="en-GB"/>
        </w:rPr>
        <w:fldChar w:fldCharType="end"/>
      </w:r>
      <w:r w:rsidRPr="009B3747">
        <w:rPr>
          <w:rFonts w:eastAsia="Times New Roman" w:cstheme="minorHAnsi"/>
          <w:color w:val="000000"/>
          <w:lang w:eastAsia="en-GB"/>
        </w:rPr>
        <w:t>, the researcher committed to a systematic process of data extraction.  Extracting data from each included study was undertaken in order to support the process of quality assessment and qualitative evidence synthesis and analysis.  A data extraction fo</w:t>
      </w:r>
      <w:r w:rsidR="006B3384" w:rsidRPr="009B3747">
        <w:rPr>
          <w:rFonts w:eastAsia="Times New Roman" w:cstheme="minorHAnsi"/>
          <w:color w:val="000000"/>
          <w:lang w:eastAsia="en-GB"/>
        </w:rPr>
        <w:t>rm was utilised (see Appendix E</w:t>
      </w:r>
      <w:r w:rsidRPr="009B3747">
        <w:rPr>
          <w:rFonts w:eastAsia="Times New Roman" w:cstheme="minorHAnsi"/>
          <w:color w:val="000000"/>
          <w:lang w:eastAsia="en-GB"/>
        </w:rPr>
        <w:t>)</w:t>
      </w:r>
      <w:r w:rsidR="004944F2">
        <w:rPr>
          <w:rFonts w:eastAsia="Times New Roman" w:cstheme="minorHAnsi"/>
          <w:color w:val="000000"/>
          <w:lang w:eastAsia="en-GB"/>
        </w:rPr>
        <w:t>,</w:t>
      </w:r>
      <w:r w:rsidRPr="009B3747">
        <w:rPr>
          <w:rFonts w:eastAsia="Times New Roman" w:cstheme="minorHAnsi"/>
          <w:color w:val="000000"/>
          <w:lang w:eastAsia="en-GB"/>
        </w:rPr>
        <w:t xml:space="preserve"> to guide the capture of relevant data from the included studies and ensure the task was completed in a robust manner.  The data extraction form was adapted from</w:t>
      </w:r>
      <w:r w:rsidR="005C6ABE" w:rsidRPr="009B3747">
        <w:rPr>
          <w:rFonts w:eastAsia="Times New Roman" w:cstheme="minorHAnsi"/>
          <w:color w:val="000000"/>
          <w:lang w:eastAsia="en-GB"/>
        </w:rPr>
        <w:t xml:space="preserve"> Booth and colleagues</w:t>
      </w:r>
      <w:r w:rsidRPr="009B3747">
        <w:rPr>
          <w:rFonts w:eastAsia="Times New Roman" w:cstheme="minorHAnsi"/>
          <w:color w:val="000000"/>
          <w:lang w:eastAsia="en-GB"/>
        </w:rPr>
        <w:t xml:space="preserve"> </w:t>
      </w:r>
      <w:r w:rsidR="005C6ABE"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"ISBN" : "9781473912458", "abstract" : "Second edition. \"Showing you how to take a structured and organized approach to a wide range of literature review types, this book helps you to choose which approach is right for your research. Packed with constructive tools, examples, case studies and hands-on exercises, the book covers the full range of literature review techniques\" -- Getting started on your literature review -- Taking a systematic approach to your literature review -- Choosing your review methods -- Planning and conducting your literature review -- Defining your scope -- Searching the literature -- Assessing the evidence base -- Synthesising and analysing quantitative studies -- Synthesising and analysing qualitative studies -- Writing, presenting and disseminating your review.", "author" : [ { "dropping-particle" : "", "family" : "Booth", "given" : "Andrew", "non-dropping-particle" : "", "parse-names" : false, "suffix" : "" }, { "dropping-particle" : "", "family" : "Sutton", "given" : "Anthea", "non-dropping-particle" : "", "parse-names" : false, "suffix" : "" }, { "dropping-particle" : "", "family" : "Papaioannou", "given" : "Diana", "non-dropping-particle" : "", "parse-names" : false, "suffix" : "" } ], "edition" : "2nd", "id" : "ITEM-1", "issued" : { "date-parts" : [ [ "2016" ] ] }, "publisher" : "Sage Publications", "publisher-place" : "London", "title" : "Systematic approaches to a successful literature review", "type" : "book" }, "uris" : [ "http://www.mendeley.com/documents/?uuid=165d8b81-c710-317d-a572-bc4ecf94c7a8" ] } ], "mendeley" : { "formattedCitation" : "(Booth et al., 2016)", "plainTextFormattedCitation" : "(Booth et al., 2016)", "previouslyFormattedCitation" : "(Booth et al., 2016)" }, "properties" : { "noteIndex" : 0 }, "schema" : "https://github.com/citation-style-language/schema/raw/master/csl-citation.json" }</w:instrText>
      </w:r>
      <w:r w:rsidR="005C6ABE" w:rsidRPr="009B3747">
        <w:rPr>
          <w:rFonts w:eastAsia="Times New Roman" w:cstheme="minorHAnsi"/>
          <w:color w:val="000000"/>
          <w:lang w:eastAsia="en-GB"/>
        </w:rPr>
        <w:fldChar w:fldCharType="separate"/>
      </w:r>
      <w:r w:rsidR="005C6ABE" w:rsidRPr="009B3747">
        <w:rPr>
          <w:rFonts w:eastAsia="Times New Roman" w:cstheme="minorHAnsi"/>
          <w:noProof/>
          <w:color w:val="000000"/>
          <w:lang w:eastAsia="en-GB"/>
        </w:rPr>
        <w:t>(Booth et al., 2016)</w:t>
      </w:r>
      <w:r w:rsidR="005C6ABE"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and the Joanna Briggs Institute Qualitative Assessment and Review Instrument</w:t>
      </w:r>
      <w:r w:rsidR="005C6ABE" w:rsidRPr="009B3747">
        <w:rPr>
          <w:rFonts w:eastAsia="Times New Roman" w:cstheme="minorHAnsi"/>
          <w:color w:val="000000"/>
          <w:lang w:eastAsia="en-GB"/>
        </w:rPr>
        <w:t xml:space="preserve"> </w:t>
      </w:r>
      <w:r w:rsidR="005C6ABE" w:rsidRPr="009B3747">
        <w:rPr>
          <w:rFonts w:eastAsia="Times New Roman" w:cstheme="minorHAnsi"/>
          <w:color w:val="000000"/>
          <w:lang w:eastAsia="en-GB"/>
        </w:rPr>
        <w:fldChar w:fldCharType="begin" w:fldLock="1"/>
      </w:r>
      <w:r w:rsidR="005C6ABE" w:rsidRPr="009B3747">
        <w:rPr>
          <w:rFonts w:eastAsia="Times New Roman" w:cstheme="minorHAnsi"/>
          <w:color w:val="000000"/>
          <w:lang w:eastAsia="en-GB"/>
        </w:rPr>
        <w:instrText>ADDIN CSL_CITATION { "citationItems" : [ { "id" : "ITEM-1",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"The Joanna Briggs Institute", "given" : "", "non-dropping-particle" : "", "parse-names" : false, "suffix" : "" } ], "container-title" : "Joanna Briggs Institute", "id" : "ITEM-1", "issued" : { "date-parts" : [ [ "2011" ] ] }, "number-of-pages" : "56", "title" : "Joanna Briggs Institute Reviewers Manual: 2011 edition", "type" : "report" }, "uris" : [ "http://www.mendeley.com/documents/?uuid=e1e1d18d-f5f4-4049-ab5a-3a409253d8d5" ] } ], "mendeley" : { "formattedCitation" : "(The Joanna Briggs Institute, 2011)", "plainTextFormattedCitation" : "(The Joanna Briggs Institute, 2011)", "previouslyFormattedCitation" : "(The Joanna Briggs Institute, 2011)" }, "properties" : { "noteIndex" : 0 }, "schema" : "https://github.com/citation-style-language/schema/raw/master/csl-citation.json" }</w:instrText>
      </w:r>
      <w:r w:rsidR="005C6ABE" w:rsidRPr="009B3747">
        <w:rPr>
          <w:rFonts w:eastAsia="Times New Roman" w:cstheme="minorHAnsi"/>
          <w:color w:val="000000"/>
          <w:lang w:eastAsia="en-GB"/>
        </w:rPr>
        <w:fldChar w:fldCharType="separate"/>
      </w:r>
      <w:r w:rsidR="005C6ABE" w:rsidRPr="009B3747">
        <w:rPr>
          <w:rFonts w:eastAsia="Times New Roman" w:cstheme="minorHAnsi"/>
          <w:noProof/>
          <w:color w:val="000000"/>
          <w:lang w:eastAsia="en-GB"/>
        </w:rPr>
        <w:t>(The Joanna Briggs Institute, 2011)</w:t>
      </w:r>
      <w:r w:rsidR="005C6ABE"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The extracted information centred on </w:t>
      </w:r>
      <w:r w:rsidR="00961B10" w:rsidRPr="009B3747">
        <w:rPr>
          <w:rFonts w:eastAsia="Times New Roman" w:cstheme="minorHAnsi"/>
          <w:color w:val="000000"/>
          <w:lang w:eastAsia="en-GB"/>
        </w:rPr>
        <w:t>the following:</w:t>
      </w:r>
      <w:r w:rsidRPr="009B3747">
        <w:rPr>
          <w:rFonts w:eastAsia="Times New Roman" w:cstheme="minorHAnsi"/>
          <w:color w:val="000000"/>
          <w:lang w:eastAsia="en-GB"/>
        </w:rPr>
        <w:t xml:space="preserve">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numPr>
          <w:ilvl w:val="0"/>
          <w:numId w:val="18"/>
        </w:numPr>
        <w:textAlignment w:val="baseline"/>
        <w:rPr>
          <w:rFonts w:eastAsia="Times New Roman" w:cstheme="minorHAnsi"/>
          <w:color w:val="000000"/>
          <w:lang w:eastAsia="en-GB"/>
        </w:rPr>
      </w:pPr>
      <w:r w:rsidRPr="009B3747">
        <w:rPr>
          <w:rFonts w:eastAsia="Times New Roman" w:cstheme="minorHAnsi"/>
          <w:color w:val="000000"/>
          <w:lang w:eastAsia="en-GB"/>
        </w:rPr>
        <w:t>Study details - Author(s), year of publication, study aims/objectives</w:t>
      </w:r>
    </w:p>
    <w:p w:rsidR="003F1507" w:rsidRPr="009B3747" w:rsidRDefault="003F1507" w:rsidP="003F1507">
      <w:pPr>
        <w:numPr>
          <w:ilvl w:val="0"/>
          <w:numId w:val="18"/>
        </w:numPr>
        <w:textAlignment w:val="baseline"/>
        <w:rPr>
          <w:rFonts w:eastAsia="Times New Roman" w:cstheme="minorHAnsi"/>
          <w:color w:val="000000"/>
          <w:lang w:eastAsia="en-GB"/>
        </w:rPr>
      </w:pPr>
      <w:r w:rsidRPr="009B3747">
        <w:rPr>
          <w:rFonts w:eastAsia="Times New Roman" w:cstheme="minorHAnsi"/>
          <w:color w:val="000000"/>
          <w:lang w:eastAsia="en-GB"/>
        </w:rPr>
        <w:t xml:space="preserve">Study context - Location and setting of study </w:t>
      </w:r>
    </w:p>
    <w:p w:rsidR="003F1507" w:rsidRPr="009B3747" w:rsidRDefault="003F1507" w:rsidP="003F1507">
      <w:pPr>
        <w:numPr>
          <w:ilvl w:val="0"/>
          <w:numId w:val="18"/>
        </w:numPr>
        <w:textAlignment w:val="baseline"/>
        <w:rPr>
          <w:rFonts w:eastAsia="Times New Roman" w:cstheme="minorHAnsi"/>
          <w:color w:val="000000"/>
          <w:lang w:eastAsia="en-GB"/>
        </w:rPr>
      </w:pPr>
      <w:r w:rsidRPr="009B3747">
        <w:rPr>
          <w:rFonts w:eastAsia="Times New Roman" w:cstheme="minorHAnsi"/>
          <w:color w:val="000000"/>
          <w:lang w:eastAsia="en-GB"/>
        </w:rPr>
        <w:t>Study population - Participant information</w:t>
      </w:r>
    </w:p>
    <w:p w:rsidR="003F1507" w:rsidRPr="009B3747" w:rsidRDefault="003F1507" w:rsidP="003F1507">
      <w:pPr>
        <w:numPr>
          <w:ilvl w:val="0"/>
          <w:numId w:val="18"/>
        </w:numPr>
        <w:textAlignment w:val="baseline"/>
        <w:rPr>
          <w:rFonts w:eastAsia="Times New Roman" w:cstheme="minorHAnsi"/>
          <w:color w:val="000000"/>
          <w:lang w:eastAsia="en-GB"/>
        </w:rPr>
      </w:pPr>
      <w:r w:rsidRPr="009B3747">
        <w:rPr>
          <w:rFonts w:eastAsia="Times New Roman" w:cstheme="minorHAnsi"/>
          <w:color w:val="000000"/>
          <w:lang w:eastAsia="en-GB"/>
        </w:rPr>
        <w:t>Study phenomena of interest - Topic of interest</w:t>
      </w:r>
    </w:p>
    <w:p w:rsidR="003F1507" w:rsidRPr="009B3747" w:rsidRDefault="003F1507" w:rsidP="003F1507">
      <w:pPr>
        <w:numPr>
          <w:ilvl w:val="0"/>
          <w:numId w:val="18"/>
        </w:numPr>
        <w:textAlignment w:val="baseline"/>
        <w:rPr>
          <w:rFonts w:eastAsia="Times New Roman" w:cstheme="minorHAnsi"/>
          <w:color w:val="000000"/>
          <w:lang w:eastAsia="en-GB"/>
        </w:rPr>
      </w:pPr>
      <w:r w:rsidRPr="009B3747">
        <w:rPr>
          <w:rFonts w:eastAsia="Times New Roman" w:cstheme="minorHAnsi"/>
          <w:color w:val="000000"/>
          <w:lang w:eastAsia="en-GB"/>
        </w:rPr>
        <w:t>Study methodology - Approaches to data collection and analysis</w:t>
      </w:r>
    </w:p>
    <w:p w:rsidR="003F1507" w:rsidRPr="009B3747" w:rsidRDefault="003F1507" w:rsidP="003F1507">
      <w:pPr>
        <w:numPr>
          <w:ilvl w:val="0"/>
          <w:numId w:val="18"/>
        </w:numPr>
        <w:textAlignment w:val="baseline"/>
        <w:rPr>
          <w:rFonts w:eastAsia="Times New Roman" w:cstheme="minorHAnsi"/>
          <w:color w:val="000000"/>
          <w:lang w:eastAsia="en-GB"/>
        </w:rPr>
      </w:pPr>
      <w:r w:rsidRPr="009B3747">
        <w:rPr>
          <w:rFonts w:eastAsia="Times New Roman" w:cstheme="minorHAnsi"/>
          <w:color w:val="000000"/>
          <w:lang w:eastAsia="en-GB"/>
        </w:rPr>
        <w:t>Study findings - Author interpretations and/or participant verbatim quotes within results section of papers</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color w:val="000000"/>
          <w:lang w:eastAsia="en-GB"/>
        </w:rPr>
      </w:pPr>
      <w:r w:rsidRPr="009B3747">
        <w:rPr>
          <w:rFonts w:eastAsia="Times New Roman" w:cstheme="minorHAnsi"/>
          <w:color w:val="000000"/>
          <w:lang w:eastAsia="en-GB"/>
        </w:rPr>
        <w:lastRenderedPageBreak/>
        <w:t xml:space="preserve">Whilst the form was utilised to enhance consistency in the </w:t>
      </w:r>
      <w:r w:rsidR="004944F2">
        <w:rPr>
          <w:rFonts w:eastAsia="Times New Roman" w:cstheme="minorHAnsi"/>
          <w:color w:val="000000"/>
          <w:lang w:eastAsia="en-GB"/>
        </w:rPr>
        <w:t xml:space="preserve">extraction </w:t>
      </w:r>
      <w:r w:rsidRPr="009B3747">
        <w:rPr>
          <w:rFonts w:eastAsia="Times New Roman" w:cstheme="minorHAnsi"/>
          <w:color w:val="000000"/>
          <w:lang w:eastAsia="en-GB"/>
        </w:rPr>
        <w:t>approach both within and across studies, a central consideration was also to ensure that crucial contextua</w:t>
      </w:r>
      <w:r w:rsidR="004944F2">
        <w:rPr>
          <w:rFonts w:eastAsia="Times New Roman" w:cstheme="minorHAnsi"/>
          <w:color w:val="000000"/>
          <w:lang w:eastAsia="en-GB"/>
        </w:rPr>
        <w:t xml:space="preserve">l information within each study, </w:t>
      </w:r>
      <w:r w:rsidRPr="009B3747">
        <w:rPr>
          <w:rFonts w:eastAsia="Times New Roman" w:cstheme="minorHAnsi"/>
          <w:color w:val="000000"/>
          <w:lang w:eastAsia="en-GB"/>
        </w:rPr>
        <w:t>was not lost during this process</w:t>
      </w:r>
      <w:r w:rsidR="005C6ABE" w:rsidRPr="009B3747">
        <w:rPr>
          <w:rFonts w:eastAsia="Times New Roman" w:cstheme="minorHAnsi"/>
          <w:color w:val="000000"/>
          <w:lang w:eastAsia="en-GB"/>
        </w:rPr>
        <w:t xml:space="preserve"> </w:t>
      </w:r>
      <w:r w:rsidR="005C6ABE" w:rsidRPr="009B3747">
        <w:rPr>
          <w:rFonts w:eastAsia="Times New Roman" w:cstheme="minorHAnsi"/>
          <w:color w:val="000000"/>
          <w:lang w:eastAsia="en-GB"/>
        </w:rPr>
        <w:fldChar w:fldCharType="begin" w:fldLock="1"/>
      </w:r>
      <w:r w:rsidR="005C6ABE" w:rsidRPr="009B3747">
        <w:rPr>
          <w:rFonts w:eastAsia="Times New Roman" w:cstheme="minorHAnsi"/>
          <w:color w:val="000000"/>
          <w:lang w:eastAsia="en-GB"/>
        </w:rPr>
        <w:instrText>ADDIN CSL_CITATION { "citationItems" : [ { "id" : "ITEM-1", "itemData" : { "DOI" : "10.1111/hsc.12223", "ISSN" : "09660410", "author" : [ { "dropping-particle" : "", "family" : "Fu", "given" : "Yu", "non-dropping-particle" : "", "parse-names" : false, "suffix" : "" }, { "dropping-particle" : "", "family" : "McNichol", "given" : "Elaine", "non-dropping-particle" : "", "parse-names" : false, "suffix" : "" }, { "dropping-particle" : "", "family" : "Marczewski", "given" : "Kathryn", "non-dropping-particle" : "", "parse-names" : false, "suffix" : "" }, { "dropping-particle" : "", "family" : "Closs", "given" : "S. Jos?", "non-dropping-particle" : "", "parse-names" : false, "suffix" : "" } ], "container-title" : "Health &amp; Social Care in the Community", "id" : "ITEM-1", "issue" : "3", "issued" : { "date-parts" : [ [ "2016", "5", "1" ] ] }, "page" : "247-259", "title" : "Patient-professional partnerships and chronic back pain self-management: a qualitative systematic review and synthesis", "type" : "article-journal", "volume" : "24" }, "uris" : [ "http://www.mendeley.com/documents/?uuid=b1c2f10c-0889-37e1-b9c1-83f09f838e49" ] } ], "mendeley" : { "formattedCitation" : "(Fu et al., 2016)", "plainTextFormattedCitation" : "(Fu et al., 2016)", "previouslyFormattedCitation" : "(Fu et al., 2016)" }, "properties" : { "noteIndex" : 0 }, "schema" : "https://github.com/citation-style-language/schema/raw/master/csl-citation.json" }</w:instrText>
      </w:r>
      <w:r w:rsidR="005C6ABE" w:rsidRPr="009B3747">
        <w:rPr>
          <w:rFonts w:eastAsia="Times New Roman" w:cstheme="minorHAnsi"/>
          <w:color w:val="000000"/>
          <w:lang w:eastAsia="en-GB"/>
        </w:rPr>
        <w:fldChar w:fldCharType="separate"/>
      </w:r>
      <w:r w:rsidR="005C6ABE" w:rsidRPr="009B3747">
        <w:rPr>
          <w:rFonts w:eastAsia="Times New Roman" w:cstheme="minorHAnsi"/>
          <w:noProof/>
          <w:color w:val="000000"/>
          <w:lang w:eastAsia="en-GB"/>
        </w:rPr>
        <w:t>(Fu et al., 2016)</w:t>
      </w:r>
      <w:r w:rsidR="005C6ABE"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To address this and as proposed by </w:t>
      </w:r>
      <w:r w:rsidR="005C6ABE"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"ISBN" : "9781473912458", "abstract" : "Second edition. \"Showing you how to take a structured and organized approach to a wide range of literature review types, this book helps you to choose which approach is right for your research. Packed with constructive tools, examples, case studies and hands-on exercises, the book covers the full range of literature review techniques\" -- Getting started on your literature review -- Taking a systematic approach to your literature review -- Choosing your review methods -- Planning and conducting your literature review -- Defining your scope -- Searching the literature -- Assessing the evidence base -- Synthesising and analysing quantitative studies -- Synthesising and analysing qualitative studies -- Writing, presenting and disseminating your review.", "author" : [ { "dropping-particle" : "", "family" : "Booth", "given" : "Andrew", "non-dropping-particle" : "", "parse-names" : false, "suffix" : "" }, { "dropping-particle" : "", "family" : "Sutton", "given" : "Anthea", "non-dropping-particle" : "", "parse-names" : false, "suffix" : "" }, { "dropping-particle" : "", "family" : "Papaioannou", "given" : "Diana", "non-dropping-particle" : "", "parse-names" : false, "suffix" : "" } ], "edition" : "2nd", "id" : "ITEM-1", "issued" : { "date-parts" : [ [ "2016" ] ] }, "publisher" : "Sage Publications", "publisher-place" : "London", "title" : "Systematic approaches to a successful literature review", "type" : "book" }, "uris" : [ "http://www.mendeley.com/documents/?uuid=165d8b81-c710-317d-a572-bc4ecf94c7a8" ] } ], "mendeley" : { "formattedCitation" : "(Booth et al., 2016)", "plainTextFormattedCitation" : "(Booth et al., 2016)", "previouslyFormattedCitation" : "(Booth et al., 2016)" }, "properties" : { "noteIndex" : 0 }, "schema" : "https://github.com/citation-style-language/schema/raw/master/csl-citation.json" }</w:instrText>
      </w:r>
      <w:r w:rsidR="005C6ABE" w:rsidRPr="009B3747">
        <w:rPr>
          <w:rFonts w:eastAsia="Times New Roman" w:cstheme="minorHAnsi"/>
          <w:color w:val="000000"/>
          <w:lang w:eastAsia="en-GB"/>
        </w:rPr>
        <w:fldChar w:fldCharType="separate"/>
      </w:r>
      <w:r w:rsidR="005C6ABE" w:rsidRPr="009B3747">
        <w:rPr>
          <w:rFonts w:eastAsia="Times New Roman" w:cstheme="minorHAnsi"/>
          <w:noProof/>
          <w:color w:val="000000"/>
          <w:lang w:eastAsia="en-GB"/>
        </w:rPr>
        <w:t>(Booth et al., 2016)</w:t>
      </w:r>
      <w:r w:rsidR="005C6ABE" w:rsidRPr="009B3747">
        <w:rPr>
          <w:rFonts w:eastAsia="Times New Roman" w:cstheme="minorHAnsi"/>
          <w:color w:val="000000"/>
          <w:lang w:eastAsia="en-GB"/>
        </w:rPr>
        <w:fldChar w:fldCharType="end"/>
      </w:r>
      <w:r w:rsidRPr="009B3747">
        <w:rPr>
          <w:rFonts w:eastAsia="Times New Roman" w:cstheme="minorHAnsi"/>
          <w:color w:val="000000"/>
          <w:lang w:eastAsia="en-GB"/>
        </w:rPr>
        <w:t>, the process of data extraction was approached iteratively and required each individual study to be carefully read and re-read often multiple times.  This also enabled the researcher to become fully acclimatised to the body of evidence as a whole and provided vital preparation for the nex</w:t>
      </w:r>
      <w:r w:rsidR="00961B10" w:rsidRPr="009B3747">
        <w:rPr>
          <w:rFonts w:eastAsia="Times New Roman" w:cstheme="minorHAnsi"/>
          <w:color w:val="000000"/>
          <w:lang w:eastAsia="en-GB"/>
        </w:rPr>
        <w:t xml:space="preserve">t stage of the review process – </w:t>
      </w:r>
      <w:r w:rsidRPr="009B3747">
        <w:rPr>
          <w:rFonts w:eastAsia="Times New Roman" w:cstheme="minorHAnsi"/>
          <w:color w:val="000000"/>
          <w:lang w:eastAsia="en-GB"/>
        </w:rPr>
        <w:t>synthesising and analysing extracted data.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983506" w:rsidP="003F1507">
      <w:pPr>
        <w:rPr>
          <w:rFonts w:eastAsia="Times New Roman" w:cstheme="minorHAnsi"/>
          <w:sz w:val="24"/>
          <w:szCs w:val="24"/>
          <w:lang w:eastAsia="en-GB"/>
        </w:rPr>
      </w:pPr>
      <w:r w:rsidRPr="009B3747">
        <w:rPr>
          <w:rFonts w:eastAsia="Times New Roman" w:cstheme="minorHAnsi"/>
          <w:color w:val="000000"/>
          <w:u w:val="single"/>
          <w:lang w:eastAsia="en-GB"/>
        </w:rPr>
        <w:t>3</w:t>
      </w:r>
      <w:r w:rsidR="003F1507" w:rsidRPr="009B3747">
        <w:rPr>
          <w:rFonts w:eastAsia="Times New Roman" w:cstheme="minorHAnsi"/>
          <w:color w:val="000000"/>
          <w:u w:val="single"/>
          <w:lang w:eastAsia="en-GB"/>
        </w:rPr>
        <w:t>.</w:t>
      </w:r>
      <w:r w:rsidR="00C967E9" w:rsidRPr="009B3747">
        <w:rPr>
          <w:rFonts w:eastAsia="Times New Roman" w:cstheme="minorHAnsi"/>
          <w:color w:val="000000"/>
          <w:u w:val="single"/>
          <w:lang w:eastAsia="en-GB"/>
        </w:rPr>
        <w:t>3</w:t>
      </w:r>
      <w:r w:rsidR="005C6ABE" w:rsidRPr="009B3747">
        <w:rPr>
          <w:rFonts w:eastAsia="Times New Roman" w:cstheme="minorHAnsi"/>
          <w:color w:val="000000"/>
          <w:u w:val="single"/>
          <w:lang w:eastAsia="en-GB"/>
        </w:rPr>
        <w:t>.5</w:t>
      </w:r>
      <w:r w:rsidR="003F1507" w:rsidRPr="009B3747">
        <w:rPr>
          <w:rFonts w:eastAsia="Times New Roman" w:cstheme="minorHAnsi"/>
          <w:color w:val="000000"/>
          <w:u w:val="single"/>
          <w:lang w:eastAsia="en-GB"/>
        </w:rPr>
        <w:t xml:space="preserve"> Data synthesis and analysis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Despite the importance and value attributed to reviews of qualitative research, synthesising and analysing qualitative research studies is both a complex and contested process</w:t>
      </w:r>
      <w:r w:rsidR="005C6ABE" w:rsidRPr="009B3747">
        <w:rPr>
          <w:rFonts w:eastAsia="Times New Roman" w:cstheme="minorHAnsi"/>
          <w:color w:val="000000"/>
          <w:lang w:eastAsia="en-GB"/>
        </w:rPr>
        <w:t xml:space="preserve"> </w:t>
      </w:r>
      <w:r w:rsidR="005C6ABE" w:rsidRPr="009B3747">
        <w:rPr>
          <w:rFonts w:eastAsia="Times New Roman" w:cstheme="minorHAnsi"/>
          <w:color w:val="000000"/>
          <w:lang w:eastAsia="en-GB"/>
        </w:rPr>
        <w:fldChar w:fldCharType="begin" w:fldLock="1"/>
      </w:r>
      <w:r w:rsidR="005C6ABE" w:rsidRPr="009B3747">
        <w:rPr>
          <w:rFonts w:eastAsia="Times New Roman" w:cstheme="minorHAnsi"/>
          <w:color w:val="000000"/>
          <w:lang w:eastAsia="en-GB"/>
        </w:rPr>
        <w:instrText>ADDIN CSL_CITATION { "citationItems" : [ { "id" : "ITEM-1", "itemData" : { "DOI" : "10.1186/1471-2288-8-45", "ISBN" : "1471-2288 (Electronic)\\r1471-2288 (Linking)", "ISSN" : "1471-2288", "PMID" : "18616818", "abstract" : "BACKGROUND: There is a growing recognition of the value of synthesising qualitative research in the evidence base in order to facilitate effective and appropriate health care. In response to this, methods for undertaking these syntheses are currently being developed. Thematic analysis is a method that is often used to analyse data in primary qualitative research. This paper reports on the use of this type of analysis in systematic reviews to bring together and integrate the findings of multiple qualitative studies.\\n\\nMETHODS: We describe thematic synthesis, outline several steps for its conduct and illustrate the process and outcome of this approach using a completed review of health promotion research. Thematic synthesis has three stages: the coding of text 'line-by-line'; the development of 'descriptive themes'; and the generation of 'analytical themes'. While the development of descriptive themes remains 'close' to the primary studies, the analytical themes represent a stage of interpretation whereby the reviewers 'go beyond' the primary studies and generate new interpretive constructs, explanations or hypotheses. The use of computer software can facilitate this method of synthesis; detailed guidance is given on how this can be achieved.\\n\\nRESULTS: We used thematic synthesis to combine the studies of children's views and identified key themes to explore in the intervention studies. Most interventions were based in school and often combined learning about health benefits with 'hands-on' experience. The studies of children's views suggested that fruit and vegetables should be treated in different ways, and that messages should not focus on health warnings. Interventions that were in line with these suggestions tended to be more effective. Thematic synthesis enabled us to stay 'close' to the results of the primary studies, synthesising them in a transparent way, and facilitating the explicit production of new concepts and hypotheses.\\n\\nCONCLUSION: We compare thematic synthesis to other methods for the synthesis of qualitative research, discussing issues of context and rigour. Thematic synthesis is presented as a tried and tested method that preserves an explicit and transparent link between conclusions and the text of primary studies; as such it preserves principles that have traditionally been important to systematic reviewing.", "author" : [ { "dropping-particle" : "", "family" : "Thomas", "given" : "James", "non-dropping-particle" : "", "parse-names" : false, "suffix" : "" }, { "dropping-particle" : "", "family" : "Harden", "given" : "Angela", "non-dropping-particle" : "", "parse-names" : false, "suffix" : "" } ], "container-title" : "BMC Medical Research Methodology", "id" : "ITEM-1", "issue" : "1", "issued" : { "date-parts" : [ [ "2008" ] ] }, "page" : "45", "title" : "Methods for the thematic synthesis of qualitative research in systematic reviews", "type" : "article-journal", "volume" : "8" }, "uris" : [ "http://www.mendeley.com/documents/?uuid=75e4c3ca-7a9b-4ec0-aa8e-23fe7e9f4462" ] } ], "mendeley" : { "formattedCitation" : "(Thomas and Harden, 2008)", "plainTextFormattedCitation" : "(Thomas and Harden, 2008)", "previouslyFormattedCitation" : "(Thomas and Harden, 2008)" }, "properties" : { "noteIndex" : 0 }, "schema" : "https://github.com/citation-style-language/schema/raw/master/csl-citation.json" }</w:instrText>
      </w:r>
      <w:r w:rsidR="005C6ABE" w:rsidRPr="009B3747">
        <w:rPr>
          <w:rFonts w:eastAsia="Times New Roman" w:cstheme="minorHAnsi"/>
          <w:color w:val="000000"/>
          <w:lang w:eastAsia="en-GB"/>
        </w:rPr>
        <w:fldChar w:fldCharType="separate"/>
      </w:r>
      <w:r w:rsidR="005C6ABE" w:rsidRPr="009B3747">
        <w:rPr>
          <w:rFonts w:eastAsia="Times New Roman" w:cstheme="minorHAnsi"/>
          <w:noProof/>
          <w:color w:val="000000"/>
          <w:lang w:eastAsia="en-GB"/>
        </w:rPr>
        <w:t>(Thomas and Harden, 2008)</w:t>
      </w:r>
      <w:r w:rsidR="005C6ABE" w:rsidRPr="009B3747">
        <w:rPr>
          <w:rFonts w:eastAsia="Times New Roman" w:cstheme="minorHAnsi"/>
          <w:color w:val="000000"/>
          <w:lang w:eastAsia="en-GB"/>
        </w:rPr>
        <w:fldChar w:fldCharType="end"/>
      </w:r>
      <w:r w:rsidRPr="009B3747">
        <w:rPr>
          <w:rFonts w:eastAsia="Times New Roman" w:cstheme="minorHAnsi"/>
          <w:color w:val="000000"/>
          <w:lang w:eastAsia="en-GB"/>
        </w:rPr>
        <w:t>.   Fundamentally qualita</w:t>
      </w:r>
      <w:r w:rsidR="00961B10" w:rsidRPr="009B3747">
        <w:rPr>
          <w:rFonts w:eastAsia="Times New Roman" w:cstheme="minorHAnsi"/>
          <w:color w:val="000000"/>
          <w:lang w:eastAsia="en-GB"/>
        </w:rPr>
        <w:t>tive synthesis is about making structured judgements</w:t>
      </w:r>
      <w:r w:rsidRPr="009B3747">
        <w:rPr>
          <w:rFonts w:eastAsia="Times New Roman" w:cstheme="minorHAnsi"/>
          <w:color w:val="000000"/>
          <w:lang w:eastAsia="en-GB"/>
        </w:rPr>
        <w:t xml:space="preserve"> and is therefore subjective in nature, recognised </w:t>
      </w:r>
      <w:r w:rsidR="00961B10" w:rsidRPr="009B3747">
        <w:rPr>
          <w:rFonts w:eastAsia="Times New Roman" w:cstheme="minorHAnsi"/>
          <w:color w:val="000000"/>
          <w:lang w:eastAsia="en-GB"/>
        </w:rPr>
        <w:t xml:space="preserve">by the argument that </w:t>
      </w:r>
      <w:r w:rsidR="00961B10" w:rsidRPr="009B3747">
        <w:rPr>
          <w:rFonts w:eastAsia="Times New Roman" w:cstheme="minorHAnsi"/>
          <w:i/>
          <w:color w:val="000000"/>
          <w:lang w:eastAsia="en-GB"/>
        </w:rPr>
        <w:t>“t</w:t>
      </w:r>
      <w:r w:rsidRPr="009B3747">
        <w:rPr>
          <w:rFonts w:eastAsia="Times New Roman" w:cstheme="minorHAnsi"/>
          <w:i/>
          <w:color w:val="000000"/>
          <w:lang w:eastAsia="en-GB"/>
        </w:rPr>
        <w:t>wo readers who independently engage deeply with the same text are likely t</w:t>
      </w:r>
      <w:r w:rsidR="00961B10" w:rsidRPr="009B3747">
        <w:rPr>
          <w:rFonts w:eastAsia="Times New Roman" w:cstheme="minorHAnsi"/>
          <w:i/>
          <w:color w:val="000000"/>
          <w:lang w:eastAsia="en-GB"/>
        </w:rPr>
        <w:t>o come to different conclusions”</w:t>
      </w:r>
      <w:r w:rsidR="005C6ABE" w:rsidRPr="009B3747">
        <w:rPr>
          <w:rFonts w:eastAsia="Times New Roman" w:cstheme="minorHAnsi"/>
          <w:color w:val="000000"/>
          <w:lang w:eastAsia="en-GB"/>
        </w:rPr>
        <w:t xml:space="preserve"> </w:t>
      </w:r>
      <w:r w:rsidR="005C6ABE" w:rsidRPr="009B3747">
        <w:rPr>
          <w:rFonts w:eastAsia="Times New Roman" w:cstheme="minorHAnsi"/>
          <w:color w:val="000000"/>
          <w:lang w:eastAsia="en-GB"/>
        </w:rPr>
        <w:fldChar w:fldCharType="begin" w:fldLock="1"/>
      </w:r>
      <w:r w:rsidR="00224C9C" w:rsidRPr="009B3747">
        <w:rPr>
          <w:rFonts w:eastAsia="Times New Roman" w:cstheme="minorHAnsi"/>
          <w:color w:val="000000"/>
          <w:lang w:eastAsia="en-GB"/>
        </w:rPr>
        <w:instrText>ADDIN CSL_CITATION { "citationItems" : [ { "id" : "ITEM-1", "itemData" : { "DOI" : "10.1111/medu.12092", "ISBN" : "1365-2923", "ISSN" : "03080110", "PMID" : "23398011", "abstract" : "Context\u2002 Formal qualitative synthesis is the process of pooling qualitative and mixed-method research data, and then drawing conclusions regarding the collective meaning of the research. Qualitative synthesis is regularly used within systematic reviews in the health professions literature, although such use has been heavily debated in the general literature. This controversy arises in part from the inherent tensions found when generalisations are derived from in-depth studies that are heavily context-dependent. Methods\u2002 We explore three representative qualitative synthesis methodologies: thematic analysis; meta-ethnography, and realist synthesis. These can be understood across two dimensions: integrative to interpretative, and idealist to realist. Three examples are used to illustrate the relative strengths and limitations of these approaches. Discussion\u2002 Against a backdrop of controversy and diverse methodologies, readers must take a critical stand when reading literature reviews that use qualitative synthesis to derive their findings. We argue that notions of qualitative rigour such as transparency and acknowledgment of the researchers\u2019 stance should be applied to qualitative synthesis.", "author" : [ { "dropping-particle" : "", "family" : "Bearman", "given" : "Margaret", "non-dropping-particle" : "", "parse-names" : false, "suffix" : "" }, { "dropping-particle" : "", "family" : "Dawson", "given" : "Phillip", "non-dropping-particle" : "", "parse-names" : false, "suffix" : "" } ], "container-title" : "Medical Education", "id" : "ITEM-1", "issue" : "3", "issued" : { "date-parts" : [ [ "2013" ] ] }, "page" : "252-260", "title" : "Qualitative synthesis and systematic review in health professions education", "type" : "article-journal", "volume" : "47" }, "uris" : [ "http://www.mendeley.com/documents/?uuid=0c53e95f-288f-4f98-913a-1599ab28351c" ] } ], "mendeley" : { "formattedCitation" : "(Bearman and Dawson, 2013)", "manualFormatting" : "(Bearman and Dawson, 2013, p.253)", "plainTextFormattedCitation" : "(Bearman and Dawson, 2013)", "previouslyFormattedCitation" : "(Bearman and Dawson, 2013)" }, "properties" : { "noteIndex" : 0 }, "schema" : "https://github.com/citation-style-language/schema/raw/master/csl-citation.json" }</w:instrText>
      </w:r>
      <w:r w:rsidR="005C6ABE" w:rsidRPr="009B3747">
        <w:rPr>
          <w:rFonts w:eastAsia="Times New Roman" w:cstheme="minorHAnsi"/>
          <w:color w:val="000000"/>
          <w:lang w:eastAsia="en-GB"/>
        </w:rPr>
        <w:fldChar w:fldCharType="separate"/>
      </w:r>
      <w:r w:rsidR="005C6ABE" w:rsidRPr="009B3747">
        <w:rPr>
          <w:rFonts w:eastAsia="Times New Roman" w:cstheme="minorHAnsi"/>
          <w:noProof/>
          <w:color w:val="000000"/>
          <w:lang w:eastAsia="en-GB"/>
        </w:rPr>
        <w:t>(Bearman and Dawson, 2013</w:t>
      </w:r>
      <w:r w:rsidR="00FB5B00" w:rsidRPr="009B3747">
        <w:rPr>
          <w:rFonts w:eastAsia="Times New Roman" w:cstheme="minorHAnsi"/>
          <w:noProof/>
          <w:color w:val="000000"/>
          <w:lang w:eastAsia="en-GB"/>
        </w:rPr>
        <w:t>, p.</w:t>
      </w:r>
      <w:r w:rsidR="005C6ABE" w:rsidRPr="009B3747">
        <w:rPr>
          <w:rFonts w:eastAsia="Times New Roman" w:cstheme="minorHAnsi"/>
          <w:noProof/>
          <w:color w:val="000000"/>
          <w:lang w:eastAsia="en-GB"/>
        </w:rPr>
        <w:t>253)</w:t>
      </w:r>
      <w:r w:rsidR="005C6ABE" w:rsidRPr="009B3747">
        <w:rPr>
          <w:rFonts w:eastAsia="Times New Roman" w:cstheme="minorHAnsi"/>
          <w:color w:val="000000"/>
          <w:lang w:eastAsia="en-GB"/>
        </w:rPr>
        <w:fldChar w:fldCharType="end"/>
      </w:r>
      <w:r w:rsidRPr="009B3747">
        <w:rPr>
          <w:rFonts w:eastAsia="Times New Roman" w:cstheme="minorHAnsi"/>
          <w:color w:val="000000"/>
          <w:lang w:eastAsia="en-GB"/>
        </w:rPr>
        <w:t>.  Despite this, and the potential for inherent reviewer bias, the process of synthesis and analysi</w:t>
      </w:r>
      <w:r w:rsidR="00961B10" w:rsidRPr="009B3747">
        <w:rPr>
          <w:rFonts w:eastAsia="Times New Roman" w:cstheme="minorHAnsi"/>
          <w:color w:val="000000"/>
          <w:lang w:eastAsia="en-GB"/>
        </w:rPr>
        <w:t xml:space="preserve">s is crucial in order to offer </w:t>
      </w:r>
      <w:r w:rsidR="00961B10" w:rsidRPr="009B3747">
        <w:rPr>
          <w:rFonts w:eastAsia="Times New Roman" w:cstheme="minorHAnsi"/>
          <w:i/>
          <w:color w:val="000000"/>
          <w:lang w:eastAsia="en-GB"/>
        </w:rPr>
        <w:t>“</w:t>
      </w:r>
      <w:r w:rsidRPr="009B3747">
        <w:rPr>
          <w:rFonts w:eastAsia="Times New Roman" w:cstheme="minorHAnsi"/>
          <w:i/>
          <w:color w:val="000000"/>
          <w:lang w:eastAsia="en-GB"/>
        </w:rPr>
        <w:t>no</w:t>
      </w:r>
      <w:r w:rsidR="00961B10" w:rsidRPr="009B3747">
        <w:rPr>
          <w:rFonts w:eastAsia="Times New Roman" w:cstheme="minorHAnsi"/>
          <w:i/>
          <w:color w:val="000000"/>
          <w:lang w:eastAsia="en-GB"/>
        </w:rPr>
        <w:t>vel interpretations of findings”</w:t>
      </w:r>
      <w:r w:rsidRPr="009B3747">
        <w:rPr>
          <w:rFonts w:eastAsia="Times New Roman" w:cstheme="minorHAnsi"/>
          <w:color w:val="000000"/>
          <w:lang w:eastAsia="en-GB"/>
        </w:rPr>
        <w:t xml:space="preserve"> </w:t>
      </w:r>
      <w:r w:rsidR="005C6ABE" w:rsidRPr="009B3747">
        <w:rPr>
          <w:rFonts w:eastAsia="Times New Roman" w:cstheme="minorHAnsi"/>
          <w:color w:val="000000"/>
          <w:lang w:eastAsia="en-GB"/>
        </w:rPr>
        <w:fldChar w:fldCharType="begin" w:fldLock="1"/>
      </w:r>
      <w:r w:rsidR="00224C9C" w:rsidRPr="009B3747">
        <w:rPr>
          <w:rFonts w:eastAsia="Times New Roman" w:cstheme="minorHAnsi"/>
          <w:color w:val="000000"/>
          <w:lang w:eastAsia="en-GB"/>
        </w:rPr>
        <w:instrText>ADDIN CSL_CITATION { "citationItems" : [ { "id" : "ITEM-1", "itemData" : { "DOI" : "10.1177/1049732304269888", "ISSN" : "1049-7323", "PMID" : "15538004", "abstract" : "In an era of pressure toward evidence-based health care, we are witnessing a new enthusiasm for qualitative metasynthesis as an enterprise distinct from conventional literature reviews, secondary analyses, and the many other scholarly endeavors with which it is sometimes confused. This article represents the reflections of five scholars, each ofwhom has authored a distinct qualitative metasynthesis strategy. By providing the reader a glimpse into the tradition of their various qualitative metasynthesis projects, these authors offer a finely nuanced examination of the tensions between comparison and integration, deconstruction and synthesis, and reporting and integration within the metasynthesis endeavor. In so doing, they account for many of the current confusions about representation and generalization within the products of these inquiries. Through understanding the bases of their unique angles of vision, the reader is invited to engage in their commitment to scholarly integrity and intellectual credibility in this emerging methodological challenge.", "author" : [ { "dropping-particle" : "", "family" : "Thorne", "given" : "S.", "non-dropping-particle" : "", "parse-names" : false, "suffix" : "" }, { "dropping-particle" : "", "family" : "Jensen", "given" : "Louise", "non-dropping-particle" : "", "parse-names" : false, "suffix" : "" }, { "dropping-particle" : "", "family" : "Kearney", "given" : "Margaret H", "non-dropping-particle" : "", "parse-names" : false, "suffix" : "" }, { "dropping-particle" : "", "family" : "Noblit", "given" : "George", "non-dropping-particle" : "", "parse-names" : false, "suffix" : "" }, { "dropping-particle" : "", "family" : "Sandelowski", "given" : "Margarete", "non-dropping-particle" : "", "parse-names" : false, "suffix" : "" } ], "container-title" : "Qualitative Health Research", "id" : "ITEM-1", "issue" : "10", "issued" : { "date-parts" : [ [ "2004", "12", "1" ] ] }, "page" : "1342-1365", "title" : "Qualitative Metasynthesis: Reflections on Methodological Orientation and Ideological Agenda", "type" : "article-journal", "volume" : "14" }, "uris" : [ "http://www.mendeley.com/documents/?uuid=6284357f-96ee-35ef-8b2f-330745478522" ] } ], "mendeley" : { "formattedCitation" : "(Thorne et al., 2004)", "manualFormatting" : "(Thorne et al., 2004, p.1358)", "plainTextFormattedCitation" : "(Thorne et al., 2004)", "previouslyFormattedCitation" : "(Thorne et al., 2004)" }, "properties" : { "noteIndex" : 0 }, "schema" : "https://github.com/citation-style-language/schema/raw/master/csl-citation.json" }</w:instrText>
      </w:r>
      <w:r w:rsidR="005C6ABE" w:rsidRPr="009B3747">
        <w:rPr>
          <w:rFonts w:eastAsia="Times New Roman" w:cstheme="minorHAnsi"/>
          <w:color w:val="000000"/>
          <w:lang w:eastAsia="en-GB"/>
        </w:rPr>
        <w:fldChar w:fldCharType="separate"/>
      </w:r>
      <w:r w:rsidR="005C6ABE" w:rsidRPr="009B3747">
        <w:rPr>
          <w:rFonts w:eastAsia="Times New Roman" w:cstheme="minorHAnsi"/>
          <w:noProof/>
          <w:color w:val="000000"/>
          <w:lang w:eastAsia="en-GB"/>
        </w:rPr>
        <w:t>(Thorne et al., 2004</w:t>
      </w:r>
      <w:r w:rsidR="00FB5B00" w:rsidRPr="009B3747">
        <w:rPr>
          <w:rFonts w:eastAsia="Times New Roman" w:cstheme="minorHAnsi"/>
          <w:noProof/>
          <w:color w:val="000000"/>
          <w:lang w:eastAsia="en-GB"/>
        </w:rPr>
        <w:t>, p.</w:t>
      </w:r>
      <w:r w:rsidR="005C6ABE" w:rsidRPr="009B3747">
        <w:rPr>
          <w:rFonts w:eastAsia="Times New Roman" w:cstheme="minorHAnsi"/>
          <w:noProof/>
          <w:color w:val="000000"/>
          <w:lang w:eastAsia="en-GB"/>
        </w:rPr>
        <w:t>1358)</w:t>
      </w:r>
      <w:r w:rsidR="005C6ABE" w:rsidRPr="009B3747">
        <w:rPr>
          <w:rFonts w:eastAsia="Times New Roman" w:cstheme="minorHAnsi"/>
          <w:color w:val="000000"/>
          <w:lang w:eastAsia="en-GB"/>
        </w:rPr>
        <w:fldChar w:fldCharType="end"/>
      </w:r>
      <w:r w:rsidR="004944F2">
        <w:rPr>
          <w:rFonts w:eastAsia="Times New Roman" w:cstheme="minorHAnsi"/>
          <w:color w:val="000000"/>
          <w:lang w:eastAsia="en-GB"/>
        </w:rPr>
        <w:t xml:space="preserve">, </w:t>
      </w:r>
      <w:r w:rsidRPr="009B3747">
        <w:rPr>
          <w:rFonts w:eastAsia="Times New Roman" w:cstheme="minorHAnsi"/>
          <w:color w:val="000000"/>
          <w:lang w:eastAsia="en-GB"/>
        </w:rPr>
        <w:t>within and across qualitative studies and achieve a collective understan</w:t>
      </w:r>
      <w:r w:rsidR="005C6ABE" w:rsidRPr="009B3747">
        <w:rPr>
          <w:rFonts w:eastAsia="Times New Roman" w:cstheme="minorHAnsi"/>
          <w:color w:val="000000"/>
          <w:lang w:eastAsia="en-GB"/>
        </w:rPr>
        <w:t xml:space="preserve">ding of a particular phenomenon </w:t>
      </w:r>
      <w:r w:rsidR="005C6ABE" w:rsidRPr="009B3747">
        <w:rPr>
          <w:rFonts w:eastAsia="Times New Roman" w:cstheme="minorHAnsi"/>
          <w:color w:val="000000"/>
          <w:lang w:eastAsia="en-GB"/>
        </w:rPr>
        <w:fldChar w:fldCharType="begin" w:fldLock="1"/>
      </w:r>
      <w:r w:rsidR="005C6ABE" w:rsidRPr="009B3747">
        <w:rPr>
          <w:rFonts w:eastAsia="Times New Roman" w:cstheme="minorHAnsi"/>
          <w:color w:val="000000"/>
          <w:lang w:eastAsia="en-GB"/>
        </w:rPr>
        <w:instrText>ADDIN CSL_CITATION { "citationItems" : [ { "id" : "ITEM-1", "itemData" : { "DOI" : "10.1111/medu.12092", "ISBN" : "1365-2923", "ISSN" : "03080110", "PMID" : "23398011", "abstract" : "Context\u2002 Formal qualitative synthesis is the process of pooling qualitative and mixed-method research data, and then drawing conclusions regarding the collective meaning of the research. Qualitative synthesis is regularly used within systematic reviews in the health professions literature, although such use has been heavily debated in the general literature. This controversy arises in part from the inherent tensions found when generalisations are derived from in-depth studies that are heavily context-dependent. Methods\u2002 We explore three representative qualitative synthesis methodologies: thematic analysis; meta-ethnography, and realist synthesis. These can be understood across two dimensions: integrative to interpretative, and idealist to realist. Three examples are used to illustrate the relative strengths and limitations of these approaches. Discussion\u2002 Against a backdrop of controversy and diverse methodologies, readers must take a critical stand when reading literature reviews that use qualitative synthesis to derive their findings. We argue that notions of qualitative rigour such as transparency and acknowledgment of the researchers\u2019 stance should be applied to qualitative synthesis.", "author" : [ { "dropping-particle" : "", "family" : "Bearman", "given" : "Margaret", "non-dropping-particle" : "", "parse-names" : false, "suffix" : "" }, { "dropping-particle" : "", "family" : "Dawson", "given" : "Phillip", "non-dropping-particle" : "", "parse-names" : false, "suffix" : "" } ], "container-title" : "Medical Education", "id" : "ITEM-1", "issue" : "3", "issued" : { "date-parts" : [ [ "2013" ] ] }, "page" : "252-260", "title" : "Qualitative synthesis and systematic review in health professions education", "type" : "article-journal", "volume" : "47" }, "uris" : [ "http://www.mendeley.com/documents/?uuid=0c53e95f-288f-4f98-913a-1599ab28351c" ] } ], "mendeley" : { "formattedCitation" : "(Bearman and Dawson, 2013)", "plainTextFormattedCitation" : "(Bearman and Dawson, 2013)", "previouslyFormattedCitation" : "(Bearman and Dawson, 2013)" }, "properties" : { "noteIndex" : 0 }, "schema" : "https://github.com/citation-style-language/schema/raw/master/csl-citation.json" }</w:instrText>
      </w:r>
      <w:r w:rsidR="005C6ABE" w:rsidRPr="009B3747">
        <w:rPr>
          <w:rFonts w:eastAsia="Times New Roman" w:cstheme="minorHAnsi"/>
          <w:color w:val="000000"/>
          <w:lang w:eastAsia="en-GB"/>
        </w:rPr>
        <w:fldChar w:fldCharType="separate"/>
      </w:r>
      <w:r w:rsidR="005C6ABE" w:rsidRPr="009B3747">
        <w:rPr>
          <w:rFonts w:eastAsia="Times New Roman" w:cstheme="minorHAnsi"/>
          <w:noProof/>
          <w:color w:val="000000"/>
          <w:lang w:eastAsia="en-GB"/>
        </w:rPr>
        <w:t>(Bearman and Dawson, 2013)</w:t>
      </w:r>
      <w:r w:rsidR="005C6ABE" w:rsidRPr="009B3747">
        <w:rPr>
          <w:rFonts w:eastAsia="Times New Roman" w:cstheme="minorHAnsi"/>
          <w:color w:val="000000"/>
          <w:lang w:eastAsia="en-GB"/>
        </w:rPr>
        <w:fldChar w:fldCharType="end"/>
      </w:r>
      <w:r w:rsidR="005C6ABE" w:rsidRPr="009B3747">
        <w:rPr>
          <w:rFonts w:eastAsia="Times New Roman" w:cstheme="minorHAnsi"/>
          <w:color w:val="000000"/>
          <w:lang w:eastAsia="en-GB"/>
        </w:rPr>
        <w:t>.</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961B10" w:rsidRPr="009B3747" w:rsidRDefault="003F1507" w:rsidP="003F1507">
      <w:pPr>
        <w:rPr>
          <w:rFonts w:eastAsia="Times New Roman" w:cstheme="minorHAnsi"/>
          <w:color w:val="000000"/>
          <w:lang w:eastAsia="en-GB"/>
        </w:rPr>
      </w:pPr>
      <w:r w:rsidRPr="009B3747">
        <w:rPr>
          <w:rFonts w:eastAsia="Times New Roman" w:cstheme="minorHAnsi"/>
          <w:color w:val="000000"/>
          <w:lang w:eastAsia="en-GB"/>
        </w:rPr>
        <w:t xml:space="preserve">Approaches to qualitative synthesis and analysis are required to </w:t>
      </w:r>
      <w:r w:rsidRPr="009B3747">
        <w:rPr>
          <w:rFonts w:eastAsia="Times New Roman" w:cstheme="minorHAnsi"/>
          <w:i/>
          <w:color w:val="000000"/>
          <w:lang w:eastAsia="en-GB"/>
        </w:rPr>
        <w:t>“understand and transfer ideas, concepts and metaphors across different studies”</w:t>
      </w:r>
      <w:r w:rsidR="005C6ABE" w:rsidRPr="009B3747">
        <w:rPr>
          <w:rFonts w:eastAsia="Times New Roman" w:cstheme="minorHAnsi"/>
          <w:i/>
          <w:color w:val="000000"/>
          <w:lang w:eastAsia="en-GB"/>
        </w:rPr>
        <w:t xml:space="preserve"> </w:t>
      </w:r>
      <w:r w:rsidR="005C6ABE" w:rsidRPr="009B3747">
        <w:rPr>
          <w:rFonts w:eastAsia="Times New Roman" w:cstheme="minorHAnsi"/>
          <w:color w:val="000000"/>
          <w:lang w:eastAsia="en-GB"/>
        </w:rPr>
        <w:fldChar w:fldCharType="begin" w:fldLock="1"/>
      </w:r>
      <w:r w:rsidR="00224C9C" w:rsidRPr="009B3747">
        <w:rPr>
          <w:rFonts w:eastAsia="Times New Roman" w:cstheme="minorHAnsi"/>
          <w:color w:val="000000"/>
          <w:lang w:eastAsia="en-GB"/>
        </w:rPr>
        <w:instrText>ADDIN CSL_CITATION { "citationItems" : [ { "id" : "ITEM-1", "itemData" : { "DOI" : "10.1258/135581902320432732", "ISSN" : "1355-8196", "PMID" : "12425780", "abstract" : "OBJECTIVES To demonstrate the benefits of applying meta ethnography to the synthesis of qualitative research, by means of a worked example. METHODS Four papers about lay meanings of medicines were arbitrarily chosen. Noblit and Hare's seven-step process for conducting a meta ethnography was employed: getting started; deciding what is relevant to the initial interest; reading the studies; determining how the studies are related; translating the studies into one another; synthesising translations; and expressing the synthesis. RESULTS Six key concepts were identified: adherence/compliance; self-regulation; aversion; alternative coping strategies; sanctions; and selective disclosure. Four second-order interpretations (derived from the chosen papers) were identified, on the basis of which four third-order interpretations (based on the key concepts and second-order interpretations) were constructed. These were all linked together in a line of argument that accounts for patients' medicine-taking behaviour and communication with health professionals in different settings. Third-order interpretations were developed which were not only consistent with the original results but also extended beyond them. CONCLUSIONS It is possible to use meta ethnography to synthesise the results of qualitative research. The worked example has produced middle-range theories in the form of hypotheses that could be tested by other researchers.", "author" : [ { "dropping-particle" : "", "family" : "Britten", "given" : "Nicky", "non-dropping-particle" : "", "parse-names" : false, "suffix" : "" }, { "dropping-particle" : "", "family" : "Campbell", "given" : "Rona", "non-dropping-particle" : "", "parse-names" : false, "suffix" : "" }, { "dropping-particle" : "", "family" : "Pope", "given" : "Catherine", "non-dropping-particle" : "", "parse-names" : false, "suffix" : "" }, { "dropping-particle" : "", "family" : "Donovan", "given" : "Jenny", "non-dropping-particle" : "", "parse-names" : false, "suffix" : "" }, { "dropping-particle" : "", "family" : "Morgan", "given" : "Myfanwy", "non-dropping-particle" : "", "parse-names" : false, "suffix" : "" }, { "dropping-particle" : "", "family" : "Pill", "given" : "Roisin", "non-dropping-particle" : "", "parse-names" : false, "suffix" : "" } ], "container-title" : "Journal of Health Services Research &amp; Policy", "id" : "ITEM-1", "issue" : "4", "issued" : { "date-parts" : [ [ "2002", "10" ] ] }, "page" : "209-215", "title" : "Using meta ethnography to synthesise qualitative research: a worked example", "type" : "article-journal", "volume" : "7" }, "uris" : [ "http://www.mendeley.com/documents/?uuid=cd0381f6-28a1-3031-a32f-18cc984a22b9" ] } ], "mendeley" : { "formattedCitation" : "(Britten et al., 2002)", "manualFormatting" : "(Britten et al., 2002, p.210)", "plainTextFormattedCitation" : "(Britten et al., 2002)", "previouslyFormattedCitation" : "(Britten et al., 2002)" }, "properties" : { "noteIndex" : 0 }, "schema" : "https://github.com/citation-style-language/schema/raw/master/csl-citation.json" }</w:instrText>
      </w:r>
      <w:r w:rsidR="005C6ABE" w:rsidRPr="009B3747">
        <w:rPr>
          <w:rFonts w:eastAsia="Times New Roman" w:cstheme="minorHAnsi"/>
          <w:color w:val="000000"/>
          <w:lang w:eastAsia="en-GB"/>
        </w:rPr>
        <w:fldChar w:fldCharType="separate"/>
      </w:r>
      <w:r w:rsidR="005C6ABE" w:rsidRPr="009B3747">
        <w:rPr>
          <w:rFonts w:eastAsia="Times New Roman" w:cstheme="minorHAnsi"/>
          <w:noProof/>
          <w:color w:val="000000"/>
          <w:lang w:eastAsia="en-GB"/>
        </w:rPr>
        <w:t>(Britten et al., 2002</w:t>
      </w:r>
      <w:r w:rsidR="00FB5B00" w:rsidRPr="009B3747">
        <w:rPr>
          <w:rFonts w:eastAsia="Times New Roman" w:cstheme="minorHAnsi"/>
          <w:noProof/>
          <w:color w:val="000000"/>
          <w:lang w:eastAsia="en-GB"/>
        </w:rPr>
        <w:t>, p.</w:t>
      </w:r>
      <w:r w:rsidR="005C6ABE" w:rsidRPr="009B3747">
        <w:rPr>
          <w:rFonts w:eastAsia="Times New Roman" w:cstheme="minorHAnsi"/>
          <w:noProof/>
          <w:color w:val="000000"/>
          <w:lang w:eastAsia="en-GB"/>
        </w:rPr>
        <w:t>210)</w:t>
      </w:r>
      <w:r w:rsidR="005C6ABE" w:rsidRPr="009B3747">
        <w:rPr>
          <w:rFonts w:eastAsia="Times New Roman" w:cstheme="minorHAnsi"/>
          <w:color w:val="000000"/>
          <w:lang w:eastAsia="en-GB"/>
        </w:rPr>
        <w:fldChar w:fldCharType="end"/>
      </w:r>
      <w:r w:rsidR="00F41428" w:rsidRPr="009B3747">
        <w:rPr>
          <w:rFonts w:eastAsia="Times New Roman" w:cstheme="minorHAnsi"/>
          <w:color w:val="000000"/>
          <w:lang w:eastAsia="en-GB"/>
        </w:rPr>
        <w:t xml:space="preserve">.  </w:t>
      </w:r>
      <w:r w:rsidRPr="009B3747">
        <w:rPr>
          <w:rFonts w:eastAsia="Times New Roman" w:cstheme="minorHAnsi"/>
          <w:color w:val="000000"/>
          <w:lang w:eastAsia="en-GB"/>
        </w:rPr>
        <w:t>To address this requirement, an extensive range of approaches exist for synthesising and analysing qualitative research findings</w:t>
      </w:r>
      <w:r w:rsidR="00F41428" w:rsidRPr="009B3747">
        <w:rPr>
          <w:rFonts w:eastAsia="Times New Roman" w:cstheme="minorHAnsi"/>
          <w:color w:val="000000"/>
          <w:lang w:eastAsia="en-GB"/>
        </w:rPr>
        <w:t xml:space="preserve"> </w:t>
      </w:r>
      <w:r w:rsidR="00F41428"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"ISBN" : "9781473912458", "abstract" : "Second edition. \"Showing you how to take a structured and organized approach to a wide range of literature review types, this book helps you to choose which approach is right for your research. Packed with constructive tools, examples, case studies and hands-on exercises, the book covers the full range of literature review techniques\" -- Getting started on your literature review -- Taking a systematic approach to your literature review -- Choosing your review methods -- Planning and conducting your literature review -- Defining your scope -- Searching the literature -- Assessing the evidence base -- Synthesising and analysing quantitative studies -- Synthesising and analysing qualitative studies -- Writing, presenting and disseminating your review.", "author" : [ { "dropping-particle" : "", "family" : "Booth", "given" : "Andrew", "non-dropping-particle" : "", "parse-names" : false, "suffix" : "" }, { "dropping-particle" : "", "family" : "Sutton", "given" : "Anthea", "non-dropping-particle" : "", "parse-names" : false, "suffix" : "" }, { "dropping-particle" : "", "family" : "Papaioannou", "given" : "Diana", "non-dropping-particle" : "", "parse-names" : false, "suffix" : "" } ], "edition" : "2nd", "id" : "ITEM-1", "issued" : { "date-parts" : [ [ "2016" ] ] }, "publisher" : "Sage Publications", "publisher-place" : "London", "title" : "Systematic approaches to a successful literature review", "type" : "book" }, "uris" : [ "http://www.mendeley.com/documents/?uuid=165d8b81-c710-317d-a572-bc4ecf94c7a8" ] } ], "mendeley" : { "formattedCitation" : "(Booth et al., 2016)", "plainTextFormattedCitation" : "(Booth et al., 2016)", "previouslyFormattedCitation" : "(Booth et al., 2016)" }, "properties" : { "noteIndex" : 0 }, "schema" : "https://github.com/citation-style-language/schema/raw/master/csl-citation.json" }</w:instrText>
      </w:r>
      <w:r w:rsidR="00F41428" w:rsidRPr="009B3747">
        <w:rPr>
          <w:rFonts w:eastAsia="Times New Roman" w:cstheme="minorHAnsi"/>
          <w:color w:val="000000"/>
          <w:lang w:eastAsia="en-GB"/>
        </w:rPr>
        <w:fldChar w:fldCharType="separate"/>
      </w:r>
      <w:r w:rsidR="00F41428" w:rsidRPr="009B3747">
        <w:rPr>
          <w:rFonts w:eastAsia="Times New Roman" w:cstheme="minorHAnsi"/>
          <w:noProof/>
          <w:color w:val="000000"/>
          <w:lang w:eastAsia="en-GB"/>
        </w:rPr>
        <w:t>(Booth et al., 2016)</w:t>
      </w:r>
      <w:r w:rsidR="00F41428" w:rsidRPr="009B3747">
        <w:rPr>
          <w:rFonts w:eastAsia="Times New Roman" w:cstheme="minorHAnsi"/>
          <w:color w:val="000000"/>
          <w:lang w:eastAsia="en-GB"/>
        </w:rPr>
        <w:fldChar w:fldCharType="end"/>
      </w:r>
      <w:r w:rsidRPr="009B3747">
        <w:rPr>
          <w:rFonts w:eastAsia="Times New Roman" w:cstheme="minorHAnsi"/>
          <w:color w:val="000000"/>
          <w:lang w:eastAsia="en-GB"/>
        </w:rPr>
        <w:t>.  Given its perceived accessibility especially for those with limited experience of conducting qualitative reviews (Personal Communication, 2017 - Dr Andrew Booth, ScHAR</w:t>
      </w:r>
      <w:r w:rsidR="004944F2">
        <w:rPr>
          <w:rFonts w:eastAsia="Times New Roman" w:cstheme="minorHAnsi"/>
          <w:color w:val="000000"/>
          <w:lang w:eastAsia="en-GB"/>
        </w:rPr>
        <w:t xml:space="preserve">R, The University of Sheffield), </w:t>
      </w:r>
      <w:r w:rsidRPr="009B3747">
        <w:rPr>
          <w:rFonts w:eastAsia="Times New Roman" w:cstheme="minorHAnsi"/>
          <w:color w:val="000000"/>
          <w:lang w:eastAsia="en-GB"/>
        </w:rPr>
        <w:t>and its particular use in reviews regarding people’s perspectives and experiences</w:t>
      </w:r>
      <w:r w:rsidR="0087726E" w:rsidRPr="009B3747">
        <w:rPr>
          <w:rFonts w:eastAsia="Times New Roman" w:cstheme="minorHAnsi"/>
          <w:color w:val="000000"/>
          <w:lang w:eastAsia="en-GB"/>
        </w:rPr>
        <w:t xml:space="preserve"> </w:t>
      </w:r>
      <w:r w:rsidR="0087726E" w:rsidRPr="009B3747">
        <w:rPr>
          <w:rFonts w:eastAsia="Times New Roman" w:cstheme="minorHAnsi"/>
          <w:color w:val="000000"/>
          <w:lang w:eastAsia="en-GB"/>
        </w:rPr>
        <w:fldChar w:fldCharType="begin" w:fldLock="1"/>
      </w:r>
      <w:r w:rsidR="0087726E" w:rsidRPr="009B3747">
        <w:rPr>
          <w:rFonts w:eastAsia="Times New Roman" w:cstheme="minorHAnsi"/>
          <w:color w:val="000000"/>
          <w:lang w:eastAsia="en-GB"/>
        </w:rPr>
        <w:instrText>ADDIN CSL_CITATION { "citationItems" : [ { "id" : "ITEM-1", "itemData" : { "DOI" : "10.1186/1471-2288-8-45", "ISBN" : "1471-2288 (Electronic)\\r1471-2288 (Linking)", "ISSN" : "1471-2288", "PMID" : "18616818", "abstract" : "BACKGROUND: There is a growing recognition of the value of synthesising qualitative research in the evidence base in order to facilitate effective and appropriate health care. In response to this, methods for undertaking these syntheses are currently being developed. Thematic analysis is a method that is often used to analyse data in primary qualitative research. This paper reports on the use of this type of analysis in systematic reviews to bring together and integrate the findings of multiple qualitative studies.\\n\\nMETHODS: We describe thematic synthesis, outline several steps for its conduct and illustrate the process and outcome of this approach using a completed review of health promotion research. Thematic synthesis has three stages: the coding of text 'line-by-line'; the development of 'descriptive themes'; and the generation of 'analytical themes'. While the development of descriptive themes remains 'close' to the primary studies, the analytical themes represent a stage of interpretation whereby the reviewers 'go beyond' the primary studies and generate new interpretive constructs, explanations or hypotheses. The use of computer software can facilitate this method of synthesis; detailed guidance is given on how this can be achieved.\\n\\nRESULTS: We used thematic synthesis to combine the studies of children's views and identified key themes to explore in the intervention studies. Most interventions were based in school and often combined learning about health benefits with 'hands-on' experience. The studies of children's views suggested that fruit and vegetables should be treated in different ways, and that messages should not focus on health warnings. Interventions that were in line with these suggestions tended to be more effective. Thematic synthesis enabled us to stay 'close' to the results of the primary studies, synthesising them in a transparent way, and facilitating the explicit production of new concepts and hypotheses.\\n\\nCONCLUSION: We compare thematic synthesis to other methods for the synthesis of qualitative research, discussing issues of context and rigour. Thematic synthesis is presented as a tried and tested method that preserves an explicit and transparent link between conclusions and the text of primary studies; as such it preserves principles that have traditionally been important to systematic reviewing.", "author" : [ { "dropping-particle" : "", "family" : "Thomas", "given" : "James", "non-dropping-particle" : "", "parse-names" : false, "suffix" : "" }, { "dropping-particle" : "", "family" : "Harden", "given" : "Angela", "non-dropping-particle" : "", "parse-names" : false, "suffix" : "" } ], "container-title" : "BMC Medical Research Methodology", "id" : "ITEM-1", "issue" : "1", "issued" : { "date-parts" : [ [ "2008" ] ] }, "page" : "45", "title" : "Methods for the thematic synthesis of qualitative research in systematic reviews", "type" : "article-journal", "volume" : "8" }, "uris" : [ "http://www.mendeley.com/documents/?uuid=75e4c3ca-7a9b-4ec0-aa8e-23fe7e9f4462" ] } ], "mendeley" : { "formattedCitation" : "(Thomas and Harden, 2008)", "plainTextFormattedCitation" : "(Thomas and Harden, 2008)", "previouslyFormattedCitation" : "(Thomas and Harden, 2008)" }, "properties" : { "noteIndex" : 0 }, "schema" : "https://github.com/citation-style-language/schema/raw/master/csl-citation.json" }</w:instrText>
      </w:r>
      <w:r w:rsidR="0087726E" w:rsidRPr="009B3747">
        <w:rPr>
          <w:rFonts w:eastAsia="Times New Roman" w:cstheme="minorHAnsi"/>
          <w:color w:val="000000"/>
          <w:lang w:eastAsia="en-GB"/>
        </w:rPr>
        <w:fldChar w:fldCharType="separate"/>
      </w:r>
      <w:r w:rsidR="0087726E" w:rsidRPr="009B3747">
        <w:rPr>
          <w:rFonts w:eastAsia="Times New Roman" w:cstheme="minorHAnsi"/>
          <w:noProof/>
          <w:color w:val="000000"/>
          <w:lang w:eastAsia="en-GB"/>
        </w:rPr>
        <w:t>(Thomas and Harden, 2008)</w:t>
      </w:r>
      <w:r w:rsidR="0087726E" w:rsidRPr="009B3747">
        <w:rPr>
          <w:rFonts w:eastAsia="Times New Roman" w:cstheme="minorHAnsi"/>
          <w:color w:val="000000"/>
          <w:lang w:eastAsia="en-GB"/>
        </w:rPr>
        <w:fldChar w:fldCharType="end"/>
      </w:r>
      <w:r w:rsidRPr="009B3747">
        <w:rPr>
          <w:rFonts w:eastAsia="Times New Roman" w:cstheme="minorHAnsi"/>
          <w:color w:val="000000"/>
          <w:lang w:eastAsia="en-GB"/>
        </w:rPr>
        <w:t>, thematic synthesis was chosen as the most appropriate approach for this review.  </w:t>
      </w:r>
    </w:p>
    <w:p w:rsidR="00961B10" w:rsidRPr="009B3747" w:rsidRDefault="00961B10" w:rsidP="003F1507">
      <w:pPr>
        <w:rPr>
          <w:rFonts w:eastAsia="Times New Roman" w:cstheme="minorHAnsi"/>
          <w:color w:val="000000"/>
          <w:lang w:eastAsia="en-GB"/>
        </w:rPr>
      </w:pPr>
    </w:p>
    <w:p w:rsidR="003F1507" w:rsidRPr="009B3747" w:rsidRDefault="003F1507" w:rsidP="003F1507">
      <w:pPr>
        <w:rPr>
          <w:rFonts w:eastAsia="Times New Roman" w:cstheme="minorHAnsi"/>
          <w:noProof/>
          <w:color w:val="000000"/>
          <w:lang w:eastAsia="en-GB"/>
        </w:rPr>
      </w:pPr>
      <w:r w:rsidRPr="009B3747">
        <w:rPr>
          <w:rFonts w:eastAsia="Times New Roman" w:cstheme="minorHAnsi"/>
          <w:color w:val="000000"/>
          <w:lang w:eastAsia="en-GB"/>
        </w:rPr>
        <w:t>Thematic synthesis is based on thematic analysis</w:t>
      </w:r>
      <w:r w:rsidR="0087726E" w:rsidRPr="009B3747">
        <w:rPr>
          <w:rFonts w:eastAsia="Times New Roman" w:cstheme="minorHAnsi"/>
          <w:color w:val="000000"/>
          <w:lang w:eastAsia="en-GB"/>
        </w:rPr>
        <w:t xml:space="preserve"> </w:t>
      </w:r>
      <w:r w:rsidR="0087726E"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"DOI" : "10.1191/1478088706qp063oa", "ISSN" : "1478-0887", "abstract" : "Thematic analysis is a poorly demarcated, rarely-acknowledged, yet widely-used qualitative analytic method within psychology. In this paper, we argue that it offers an accessible and theoretically-flexible approach to analysing qualitative data. We outline what thematic analysis is, locating it in relation to other qualitative analytic methods that search for themes or patterns, and in relation to different epistemological and ontological positions. We then provide clear guidelines to those wanting to start thematic analysis, or conduct it in a more deliberate and rigorous way, and consider potential pitfalls in conducting thematic analysis. Finally, we outline the disadvantages and advantages of thematic analysis. We conclude by advocating thematic analysis as a useful and flexible method for qualitative research in and beyond psychology.", "author" : [ { "dropping-particle" : "", "family" : "Braun", "given" : "Virginia", "non-dropping-particle" : "", "parse-names" : false, "suffix" : "" }, { "dropping-particle" : "", "family" : "Clarke", "given" : "Victoria", "non-dropping-particle" : "", "parse-names" : false, "suffix" : "" } ], "container-title" : "Qualitative Research in Psychology", "id" : "ITEM-1", "issued" : { "date-parts" : [ [ "2006" ] ] }, "page" : "77-101", "title" : "Using thematic analysis in psychology", "type" : "article-journal", "volume" : "3" }, "uris" : [ "http://www.mendeley.com/documents/?uuid=6c0c8fac-6bb1-4b6c-814e-850ad5d1c93a" ] } ], "mendeley" : { "formattedCitation" : "(Braun and Clarke, 2006)", "plainTextFormattedCitation" : "(Braun and Clarke, 2006)", "previouslyFormattedCitation" : "(Braun and Clarke, 2006)" }, "properties" : { "noteIndex" : 0 }, "schema" : "https://github.com/citation-style-language/schema/raw/master/csl-citation.json" }</w:instrText>
      </w:r>
      <w:r w:rsidR="0087726E" w:rsidRPr="009B3747">
        <w:rPr>
          <w:rFonts w:eastAsia="Times New Roman" w:cstheme="minorHAnsi"/>
          <w:color w:val="000000"/>
          <w:lang w:eastAsia="en-GB"/>
        </w:rPr>
        <w:fldChar w:fldCharType="separate"/>
      </w:r>
      <w:r w:rsidR="0087726E" w:rsidRPr="009B3747">
        <w:rPr>
          <w:rFonts w:eastAsia="Times New Roman" w:cstheme="minorHAnsi"/>
          <w:noProof/>
          <w:color w:val="000000"/>
          <w:lang w:eastAsia="en-GB"/>
        </w:rPr>
        <w:t>(Braun and Clarke, 2006)</w:t>
      </w:r>
      <w:r w:rsidR="0087726E" w:rsidRPr="009B3747">
        <w:rPr>
          <w:rFonts w:eastAsia="Times New Roman" w:cstheme="minorHAnsi"/>
          <w:color w:val="000000"/>
          <w:lang w:eastAsia="en-GB"/>
        </w:rPr>
        <w:fldChar w:fldCharType="end"/>
      </w:r>
      <w:r w:rsidRPr="009B3747">
        <w:rPr>
          <w:rFonts w:eastAsia="Times New Roman" w:cstheme="minorHAnsi"/>
          <w:color w:val="000000"/>
          <w:lang w:eastAsia="en-GB"/>
        </w:rPr>
        <w:t>, an analytical method used in primary qualitative research.  The purpose of thematic synthes</w:t>
      </w:r>
      <w:r w:rsidR="0087726E" w:rsidRPr="009B3747">
        <w:rPr>
          <w:rFonts w:eastAsia="Times New Roman" w:cstheme="minorHAnsi"/>
          <w:color w:val="000000"/>
          <w:lang w:eastAsia="en-GB"/>
        </w:rPr>
        <w:t xml:space="preserve">is is to </w:t>
      </w:r>
      <w:r w:rsidR="0087726E" w:rsidRPr="009B3747">
        <w:rPr>
          <w:rFonts w:eastAsia="Times New Roman" w:cstheme="minorHAnsi"/>
          <w:i/>
          <w:color w:val="000000"/>
          <w:lang w:eastAsia="en-GB"/>
        </w:rPr>
        <w:t>“</w:t>
      </w:r>
      <w:r w:rsidRPr="009B3747">
        <w:rPr>
          <w:rFonts w:eastAsia="Times New Roman" w:cstheme="minorHAnsi"/>
          <w:i/>
          <w:color w:val="000000"/>
          <w:lang w:eastAsia="en-GB"/>
        </w:rPr>
        <w:t>bring together and integrate the findings of multiple qualitative stu</w:t>
      </w:r>
      <w:r w:rsidR="0087726E" w:rsidRPr="009B3747">
        <w:rPr>
          <w:rFonts w:eastAsia="Times New Roman" w:cstheme="minorHAnsi"/>
          <w:i/>
          <w:color w:val="000000"/>
          <w:lang w:eastAsia="en-GB"/>
        </w:rPr>
        <w:t>dies within systematic reviews”</w:t>
      </w:r>
      <w:r w:rsidR="0087726E" w:rsidRPr="009B3747">
        <w:rPr>
          <w:rFonts w:eastAsia="Times New Roman" w:cstheme="minorHAnsi"/>
          <w:color w:val="000000"/>
          <w:lang w:eastAsia="en-GB"/>
        </w:rPr>
        <w:t xml:space="preserve"> </w:t>
      </w:r>
      <w:r w:rsidR="0087726E"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"ISBN" : "9781473912458", "abstract" : "Second edition. \"Showing you how to take a structured and organized approach to a wide range of literature review types, this book helps you to choose which approach is right for your research. Packed with constructive tools, examples, case studies and hands-on exercises, the book covers the full range of literature review techniques\" -- Getting started on your literature review -- Taking a systematic approach to your literature review -- Choosing your review methods -- Planning and conducting your literature review -- Defining your scope -- Searching the literature -- Assessing the evidence base -- Synthesising and analysing quantitative studies -- Synthesising and analysing qualitative studies -- Writing, presenting and disseminating your review.", "author" : [ { "dropping-particle" : "", "family" : "Booth", "given" : "Andrew", "non-dropping-particle" : "", "parse-names" : false, "suffix" : "" }, { "dropping-particle" : "", "family" : "Sutton", "given" : "Anthea", "non-dropping-particle" : "", "parse-names" : false, "suffix" : "" }, { "dropping-particle" : "", "family" : "Papaioannou", "given" : "Diana", "non-dropping-particle" : "", "parse-names" : false, "suffix" : "" } ], "edition" : "2nd", "id" : "ITEM-1", "issued" : { "date-parts" : [ [ "2016" ] ] }, "publisher" : "Sage Publications", "publisher-place" : "London", "title" : "Systematic approaches to a successful literature review", "type" : "book" }, "uris" : [ "http://www.mendeley.com/documents/?uuid=165d8b81-c710-317d-a572-bc4ecf94c7a8" ] } ], "mendeley" : { "formattedCitation" : "(Booth et al., 2016)", "manualFormatting" : "(Booth et al., 2016, p.227)", "plainTextFormattedCitation" : "(Booth et al., 2016)", "previouslyFormattedCitation" : "(Booth et al., 2016)" }, "properties" : { "noteIndex" : 0 }, "schema" : "https://github.com/citation-style-language/schema/raw/master/csl-citation.json" }</w:instrText>
      </w:r>
      <w:r w:rsidR="0087726E" w:rsidRPr="009B3747">
        <w:rPr>
          <w:rFonts w:eastAsia="Times New Roman" w:cstheme="minorHAnsi"/>
          <w:color w:val="000000"/>
          <w:lang w:eastAsia="en-GB"/>
        </w:rPr>
        <w:fldChar w:fldCharType="separate"/>
      </w:r>
      <w:r w:rsidR="0087726E" w:rsidRPr="009B3747">
        <w:rPr>
          <w:rFonts w:eastAsia="Times New Roman" w:cstheme="minorHAnsi"/>
          <w:noProof/>
          <w:color w:val="000000"/>
          <w:lang w:eastAsia="en-GB"/>
        </w:rPr>
        <w:t>(Booth et al., 2016</w:t>
      </w:r>
      <w:r w:rsidR="00FB5B00" w:rsidRPr="009B3747">
        <w:rPr>
          <w:rFonts w:eastAsia="Times New Roman" w:cstheme="minorHAnsi"/>
          <w:noProof/>
          <w:color w:val="000000"/>
          <w:lang w:eastAsia="en-GB"/>
        </w:rPr>
        <w:t>, p.</w:t>
      </w:r>
      <w:r w:rsidR="0087726E" w:rsidRPr="009B3747">
        <w:rPr>
          <w:rFonts w:eastAsia="Times New Roman" w:cstheme="minorHAnsi"/>
          <w:noProof/>
          <w:color w:val="000000"/>
          <w:lang w:eastAsia="en-GB"/>
        </w:rPr>
        <w:t>227)</w:t>
      </w:r>
      <w:r w:rsidR="0087726E" w:rsidRPr="009B3747">
        <w:rPr>
          <w:rFonts w:eastAsia="Times New Roman" w:cstheme="minorHAnsi"/>
          <w:color w:val="000000"/>
          <w:lang w:eastAsia="en-GB"/>
        </w:rPr>
        <w:fldChar w:fldCharType="end"/>
      </w:r>
      <w:r w:rsidR="0087726E"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by looking for </w:t>
      </w:r>
      <w:r w:rsidR="0087726E" w:rsidRPr="009B3747">
        <w:rPr>
          <w:rFonts w:eastAsia="Times New Roman" w:cstheme="minorHAnsi"/>
          <w:color w:val="000000"/>
          <w:lang w:eastAsia="en-GB"/>
        </w:rPr>
        <w:t>recurring</w:t>
      </w:r>
      <w:r w:rsidRPr="009B3747">
        <w:rPr>
          <w:rFonts w:eastAsia="Times New Roman" w:cstheme="minorHAnsi"/>
          <w:color w:val="000000"/>
          <w:lang w:eastAsia="en-GB"/>
        </w:rPr>
        <w:t xml:space="preserve"> ‘themes’ or ‘constructs’ that lie in or across individual qualitative studies</w:t>
      </w:r>
      <w:r w:rsidR="0087726E" w:rsidRPr="009B3747">
        <w:rPr>
          <w:rFonts w:eastAsia="Times New Roman" w:cstheme="minorHAnsi"/>
          <w:color w:val="000000"/>
          <w:lang w:eastAsia="en-GB"/>
        </w:rPr>
        <w:t xml:space="preserve"> </w:t>
      </w:r>
      <w:r w:rsidR="0087726E" w:rsidRPr="009B3747">
        <w:rPr>
          <w:rFonts w:eastAsia="Times New Roman" w:cstheme="minorHAnsi"/>
          <w:color w:val="000000"/>
          <w:lang w:eastAsia="en-GB"/>
        </w:rPr>
        <w:fldChar w:fldCharType="begin" w:fldLock="1"/>
      </w:r>
      <w:r w:rsidR="0087726E" w:rsidRPr="009B3747">
        <w:rPr>
          <w:rFonts w:eastAsia="Times New Roman" w:cstheme="minorHAnsi"/>
          <w:color w:val="000000"/>
          <w:lang w:eastAsia="en-GB"/>
        </w:rPr>
        <w:instrText>ADDIN CSL_CITATION { "citationItems" : [ { "id" : "ITEM-1", "itemData" : { "DOI" : "10.1111/j.1471-1842.2009.00848.x", "ISSN" : "14711834", "author" : [ { "dropping-particle" : "", "family" : "Grant", "given" : "Maria J.", "non-dropping-particle" : "", "parse-names" : false, "suffix" : "" }, { "dropping-particle" : "", "family" : "Booth", "given" : "Andrew", "non-dropping-particle" : "", "parse-names" : false, "suffix" : "" } ], "container-title" : "Health Information &amp; Libraries Journal", "id" : "ITEM-1", "issue" : "2", "issued" : { "date-parts" : [ [ "2009", "6", "1" ] ] }, "page" : "91-108", "publisher" : "Blackwell Publishing Ltd", "title" : "A typology of reviews: an analysis of 14 review types and associated methodologies", "type" : "article-journal", "volume" : "26" }, "uris" : [ "http://www.mendeley.com/documents/?uuid=983ae953-82f6-3e4c-8680-69a984566172" ] } ], "mendeley" : { "formattedCitation" : "(Grant and Booth, 2009)", "plainTextFormattedCitation" : "(Grant and Booth, 2009)", "previouslyFormattedCitation" : "(Grant and Booth, 2009)" }, "properties" : { "noteIndex" : 0 }, "schema" : "https://github.com/citation-style-language/schema/raw/master/csl-citation.json" }</w:instrText>
      </w:r>
      <w:r w:rsidR="0087726E" w:rsidRPr="009B3747">
        <w:rPr>
          <w:rFonts w:eastAsia="Times New Roman" w:cstheme="minorHAnsi"/>
          <w:color w:val="000000"/>
          <w:lang w:eastAsia="en-GB"/>
        </w:rPr>
        <w:fldChar w:fldCharType="separate"/>
      </w:r>
      <w:r w:rsidR="0087726E" w:rsidRPr="009B3747">
        <w:rPr>
          <w:rFonts w:eastAsia="Times New Roman" w:cstheme="minorHAnsi"/>
          <w:noProof/>
          <w:color w:val="000000"/>
          <w:lang w:eastAsia="en-GB"/>
        </w:rPr>
        <w:t>(Grant and Booth, 2009)</w:t>
      </w:r>
      <w:r w:rsidR="0087726E" w:rsidRPr="009B3747">
        <w:rPr>
          <w:rFonts w:eastAsia="Times New Roman" w:cstheme="minorHAnsi"/>
          <w:color w:val="000000"/>
          <w:lang w:eastAsia="en-GB"/>
        </w:rPr>
        <w:fldChar w:fldCharType="end"/>
      </w:r>
      <w:r w:rsidR="0087726E" w:rsidRPr="009B3747">
        <w:rPr>
          <w:rFonts w:eastAsia="Times New Roman" w:cstheme="minorHAnsi"/>
          <w:color w:val="000000"/>
          <w:lang w:eastAsia="en-GB"/>
        </w:rPr>
        <w:t xml:space="preserve">.  For </w:t>
      </w:r>
      <w:r w:rsidRPr="009B3747">
        <w:rPr>
          <w:rFonts w:eastAsia="Times New Roman" w:cstheme="minorHAnsi"/>
          <w:color w:val="000000"/>
          <w:lang w:eastAsia="en-GB"/>
        </w:rPr>
        <w:t xml:space="preserve">the purpose of this review, the aim was to utilise the thematic </w:t>
      </w:r>
      <w:r w:rsidRPr="009B3747">
        <w:rPr>
          <w:rFonts w:eastAsia="Times New Roman" w:cstheme="minorHAnsi"/>
          <w:color w:val="000000"/>
          <w:lang w:eastAsia="en-GB"/>
        </w:rPr>
        <w:lastRenderedPageBreak/>
        <w:t>synthesis to highlight repetitive findings across the body of evidence obtained and where appropriate develop new interpretations not previously identified within individual primary studies.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The process of conducting the thematic synthesis for this review was guided by the work of</w:t>
      </w:r>
      <w:r w:rsidR="004944F2">
        <w:rPr>
          <w:rFonts w:eastAsia="Times New Roman" w:cstheme="minorHAnsi"/>
          <w:color w:val="000000"/>
          <w:lang w:eastAsia="en-GB"/>
        </w:rPr>
        <w:t xml:space="preserve"> Thomas and Harden (2008).  </w:t>
      </w:r>
      <w:r w:rsidRPr="009B3747">
        <w:rPr>
          <w:rFonts w:eastAsia="Times New Roman" w:cstheme="minorHAnsi"/>
          <w:color w:val="000000"/>
          <w:lang w:eastAsia="en-GB"/>
        </w:rPr>
        <w:t>They proposed three crucial and often overlapping stages for synthesising and analysing a body or collec</w:t>
      </w:r>
      <w:r w:rsidR="00961B10" w:rsidRPr="009B3747">
        <w:rPr>
          <w:rFonts w:eastAsia="Times New Roman" w:cstheme="minorHAnsi"/>
          <w:color w:val="000000"/>
          <w:lang w:eastAsia="en-GB"/>
        </w:rPr>
        <w:t>tion of qualitative literature:</w:t>
      </w:r>
      <w:r w:rsidRPr="009B3747">
        <w:rPr>
          <w:rFonts w:eastAsia="Times New Roman" w:cstheme="minorHAnsi"/>
          <w:color w:val="000000"/>
          <w:lang w:eastAsia="en-GB"/>
        </w:rPr>
        <w:t xml:space="preserve">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numPr>
          <w:ilvl w:val="0"/>
          <w:numId w:val="19"/>
        </w:numPr>
        <w:textAlignment w:val="baseline"/>
        <w:rPr>
          <w:rFonts w:eastAsia="Times New Roman" w:cstheme="minorHAnsi"/>
          <w:color w:val="000000"/>
          <w:lang w:eastAsia="en-GB"/>
        </w:rPr>
      </w:pPr>
      <w:r w:rsidRPr="009B3747">
        <w:rPr>
          <w:rFonts w:eastAsia="Times New Roman" w:cstheme="minorHAnsi"/>
          <w:color w:val="000000"/>
          <w:lang w:eastAsia="en-GB"/>
        </w:rPr>
        <w:t>Coding of text ‘line-by-line’ of findings from primary qualitative studies</w:t>
      </w:r>
    </w:p>
    <w:p w:rsidR="003F1507" w:rsidRPr="009B3747" w:rsidRDefault="003F1507" w:rsidP="003F1507">
      <w:pPr>
        <w:numPr>
          <w:ilvl w:val="0"/>
          <w:numId w:val="19"/>
        </w:numPr>
        <w:textAlignment w:val="baseline"/>
        <w:rPr>
          <w:rFonts w:eastAsia="Times New Roman" w:cstheme="minorHAnsi"/>
          <w:color w:val="000000"/>
          <w:lang w:eastAsia="en-GB"/>
        </w:rPr>
      </w:pPr>
      <w:r w:rsidRPr="009B3747">
        <w:rPr>
          <w:rFonts w:eastAsia="Times New Roman" w:cstheme="minorHAnsi"/>
          <w:color w:val="000000"/>
          <w:lang w:eastAsia="en-GB"/>
        </w:rPr>
        <w:t>Organising resultant codes into related areas to construct ‘descriptive themes’</w:t>
      </w:r>
    </w:p>
    <w:p w:rsidR="003F1507" w:rsidRPr="009B3747" w:rsidRDefault="003F1507" w:rsidP="003F1507">
      <w:pPr>
        <w:numPr>
          <w:ilvl w:val="0"/>
          <w:numId w:val="19"/>
        </w:numPr>
        <w:textAlignment w:val="baseline"/>
        <w:rPr>
          <w:rFonts w:eastAsia="Times New Roman" w:cstheme="minorHAnsi"/>
          <w:color w:val="000000"/>
          <w:lang w:eastAsia="en-GB"/>
        </w:rPr>
      </w:pPr>
      <w:r w:rsidRPr="009B3747">
        <w:rPr>
          <w:rFonts w:eastAsia="Times New Roman" w:cstheme="minorHAnsi"/>
          <w:color w:val="000000"/>
          <w:lang w:eastAsia="en-GB"/>
        </w:rPr>
        <w:t>Generating ‘analytical themes’ on the basis of the developed descriptive themes</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i/>
          <w:iCs/>
          <w:color w:val="000000"/>
          <w:lang w:eastAsia="en-GB"/>
        </w:rPr>
        <w:t>Stage 1</w:t>
      </w:r>
    </w:p>
    <w:p w:rsidR="00961B10" w:rsidRPr="009B3747" w:rsidRDefault="003F1507" w:rsidP="003F1507">
      <w:pPr>
        <w:rPr>
          <w:rFonts w:eastAsia="Times New Roman" w:cstheme="minorHAnsi"/>
          <w:color w:val="000000"/>
          <w:lang w:eastAsia="en-GB"/>
        </w:rPr>
      </w:pPr>
      <w:r w:rsidRPr="009B3747">
        <w:rPr>
          <w:rFonts w:eastAsia="Times New Roman" w:cstheme="minorHAnsi"/>
          <w:color w:val="000000"/>
          <w:lang w:eastAsia="en-GB"/>
        </w:rPr>
        <w:t xml:space="preserve">Having completed the process of data extraction and quality assessment, all included studies were imported into qualitative analysis software - NVivo 11 </w:t>
      </w:r>
      <w:r w:rsidR="0087726E"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"QSR International", "given" : "", "non-dropping-particle" : "", "parse-names" : false, "suffix" : "" } ], "id" : "ITEM-1", "issued" : { "date-parts" : [ [ "2015" ] ] }, "publisher" : "QSR International Pty Ltd", "title" : "NVivo 11 for Windows", "type" : "article" }, "uris" : [ "http://www.mendeley.com/documents/?uuid=addad48e-aa34-43b8-9fc4-0c96f2c021e4" ] } ], "mendeley" : { "formattedCitation" : "(QSR International, 2015)", "plainTextFormattedCitation" : "(QSR International, 2015)", "previouslyFormattedCitation" : "(QSR International, 2015)" }, "properties" : { "noteIndex" : 0 }, "schema" : "https://github.com/citation-style-language/schema/raw/master/csl-citation.json" }</w:instrText>
      </w:r>
      <w:r w:rsidR="0087726E" w:rsidRPr="009B3747">
        <w:rPr>
          <w:rFonts w:eastAsia="Times New Roman" w:cstheme="minorHAnsi"/>
          <w:color w:val="000000"/>
          <w:lang w:eastAsia="en-GB"/>
        </w:rPr>
        <w:fldChar w:fldCharType="separate"/>
      </w:r>
      <w:r w:rsidR="0087726E" w:rsidRPr="009B3747">
        <w:rPr>
          <w:rFonts w:eastAsia="Times New Roman" w:cstheme="minorHAnsi"/>
          <w:noProof/>
          <w:color w:val="000000"/>
          <w:lang w:eastAsia="en-GB"/>
        </w:rPr>
        <w:t>(QSR International, 2015)</w:t>
      </w:r>
      <w:r w:rsidR="0087726E" w:rsidRPr="009B3747">
        <w:rPr>
          <w:rFonts w:eastAsia="Times New Roman" w:cstheme="minorHAnsi"/>
          <w:color w:val="000000"/>
          <w:lang w:eastAsia="en-GB"/>
        </w:rPr>
        <w:fldChar w:fldCharType="end"/>
      </w:r>
      <w:r w:rsidRPr="009B3747">
        <w:rPr>
          <w:rFonts w:eastAsia="Times New Roman" w:cstheme="minorHAnsi"/>
          <w:color w:val="000000"/>
          <w:lang w:eastAsia="en-GB"/>
        </w:rPr>
        <w:t>.  Following this, all text within the results section of each included study related to perspectives of interest (e.g. headteachers) was inductively and manually coded line-by-line.  </w:t>
      </w:r>
    </w:p>
    <w:p w:rsidR="00961B10" w:rsidRPr="009B3747" w:rsidRDefault="00961B10" w:rsidP="003F1507">
      <w:pPr>
        <w:rPr>
          <w:rFonts w:eastAsia="Times New Roman" w:cstheme="minorHAnsi"/>
          <w:color w:val="000000"/>
          <w:lang w:eastAsia="en-GB"/>
        </w:rPr>
      </w:pP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Individual sentences were often coded multiple times and the process of coding was iterative in nature requiring each code, corresponding text and wider context within the study results to b</w:t>
      </w:r>
      <w:r w:rsidR="0087726E" w:rsidRPr="009B3747">
        <w:rPr>
          <w:rFonts w:eastAsia="Times New Roman" w:cstheme="minorHAnsi"/>
          <w:color w:val="000000"/>
          <w:lang w:eastAsia="en-GB"/>
        </w:rPr>
        <w:t xml:space="preserve">e re-examined according to its meaning and content </w:t>
      </w:r>
      <w:r w:rsidR="0087726E" w:rsidRPr="009B3747">
        <w:rPr>
          <w:rFonts w:eastAsia="Times New Roman" w:cstheme="minorHAnsi"/>
          <w:color w:val="000000"/>
          <w:lang w:eastAsia="en-GB"/>
        </w:rPr>
        <w:fldChar w:fldCharType="begin" w:fldLock="1"/>
      </w:r>
      <w:r w:rsidR="0087726E" w:rsidRPr="009B3747">
        <w:rPr>
          <w:rFonts w:eastAsia="Times New Roman" w:cstheme="minorHAnsi"/>
          <w:color w:val="000000"/>
          <w:lang w:eastAsia="en-GB"/>
        </w:rPr>
        <w:instrText>ADDIN CSL_CITATION { "citationItems" : [ { "id" : "ITEM-1", "itemData" : { "DOI" : "10.1186/1471-2288-8-45", "ISBN" : "1471-2288 (Electronic)\\r1471-2288 (Linking)", "ISSN" : "1471-2288", "PMID" : "18616818", "abstract" : "BACKGROUND: There is a growing recognition of the value of synthesising qualitative research in the evidence base in order to facilitate effective and appropriate health care. In response to this, methods for undertaking these syntheses are currently being developed. Thematic analysis is a method that is often used to analyse data in primary qualitative research. This paper reports on the use of this type of analysis in systematic reviews to bring together and integrate the findings of multiple qualitative studies.\\n\\nMETHODS: We describe thematic synthesis, outline several steps for its conduct and illustrate the process and outcome of this approach using a completed review of health promotion research. Thematic synthesis has three stages: the coding of text 'line-by-line'; the development of 'descriptive themes'; and the generation of 'analytical themes'. While the development of descriptive themes remains 'close' to the primary studies, the analytical themes represent a stage of interpretation whereby the reviewers 'go beyond' the primary studies and generate new interpretive constructs, explanations or hypotheses. The use of computer software can facilitate this method of synthesis; detailed guidance is given on how this can be achieved.\\n\\nRESULTS: We used thematic synthesis to combine the studies of children's views and identified key themes to explore in the intervention studies. Most interventions were based in school and often combined learning about health benefits with 'hands-on' experience. The studies of children's views suggested that fruit and vegetables should be treated in different ways, and that messages should not focus on health warnings. Interventions that were in line with these suggestions tended to be more effective. Thematic synthesis enabled us to stay 'close' to the results of the primary studies, synthesising them in a transparent way, and facilitating the explicit production of new concepts and hypotheses.\\n\\nCONCLUSION: We compare thematic synthesis to other methods for the synthesis of qualitative research, discussing issues of context and rigour. Thematic synthesis is presented as a tried and tested method that preserves an explicit and transparent link between conclusions and the text of primary studies; as such it preserves principles that have traditionally been important to systematic reviewing.", "author" : [ { "dropping-particle" : "", "family" : "Thomas", "given" : "James", "non-dropping-particle" : "", "parse-names" : false, "suffix" : "" }, { "dropping-particle" : "", "family" : "Harden", "given" : "Angela", "non-dropping-particle" : "", "parse-names" : false, "suffix" : "" } ], "container-title" : "BMC Medical Research Methodology", "id" : "ITEM-1", "issue" : "1", "issued" : { "date-parts" : [ [ "2008" ] ] }, "page" : "45", "title" : "Methods for the thematic synthesis of qualitative research in systematic reviews", "type" : "article-journal", "volume" : "8" }, "uris" : [ "http://www.mendeley.com/documents/?uuid=75e4c3ca-7a9b-4ec0-aa8e-23fe7e9f4462" ] } ], "mendeley" : { "formattedCitation" : "(Thomas and Harden, 2008)", "plainTextFormattedCitation" : "(Thomas and Harden, 2008)", "previouslyFormattedCitation" : "(Thomas and Harden, 2008)" }, "properties" : { "noteIndex" : 0 }, "schema" : "https://github.com/citation-style-language/schema/raw/master/csl-citation.json" }</w:instrText>
      </w:r>
      <w:r w:rsidR="0087726E" w:rsidRPr="009B3747">
        <w:rPr>
          <w:rFonts w:eastAsia="Times New Roman" w:cstheme="minorHAnsi"/>
          <w:color w:val="000000"/>
          <w:lang w:eastAsia="en-GB"/>
        </w:rPr>
        <w:fldChar w:fldCharType="separate"/>
      </w:r>
      <w:r w:rsidR="0087726E" w:rsidRPr="009B3747">
        <w:rPr>
          <w:rFonts w:eastAsia="Times New Roman" w:cstheme="minorHAnsi"/>
          <w:noProof/>
          <w:color w:val="000000"/>
          <w:lang w:eastAsia="en-GB"/>
        </w:rPr>
        <w:t>(Thomas and Harden, 2008)</w:t>
      </w:r>
      <w:r w:rsidR="0087726E"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In total 56 codes were established.  At the point of completing this stage each study was re-read in NVivo, with all contained codes highlighted and labelled, in order to check for coding consistency across the texts.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Stage 2</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 xml:space="preserve">All codes were assessed for similarity and differences and those which were </w:t>
      </w:r>
      <w:r w:rsidR="00133672" w:rsidRPr="009B3747">
        <w:rPr>
          <w:rFonts w:eastAsia="Times New Roman" w:cstheme="minorHAnsi"/>
          <w:color w:val="000000"/>
          <w:lang w:eastAsia="en-GB"/>
        </w:rPr>
        <w:t>perceived</w:t>
      </w:r>
      <w:r w:rsidRPr="009B3747">
        <w:rPr>
          <w:rFonts w:eastAsia="Times New Roman" w:cstheme="minorHAnsi"/>
          <w:color w:val="000000"/>
          <w:lang w:eastAsia="en-GB"/>
        </w:rPr>
        <w:t xml:space="preserve"> to relate to one another within the bank of initially developed codes were grouped by new broader codes</w:t>
      </w:r>
      <w:r w:rsidR="00FE4357">
        <w:rPr>
          <w:rFonts w:eastAsia="Times New Roman" w:cstheme="minorHAnsi"/>
          <w:color w:val="000000"/>
          <w:lang w:eastAsia="en-GB"/>
        </w:rPr>
        <w:t>,</w:t>
      </w:r>
      <w:r w:rsidRPr="009B3747">
        <w:rPr>
          <w:rFonts w:eastAsia="Times New Roman" w:cstheme="minorHAnsi"/>
          <w:color w:val="000000"/>
          <w:lang w:eastAsia="en-GB"/>
        </w:rPr>
        <w:t xml:space="preserve"> i.e. into a</w:t>
      </w:r>
      <w:r w:rsidR="00AD72F8" w:rsidRPr="009B3747">
        <w:rPr>
          <w:rFonts w:eastAsia="Times New Roman" w:cstheme="minorHAnsi"/>
          <w:color w:val="000000"/>
          <w:lang w:eastAsia="en-GB"/>
        </w:rPr>
        <w:t>n</w:t>
      </w:r>
      <w:r w:rsidRPr="009B3747">
        <w:rPr>
          <w:rFonts w:eastAsia="Times New Roman" w:cstheme="minorHAnsi"/>
          <w:color w:val="000000"/>
          <w:lang w:eastAsia="en-GB"/>
        </w:rPr>
        <w:t xml:space="preserve"> organisational hierarchy.  Having reflected upon the hierarchical layers of codes, and as per the methods described by </w:t>
      </w:r>
      <w:r w:rsidR="0087726E" w:rsidRPr="009B3747">
        <w:rPr>
          <w:rFonts w:eastAsia="Times New Roman" w:cstheme="minorHAnsi"/>
          <w:color w:val="000000"/>
          <w:lang w:eastAsia="en-GB"/>
        </w:rPr>
        <w:fldChar w:fldCharType="begin" w:fldLock="1"/>
      </w:r>
      <w:r w:rsidR="0087726E" w:rsidRPr="009B3747">
        <w:rPr>
          <w:rFonts w:eastAsia="Times New Roman" w:cstheme="minorHAnsi"/>
          <w:color w:val="000000"/>
          <w:lang w:eastAsia="en-GB"/>
        </w:rPr>
        <w:instrText>ADDIN CSL_CITATION { "citationItems" : [ { "id" : "ITEM-1", "itemData" : { "DOI" : "10.1186/1471-2288-8-45", "ISBN" : "1471-2288 (Electronic)\\r1471-2288 (Linking)", "ISSN" : "1471-2288", "PMID" : "18616818", "abstract" : "BACKGROUND: There is a growing recognition of the value of synthesising qualitative research in the evidence base in order to facilitate effective and appropriate health care. In response to this, methods for undertaking these syntheses are currently being developed. Thematic analysis is a method that is often used to analyse data in primary qualitative research. This paper reports on the use of this type of analysis in systematic reviews to bring together and integrate the findings of multiple qualitative studies.\\n\\nMETHODS: We describe thematic synthesis, outline several steps for its conduct and illustrate the process and outcome of this approach using a completed review of health promotion research. Thematic synthesis has three stages: the coding of text 'line-by-line'; the development of 'descriptive themes'; and the generation of 'analytical themes'. While the development of descriptive themes remains 'close' to the primary studies, the analytical themes represent a stage of interpretation whereby the reviewers 'go beyond' the primary studies and generate new interpretive constructs, explanations or hypotheses. The use of computer software can facilitate this method of synthesis; detailed guidance is given on how this can be achieved.\\n\\nRESULTS: We used thematic synthesis to combine the studies of children's views and identified key themes to explore in the intervention studies. Most interventions were based in school and often combined learning about health benefits with 'hands-on' experience. The studies of children's views suggested that fruit and vegetables should be treated in different ways, and that messages should not focus on health warnings. Interventions that were in line with these suggestions tended to be more effective. Thematic synthesis enabled us to stay 'close' to the results of the primary studies, synthesising them in a transparent way, and facilitating the explicit production of new concepts and hypotheses.\\n\\nCONCLUSION: We compare thematic synthesis to other methods for the synthesis of qualitative research, discussing issues of context and rigour. Thematic synthesis is presented as a tried and tested method that preserves an explicit and transparent link between conclusions and the text of primary studies; as such it preserves principles that have traditionally been important to systematic reviewing.", "author" : [ { "dropping-particle" : "", "family" : "Thomas", "given" : "James", "non-dropping-particle" : "", "parse-names" : false, "suffix" : "" }, { "dropping-particle" : "", "family" : "Harden", "given" : "Angela", "non-dropping-particle" : "", "parse-names" : false, "suffix" : "" } ], "container-title" : "BMC Medical Research Methodology", "id" : "ITEM-1", "issue" : "1", "issued" : { "date-parts" : [ [ "2008" ] ] }, "page" : "45", "title" : "Methods for the thematic synthesis of qualitative research in systematic reviews", "type" : "article-journal", "volume" : "8" }, "uris" : [ "http://www.mendeley.com/documents/?uuid=75e4c3ca-7a9b-4ec0-aa8e-23fe7e9f4462" ] } ], "mendeley" : { "formattedCitation" : "(Thomas and Harden, 2008)", "plainTextFormattedCitation" : "(Thomas and Harden, 2008)", "previouslyFormattedCitation" : "(Thomas and Harden, 2008)" }, "properties" : { "noteIndex" : 0 }, "schema" : "https://github.com/citation-style-language/schema/raw/master/csl-citation.json" }</w:instrText>
      </w:r>
      <w:r w:rsidR="0087726E" w:rsidRPr="009B3747">
        <w:rPr>
          <w:rFonts w:eastAsia="Times New Roman" w:cstheme="minorHAnsi"/>
          <w:color w:val="000000"/>
          <w:lang w:eastAsia="en-GB"/>
        </w:rPr>
        <w:fldChar w:fldCharType="separate"/>
      </w:r>
      <w:r w:rsidR="0087726E" w:rsidRPr="009B3747">
        <w:rPr>
          <w:rFonts w:eastAsia="Times New Roman" w:cstheme="minorHAnsi"/>
          <w:noProof/>
          <w:color w:val="000000"/>
          <w:lang w:eastAsia="en-GB"/>
        </w:rPr>
        <w:t>(Thomas and Harden, 2008)</w:t>
      </w:r>
      <w:r w:rsidR="0087726E" w:rsidRPr="009B3747">
        <w:rPr>
          <w:rFonts w:eastAsia="Times New Roman" w:cstheme="minorHAnsi"/>
          <w:color w:val="000000"/>
          <w:lang w:eastAsia="en-GB"/>
        </w:rPr>
        <w:fldChar w:fldCharType="end"/>
      </w:r>
      <w:r w:rsidRPr="009B3747">
        <w:rPr>
          <w:rFonts w:eastAsia="Times New Roman" w:cstheme="minorHAnsi"/>
          <w:color w:val="000000"/>
          <w:lang w:eastAsia="en-GB"/>
        </w:rPr>
        <w:t>, descriptive overarching themes and subthemes were identified.  Again, this was an iterative process, with the groupings of codes revisited to ensure consistency of interpretation and comprehensiveness.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Stage 3</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 xml:space="preserve">Having formulated a list of descriptive themes, a visual map was developed (within NVivo) to explore the relationship between resultant descriptive themes and subthemes.  Descriptive themes were </w:t>
      </w:r>
      <w:r w:rsidRPr="009B3747">
        <w:rPr>
          <w:rFonts w:eastAsia="Times New Roman" w:cstheme="minorHAnsi"/>
          <w:color w:val="000000"/>
          <w:lang w:eastAsia="en-GB"/>
        </w:rPr>
        <w:lastRenderedPageBreak/>
        <w:t>then considered in light of the review question</w:t>
      </w:r>
      <w:r w:rsidR="00FE4357">
        <w:rPr>
          <w:rFonts w:eastAsia="Times New Roman" w:cstheme="minorHAnsi"/>
          <w:color w:val="000000"/>
          <w:lang w:eastAsia="en-GB"/>
        </w:rPr>
        <w:t>,</w:t>
      </w:r>
      <w:r w:rsidRPr="009B3747">
        <w:rPr>
          <w:rFonts w:eastAsia="Times New Roman" w:cstheme="minorHAnsi"/>
          <w:color w:val="000000"/>
          <w:lang w:eastAsia="en-GB"/>
        </w:rPr>
        <w:t xml:space="preserve"> i.e. how do the descriptive themes address or answer the below -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83682E" w:rsidP="003F1507">
      <w:pPr>
        <w:rPr>
          <w:rFonts w:eastAsia="Times New Roman" w:cstheme="minorHAnsi"/>
          <w:sz w:val="24"/>
          <w:szCs w:val="24"/>
          <w:lang w:eastAsia="en-GB"/>
        </w:rPr>
      </w:pPr>
      <w:r w:rsidRPr="009B3747">
        <w:rPr>
          <w:rFonts w:eastAsia="Times New Roman" w:cstheme="minorHAnsi"/>
          <w:i/>
          <w:iCs/>
          <w:color w:val="000000"/>
          <w:lang w:eastAsia="en-GB"/>
        </w:rPr>
        <w:t>‘</w:t>
      </w:r>
      <w:r w:rsidR="003F1507" w:rsidRPr="009B3747">
        <w:rPr>
          <w:rFonts w:eastAsia="Times New Roman" w:cstheme="minorHAnsi"/>
          <w:i/>
          <w:iCs/>
          <w:color w:val="000000"/>
          <w:lang w:eastAsia="en-GB"/>
        </w:rPr>
        <w:t>What are headteachers</w:t>
      </w:r>
      <w:r w:rsidR="00961B10" w:rsidRPr="009B3747">
        <w:rPr>
          <w:rFonts w:eastAsia="Times New Roman" w:cstheme="minorHAnsi"/>
          <w:i/>
          <w:iCs/>
          <w:color w:val="000000"/>
          <w:lang w:eastAsia="en-GB"/>
        </w:rPr>
        <w:t>’</w:t>
      </w:r>
      <w:r w:rsidR="003F1507" w:rsidRPr="009B3747">
        <w:rPr>
          <w:rFonts w:eastAsia="Times New Roman" w:cstheme="minorHAnsi"/>
          <w:i/>
          <w:iCs/>
          <w:color w:val="000000"/>
          <w:lang w:eastAsia="en-GB"/>
        </w:rPr>
        <w:t xml:space="preserve"> and chairs of </w:t>
      </w:r>
      <w:r w:rsidR="00AD72F8" w:rsidRPr="009B3747">
        <w:rPr>
          <w:rFonts w:eastAsia="Times New Roman" w:cstheme="minorHAnsi"/>
          <w:i/>
          <w:iCs/>
          <w:color w:val="000000"/>
          <w:lang w:eastAsia="en-GB"/>
        </w:rPr>
        <w:t>governors’</w:t>
      </w:r>
      <w:r w:rsidR="003F1507" w:rsidRPr="009B3747">
        <w:rPr>
          <w:rFonts w:eastAsia="Times New Roman" w:cstheme="minorHAnsi"/>
          <w:i/>
          <w:iCs/>
          <w:color w:val="000000"/>
          <w:lang w:eastAsia="en-GB"/>
        </w:rPr>
        <w:t xml:space="preserve"> perspectives on c</w:t>
      </w:r>
      <w:r w:rsidR="00AD72F8" w:rsidRPr="009B3747">
        <w:rPr>
          <w:rFonts w:eastAsia="Times New Roman" w:cstheme="minorHAnsi"/>
          <w:i/>
          <w:iCs/>
          <w:color w:val="000000"/>
          <w:lang w:eastAsia="en-GB"/>
        </w:rPr>
        <w:t xml:space="preserve">hildhood or adolescent obesity </w:t>
      </w:r>
      <w:r w:rsidR="003F1507" w:rsidRPr="009B3747">
        <w:rPr>
          <w:rFonts w:eastAsia="Times New Roman" w:cstheme="minorHAnsi"/>
          <w:i/>
          <w:iCs/>
          <w:color w:val="000000"/>
          <w:lang w:eastAsia="en-GB"/>
        </w:rPr>
        <w:t>and its</w:t>
      </w:r>
      <w:r w:rsidRPr="009B3747">
        <w:rPr>
          <w:rFonts w:eastAsia="Times New Roman" w:cstheme="minorHAnsi"/>
          <w:i/>
          <w:iCs/>
          <w:color w:val="000000"/>
          <w:lang w:eastAsia="en-GB"/>
        </w:rPr>
        <w:t xml:space="preserve"> prevention in school settings?’</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The reviewer then attempted to identify cross-cutting analytical themes by revising and combining descriptive themes in order to enable interpretations to go beyond the original findings of the primary studies included.  This stage is argued to be the most controversial given the subjective judgement required of reviewers</w:t>
      </w:r>
      <w:r w:rsidR="002C2432" w:rsidRPr="009B3747">
        <w:rPr>
          <w:rFonts w:eastAsia="Times New Roman" w:cstheme="minorHAnsi"/>
          <w:color w:val="000000"/>
          <w:lang w:eastAsia="en-GB"/>
        </w:rPr>
        <w:t xml:space="preserve"> </w:t>
      </w:r>
      <w:r w:rsidR="002C2432" w:rsidRPr="009B3747">
        <w:rPr>
          <w:rFonts w:eastAsia="Times New Roman" w:cstheme="minorHAnsi"/>
          <w:color w:val="000000"/>
          <w:lang w:eastAsia="en-GB"/>
        </w:rPr>
        <w:fldChar w:fldCharType="begin" w:fldLock="1"/>
      </w:r>
      <w:r w:rsidR="002C2432" w:rsidRPr="009B3747">
        <w:rPr>
          <w:rFonts w:eastAsia="Times New Roman" w:cstheme="minorHAnsi"/>
          <w:color w:val="000000"/>
          <w:lang w:eastAsia="en-GB"/>
        </w:rPr>
        <w:instrText>ADDIN CSL_CITATION { "citationItems" : [ { "id" : "ITEM-1", "itemData" : { "DOI" : "10.1186/1471-2288-8-45", "ISBN" : "1471-2288 (Electronic)\\r1471-2288 (Linking)", "ISSN" : "1471-2288", "PMID" : "18616818", "abstract" : "BACKGROUND: There is a growing recognition of the value of synthesising qualitative research in the evidence base in order to facilitate effective and appropriate health care. In response to this, methods for undertaking these syntheses are currently being developed. Thematic analysis is a method that is often used to analyse data in primary qualitative research. This paper reports on the use of this type of analysis in systematic reviews to bring together and integrate the findings of multiple qualitative studies.\\n\\nMETHODS: We describe thematic synthesis, outline several steps for its conduct and illustrate the process and outcome of this approach using a completed review of health promotion research. Thematic synthesis has three stages: the coding of text 'line-by-line'; the development of 'descriptive themes'; and the generation of 'analytical themes'. While the development of descriptive themes remains 'close' to the primary studies, the analytical themes represent a stage of interpretation whereby the reviewers 'go beyond' the primary studies and generate new interpretive constructs, explanations or hypotheses. The use of computer software can facilitate this method of synthesis; detailed guidance is given on how this can be achieved.\\n\\nRESULTS: We used thematic synthesis to combine the studies of children's views and identified key themes to explore in the intervention studies. Most interventions were based in school and often combined learning about health benefits with 'hands-on' experience. The studies of children's views suggested that fruit and vegetables should be treated in different ways, and that messages should not focus on health warnings. Interventions that were in line with these suggestions tended to be more effective. Thematic synthesis enabled us to stay 'close' to the results of the primary studies, synthesising them in a transparent way, and facilitating the explicit production of new concepts and hypotheses.\\n\\nCONCLUSION: We compare thematic synthesis to other methods for the synthesis of qualitative research, discussing issues of context and rigour. Thematic synthesis is presented as a tried and tested method that preserves an explicit and transparent link between conclusions and the text of primary studies; as such it preserves principles that have traditionally been important to systematic reviewing.", "author" : [ { "dropping-particle" : "", "family" : "Thomas", "given" : "James", "non-dropping-particle" : "", "parse-names" : false, "suffix" : "" }, { "dropping-particle" : "", "family" : "Harden", "given" : "Angela", "non-dropping-particle" : "", "parse-names" : false, "suffix" : "" } ], "container-title" : "BMC Medical Research Methodology", "id" : "ITEM-1", "issue" : "1", "issued" : { "date-parts" : [ [ "2008" ] ] }, "page" : "45", "title" : "Methods for the thematic synthesis of qualitative research in systematic reviews", "type" : "article-journal", "volume" : "8" }, "uris" : [ "http://www.mendeley.com/documents/?uuid=75e4c3ca-7a9b-4ec0-aa8e-23fe7e9f4462" ] } ], "mendeley" : { "formattedCitation" : "(Thomas and Harden, 2008)", "plainTextFormattedCitation" : "(Thomas and Harden, 2008)", "previouslyFormattedCitation" : "(Thomas and Harden, 2008)" }, "properties" : { "noteIndex" : 0 }, "schema" : "https://github.com/citation-style-language/schema/raw/master/csl-citation.json" }</w:instrText>
      </w:r>
      <w:r w:rsidR="002C2432" w:rsidRPr="009B3747">
        <w:rPr>
          <w:rFonts w:eastAsia="Times New Roman" w:cstheme="minorHAnsi"/>
          <w:color w:val="000000"/>
          <w:lang w:eastAsia="en-GB"/>
        </w:rPr>
        <w:fldChar w:fldCharType="separate"/>
      </w:r>
      <w:r w:rsidR="002C2432" w:rsidRPr="009B3747">
        <w:rPr>
          <w:rFonts w:eastAsia="Times New Roman" w:cstheme="minorHAnsi"/>
          <w:noProof/>
          <w:color w:val="000000"/>
          <w:lang w:eastAsia="en-GB"/>
        </w:rPr>
        <w:t>(Thomas and Harden, 2008)</w:t>
      </w:r>
      <w:r w:rsidR="002C2432" w:rsidRPr="009B3747">
        <w:rPr>
          <w:rFonts w:eastAsia="Times New Roman" w:cstheme="minorHAnsi"/>
          <w:color w:val="000000"/>
          <w:lang w:eastAsia="en-GB"/>
        </w:rPr>
        <w:fldChar w:fldCharType="end"/>
      </w:r>
      <w:r w:rsidR="002C2432" w:rsidRPr="009B3747">
        <w:rPr>
          <w:rFonts w:eastAsia="Times New Roman" w:cstheme="minorHAnsi"/>
          <w:color w:val="000000"/>
          <w:lang w:eastAsia="en-GB"/>
        </w:rPr>
        <w:t xml:space="preserve">.  </w:t>
      </w:r>
      <w:r w:rsidRPr="009B3747">
        <w:rPr>
          <w:rFonts w:eastAsia="Times New Roman" w:cstheme="minorHAnsi"/>
          <w:color w:val="000000"/>
          <w:lang w:eastAsia="en-GB"/>
        </w:rPr>
        <w:t>Resulting from this final stage was four final themes and a larger number of subthemes.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C967E9" w:rsidP="003F1507">
      <w:pPr>
        <w:rPr>
          <w:rFonts w:eastAsia="Times New Roman" w:cstheme="minorHAnsi"/>
          <w:sz w:val="24"/>
          <w:szCs w:val="24"/>
          <w:lang w:eastAsia="en-GB"/>
        </w:rPr>
      </w:pPr>
      <w:r w:rsidRPr="009B3747">
        <w:rPr>
          <w:rFonts w:eastAsia="Times New Roman" w:cstheme="minorHAnsi"/>
          <w:b/>
          <w:bCs/>
          <w:color w:val="000000"/>
          <w:sz w:val="24"/>
          <w:szCs w:val="24"/>
          <w:u w:val="single"/>
          <w:lang w:eastAsia="en-GB"/>
        </w:rPr>
        <w:t>3.4 Review r</w:t>
      </w:r>
      <w:r w:rsidR="003F1507" w:rsidRPr="009B3747">
        <w:rPr>
          <w:rFonts w:eastAsia="Times New Roman" w:cstheme="minorHAnsi"/>
          <w:b/>
          <w:bCs/>
          <w:color w:val="000000"/>
          <w:sz w:val="24"/>
          <w:szCs w:val="24"/>
          <w:u w:val="single"/>
          <w:lang w:eastAsia="en-GB"/>
        </w:rPr>
        <w:t>esults</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983506" w:rsidP="003F1507">
      <w:pPr>
        <w:rPr>
          <w:rFonts w:eastAsia="Times New Roman" w:cstheme="minorHAnsi"/>
          <w:sz w:val="24"/>
          <w:szCs w:val="24"/>
          <w:lang w:eastAsia="en-GB"/>
        </w:rPr>
      </w:pPr>
      <w:r w:rsidRPr="009B3747">
        <w:rPr>
          <w:rFonts w:eastAsia="Times New Roman" w:cstheme="minorHAnsi"/>
          <w:color w:val="000000"/>
          <w:u w:val="single"/>
          <w:lang w:eastAsia="en-GB"/>
        </w:rPr>
        <w:t>3</w:t>
      </w:r>
      <w:r w:rsidR="003F1507" w:rsidRPr="009B3747">
        <w:rPr>
          <w:rFonts w:eastAsia="Times New Roman" w:cstheme="minorHAnsi"/>
          <w:color w:val="000000"/>
          <w:u w:val="single"/>
          <w:lang w:eastAsia="en-GB"/>
        </w:rPr>
        <w:t>.</w:t>
      </w:r>
      <w:r w:rsidR="00C967E9" w:rsidRPr="009B3747">
        <w:rPr>
          <w:rFonts w:eastAsia="Times New Roman" w:cstheme="minorHAnsi"/>
          <w:color w:val="000000"/>
          <w:u w:val="single"/>
          <w:lang w:eastAsia="en-GB"/>
        </w:rPr>
        <w:t xml:space="preserve">4.1 </w:t>
      </w:r>
      <w:r w:rsidR="003F1507" w:rsidRPr="009B3747">
        <w:rPr>
          <w:rFonts w:eastAsia="Times New Roman" w:cstheme="minorHAnsi"/>
          <w:color w:val="000000"/>
          <w:u w:val="single"/>
          <w:lang w:eastAsia="en-GB"/>
        </w:rPr>
        <w:t>Study selection</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5E052F" w:rsidRPr="009B3747" w:rsidRDefault="003F1507" w:rsidP="003F1507">
      <w:pPr>
        <w:rPr>
          <w:rFonts w:eastAsia="Times New Roman" w:cstheme="minorHAnsi"/>
          <w:color w:val="000000"/>
          <w:lang w:eastAsia="en-GB"/>
        </w:rPr>
      </w:pPr>
      <w:r w:rsidRPr="009B3747">
        <w:rPr>
          <w:rFonts w:eastAsia="Times New Roman" w:cstheme="minorHAnsi"/>
          <w:color w:val="000000"/>
          <w:lang w:eastAsia="en-GB"/>
        </w:rPr>
        <w:t>In total the initial searches produced 878 records, which after the duplicates were removed resulted in 668 records progressing to the point of screening.  The titles and abstracts of all 668 records were practically screened</w:t>
      </w:r>
      <w:r w:rsidR="002C2432" w:rsidRPr="009B3747">
        <w:rPr>
          <w:rFonts w:eastAsia="Times New Roman" w:cstheme="minorHAnsi"/>
          <w:color w:val="000000"/>
          <w:lang w:eastAsia="en-GB"/>
        </w:rPr>
        <w:t xml:space="preserve"> </w:t>
      </w:r>
      <w:r w:rsidR="002C2432" w:rsidRPr="009B3747">
        <w:rPr>
          <w:rFonts w:eastAsia="Times New Roman" w:cstheme="minorHAnsi"/>
          <w:color w:val="000000"/>
          <w:lang w:eastAsia="en-GB"/>
        </w:rPr>
        <w:fldChar w:fldCharType="begin" w:fldLock="1"/>
      </w:r>
      <w:r w:rsidR="002C2432" w:rsidRPr="009B3747">
        <w:rPr>
          <w:rFonts w:eastAsia="Times New Roman" w:cstheme="minorHAnsi"/>
          <w:color w:val="000000"/>
          <w:lang w:eastAsia="en-GB"/>
        </w:rPr>
        <w:instrText>ADDIN CSL_CITATION { "citationItems" : [ { "id" : "ITEM-1", "itemData" : { "author" : [ { "dropping-particle" : "", "family" : "Okoli", "given" : "Chitu", "non-dropping-particle" : "", "parse-names" : false, "suffix" : "" } ], "container-title" : "Communications of the Association for Information Systems", "id" : "ITEM-1", "issue" : "43", "issued" : { "date-parts" : [ [ "2015" ] ] }, "title" : "A Guide to Conducting a Standalone Systematic Literature Review", "type" : "article-journal", "volume" : "37" }, "uris" : [ "http://www.mendeley.com/documents/?uuid=88638118-d5cc-4293-a4e0-af72348becb6" ] } ], "mendeley" : { "formattedCitation" : "(Okoli, 2015)", "plainTextFormattedCitation" : "(Okoli, 2015)", "previouslyFormattedCitation" : "(Okoli, 2015)" }, "properties" : { "noteIndex" : 0 }, "schema" : "https://github.com/citation-style-language/schema/raw/master/csl-citation.json" }</w:instrText>
      </w:r>
      <w:r w:rsidR="002C2432" w:rsidRPr="009B3747">
        <w:rPr>
          <w:rFonts w:eastAsia="Times New Roman" w:cstheme="minorHAnsi"/>
          <w:color w:val="000000"/>
          <w:lang w:eastAsia="en-GB"/>
        </w:rPr>
        <w:fldChar w:fldCharType="separate"/>
      </w:r>
      <w:r w:rsidR="002C2432" w:rsidRPr="009B3747">
        <w:rPr>
          <w:rFonts w:eastAsia="Times New Roman" w:cstheme="minorHAnsi"/>
          <w:noProof/>
          <w:color w:val="000000"/>
          <w:lang w:eastAsia="en-GB"/>
        </w:rPr>
        <w:t>(Okoli, 2015)</w:t>
      </w:r>
      <w:r w:rsidR="002C2432" w:rsidRPr="009B3747">
        <w:rPr>
          <w:rFonts w:eastAsia="Times New Roman" w:cstheme="minorHAnsi"/>
          <w:color w:val="000000"/>
          <w:lang w:eastAsia="en-GB"/>
        </w:rPr>
        <w:fldChar w:fldCharType="end"/>
      </w:r>
      <w:r w:rsidR="00FE4357">
        <w:rPr>
          <w:rFonts w:eastAsia="Times New Roman" w:cstheme="minorHAnsi"/>
          <w:color w:val="000000"/>
          <w:lang w:eastAsia="en-GB"/>
        </w:rPr>
        <w:t>,</w:t>
      </w:r>
      <w:r w:rsidR="002C2432" w:rsidRPr="009B3747">
        <w:rPr>
          <w:rFonts w:eastAsia="Times New Roman" w:cstheme="minorHAnsi"/>
          <w:color w:val="000000"/>
          <w:lang w:eastAsia="en-GB"/>
        </w:rPr>
        <w:t xml:space="preserve"> </w:t>
      </w:r>
      <w:r w:rsidRPr="009B3747">
        <w:rPr>
          <w:rFonts w:eastAsia="Times New Roman" w:cstheme="minorHAnsi"/>
          <w:color w:val="000000"/>
          <w:lang w:eastAsia="en-GB"/>
        </w:rPr>
        <w:t>i.e. using a robust yet overly inclusive approach.  This process led to 18 studies in full-text form being reviewed and assessed against the explicit inclusion and exclusion criter</w:t>
      </w:r>
      <w:r w:rsidR="00846B21" w:rsidRPr="009B3747">
        <w:rPr>
          <w:rFonts w:eastAsia="Times New Roman" w:cstheme="minorHAnsi"/>
          <w:color w:val="000000"/>
          <w:lang w:eastAsia="en-GB"/>
        </w:rPr>
        <w:t>ia presented earlier in table 3.3</w:t>
      </w:r>
      <w:r w:rsidRPr="009B3747">
        <w:rPr>
          <w:rFonts w:eastAsia="Times New Roman" w:cstheme="minorHAnsi"/>
          <w:color w:val="000000"/>
          <w:lang w:eastAsia="en-GB"/>
        </w:rPr>
        <w:t>.  </w:t>
      </w:r>
    </w:p>
    <w:p w:rsidR="005E052F" w:rsidRPr="009B3747" w:rsidRDefault="005E052F" w:rsidP="003F1507">
      <w:pPr>
        <w:rPr>
          <w:rFonts w:eastAsia="Times New Roman" w:cstheme="minorHAnsi"/>
          <w:color w:val="000000"/>
          <w:lang w:eastAsia="en-GB"/>
        </w:rPr>
      </w:pP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Prior to formal selection of the final studies, the references and citations of all 18 potentially eligible studies were checked for relevance, with three further studies of interest identified.  In total, 6 qualitative empirical studies were found to be relevant and were selected for final inc</w:t>
      </w:r>
      <w:r w:rsidR="00AD72F8" w:rsidRPr="009B3747">
        <w:rPr>
          <w:rFonts w:eastAsia="Times New Roman" w:cstheme="minorHAnsi"/>
          <w:color w:val="000000"/>
          <w:lang w:eastAsia="en-GB"/>
        </w:rPr>
        <w:t>lusion in the review.  Figure 2</w:t>
      </w:r>
      <w:r w:rsidRPr="009B3747">
        <w:rPr>
          <w:rFonts w:eastAsia="Times New Roman" w:cstheme="minorHAnsi"/>
          <w:color w:val="000000"/>
          <w:lang w:eastAsia="en-GB"/>
        </w:rPr>
        <w:t xml:space="preserve"> presents the process of study selection as a PRISMA flow diagram</w:t>
      </w:r>
      <w:r w:rsidR="002C2432" w:rsidRPr="009B3747">
        <w:rPr>
          <w:rFonts w:eastAsia="Times New Roman" w:cstheme="minorHAnsi"/>
          <w:color w:val="000000"/>
          <w:lang w:eastAsia="en-GB"/>
        </w:rPr>
        <w:t xml:space="preserve"> </w:t>
      </w:r>
      <w:r w:rsidR="002C2432" w:rsidRPr="009B3747">
        <w:rPr>
          <w:rFonts w:eastAsia="Times New Roman" w:cstheme="minorHAnsi"/>
          <w:color w:val="000000"/>
          <w:lang w:eastAsia="en-GB"/>
        </w:rPr>
        <w:fldChar w:fldCharType="begin" w:fldLock="1"/>
      </w:r>
      <w:r w:rsidR="002C2432" w:rsidRPr="009B3747">
        <w:rPr>
          <w:rFonts w:eastAsia="Times New Roman" w:cstheme="minorHAnsi"/>
          <w:color w:val="000000"/>
          <w:lang w:eastAsia="en-GB"/>
        </w:rPr>
        <w:instrText>ADDIN CSL_CITATION { "citationItems" : [ { "id" : "ITEM-1", "itemData" : { "DOI" : "10.1371/journal.pmed.1000097", "ISSN" : "1549-1676", "PMID" : "19621072", "author" : [ { "dropping-particle" : "", "family" : "Moher", "given" : "David", "non-dropping-particle" : "", "parse-names" : false, "suffix" : "" }, { "dropping-particle" : "", "family" : "Liberati", "given" : "Alessandro", "non-dropping-particle" : "", "parse-names" : false, "suffix" : "" }, { "dropping-particle" : "", "family" : "Tetzlaff", "given" : "Jennifer", "non-dropping-particle" : "", "parse-names" : false, "suffix" : "" }, { "dropping-particle" : "", "family" : "Altman", "given" : "Douglas G.", "non-dropping-particle" : "", "parse-names" : false, "suffix" : "" }, { "dropping-particle" : "", "family" : "PRISMA Group", "given" : "", "non-dropping-particle" : "", "parse-names" : false, "suffix" : "" } ], "container-title" : "PLoS Medicine", "id" : "ITEM-1", "issue" : "7", "issued" : { "date-parts" : [ [ "2009", "7", "21" ] ] }, "page" : "e1000097", "title" : "Preferred Reporting Items for Systematic Reviews and Meta-Analyses: The PRISMA Statement", "type" : "article-journal", "volume" : "6" }, "uris" : [ "http://www.mendeley.com/documents/?uuid=a3699821-8d17-3caf-a1ba-00c8985ea683" ] } ], "mendeley" : { "formattedCitation" : "(Moher et al., 2009)", "plainTextFormattedCitation" : "(Moher et al., 2009)", "previouslyFormattedCitation" : "(Moher et al., 2009)" }, "properties" : { "noteIndex" : 0 }, "schema" : "https://github.com/citation-style-language/schema/raw/master/csl-citation.json" }</w:instrText>
      </w:r>
      <w:r w:rsidR="002C2432" w:rsidRPr="009B3747">
        <w:rPr>
          <w:rFonts w:eastAsia="Times New Roman" w:cstheme="minorHAnsi"/>
          <w:color w:val="000000"/>
          <w:lang w:eastAsia="en-GB"/>
        </w:rPr>
        <w:fldChar w:fldCharType="separate"/>
      </w:r>
      <w:r w:rsidR="002C2432" w:rsidRPr="009B3747">
        <w:rPr>
          <w:rFonts w:eastAsia="Times New Roman" w:cstheme="minorHAnsi"/>
          <w:noProof/>
          <w:color w:val="000000"/>
          <w:lang w:eastAsia="en-GB"/>
        </w:rPr>
        <w:t>(Moher et al., 2009)</w:t>
      </w:r>
      <w:r w:rsidR="002C2432" w:rsidRPr="009B3747">
        <w:rPr>
          <w:rFonts w:eastAsia="Times New Roman" w:cstheme="minorHAnsi"/>
          <w:color w:val="000000"/>
          <w:lang w:eastAsia="en-GB"/>
        </w:rPr>
        <w:fldChar w:fldCharType="end"/>
      </w:r>
      <w:r w:rsidRPr="009B3747">
        <w:rPr>
          <w:rFonts w:eastAsia="Times New Roman" w:cstheme="minorHAnsi"/>
          <w:color w:val="000000"/>
          <w:lang w:eastAsia="en-GB"/>
        </w:rPr>
        <w:t>.</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2C2432" w:rsidRPr="009B3747" w:rsidRDefault="002C2432" w:rsidP="002C2432">
      <w:pPr>
        <w:rPr>
          <w:rFonts w:eastAsia="Times New Roman" w:cstheme="minorHAnsi"/>
          <w:sz w:val="24"/>
          <w:szCs w:val="24"/>
          <w:lang w:eastAsia="en-GB"/>
        </w:rPr>
      </w:pPr>
      <w:r w:rsidRPr="009B3747">
        <w:rPr>
          <w:rFonts w:eastAsia="Times New Roman" w:cstheme="minorHAnsi"/>
          <w:noProof/>
          <w:color w:val="000000"/>
          <w:lang w:eastAsia="en-GB"/>
        </w:rPr>
        <w:lastRenderedPageBreak/>
        <w:drawing>
          <wp:anchor distT="0" distB="0" distL="114300" distR="114300" simplePos="0" relativeHeight="251678720" behindDoc="1" locked="0" layoutInCell="1" allowOverlap="1">
            <wp:simplePos x="0" y="0"/>
            <wp:positionH relativeFrom="column">
              <wp:posOffset>-514350</wp:posOffset>
            </wp:positionH>
            <wp:positionV relativeFrom="paragraph">
              <wp:posOffset>285750</wp:posOffset>
            </wp:positionV>
            <wp:extent cx="6855460" cy="5172075"/>
            <wp:effectExtent l="19050" t="19050" r="21590" b="28575"/>
            <wp:wrapTight wrapText="bothSides">
              <wp:wrapPolygon edited="0">
                <wp:start x="-60" y="-80"/>
                <wp:lineTo x="-60" y="21640"/>
                <wp:lineTo x="21608" y="21640"/>
                <wp:lineTo x="21608" y="-80"/>
                <wp:lineTo x="-60" y="-80"/>
              </wp:wrapPolygon>
            </wp:wrapTight>
            <wp:docPr id="3" name="Picture 3" descr="https://lh6.googleusercontent.com/Aec3St0-l8yeTr1fr5-6G_zcfkKlOBmY4RinJnDAxmcv8Qz1fF8GUfh69-YE3rSHd9RaedXLX7K62x89nl5oPcG_KAbxe7n54pGYf2hJVVGA5KgfVarZCR-QZTZkrveppXyYP06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Aec3St0-l8yeTr1fr5-6G_zcfkKlOBmY4RinJnDAxmcv8Qz1fF8GUfh69-YE3rSHd9RaedXLX7K62x89nl5oPcG_KAbxe7n54pGYf2hJVVGA5KgfVarZCR-QZTZkrveppXyYP06v"/>
                    <pic:cNvPicPr>
                      <a:picLocks noChangeAspect="1" noChangeArrowheads="1"/>
                    </pic:cNvPicPr>
                  </pic:nvPicPr>
                  <pic:blipFill rotWithShape="1">
                    <a:blip r:embed="rId12">
                      <a:extLst>
                        <a:ext uri="{28A0092B-C50C-407E-A947-70E740481C1C}">
                          <a14:useLocalDpi xmlns:a14="http://schemas.microsoft.com/office/drawing/2010/main" val="0"/>
                        </a:ext>
                      </a:extLst>
                    </a:blip>
                    <a:srcRect l="12067" t="6457" r="11765" b="2394"/>
                    <a:stretch/>
                  </pic:blipFill>
                  <pic:spPr bwMode="auto">
                    <a:xfrm>
                      <a:off x="0" y="0"/>
                      <a:ext cx="6855460" cy="517207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1507" w:rsidRPr="009B3747">
        <w:rPr>
          <w:rFonts w:eastAsia="Times New Roman" w:cstheme="minorHAnsi"/>
          <w:sz w:val="24"/>
          <w:szCs w:val="24"/>
          <w:lang w:eastAsia="en-GB"/>
        </w:rPr>
        <w:t> </w:t>
      </w:r>
    </w:p>
    <w:p w:rsidR="002C2432" w:rsidRPr="009B3747" w:rsidRDefault="002C2432" w:rsidP="002C2432">
      <w:pPr>
        <w:rPr>
          <w:rFonts w:eastAsia="Times New Roman" w:cstheme="minorHAnsi"/>
          <w:sz w:val="20"/>
          <w:szCs w:val="20"/>
          <w:u w:val="single"/>
          <w:lang w:eastAsia="en-GB"/>
        </w:rPr>
      </w:pPr>
      <w:r w:rsidRPr="009B3747">
        <w:rPr>
          <w:rFonts w:eastAsia="Times New Roman" w:cstheme="minorHAnsi"/>
          <w:color w:val="000000"/>
          <w:sz w:val="20"/>
          <w:szCs w:val="20"/>
          <w:u w:val="single"/>
          <w:lang w:eastAsia="en-GB"/>
        </w:rPr>
        <w:t xml:space="preserve">Figure 2 - PRISMA diagram </w:t>
      </w:r>
      <w:r w:rsidRPr="009B3747">
        <w:rPr>
          <w:rFonts w:eastAsia="Times New Roman" w:cstheme="minorHAnsi"/>
          <w:color w:val="000000"/>
          <w:sz w:val="20"/>
          <w:szCs w:val="20"/>
          <w:u w:val="single"/>
          <w:lang w:eastAsia="en-GB"/>
        </w:rPr>
        <w:fldChar w:fldCharType="begin" w:fldLock="1"/>
      </w:r>
      <w:r w:rsidR="005108ED" w:rsidRPr="009B3747">
        <w:rPr>
          <w:rFonts w:eastAsia="Times New Roman" w:cstheme="minorHAnsi"/>
          <w:color w:val="000000"/>
          <w:sz w:val="20"/>
          <w:szCs w:val="20"/>
          <w:u w:val="single"/>
          <w:lang w:eastAsia="en-GB"/>
        </w:rPr>
        <w:instrText>ADDIN CSL_CITATION { "citationItems" : [ { "id" : "ITEM-1", "itemData" : { "DOI" : "10.1371/journal.pmed.1000097", "ISSN" : "1549-1676", "PMID" : "19621072", "author" : [ { "dropping-particle" : "", "family" : "Moher", "given" : "David", "non-dropping-particle" : "", "parse-names" : false, "suffix" : "" }, { "dropping-particle" : "", "family" : "Liberati", "given" : "Alessandro", "non-dropping-particle" : "", "parse-names" : false, "suffix" : "" }, { "dropping-particle" : "", "family" : "Tetzlaff", "given" : "Jennifer", "non-dropping-particle" : "", "parse-names" : false, "suffix" : "" }, { "dropping-particle" : "", "family" : "Altman", "given" : "Douglas G.", "non-dropping-particle" : "", "parse-names" : false, "suffix" : "" }, { "dropping-particle" : "", "family" : "PRISMA Group", "given" : "", "non-dropping-particle" : "", "parse-names" : false, "suffix" : "" } ], "container-title" : "PLoS Medicine", "id" : "ITEM-1", "issue" : "7", "issued" : { "date-parts" : [ [ "2009", "7", "21" ] ] }, "page" : "e1000097", "title" : "Preferred Reporting Items for Systematic Reviews and Meta-Analyses: The PRISMA Statement", "type" : "article-journal", "volume" : "6" }, "uris" : [ "http://www.mendeley.com/documents/?uuid=a3699821-8d17-3caf-a1ba-00c8985ea683" ] } ], "mendeley" : { "formattedCitation" : "(Moher et al., 2009)", "plainTextFormattedCitation" : "(Moher et al., 2009)", "previouslyFormattedCitation" : "(Moher et al., 2009)" }, "properties" : { "noteIndex" : 0 }, "schema" : "https://github.com/citation-style-language/schema/raw/master/csl-citation.json" }</w:instrText>
      </w:r>
      <w:r w:rsidRPr="009B3747">
        <w:rPr>
          <w:rFonts w:eastAsia="Times New Roman" w:cstheme="minorHAnsi"/>
          <w:color w:val="000000"/>
          <w:sz w:val="20"/>
          <w:szCs w:val="20"/>
          <w:u w:val="single"/>
          <w:lang w:eastAsia="en-GB"/>
        </w:rPr>
        <w:fldChar w:fldCharType="separate"/>
      </w:r>
      <w:r w:rsidRPr="009B3747">
        <w:rPr>
          <w:rFonts w:eastAsia="Times New Roman" w:cstheme="minorHAnsi"/>
          <w:noProof/>
          <w:color w:val="000000"/>
          <w:sz w:val="20"/>
          <w:szCs w:val="20"/>
          <w:u w:val="single"/>
          <w:lang w:eastAsia="en-GB"/>
        </w:rPr>
        <w:t>(Moher et al., 2009)</w:t>
      </w:r>
      <w:r w:rsidRPr="009B3747">
        <w:rPr>
          <w:rFonts w:eastAsia="Times New Roman" w:cstheme="minorHAnsi"/>
          <w:color w:val="000000"/>
          <w:sz w:val="20"/>
          <w:szCs w:val="20"/>
          <w:u w:val="single"/>
          <w:lang w:eastAsia="en-GB"/>
        </w:rPr>
        <w:fldChar w:fldCharType="end"/>
      </w:r>
      <w:r w:rsidRPr="009B3747">
        <w:rPr>
          <w:rFonts w:eastAsia="Times New Roman" w:cstheme="minorHAnsi"/>
          <w:color w:val="000000"/>
          <w:sz w:val="20"/>
          <w:szCs w:val="20"/>
          <w:u w:val="single"/>
          <w:lang w:eastAsia="en-GB"/>
        </w:rPr>
        <w:t xml:space="preserve"> of searching for and selecting studies</w:t>
      </w:r>
    </w:p>
    <w:p w:rsidR="00AD72F8" w:rsidRPr="009B3747" w:rsidRDefault="00AD72F8" w:rsidP="003F1507">
      <w:pPr>
        <w:rPr>
          <w:rFonts w:eastAsia="Times New Roman" w:cstheme="minorHAnsi"/>
          <w:sz w:val="24"/>
          <w:szCs w:val="24"/>
          <w:lang w:eastAsia="en-GB"/>
        </w:rPr>
      </w:pPr>
    </w:p>
    <w:p w:rsidR="003F1507" w:rsidRPr="009B3747" w:rsidRDefault="00983506" w:rsidP="003F1507">
      <w:pPr>
        <w:rPr>
          <w:rFonts w:eastAsia="Times New Roman" w:cstheme="minorHAnsi"/>
          <w:sz w:val="24"/>
          <w:szCs w:val="24"/>
          <w:lang w:eastAsia="en-GB"/>
        </w:rPr>
      </w:pPr>
      <w:r w:rsidRPr="009B3747">
        <w:rPr>
          <w:rFonts w:eastAsia="Times New Roman" w:cstheme="minorHAnsi"/>
          <w:color w:val="000000"/>
          <w:u w:val="single"/>
          <w:lang w:eastAsia="en-GB"/>
        </w:rPr>
        <w:t>3</w:t>
      </w:r>
      <w:r w:rsidR="00C967E9" w:rsidRPr="009B3747">
        <w:rPr>
          <w:rFonts w:eastAsia="Times New Roman" w:cstheme="minorHAnsi"/>
          <w:color w:val="000000"/>
          <w:u w:val="single"/>
          <w:lang w:eastAsia="en-GB"/>
        </w:rPr>
        <w:t>.4.2</w:t>
      </w:r>
      <w:r w:rsidR="003F1507" w:rsidRPr="009B3747">
        <w:rPr>
          <w:rFonts w:eastAsia="Times New Roman" w:cstheme="minorHAnsi"/>
          <w:color w:val="000000"/>
          <w:u w:val="single"/>
          <w:lang w:eastAsia="en-GB"/>
        </w:rPr>
        <w:t xml:space="preserve"> Characteristics of included studies</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Presented in table</w:t>
      </w:r>
      <w:r w:rsidR="00846B21" w:rsidRPr="009B3747">
        <w:rPr>
          <w:rFonts w:eastAsia="Times New Roman" w:cstheme="minorHAnsi"/>
          <w:color w:val="000000"/>
          <w:lang w:eastAsia="en-GB"/>
        </w:rPr>
        <w:t xml:space="preserve"> 3.4</w:t>
      </w:r>
      <w:r w:rsidRPr="009B3747">
        <w:rPr>
          <w:rFonts w:eastAsia="Times New Roman" w:cstheme="minorHAnsi"/>
          <w:color w:val="000000"/>
          <w:lang w:eastAsia="en-GB"/>
        </w:rPr>
        <w:t>, is a summary of the characteristics of the six empirical peer-reviewed studies included within this review.  The six articles selected were published between 2007 and 2015 and of the six, three were based in the UK</w:t>
      </w:r>
      <w:r w:rsidR="005108ED" w:rsidRPr="009B3747">
        <w:rPr>
          <w:rFonts w:eastAsia="Times New Roman" w:cstheme="minorHAnsi"/>
          <w:color w:val="000000"/>
          <w:lang w:eastAsia="en-GB"/>
        </w:rPr>
        <w:t xml:space="preserve"> </w:t>
      </w:r>
      <w:r w:rsidR="005108ED"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"DOI" : "10.1016/j.appet.2014.12.121", "ISSN" : "01956663", "author" : [ { "dropping-particle" : "", "family" : "Clarke", "given" : "J.", "non-dropping-particle" : "", "parse-names" : false, "suffix" : "" }, { "dropping-particle" : "", "family" : "Lancashire", "given" : "E.", "non-dropping-particle" : "", "parse-names" : false, "suffix" : "" }, { "dropping-particle" : "", "family" : "Pallan", "given" : "M.", "non-dropping-particle" : "", "parse-names" : false, "suffix" : "" }, { "dropping-particle" : "", "family" : "Adab", "given" : "P.", "non-dropping-particle" : "", "parse-names" : false, "suffix" : "" } ], "container-title" : "Appetite", "id" : "ITEM-1", "issued" : { "date-parts" : [ [ "2015", "4" ] ] }, "page" : "377", "title" : "Headteacher perspectives on the role of the primary school in preventing childhood obesity", "type" : "article-journal", "volume" : "87" }, "uris" : [ "http://www.mendeley.com/documents/?uuid=ac79f162-74f2-49d2-a629-f4abdfb486ea" ] }, { "id" : "ITEM-2", "itemData" : { "author" : [ { "dropping-particle" : "", "family" : "Howard-Drake", "given" : "EJ", "non-dropping-particle" : "", "parse-names" : false, "suffix" : "" }, { "dropping-particle" : "", "family" : "Halliday", "given" : "V", "non-dropping-particle" : "", "parse-names" : false, "suffix" : "" } ], "container-title" : "Journal of Public Health", "id" : "ITEM-2", "issue" : "1", "issued" : { "date-parts" : [ [ "2015" ] ] }, "page" : "44-52", "title" : "Exploring primary school headteachers' perspectives on the barriers and facilitators of preventing childhood obesity", "type" : "article-journal", "volume" : "38" }, "uris" : [ "http://www.mendeley.com/documents/?uuid=5809992c-2717-4e23-9b1e-b80b2a030870" ] }, { "id" : "ITEM-3", "itemData" : { "author" : [ { "dropping-particle" : "", "family" : "Todd", "given" : "C", "non-dropping-particle" : "", "parse-names" : false, "suffix" : "" }, { "dropping-particle" : "", "family" : "Christian", "given" : "D", "non-dropping-particle" : "", "parse-names" : false, "suffix" : "" }, { "dropping-particle" : "", "family" : "Davies", "given" : "H", "non-dropping-particle" : "", "parse-names" : false, "suffix" : "" } ], "container-title" : "BMC research \u2026", "id" : "ITEM-3", "issue" : "1", "issued" : { "date-parts" : [ [ "2015" ] ] }, "page" : "161", "title" : "Headteachers' prior beliefs on child health and their engagement in school based health interventions: a qualitative study", "type" : "article-journal", "volume" : "8" }, "uris" : [ "http://www.mendeley.com/documents/?uuid=9a740b7c-28ec-4b9a-99a5-b768fe7c3a4e" ] } ], "mendeley" : { "formattedCitation" : "(Clarke et al., 2015; Howard-Drake and Halliday, 2015; Todd et al., 2015)", "manualFormatting" : "(Clarke et al., 2015; Howard-Drake and Halliday, 2015; Todd et al., 2015)", "plainTextFormattedCitation" : "(Clarke et al., 2015; Howard-Drake and Halliday, 2015; Todd et al., 2015)", "previouslyFormattedCitation" : "(Clarke et al., 2015; Howard-Drake and Halliday, 2015; Todd et al., 2015)" }, "properties" : { "noteIndex" : 0 }, "schema" : "https://github.com/citation-style-language/schema/raw/master/csl-citation.json" }</w:instrText>
      </w:r>
      <w:r w:rsidR="005108ED" w:rsidRPr="009B3747">
        <w:rPr>
          <w:rFonts w:eastAsia="Times New Roman" w:cstheme="minorHAnsi"/>
          <w:color w:val="000000"/>
          <w:lang w:eastAsia="en-GB"/>
        </w:rPr>
        <w:fldChar w:fldCharType="separate"/>
      </w:r>
      <w:r w:rsidR="005108ED" w:rsidRPr="009B3747">
        <w:rPr>
          <w:rFonts w:eastAsia="Times New Roman" w:cstheme="minorHAnsi"/>
          <w:noProof/>
          <w:color w:val="000000"/>
          <w:lang w:eastAsia="en-GB"/>
        </w:rPr>
        <w:t>(Clarke et al., 2015; Howard-Drake and Halliday, 2015; Todd et al., 2015)</w:t>
      </w:r>
      <w:r w:rsidR="005108ED" w:rsidRPr="009B3747">
        <w:rPr>
          <w:rFonts w:eastAsia="Times New Roman" w:cstheme="minorHAnsi"/>
          <w:color w:val="000000"/>
          <w:lang w:eastAsia="en-GB"/>
        </w:rPr>
        <w:fldChar w:fldCharType="end"/>
      </w:r>
      <w:r w:rsidRPr="009B3747">
        <w:rPr>
          <w:rFonts w:eastAsia="Times New Roman" w:cstheme="minorHAnsi"/>
          <w:color w:val="000000"/>
          <w:lang w:eastAsia="en-GB"/>
        </w:rPr>
        <w:t>, two within the USA</w:t>
      </w:r>
      <w:r w:rsidR="005108ED" w:rsidRPr="009B3747">
        <w:rPr>
          <w:rFonts w:eastAsia="Times New Roman" w:cstheme="minorHAnsi"/>
          <w:color w:val="000000"/>
          <w:lang w:eastAsia="en-GB"/>
        </w:rPr>
        <w:t xml:space="preserve"> </w:t>
      </w:r>
      <w:r w:rsidR="005108ED"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"Nollen", "given" : "NL", "non-dropping-particle" : "", "parse-names" : false, "suffix" : "" }, { "dropping-particle" : "", "family" : "Befort", "given" : "CA", "non-dropping-particle" : "", "parse-names" : false, "suffix" : "" }, { "dropping-particle" : "", "family" : "Snow", "given" : "P", "non-dropping-particle" : "", "parse-names" : false, "suffix" : "" } ], "container-title" : "\u2026 and Physical Activity", "id" : "ITEM-1", "issue" : "1", "issued" : { "date-parts" : [ [ "2007" ] ] }, "page" : "18", "title" : "The school food environment and adolescent obesity: qualitative insights from high school principals and food service personnel", "type" : "article-journal", "volume" : "4" }, "uris" : [ "http://www.mendeley.com/documents/?uuid=ecb43609-8e4b-4c3d-aeb3-462b0e9fd641" ] }, { "id" : "ITEM-2", "itemData" : { "author" : [ { "dropping-particle" : "", "family" : "Tripp", "given" : "PJ", "non-dropping-particle" : "", "parse-names" : false, "suffix" : "" }, { "dropping-particle" : "", "family" : "Choi", "given" : "JY", "non-dropping-particle" : "", "parse-names" : false, "suffix" : "" } ], "container-title" : "Journal of Family &amp; Consumer Sciences", "id" : "ITEM-2", "issue" : "4", "issued" : { "date-parts" : [ [ "2014" ] ] }, "page" : "33-39", "title" : "Perceptions of Childhood Obesity Among Rural Parents, Teachers, and School Administrators", "type" : "article-journal", "volume" : "106" }, "uris" : [ "http://www.mendeley.com/documents/?uuid=2246024a-fa0a-45b4-96c6-dae9939771a8" ] } ], "mendeley" : { "formattedCitation" : "(Nollen et al., 2007; Tripp and Choi, 2014)", "plainTextFormattedCitation" : "(Nollen et al., 2007; Tripp and Choi, 2014)", "previouslyFormattedCitation" : "(Nollen et al., 2007; Tripp and Choi, 2014)" }, "properties" : { "noteIndex" : 0 }, "schema" : "https://github.com/citation-style-language/schema/raw/master/csl-citation.json" }</w:instrText>
      </w:r>
      <w:r w:rsidR="005108ED" w:rsidRPr="009B3747">
        <w:rPr>
          <w:rFonts w:eastAsia="Times New Roman" w:cstheme="minorHAnsi"/>
          <w:color w:val="000000"/>
          <w:lang w:eastAsia="en-GB"/>
        </w:rPr>
        <w:fldChar w:fldCharType="separate"/>
      </w:r>
      <w:r w:rsidR="005108ED" w:rsidRPr="009B3747">
        <w:rPr>
          <w:rFonts w:eastAsia="Times New Roman" w:cstheme="minorHAnsi"/>
          <w:noProof/>
          <w:color w:val="000000"/>
          <w:lang w:eastAsia="en-GB"/>
        </w:rPr>
        <w:t>(Nollen et al., 2007; Tripp and Choi, 2014)</w:t>
      </w:r>
      <w:r w:rsidR="005108ED" w:rsidRPr="009B3747">
        <w:rPr>
          <w:rFonts w:eastAsia="Times New Roman" w:cstheme="minorHAnsi"/>
          <w:color w:val="000000"/>
          <w:lang w:eastAsia="en-GB"/>
        </w:rPr>
        <w:fldChar w:fldCharType="end"/>
      </w:r>
      <w:r w:rsidR="005108ED"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and one in Botswana </w:t>
      </w:r>
      <w:r w:rsidR="005108ED" w:rsidRPr="009B3747">
        <w:rPr>
          <w:rFonts w:eastAsia="Times New Roman" w:cstheme="minorHAnsi"/>
          <w:color w:val="000000"/>
          <w:lang w:eastAsia="en-GB"/>
        </w:rPr>
        <w:fldChar w:fldCharType="begin" w:fldLock="1"/>
      </w:r>
      <w:r w:rsidR="005108ED" w:rsidRPr="009B3747">
        <w:rPr>
          <w:rFonts w:eastAsia="Times New Roman" w:cstheme="minorHAnsi"/>
          <w:color w:val="000000"/>
          <w:lang w:eastAsia="en-GB"/>
        </w:rPr>
        <w:instrText>ADDIN CSL_CITATION { "citationItems" : [ { "id" : "ITEM-1", "itemData" : { "DOI" : "10.1177/1059840511429003", "ISSN" : "1059-8405", "author" : [ { "dropping-particle" : "", "family" : "Shaibu", "given" : "Sheila", "non-dropping-particle" : "", "parse-names" : false, "suffix" : "" }, { "dropping-particle" : "", "family" : "Holsten", "given" : "Joanna E.", "non-dropping-particle" : "", "parse-names" : false, "suffix" : "" }, { "dropping-particle" : "", "family" : "Stettler", "given" : "Nicolas", "non-dropping-particle" : "", "parse-names" : false, "suffix" : "" }, { "dropping-particle" : "", "family" : "Maruapula", "given" : "Segametsi D.", "non-dropping-particle" : "", "parse-names" : false, "suffix" : "" }, { "dropping-particle" : "", "family" : "Jackson", "given" : "Jose C.", "non-dropping-particle" : "", "parse-names" : false, "suffix" : "" }, { "dropping-particle" : "", "family" : "Malete", "given" : "Leapetswe", "non-dropping-particle" : "", "parse-names" : false, "suffix" : "" }, { "dropping-particle" : "", "family" : "Mokone", "given" : "George", "non-dropping-particle" : "", "parse-names" : false, "suffix" : "" }, { "dropping-particle" : "", "family" : "Wrotniak", "given" : "Brian H.", "non-dropping-particle" : "", "parse-names" : false, "suffix" : "" }, { "dropping-particle" : "", "family" : "Compher", "given" : "Charlene W.", "non-dropping-particle" : "", "parse-names" : false, "suffix" : "" } ], "container-title" : "The Journal of School Nursing", "id" : "ITEM-1", "issue" : "3", "issued" : { "date-parts" : [ [ "2012", "6" ] ] }, "page" : "220-229", "title" : "Adolescent Obesity Prevention in Botswana", "type" : "article-journal", "volume" : "28" }, "uris" : [ "http://www.mendeley.com/documents/?uuid=c06e4e06-bdd2-3421-b846-4c6d0a19f232" ] } ], "mendeley" : { "formattedCitation" : "(Shaibu et al., 2012)", "plainTextFormattedCitation" : "(Shaibu et al., 2012)", "previouslyFormattedCitation" : "(Shaibu et al., 2012)" }, "properties" : { "noteIndex" : 0 }, "schema" : "https://github.com/citation-style-language/schema/raw/master/csl-citation.json" }</w:instrText>
      </w:r>
      <w:r w:rsidR="005108ED" w:rsidRPr="009B3747">
        <w:rPr>
          <w:rFonts w:eastAsia="Times New Roman" w:cstheme="minorHAnsi"/>
          <w:color w:val="000000"/>
          <w:lang w:eastAsia="en-GB"/>
        </w:rPr>
        <w:fldChar w:fldCharType="separate"/>
      </w:r>
      <w:r w:rsidR="005108ED" w:rsidRPr="009B3747">
        <w:rPr>
          <w:rFonts w:eastAsia="Times New Roman" w:cstheme="minorHAnsi"/>
          <w:noProof/>
          <w:color w:val="000000"/>
          <w:lang w:eastAsia="en-GB"/>
        </w:rPr>
        <w:t>(Shaibu et al., 2012)</w:t>
      </w:r>
      <w:r w:rsidR="005108ED" w:rsidRPr="009B3747">
        <w:rPr>
          <w:rFonts w:eastAsia="Times New Roman" w:cstheme="minorHAnsi"/>
          <w:color w:val="000000"/>
          <w:lang w:eastAsia="en-GB"/>
        </w:rPr>
        <w:fldChar w:fldCharType="end"/>
      </w:r>
      <w:r w:rsidRPr="009B3747">
        <w:rPr>
          <w:rFonts w:eastAsia="Times New Roman" w:cstheme="minorHAnsi"/>
          <w:color w:val="000000"/>
          <w:lang w:eastAsia="en-GB"/>
        </w:rPr>
        <w:t>.  Half of the studies were bas</w:t>
      </w:r>
      <w:r w:rsidR="005108ED" w:rsidRPr="009B3747">
        <w:rPr>
          <w:rFonts w:eastAsia="Times New Roman" w:cstheme="minorHAnsi"/>
          <w:color w:val="000000"/>
          <w:lang w:eastAsia="en-GB"/>
        </w:rPr>
        <w:t xml:space="preserve">ed in a primary school context </w:t>
      </w:r>
      <w:r w:rsidR="005108ED"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"DOI" : "10.1016/j.appet.2014.12.121", "ISSN" : "01956663", "author" : [ { "dropping-particle" : "", "family" : "Clarke", "given" : "J.", "non-dropping-particle" : "", "parse-names" : false, "suffix" : "" }, { "dropping-particle" : "", "family" : "Lancashire", "given" : "E.", "non-dropping-particle" : "", "parse-names" : false, "suffix" : "" }, { "dropping-particle" : "", "family" : "Pallan", "given" : "M.", "non-dropping-particle" : "", "parse-names" : false, "suffix" : "" }, { "dropping-particle" : "", "family" : "Adab", "given" : "P.", "non-dropping-particle" : "", "parse-names" : false, "suffix" : "" } ], "container-title" : "Appetite", "id" : "ITEM-1", "issued" : { "date-parts" : [ [ "2015", "4" ] ] }, "page" : "377", "title" : "Headteacher perspectives on the role of the primary school in preventing childhood obesity", "type" : "article-journal", "volume" : "87" }, "uris" : [ "http://www.mendeley.com/documents/?uuid=ac79f162-74f2-49d2-a629-f4abdfb486ea" ] }, { "id" : "ITEM-2", "itemData" : { "author" : [ { "dropping-particle" : "", "family" : "Howard-Drake", "given" : "EJ", "non-dropping-particle" : "", "parse-names" : false, "suffix" : "" }, { "dropping-particle" : "", "family" : "Halliday", "given" : "V", "non-dropping-particle" : "", "parse-names" : false, "suffix" : "" } ], "container-title" : "Journal of Public Health", "id" : "ITEM-2", "issue" : "1", "issued" : { "date-parts" : [ [ "2015" ] ] }, "page" : "44-52", "title" : "Exploring primary school headteachers' perspectives on the barriers and facilitators of preventing childhood obesity", "type" : "article-journal", "volume" : "38" }, "uris" : [ "http://www.mendeley.com/documents/?uuid=5809992c-2717-4e23-9b1e-b80b2a030870" ] }, { "id" : "ITEM-3", "itemData" : { "author" : [ { "dropping-particle" : "", "family" : "Todd", "given" : "C", "non-dropping-particle" : "", "parse-names" : false, "suffix" : "" }, { "dropping-particle" : "", "family" : "Christian", "given" : "D", "non-dropping-particle" : "", "parse-names" : false, "suffix" : "" }, { "dropping-particle" : "", "family" : "Davies", "given" : "H", "non-dropping-particle" : "", "parse-names" : false, "suffix" : "" } ], "container-title" : "BMC research \u2026", "id" : "ITEM-3", "issue" : "1", "issued" : { "date-parts" : [ [ "2015" ] ] }, "page" : "161", "title" : "Headteachers' prior beliefs on child health and their engagement in school based health interventions: a qualitative study", "type" : "article-journal", "volume" : "8" }, "uris" : [ "http://www.mendeley.com/documents/?uuid=9a740b7c-28ec-4b9a-99a5-b768fe7c3a4e" ] } ], "mendeley" : { "formattedCitation" : "(Clarke et al., 2015; Howard-Drake and Halliday, 2015; Todd et al., 2015)", "manualFormatting" : "(Clarke et al., 2015; Howard-Drake and Halliday, 2015; Todd et al., 2015)", "plainTextFormattedCitation" : "(Clarke et al., 2015; Howard-Drake and Halliday, 2015; Todd et al., 2015)", "previouslyFormattedCitation" : "(Clarke et al., 2015; Howard-Drake and Halliday, 2015; Todd et al., 2015)" }, "properties" : { "noteIndex" : 0 }, "schema" : "https://github.com/citation-style-language/schema/raw/master/csl-citation.json" }</w:instrText>
      </w:r>
      <w:r w:rsidR="005108ED" w:rsidRPr="009B3747">
        <w:rPr>
          <w:rFonts w:eastAsia="Times New Roman" w:cstheme="minorHAnsi"/>
          <w:color w:val="000000"/>
          <w:lang w:eastAsia="en-GB"/>
        </w:rPr>
        <w:fldChar w:fldCharType="separate"/>
      </w:r>
      <w:r w:rsidR="005108ED" w:rsidRPr="009B3747">
        <w:rPr>
          <w:rFonts w:eastAsia="Times New Roman" w:cstheme="minorHAnsi"/>
          <w:noProof/>
          <w:color w:val="000000"/>
          <w:lang w:eastAsia="en-GB"/>
        </w:rPr>
        <w:t>(Clarke et al., 2015; Howard-Drake and Halliday, 2015; Todd et al., 2015)</w:t>
      </w:r>
      <w:r w:rsidR="005108ED" w:rsidRPr="009B3747">
        <w:rPr>
          <w:rFonts w:eastAsia="Times New Roman" w:cstheme="minorHAnsi"/>
          <w:color w:val="000000"/>
          <w:lang w:eastAsia="en-GB"/>
        </w:rPr>
        <w:fldChar w:fldCharType="end"/>
      </w:r>
      <w:r w:rsidR="005108ED" w:rsidRPr="009B3747">
        <w:rPr>
          <w:rFonts w:eastAsia="Times New Roman" w:cstheme="minorHAnsi"/>
          <w:color w:val="000000"/>
          <w:lang w:eastAsia="en-GB"/>
        </w:rPr>
        <w:t xml:space="preserve"> </w:t>
      </w:r>
      <w:r w:rsidRPr="009B3747">
        <w:rPr>
          <w:rFonts w:eastAsia="Times New Roman" w:cstheme="minorHAnsi"/>
          <w:color w:val="000000"/>
          <w:lang w:eastAsia="en-GB"/>
        </w:rPr>
        <w:t>, tw</w:t>
      </w:r>
      <w:r w:rsidR="005108ED" w:rsidRPr="009B3747">
        <w:rPr>
          <w:rFonts w:eastAsia="Times New Roman" w:cstheme="minorHAnsi"/>
          <w:color w:val="000000"/>
          <w:lang w:eastAsia="en-GB"/>
        </w:rPr>
        <w:t xml:space="preserve">o in a secondary school context </w:t>
      </w:r>
      <w:r w:rsidR="005108ED"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"Nollen", "given" : "NL", "non-dropping-particle" : "", "parse-names" : false, "suffix" : "" }, { "dropping-particle" : "", "family" : "Befort", "given" : "CA", "non-dropping-particle" : "", "parse-names" : false, "suffix" : "" }, { "dropping-particle" : "", "family" : "Snow", "given" : "P", "non-dropping-particle" : "", "parse-names" : false, "suffix" : "" } ], "container-title" : "\u2026 and Physical Activity", "id" : "ITEM-1", "issue" : "1", "issued" : { "date-parts" : [ [ "2007" ] ] }, "page" : "18", "title" : "The school food environment and adolescent obesity: qualitative insights from high school principals and food service personnel", "type" : "article-journal", "volume" : "4" }, "uris" : [ "http://www.mendeley.com/documents/?uuid=ecb43609-8e4b-4c3d-aeb3-462b0e9fd641" ] }, { "id" : "ITEM-2", "itemData" : { "DOI" : "10.1177/1059840511429003", "ISSN" : "1059-8405", "author" : [ { "dropping-particle" : "", "family" : "Shaibu", "given" : "Sheila", "non-dropping-particle" : "", "parse-names" : false, "suffix" : "" }, { "dropping-particle" : "", "family" : "Holsten", "given" : "Joanna E.", "non-dropping-particle" : "", "parse-names" : false, "suffix" : "" }, { "dropping-particle" : "", "family" : "Stettler", "given" : "Nicolas", "non-dropping-particle" : "", "parse-names" : false, "suffix" : "" }, { "dropping-particle" : "", "family" : "Maruapula", "given" : "Segametsi D.", "non-dropping-particle" : "", "parse-names" : false, "suffix" : "" }, { "dropping-particle" : "", "family" : "Jackson", "given" : "Jose C.", "non-dropping-particle" : "", "parse-names" : false, "suffix" : "" }, { "dropping-particle" : "", "family" : "Malete", "given" : "Leapetswe", "non-dropping-particle" : "", "parse-names" : false, "suffix" : "" }, { "dropping-particle" : "", "family" : "Mokone", "given" : "George", "non-dropping-particle" : "", "parse-names" : false, "suffix" : "" }, { "dropping-particle" : "", "family" : "Wrotniak", "given" : "Brian H.", "non-dropping-particle" : "", "parse-names" : false, "suffix" : "" }, { "dropping-particle" : "", "family" : "Compher", "given" : "Charlene W.", "non-dropping-particle" : "", "parse-names" : false, "suffix" : "" } ], "container-title" : "The Journal of School Nursing", "id" : "ITEM-2", "issue" : "3", "issued" : { "date-parts" : [ [ "2012", "6" ] ] }, "page" : "220-229", "title" : "Adolescent Obesity Prevention in Botswana", "type" : "article-journal", "volume" : "28" }, "uris" : [ "http://www.mendeley.com/documents/?uuid=c06e4e06-bdd2-3421-b846-4c6d0a19f232" ] } ], "mendeley" : { "formattedCitation" : "(Nollen et al., 2007; Shaibu et al., 2012)", "plainTextFormattedCitation" : "(Nollen et al., 2007; Shaibu et al., 2012)", "previouslyFormattedCitation" : "(Nollen et al., 2007; Shaibu et al., 2012)" }, "properties" : { "noteIndex" : 0 }, "schema" : "https://github.com/citation-style-language/schema/raw/master/csl-citation.json" }</w:instrText>
      </w:r>
      <w:r w:rsidR="005108ED" w:rsidRPr="009B3747">
        <w:rPr>
          <w:rFonts w:eastAsia="Times New Roman" w:cstheme="minorHAnsi"/>
          <w:color w:val="000000"/>
          <w:lang w:eastAsia="en-GB"/>
        </w:rPr>
        <w:fldChar w:fldCharType="separate"/>
      </w:r>
      <w:r w:rsidR="005108ED" w:rsidRPr="009B3747">
        <w:rPr>
          <w:rFonts w:eastAsia="Times New Roman" w:cstheme="minorHAnsi"/>
          <w:noProof/>
          <w:color w:val="000000"/>
          <w:lang w:eastAsia="en-GB"/>
        </w:rPr>
        <w:t>(Nollen et al., 2007; Shaibu et al., 2012)</w:t>
      </w:r>
      <w:r w:rsidR="005108ED" w:rsidRPr="009B3747">
        <w:rPr>
          <w:rFonts w:eastAsia="Times New Roman" w:cstheme="minorHAnsi"/>
          <w:color w:val="000000"/>
          <w:lang w:eastAsia="en-GB"/>
        </w:rPr>
        <w:fldChar w:fldCharType="end"/>
      </w:r>
      <w:r w:rsidR="005108ED"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and one study representing </w:t>
      </w:r>
      <w:r w:rsidR="005108ED" w:rsidRPr="009B3747">
        <w:rPr>
          <w:rFonts w:eastAsia="Times New Roman" w:cstheme="minorHAnsi"/>
          <w:color w:val="000000"/>
          <w:lang w:eastAsia="en-GB"/>
        </w:rPr>
        <w:t xml:space="preserve">settings from </w:t>
      </w:r>
      <w:r w:rsidRPr="009B3747">
        <w:rPr>
          <w:rFonts w:eastAsia="Times New Roman" w:cstheme="minorHAnsi"/>
          <w:color w:val="000000"/>
          <w:lang w:eastAsia="en-GB"/>
        </w:rPr>
        <w:t>each education</w:t>
      </w:r>
      <w:r w:rsidR="005108ED" w:rsidRPr="009B3747">
        <w:rPr>
          <w:rFonts w:eastAsia="Times New Roman" w:cstheme="minorHAnsi"/>
          <w:color w:val="000000"/>
          <w:lang w:eastAsia="en-GB"/>
        </w:rPr>
        <w:t>al</w:t>
      </w:r>
      <w:r w:rsidRPr="009B3747">
        <w:rPr>
          <w:rFonts w:eastAsia="Times New Roman" w:cstheme="minorHAnsi"/>
          <w:color w:val="000000"/>
          <w:lang w:eastAsia="en-GB"/>
        </w:rPr>
        <w:t xml:space="preserve"> level </w:t>
      </w:r>
      <w:r w:rsidR="005108ED" w:rsidRPr="009B3747">
        <w:rPr>
          <w:rFonts w:eastAsia="Times New Roman" w:cstheme="minorHAnsi"/>
          <w:color w:val="000000"/>
          <w:lang w:eastAsia="en-GB"/>
        </w:rPr>
        <w:t>(</w:t>
      </w:r>
      <w:r w:rsidR="005108ED"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"Tripp", "given" : "PJ", "non-dropping-particle" : "", "parse-names" : false, "suffix" : "" }, { "dropping-particle" : "", "family" : "Choi", "given" : "JY", "non-dropping-particle" : "", "parse-names" : false, "suffix" : "" } ], "container-title" : "Journal of Family &amp; Consumer Sciences", "id" : "ITEM-1", "issue" : "4", "issued" : { "date-parts" : [ [ "2014" ] ] }, "page" : "33-39", "title" : "Perceptions of Childhood Obesity Among Rural Parents, Teachers, and School Administrators", "type" : "article-journal", "volume" : "106" }, "uris" : [ "http://www.mendeley.com/documents/?uuid=2246024a-fa0a-45b4-96c6-dae9939771a8" ] } ], "mendeley" : { "formattedCitation" : "(Tripp and Choi, 2014)", "manualFormatting" : "Tripp and Choi, 2014)", "plainTextFormattedCitation" : "(Tripp and Choi, 2014)", "previouslyFormattedCitation" : "(Tripp and Choi, 2014)" }, "properties" : { "noteIndex" : 0 }, "schema" : "https://github.com/citation-style-language/schema/raw/master/csl-citation.json" }</w:instrText>
      </w:r>
      <w:r w:rsidR="005108ED" w:rsidRPr="009B3747">
        <w:rPr>
          <w:rFonts w:eastAsia="Times New Roman" w:cstheme="minorHAnsi"/>
          <w:color w:val="000000"/>
          <w:lang w:eastAsia="en-GB"/>
        </w:rPr>
        <w:fldChar w:fldCharType="separate"/>
      </w:r>
      <w:r w:rsidR="005108ED" w:rsidRPr="009B3747">
        <w:rPr>
          <w:rFonts w:eastAsia="Times New Roman" w:cstheme="minorHAnsi"/>
          <w:noProof/>
          <w:color w:val="000000"/>
          <w:lang w:eastAsia="en-GB"/>
        </w:rPr>
        <w:t>Tripp and Choi, 2014)</w:t>
      </w:r>
      <w:r w:rsidR="005108ED" w:rsidRPr="009B3747">
        <w:rPr>
          <w:rFonts w:eastAsia="Times New Roman" w:cstheme="minorHAnsi"/>
          <w:color w:val="000000"/>
          <w:lang w:eastAsia="en-GB"/>
        </w:rPr>
        <w:fldChar w:fldCharType="end"/>
      </w:r>
      <w:r w:rsidRPr="009B3747">
        <w:rPr>
          <w:rFonts w:eastAsia="Times New Roman" w:cstheme="minorHAnsi"/>
          <w:color w:val="000000"/>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AD72F8" w:rsidRPr="009B3747" w:rsidRDefault="003F1507" w:rsidP="003F1507">
      <w:pPr>
        <w:rPr>
          <w:rFonts w:eastAsia="Times New Roman" w:cstheme="minorHAnsi"/>
          <w:color w:val="000000"/>
          <w:lang w:eastAsia="en-GB"/>
        </w:rPr>
      </w:pPr>
      <w:r w:rsidRPr="009B3747">
        <w:rPr>
          <w:rFonts w:eastAsia="Times New Roman" w:cstheme="minorHAnsi"/>
          <w:color w:val="000000"/>
          <w:lang w:eastAsia="en-GB"/>
        </w:rPr>
        <w:lastRenderedPageBreak/>
        <w:t>Out of the six included studies, five explicitly referenced the word ‘obesity’ within their article title.  The remaining study</w:t>
      </w:r>
      <w:r w:rsidR="005108ED" w:rsidRPr="009B3747">
        <w:rPr>
          <w:rFonts w:eastAsia="Times New Roman" w:cstheme="minorHAnsi"/>
          <w:color w:val="000000"/>
          <w:lang w:eastAsia="en-GB"/>
        </w:rPr>
        <w:t xml:space="preserve"> </w:t>
      </w:r>
      <w:r w:rsidR="005108ED"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"Todd", "given" : "C", "non-dropping-particle" : "", "parse-names" : false, "suffix" : "" }, { "dropping-particle" : "", "family" : "Christian", "given" : "D", "non-dropping-particle" : "", "parse-names" : false, "suffix" : "" }, { "dropping-particle" : "", "family" : "Davies", "given" : "H", "non-dropping-particle" : "", "parse-names" : false, "suffix" : "" } ], "container-title" : "BMC research \u2026", "id" : "ITEM-1", "issue" : "1", "issued" : { "date-parts" : [ [ "2015" ] ] }, "page" : "161", "title" : "Headteachers' prior beliefs on child health and their engagement in school based health interventions: a qualitative study", "type" : "article-journal", "volume" : "8" }, "uris" : [ "http://www.mendeley.com/documents/?uuid=9a740b7c-28ec-4b9a-99a5-b768fe7c3a4e" ] } ], "mendeley" : { "formattedCitation" : "(Todd et al., 2015)", "plainTextFormattedCitation" : "(Todd et al., 2015)", "previouslyFormattedCitation" : "(Todd et al., 2015)" }, "properties" : { "noteIndex" : 0 }, "schema" : "https://github.com/citation-style-language/schema/raw/master/csl-citation.json" }</w:instrText>
      </w:r>
      <w:r w:rsidR="005108ED" w:rsidRPr="009B3747">
        <w:rPr>
          <w:rFonts w:eastAsia="Times New Roman" w:cstheme="minorHAnsi"/>
          <w:color w:val="000000"/>
          <w:lang w:eastAsia="en-GB"/>
        </w:rPr>
        <w:fldChar w:fldCharType="separate"/>
      </w:r>
      <w:r w:rsidR="005108ED" w:rsidRPr="009B3747">
        <w:rPr>
          <w:rFonts w:eastAsia="Times New Roman" w:cstheme="minorHAnsi"/>
          <w:noProof/>
          <w:color w:val="000000"/>
          <w:lang w:eastAsia="en-GB"/>
        </w:rPr>
        <w:t>(Todd et al., 2015)</w:t>
      </w:r>
      <w:r w:rsidR="005108ED" w:rsidRPr="009B3747">
        <w:rPr>
          <w:rFonts w:eastAsia="Times New Roman" w:cstheme="minorHAnsi"/>
          <w:color w:val="000000"/>
          <w:lang w:eastAsia="en-GB"/>
        </w:rPr>
        <w:fldChar w:fldCharType="end"/>
      </w:r>
      <w:r w:rsidR="005108ED" w:rsidRPr="009B3747">
        <w:rPr>
          <w:rFonts w:eastAsia="Times New Roman" w:cstheme="minorHAnsi"/>
          <w:color w:val="000000"/>
          <w:lang w:eastAsia="en-GB"/>
        </w:rPr>
        <w:t xml:space="preserve"> </w:t>
      </w:r>
      <w:r w:rsidRPr="009B3747">
        <w:rPr>
          <w:rFonts w:eastAsia="Times New Roman" w:cstheme="minorHAnsi"/>
          <w:color w:val="000000"/>
          <w:lang w:eastAsia="en-GB"/>
        </w:rPr>
        <w:t>whilst exploring headteachers</w:t>
      </w:r>
      <w:r w:rsidR="005108ED" w:rsidRPr="009B3747">
        <w:rPr>
          <w:rFonts w:eastAsia="Times New Roman" w:cstheme="minorHAnsi"/>
          <w:color w:val="000000"/>
          <w:lang w:eastAsia="en-GB"/>
        </w:rPr>
        <w:t>’</w:t>
      </w:r>
      <w:r w:rsidRPr="009B3747">
        <w:rPr>
          <w:rFonts w:eastAsia="Times New Roman" w:cstheme="minorHAnsi"/>
          <w:color w:val="000000"/>
          <w:lang w:eastAsia="en-GB"/>
        </w:rPr>
        <w:t xml:space="preserve"> perspectives on childhood obesity within the article, referred only to ‘child health’ in their title. Aside from one study </w:t>
      </w:r>
      <w:r w:rsidR="005108ED" w:rsidRPr="009B3747">
        <w:rPr>
          <w:rFonts w:eastAsia="Times New Roman" w:cstheme="minorHAnsi"/>
          <w:color w:val="000000"/>
          <w:lang w:eastAsia="en-GB"/>
        </w:rPr>
        <w:fldChar w:fldCharType="begin" w:fldLock="1"/>
      </w:r>
      <w:r w:rsidR="00A84723" w:rsidRPr="009B3747">
        <w:rPr>
          <w:rFonts w:eastAsia="Times New Roman" w:cstheme="minorHAnsi"/>
          <w:color w:val="000000"/>
          <w:lang w:eastAsia="en-GB"/>
        </w:rPr>
        <w:instrText>ADDIN CSL_CITATION { "citationItems" : [ { "id" : "ITEM-1", "itemData" : { "author" : [ { "dropping-particle" : "", "family" : "Howard-Drake", "given" : "EJ", "non-dropping-particle" : "", "parse-names" : false, "suffix" : "" }, { "dropping-particle" : "", "family" : "Halliday", "given" : "V", "non-dropping-particle" : "", "parse-names" : false, "suffix" : "" } ], "container-title" : "Journal of Public Health", "id" : "ITEM-1", "issue" : "1", "issued" : { "date-parts" : [ [ "2015" ] ] }, "page" : "44-52", "title" : "Exploring primary school headteachers' perspectives on the barriers and facilitators of preventing childhood obesity", "type" : "article-journal", "volume" : "38" }, "uris" : [ "http://www.mendeley.com/documents/?uuid=5809992c-2717-4e23-9b1e-b80b2a030870" ] } ], "mendeley" : { "formattedCitation" : "(Howard-Drake and Halliday, 2015)", "manualFormatting" : "(Howard-Drake and Halliday, 2015)", "plainTextFormattedCitation" : "(Howard-Drake and Halliday, 2015)", "previouslyFormattedCitation" : "(Howard-Drake and Halliday, 2015)" }, "properties" : { "noteIndex" : 0 }, "schema" : "https://github.com/citation-style-language/schema/raw/master/csl-citation.json" }</w:instrText>
      </w:r>
      <w:r w:rsidR="005108ED" w:rsidRPr="009B3747">
        <w:rPr>
          <w:rFonts w:eastAsia="Times New Roman" w:cstheme="minorHAnsi"/>
          <w:color w:val="000000"/>
          <w:lang w:eastAsia="en-GB"/>
        </w:rPr>
        <w:fldChar w:fldCharType="separate"/>
      </w:r>
      <w:r w:rsidR="005108ED" w:rsidRPr="009B3747">
        <w:rPr>
          <w:rFonts w:eastAsia="Times New Roman" w:cstheme="minorHAnsi"/>
          <w:noProof/>
          <w:color w:val="000000"/>
          <w:lang w:eastAsia="en-GB"/>
        </w:rPr>
        <w:t>(Howard-Drake and Halliday, 2015)</w:t>
      </w:r>
      <w:r w:rsidR="005108ED"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where the sample was made up entirely of headteachers, the remaining studies featured headteachers</w:t>
      </w:r>
      <w:r w:rsidR="005108ED" w:rsidRPr="009B3747">
        <w:rPr>
          <w:rFonts w:eastAsia="Times New Roman" w:cstheme="minorHAnsi"/>
          <w:color w:val="000000"/>
          <w:lang w:eastAsia="en-GB"/>
        </w:rPr>
        <w:t>’</w:t>
      </w:r>
      <w:r w:rsidRPr="009B3747">
        <w:rPr>
          <w:rFonts w:eastAsia="Times New Roman" w:cstheme="minorHAnsi"/>
          <w:color w:val="000000"/>
          <w:lang w:eastAsia="en-GB"/>
        </w:rPr>
        <w:t xml:space="preserve"> perspectives within a wide</w:t>
      </w:r>
      <w:r w:rsidR="00FE4357">
        <w:rPr>
          <w:rFonts w:eastAsia="Times New Roman" w:cstheme="minorHAnsi"/>
          <w:color w:val="000000"/>
          <w:lang w:eastAsia="en-GB"/>
        </w:rPr>
        <w:t xml:space="preserve">r sample of school stakeholders, </w:t>
      </w:r>
      <w:r w:rsidRPr="009B3747">
        <w:rPr>
          <w:rFonts w:eastAsia="Times New Roman" w:cstheme="minorHAnsi"/>
          <w:color w:val="000000"/>
          <w:lang w:eastAsia="en-GB"/>
        </w:rPr>
        <w:t>i.e. Deputy headteachers, teachers, Healthy school co-ordinators and parents.  </w:t>
      </w:r>
    </w:p>
    <w:p w:rsidR="00AD72F8" w:rsidRPr="009B3747" w:rsidRDefault="00AD72F8" w:rsidP="003F1507">
      <w:pPr>
        <w:rPr>
          <w:rFonts w:eastAsia="Times New Roman" w:cstheme="minorHAnsi"/>
          <w:color w:val="000000"/>
          <w:lang w:eastAsia="en-GB"/>
        </w:rPr>
      </w:pPr>
    </w:p>
    <w:p w:rsidR="00AD72F8" w:rsidRPr="009B3747" w:rsidRDefault="00AD72F8" w:rsidP="003F1507">
      <w:pPr>
        <w:rPr>
          <w:rFonts w:eastAsia="Times New Roman" w:cstheme="minorHAnsi"/>
          <w:color w:val="000000"/>
          <w:lang w:eastAsia="en-GB"/>
        </w:rPr>
        <w:sectPr w:rsidR="00AD72F8" w:rsidRPr="009B3747" w:rsidSect="00224C9C">
          <w:pgSz w:w="11906" w:h="16838"/>
          <w:pgMar w:top="1440" w:right="1440" w:bottom="1440" w:left="1440" w:header="708" w:footer="708" w:gutter="0"/>
          <w:pgNumType w:start="1"/>
          <w:cols w:space="708"/>
          <w:docGrid w:linePitch="360"/>
        </w:sectPr>
      </w:pPr>
    </w:p>
    <w:p w:rsidR="00AD72F8" w:rsidRPr="009B3747" w:rsidRDefault="00846B21" w:rsidP="00AD72F8">
      <w:pPr>
        <w:spacing w:line="240" w:lineRule="auto"/>
        <w:rPr>
          <w:rFonts w:eastAsia="Times New Roman" w:cstheme="minorHAnsi"/>
          <w:lang w:eastAsia="en-GB"/>
        </w:rPr>
      </w:pPr>
      <w:r w:rsidRPr="009B3747">
        <w:rPr>
          <w:rFonts w:eastAsia="Times New Roman" w:cstheme="minorHAnsi"/>
          <w:color w:val="000000"/>
          <w:u w:val="single"/>
          <w:lang w:eastAsia="en-GB"/>
        </w:rPr>
        <w:lastRenderedPageBreak/>
        <w:t>Table 3.4</w:t>
      </w:r>
      <w:r w:rsidR="00AD72F8" w:rsidRPr="009B3747">
        <w:rPr>
          <w:rFonts w:eastAsia="Times New Roman" w:cstheme="minorHAnsi"/>
          <w:color w:val="000000"/>
          <w:u w:val="single"/>
          <w:lang w:eastAsia="en-GB"/>
        </w:rPr>
        <w:t xml:space="preserve"> - Summary of the ten selected qualitative research studies (presented in descending chronological order)</w:t>
      </w:r>
    </w:p>
    <w:p w:rsidR="00AD72F8" w:rsidRPr="009B3747" w:rsidRDefault="00AD72F8" w:rsidP="00AD72F8">
      <w:pPr>
        <w:spacing w:after="240" w:line="240" w:lineRule="auto"/>
        <w:rPr>
          <w:rFonts w:eastAsia="Times New Roman" w:cstheme="minorHAnsi"/>
          <w:sz w:val="24"/>
          <w:szCs w:val="24"/>
          <w:lang w:eastAsia="en-GB"/>
        </w:rPr>
      </w:pPr>
    </w:p>
    <w:tbl>
      <w:tblPr>
        <w:tblW w:w="15877" w:type="dxa"/>
        <w:tblInd w:w="-1003" w:type="dxa"/>
        <w:tblCellMar>
          <w:top w:w="15" w:type="dxa"/>
          <w:left w:w="15" w:type="dxa"/>
          <w:bottom w:w="15" w:type="dxa"/>
          <w:right w:w="15" w:type="dxa"/>
        </w:tblCellMar>
        <w:tblLook w:val="04A0" w:firstRow="1" w:lastRow="0" w:firstColumn="1" w:lastColumn="0" w:noHBand="0" w:noVBand="1"/>
      </w:tblPr>
      <w:tblGrid>
        <w:gridCol w:w="3545"/>
        <w:gridCol w:w="4252"/>
        <w:gridCol w:w="1843"/>
        <w:gridCol w:w="2977"/>
        <w:gridCol w:w="1843"/>
        <w:gridCol w:w="1417"/>
      </w:tblGrid>
      <w:tr w:rsidR="00AD72F8" w:rsidRPr="009B3747" w:rsidTr="00E0026C">
        <w:tc>
          <w:tcPr>
            <w:tcW w:w="3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72F8" w:rsidRPr="009B3747" w:rsidRDefault="00AD72F8" w:rsidP="00AD72F8">
            <w:pPr>
              <w:spacing w:line="240" w:lineRule="auto"/>
              <w:rPr>
                <w:rFonts w:eastAsia="Times New Roman" w:cstheme="minorHAnsi"/>
                <w:sz w:val="24"/>
                <w:szCs w:val="24"/>
                <w:lang w:eastAsia="en-GB"/>
              </w:rPr>
            </w:pPr>
            <w:r w:rsidRPr="009B3747">
              <w:rPr>
                <w:rFonts w:eastAsia="Times New Roman" w:cstheme="minorHAnsi"/>
                <w:b/>
                <w:bCs/>
                <w:color w:val="000000"/>
                <w:lang w:eastAsia="en-GB"/>
              </w:rPr>
              <w:t>Study details</w:t>
            </w:r>
          </w:p>
          <w:p w:rsidR="00AD72F8" w:rsidRPr="009B3747" w:rsidRDefault="00FE4357" w:rsidP="00AD72F8">
            <w:pPr>
              <w:spacing w:line="240" w:lineRule="auto"/>
              <w:rPr>
                <w:rFonts w:eastAsia="Times New Roman" w:cstheme="minorHAnsi"/>
                <w:sz w:val="24"/>
                <w:szCs w:val="24"/>
                <w:lang w:eastAsia="en-GB"/>
              </w:rPr>
            </w:pPr>
            <w:r>
              <w:rPr>
                <w:rFonts w:eastAsia="Times New Roman" w:cstheme="minorHAnsi"/>
                <w:color w:val="000000"/>
                <w:sz w:val="20"/>
                <w:szCs w:val="20"/>
                <w:lang w:eastAsia="en-GB"/>
              </w:rPr>
              <w:t>(i</w:t>
            </w:r>
            <w:r w:rsidR="00AD72F8" w:rsidRPr="009B3747">
              <w:rPr>
                <w:rFonts w:eastAsia="Times New Roman" w:cstheme="minorHAnsi"/>
                <w:color w:val="000000"/>
                <w:sz w:val="20"/>
                <w:szCs w:val="20"/>
                <w:lang w:eastAsia="en-GB"/>
              </w:rPr>
              <w:t>.e. Title, author, year of publication)</w:t>
            </w:r>
          </w:p>
        </w:tc>
        <w:tc>
          <w:tcPr>
            <w:tcW w:w="4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72F8" w:rsidRPr="009B3747" w:rsidRDefault="00AD72F8" w:rsidP="00AD72F8">
            <w:pPr>
              <w:spacing w:line="240" w:lineRule="auto"/>
              <w:rPr>
                <w:rFonts w:eastAsia="Times New Roman" w:cstheme="minorHAnsi"/>
                <w:sz w:val="24"/>
                <w:szCs w:val="24"/>
                <w:lang w:eastAsia="en-GB"/>
              </w:rPr>
            </w:pPr>
            <w:r w:rsidRPr="009B3747">
              <w:rPr>
                <w:rFonts w:eastAsia="Times New Roman" w:cstheme="minorHAnsi"/>
                <w:b/>
                <w:bCs/>
                <w:color w:val="000000"/>
                <w:lang w:eastAsia="en-GB"/>
              </w:rPr>
              <w:t>Study Aim(s)</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72F8" w:rsidRPr="009B3747" w:rsidRDefault="00AD72F8" w:rsidP="00AD72F8">
            <w:pPr>
              <w:spacing w:line="240" w:lineRule="auto"/>
              <w:rPr>
                <w:rFonts w:eastAsia="Times New Roman" w:cstheme="minorHAnsi"/>
                <w:sz w:val="24"/>
                <w:szCs w:val="24"/>
                <w:lang w:eastAsia="en-GB"/>
              </w:rPr>
            </w:pPr>
            <w:r w:rsidRPr="009B3747">
              <w:rPr>
                <w:rFonts w:eastAsia="Times New Roman" w:cstheme="minorHAnsi"/>
                <w:b/>
                <w:bCs/>
                <w:color w:val="000000"/>
                <w:lang w:eastAsia="en-GB"/>
              </w:rPr>
              <w:t>Study Context</w:t>
            </w:r>
          </w:p>
          <w:p w:rsidR="00AD72F8" w:rsidRPr="009B3747" w:rsidRDefault="00FE4357" w:rsidP="00AD72F8">
            <w:pPr>
              <w:spacing w:line="240" w:lineRule="auto"/>
              <w:rPr>
                <w:rFonts w:eastAsia="Times New Roman" w:cstheme="minorHAnsi"/>
                <w:sz w:val="24"/>
                <w:szCs w:val="24"/>
                <w:lang w:eastAsia="en-GB"/>
              </w:rPr>
            </w:pPr>
            <w:r>
              <w:rPr>
                <w:rFonts w:eastAsia="Times New Roman" w:cstheme="minorHAnsi"/>
                <w:color w:val="000000"/>
                <w:sz w:val="20"/>
                <w:szCs w:val="20"/>
                <w:lang w:eastAsia="en-GB"/>
              </w:rPr>
              <w:t>(i.</w:t>
            </w:r>
            <w:r w:rsidR="00AD72F8" w:rsidRPr="009B3747">
              <w:rPr>
                <w:rFonts w:eastAsia="Times New Roman" w:cstheme="minorHAnsi"/>
                <w:color w:val="000000"/>
                <w:sz w:val="20"/>
                <w:szCs w:val="20"/>
                <w:lang w:eastAsia="en-GB"/>
              </w:rPr>
              <w:t>e. Setting and location)</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72F8" w:rsidRPr="009B3747" w:rsidRDefault="00AD72F8" w:rsidP="00AD72F8">
            <w:pPr>
              <w:spacing w:line="240" w:lineRule="auto"/>
              <w:rPr>
                <w:rFonts w:eastAsia="Times New Roman" w:cstheme="minorHAnsi"/>
                <w:sz w:val="24"/>
                <w:szCs w:val="24"/>
                <w:lang w:eastAsia="en-GB"/>
              </w:rPr>
            </w:pPr>
            <w:r w:rsidRPr="009B3747">
              <w:rPr>
                <w:rFonts w:eastAsia="Times New Roman" w:cstheme="minorHAnsi"/>
                <w:b/>
                <w:bCs/>
                <w:color w:val="000000"/>
                <w:lang w:eastAsia="en-GB"/>
              </w:rPr>
              <w:t>Study population</w:t>
            </w:r>
          </w:p>
          <w:p w:rsidR="00AD72F8" w:rsidRPr="009B3747" w:rsidRDefault="00AD72F8" w:rsidP="00AD72F8">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(i.e. participant role type or gender)</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72F8" w:rsidRPr="009B3747" w:rsidRDefault="00AD72F8" w:rsidP="00AD72F8">
            <w:pPr>
              <w:spacing w:line="240" w:lineRule="auto"/>
              <w:rPr>
                <w:rFonts w:eastAsia="Times New Roman" w:cstheme="minorHAnsi"/>
                <w:sz w:val="24"/>
                <w:szCs w:val="24"/>
                <w:lang w:eastAsia="en-GB"/>
              </w:rPr>
            </w:pPr>
            <w:r w:rsidRPr="009B3747">
              <w:rPr>
                <w:rFonts w:eastAsia="Times New Roman" w:cstheme="minorHAnsi"/>
                <w:b/>
                <w:bCs/>
                <w:color w:val="000000"/>
                <w:lang w:eastAsia="en-GB"/>
              </w:rPr>
              <w:t>Study data collection method</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72F8" w:rsidRPr="009B3747" w:rsidRDefault="00AD72F8" w:rsidP="00AD72F8">
            <w:pPr>
              <w:spacing w:line="240" w:lineRule="auto"/>
              <w:rPr>
                <w:rFonts w:eastAsia="Times New Roman" w:cstheme="minorHAnsi"/>
                <w:sz w:val="24"/>
                <w:szCs w:val="24"/>
                <w:lang w:eastAsia="en-GB"/>
              </w:rPr>
            </w:pPr>
            <w:r w:rsidRPr="009B3747">
              <w:rPr>
                <w:rFonts w:eastAsia="Times New Roman" w:cstheme="minorHAnsi"/>
                <w:b/>
                <w:bCs/>
                <w:color w:val="000000"/>
                <w:lang w:eastAsia="en-GB"/>
              </w:rPr>
              <w:t>Study data analysis method</w:t>
            </w:r>
          </w:p>
        </w:tc>
      </w:tr>
      <w:tr w:rsidR="00AD72F8" w:rsidRPr="009B3747" w:rsidTr="00E0026C">
        <w:trPr>
          <w:trHeight w:val="1620"/>
        </w:trPr>
        <w:tc>
          <w:tcPr>
            <w:tcW w:w="3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72F8" w:rsidRPr="009B3747" w:rsidRDefault="00AD72F8" w:rsidP="00AD72F8">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Obesity prevention in English primary schools: headteacher perspectives</w:t>
            </w:r>
          </w:p>
          <w:p w:rsidR="00AD72F8" w:rsidRPr="009B3747" w:rsidRDefault="00AD72F8" w:rsidP="00AD72F8">
            <w:pPr>
              <w:spacing w:line="240" w:lineRule="auto"/>
              <w:rPr>
                <w:rFonts w:eastAsia="Times New Roman" w:cstheme="minorHAnsi"/>
                <w:sz w:val="24"/>
                <w:szCs w:val="24"/>
                <w:lang w:eastAsia="en-GB"/>
              </w:rPr>
            </w:pPr>
          </w:p>
          <w:p w:rsidR="00AD72F8" w:rsidRPr="009B3747" w:rsidRDefault="005108ED" w:rsidP="00AD72F8">
            <w:pPr>
              <w:spacing w:line="240" w:lineRule="auto"/>
              <w:rPr>
                <w:rFonts w:eastAsia="Times New Roman" w:cstheme="minorHAnsi"/>
                <w:sz w:val="24"/>
                <w:szCs w:val="24"/>
                <w:lang w:eastAsia="en-GB"/>
              </w:rPr>
            </w:pPr>
            <w:r w:rsidRPr="009B3747">
              <w:rPr>
                <w:rFonts w:eastAsia="Times New Roman" w:cstheme="minorHAnsi"/>
                <w:i/>
                <w:iCs/>
                <w:color w:val="000000"/>
                <w:sz w:val="20"/>
                <w:szCs w:val="20"/>
                <w:lang w:eastAsia="en-GB"/>
              </w:rPr>
              <w:fldChar w:fldCharType="begin" w:fldLock="1"/>
            </w:r>
            <w:r w:rsidRPr="009B3747">
              <w:rPr>
                <w:rFonts w:eastAsia="Times New Roman" w:cstheme="minorHAnsi"/>
                <w:i/>
                <w:iCs/>
                <w:color w:val="000000"/>
                <w:sz w:val="20"/>
                <w:szCs w:val="20"/>
                <w:lang w:eastAsia="en-GB"/>
              </w:rPr>
              <w:instrText>ADDIN CSL_CITATION { "citationItems" : [ { "id" : "ITEM-1", "itemData" : { "DOI" : "10.1016/j.appet.2014.12.121", "ISSN" : "01956663", "author" : [ { "dropping-particle" : "", "family" : "Clarke", "given" : "J.", "non-dropping-particle" : "", "parse-names" : false, "suffix" : "" }, { "dropping-particle" : "", "family" : "Lancashire", "given" : "E.", "non-dropping-particle" : "", "parse-names" : false, "suffix" : "" }, { "dropping-particle" : "", "family" : "Pallan", "given" : "M.", "non-dropping-particle" : "", "parse-names" : false, "suffix" : "" }, { "dropping-particle" : "", "family" : "Adab", "given" : "P.", "non-dropping-particle" : "", "parse-names" : false, "suffix" : "" } ], "container-title" : "Appetite", "id" : "ITEM-1", "issued" : { "date-parts" : [ [ "2015", "4" ] ] }, "page" : "377", "title" : "Headteacher perspectives on the role of the primary school in preventing childhood obesity", "type" : "article-journal", "volume" : "87" }, "uris" : [ "http://www.mendeley.com/documents/?uuid=ac79f162-74f2-49d2-a629-f4abdfb486ea" ] } ], "mendeley" : { "formattedCitation" : "(Clarke et al., 2015)", "plainTextFormattedCitation" : "(Clarke et al., 2015)", "previouslyFormattedCitation" : "(Clarke et al., 2015)" }, "properties" : { "noteIndex" : 0 }, "schema" : "https://github.com/citation-style-language/schema/raw/master/csl-citation.json" }</w:instrText>
            </w:r>
            <w:r w:rsidRPr="009B3747">
              <w:rPr>
                <w:rFonts w:eastAsia="Times New Roman" w:cstheme="minorHAnsi"/>
                <w:i/>
                <w:iCs/>
                <w:color w:val="000000"/>
                <w:sz w:val="20"/>
                <w:szCs w:val="20"/>
                <w:lang w:eastAsia="en-GB"/>
              </w:rPr>
              <w:fldChar w:fldCharType="separate"/>
            </w:r>
            <w:r w:rsidRPr="009B3747">
              <w:rPr>
                <w:rFonts w:eastAsia="Times New Roman" w:cstheme="minorHAnsi"/>
                <w:iCs/>
                <w:noProof/>
                <w:color w:val="000000"/>
                <w:sz w:val="20"/>
                <w:szCs w:val="20"/>
                <w:lang w:eastAsia="en-GB"/>
              </w:rPr>
              <w:t>(Clarke et al., 2015)</w:t>
            </w:r>
            <w:r w:rsidRPr="009B3747">
              <w:rPr>
                <w:rFonts w:eastAsia="Times New Roman" w:cstheme="minorHAnsi"/>
                <w:i/>
                <w:iCs/>
                <w:color w:val="000000"/>
                <w:sz w:val="20"/>
                <w:szCs w:val="20"/>
                <w:lang w:eastAsia="en-GB"/>
              </w:rPr>
              <w:fldChar w:fldCharType="end"/>
            </w:r>
          </w:p>
        </w:tc>
        <w:tc>
          <w:tcPr>
            <w:tcW w:w="4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72F8" w:rsidRPr="009B3747" w:rsidRDefault="00AD72F8" w:rsidP="00E0026C">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Ex</w:t>
            </w:r>
            <w:r w:rsidR="00E0026C" w:rsidRPr="009B3747">
              <w:rPr>
                <w:rFonts w:eastAsia="Times New Roman" w:cstheme="minorHAnsi"/>
                <w:color w:val="000000"/>
                <w:sz w:val="20"/>
                <w:szCs w:val="20"/>
                <w:lang w:eastAsia="en-GB"/>
              </w:rPr>
              <w:t>plore the views of headteachers</w:t>
            </w:r>
            <w:r w:rsidR="00670813" w:rsidRPr="009B3747">
              <w:rPr>
                <w:rFonts w:eastAsia="Times New Roman" w:cstheme="minorHAnsi"/>
                <w:color w:val="000000"/>
                <w:sz w:val="20"/>
                <w:szCs w:val="20"/>
                <w:lang w:eastAsia="en-GB"/>
              </w:rPr>
              <w:t>’</w:t>
            </w:r>
            <w:r w:rsidR="00E0026C" w:rsidRPr="009B3747">
              <w:rPr>
                <w:rFonts w:eastAsia="Times New Roman" w:cstheme="minorHAnsi"/>
                <w:color w:val="000000"/>
                <w:sz w:val="20"/>
                <w:szCs w:val="20"/>
                <w:lang w:eastAsia="en-GB"/>
              </w:rPr>
              <w:t xml:space="preserve"> </w:t>
            </w:r>
            <w:r w:rsidRPr="009B3747">
              <w:rPr>
                <w:rFonts w:eastAsia="Times New Roman" w:cstheme="minorHAnsi"/>
                <w:color w:val="000000"/>
                <w:sz w:val="20"/>
                <w:szCs w:val="20"/>
                <w:lang w:eastAsia="en-GB"/>
              </w:rPr>
              <w:t>from a wide range of schools, on the role of primary schools in preventing obesity.</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72F8" w:rsidRPr="009B3747" w:rsidRDefault="00AD72F8" w:rsidP="00AD72F8">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Primary schools </w:t>
            </w:r>
          </w:p>
          <w:p w:rsidR="00AD72F8" w:rsidRPr="009B3747" w:rsidRDefault="00AD72F8" w:rsidP="00AD72F8">
            <w:pPr>
              <w:spacing w:line="240" w:lineRule="auto"/>
              <w:rPr>
                <w:rFonts w:eastAsia="Times New Roman" w:cstheme="minorHAnsi"/>
                <w:sz w:val="24"/>
                <w:szCs w:val="24"/>
                <w:lang w:eastAsia="en-GB"/>
              </w:rPr>
            </w:pPr>
          </w:p>
          <w:p w:rsidR="00AD72F8" w:rsidRPr="009B3747" w:rsidRDefault="00AD72F8" w:rsidP="00AD72F8">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UK</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72F8" w:rsidRPr="009B3747" w:rsidRDefault="00AD72F8" w:rsidP="00AD72F8">
            <w:pPr>
              <w:spacing w:line="240" w:lineRule="auto"/>
              <w:rPr>
                <w:rFonts w:eastAsia="Times New Roman" w:cstheme="minorHAnsi"/>
                <w:sz w:val="24"/>
                <w:szCs w:val="24"/>
                <w:lang w:eastAsia="en-GB"/>
              </w:rPr>
            </w:pPr>
            <w:r w:rsidRPr="009B3747">
              <w:rPr>
                <w:rFonts w:eastAsia="Times New Roman" w:cstheme="minorHAnsi"/>
                <w:i/>
                <w:iCs/>
                <w:color w:val="000000"/>
                <w:sz w:val="20"/>
                <w:szCs w:val="20"/>
                <w:lang w:eastAsia="en-GB"/>
              </w:rPr>
              <w:t>22 Participants -   </w:t>
            </w:r>
          </w:p>
          <w:p w:rsidR="00AD72F8" w:rsidRPr="009B3747" w:rsidRDefault="00AD72F8" w:rsidP="00AD72F8">
            <w:pPr>
              <w:spacing w:line="240" w:lineRule="auto"/>
              <w:rPr>
                <w:rFonts w:eastAsia="Times New Roman" w:cstheme="minorHAnsi"/>
                <w:sz w:val="24"/>
                <w:szCs w:val="24"/>
                <w:lang w:eastAsia="en-GB"/>
              </w:rPr>
            </w:pPr>
          </w:p>
          <w:p w:rsidR="00AD72F8" w:rsidRPr="009B3747" w:rsidRDefault="00AD72F8" w:rsidP="00AD72F8">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15 Headteachers</w:t>
            </w:r>
          </w:p>
          <w:p w:rsidR="00AD72F8" w:rsidRPr="009B3747" w:rsidRDefault="00AD72F8" w:rsidP="00AD72F8">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(5 Male / 10 Female)</w:t>
            </w:r>
          </w:p>
          <w:p w:rsidR="00AD72F8" w:rsidRPr="009B3747" w:rsidRDefault="00AD72F8" w:rsidP="00AD72F8">
            <w:pPr>
              <w:spacing w:line="240" w:lineRule="auto"/>
              <w:rPr>
                <w:rFonts w:eastAsia="Times New Roman" w:cstheme="minorHAnsi"/>
                <w:sz w:val="24"/>
                <w:szCs w:val="24"/>
                <w:lang w:eastAsia="en-GB"/>
              </w:rPr>
            </w:pPr>
          </w:p>
          <w:p w:rsidR="00AD72F8" w:rsidRPr="009B3747" w:rsidRDefault="00AD72F8" w:rsidP="00AD72F8">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7 Deputy Headteachers </w:t>
            </w:r>
          </w:p>
          <w:p w:rsidR="00AD72F8" w:rsidRPr="009B3747" w:rsidRDefault="00AD72F8" w:rsidP="00AD72F8">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(2 Male / 5 Female)</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72F8" w:rsidRPr="009B3747" w:rsidRDefault="00AD72F8" w:rsidP="00AD72F8">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Semi-structured interviews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72F8" w:rsidRPr="009B3747" w:rsidRDefault="00AD72F8" w:rsidP="00AD72F8">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Framework analysis </w:t>
            </w:r>
          </w:p>
          <w:p w:rsidR="00AD72F8" w:rsidRPr="009B3747" w:rsidRDefault="00AD72F8" w:rsidP="00AD72F8">
            <w:pPr>
              <w:spacing w:line="240" w:lineRule="auto"/>
              <w:rPr>
                <w:rFonts w:eastAsia="Times New Roman" w:cstheme="minorHAnsi"/>
                <w:sz w:val="24"/>
                <w:szCs w:val="24"/>
                <w:lang w:eastAsia="en-GB"/>
              </w:rPr>
            </w:pPr>
          </w:p>
        </w:tc>
      </w:tr>
      <w:tr w:rsidR="00AD72F8" w:rsidRPr="009B3747" w:rsidTr="00E0026C">
        <w:trPr>
          <w:trHeight w:val="2100"/>
        </w:trPr>
        <w:tc>
          <w:tcPr>
            <w:tcW w:w="3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72F8" w:rsidRPr="009B3747" w:rsidRDefault="00AD72F8" w:rsidP="00AD72F8">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Headteachers' prior beliefs on child health and their engagement in school based health interventions: A qualitative study</w:t>
            </w:r>
          </w:p>
          <w:p w:rsidR="00AD72F8" w:rsidRPr="009B3747" w:rsidRDefault="00AD72F8" w:rsidP="00AD72F8">
            <w:pPr>
              <w:spacing w:line="240" w:lineRule="auto"/>
              <w:rPr>
                <w:rFonts w:eastAsia="Times New Roman" w:cstheme="minorHAnsi"/>
                <w:sz w:val="24"/>
                <w:szCs w:val="24"/>
                <w:lang w:eastAsia="en-GB"/>
              </w:rPr>
            </w:pPr>
          </w:p>
          <w:p w:rsidR="00AD72F8" w:rsidRPr="009B3747" w:rsidRDefault="005108ED" w:rsidP="00AD72F8">
            <w:pPr>
              <w:spacing w:line="240" w:lineRule="auto"/>
              <w:rPr>
                <w:rFonts w:eastAsia="Times New Roman" w:cstheme="minorHAnsi"/>
                <w:sz w:val="24"/>
                <w:szCs w:val="24"/>
                <w:lang w:eastAsia="en-GB"/>
              </w:rPr>
            </w:pPr>
            <w:r w:rsidRPr="009B3747">
              <w:rPr>
                <w:rFonts w:eastAsia="Times New Roman" w:cstheme="minorHAnsi"/>
                <w:i/>
                <w:iCs/>
                <w:color w:val="000000"/>
                <w:sz w:val="20"/>
                <w:szCs w:val="20"/>
                <w:lang w:eastAsia="en-GB"/>
              </w:rPr>
              <w:fldChar w:fldCharType="begin" w:fldLock="1"/>
            </w:r>
            <w:r w:rsidR="009C2ECF" w:rsidRPr="009B3747">
              <w:rPr>
                <w:rFonts w:eastAsia="Times New Roman" w:cstheme="minorHAnsi"/>
                <w:i/>
                <w:iCs/>
                <w:color w:val="000000"/>
                <w:sz w:val="20"/>
                <w:szCs w:val="20"/>
                <w:lang w:eastAsia="en-GB"/>
              </w:rPr>
              <w:instrText>ADDIN CSL_CITATION { "citationItems" : [ { "id" : "ITEM-1", "itemData" : { "author" : [ { "dropping-particle" : "", "family" : "Todd", "given" : "C", "non-dropping-particle" : "", "parse-names" : false, "suffix" : "" }, { "dropping-particle" : "", "family" : "Christian", "given" : "D", "non-dropping-particle" : "", "parse-names" : false, "suffix" : "" }, { "dropping-particle" : "", "family" : "Davies", "given" : "H", "non-dropping-particle" : "", "parse-names" : false, "suffix" : "" } ], "container-title" : "BMC research \u2026", "id" : "ITEM-1", "issue" : "1", "issued" : { "date-parts" : [ [ "2015" ] ] }, "page" : "161", "title" : "Headteachers' prior beliefs on child health and their engagement in school based health interventions: a qualitative study", "type" : "article-journal", "volume" : "8" }, "uris" : [ "http://www.mendeley.com/documents/?uuid=9a740b7c-28ec-4b9a-99a5-b768fe7c3a4e" ] } ], "mendeley" : { "formattedCitation" : "(Todd et al., 2015)", "plainTextFormattedCitation" : "(Todd et al., 2015)", "previouslyFormattedCitation" : "(Todd et al., 2015)" }, "properties" : { "noteIndex" : 0 }, "schema" : "https://github.com/citation-style-language/schema/raw/master/csl-citation.json" }</w:instrText>
            </w:r>
            <w:r w:rsidRPr="009B3747">
              <w:rPr>
                <w:rFonts w:eastAsia="Times New Roman" w:cstheme="minorHAnsi"/>
                <w:i/>
                <w:iCs/>
                <w:color w:val="000000"/>
                <w:sz w:val="20"/>
                <w:szCs w:val="20"/>
                <w:lang w:eastAsia="en-GB"/>
              </w:rPr>
              <w:fldChar w:fldCharType="separate"/>
            </w:r>
            <w:r w:rsidRPr="009B3747">
              <w:rPr>
                <w:rFonts w:eastAsia="Times New Roman" w:cstheme="minorHAnsi"/>
                <w:iCs/>
                <w:noProof/>
                <w:color w:val="000000"/>
                <w:sz w:val="20"/>
                <w:szCs w:val="20"/>
                <w:lang w:eastAsia="en-GB"/>
              </w:rPr>
              <w:t>(Todd et al., 2015)</w:t>
            </w:r>
            <w:r w:rsidRPr="009B3747">
              <w:rPr>
                <w:rFonts w:eastAsia="Times New Roman" w:cstheme="minorHAnsi"/>
                <w:i/>
                <w:iCs/>
                <w:color w:val="000000"/>
                <w:sz w:val="20"/>
                <w:szCs w:val="20"/>
                <w:lang w:eastAsia="en-GB"/>
              </w:rPr>
              <w:fldChar w:fldCharType="end"/>
            </w:r>
          </w:p>
        </w:tc>
        <w:tc>
          <w:tcPr>
            <w:tcW w:w="4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72F8" w:rsidRPr="009B3747" w:rsidRDefault="00AD72F8" w:rsidP="00AD72F8">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Explore headteachers’ views on child health and explore how these views may interfere with addressing health concerns of pupils within their school. </w:t>
            </w:r>
          </w:p>
          <w:p w:rsidR="00AD72F8" w:rsidRPr="009B3747" w:rsidRDefault="00AD72F8" w:rsidP="00AD72F8">
            <w:pPr>
              <w:spacing w:line="240" w:lineRule="auto"/>
              <w:rPr>
                <w:rFonts w:eastAsia="Times New Roman" w:cstheme="minorHAnsi"/>
                <w:sz w:val="24"/>
                <w:szCs w:val="24"/>
                <w:lang w:eastAsia="en-GB"/>
              </w:rPr>
            </w:pP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72F8" w:rsidRPr="009B3747" w:rsidRDefault="00AD72F8" w:rsidP="00AD72F8">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Primary schools </w:t>
            </w:r>
          </w:p>
          <w:p w:rsidR="00AD72F8" w:rsidRPr="009B3747" w:rsidRDefault="00AD72F8" w:rsidP="00AD72F8">
            <w:pPr>
              <w:spacing w:line="240" w:lineRule="auto"/>
              <w:rPr>
                <w:rFonts w:eastAsia="Times New Roman" w:cstheme="minorHAnsi"/>
                <w:sz w:val="24"/>
                <w:szCs w:val="24"/>
                <w:lang w:eastAsia="en-GB"/>
              </w:rPr>
            </w:pPr>
          </w:p>
          <w:p w:rsidR="00AD72F8" w:rsidRPr="009B3747" w:rsidRDefault="00AD72F8" w:rsidP="00AD72F8">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UK</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72F8" w:rsidRPr="009B3747" w:rsidRDefault="00AD72F8" w:rsidP="00AD72F8">
            <w:pPr>
              <w:spacing w:line="240" w:lineRule="auto"/>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19 participants - </w:t>
            </w:r>
          </w:p>
          <w:p w:rsidR="00AD72F8" w:rsidRPr="009B3747" w:rsidRDefault="00AD72F8" w:rsidP="00AD72F8">
            <w:pPr>
              <w:spacing w:line="240" w:lineRule="auto"/>
              <w:rPr>
                <w:rFonts w:eastAsia="Times New Roman" w:cstheme="minorHAnsi"/>
                <w:sz w:val="24"/>
                <w:szCs w:val="24"/>
                <w:lang w:eastAsia="en-GB"/>
              </w:rPr>
            </w:pPr>
          </w:p>
          <w:p w:rsidR="00AD72F8" w:rsidRPr="009B3747" w:rsidRDefault="00AD72F8" w:rsidP="00AD72F8">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16 Headteachers</w:t>
            </w:r>
          </w:p>
          <w:p w:rsidR="00AD72F8" w:rsidRPr="009B3747" w:rsidRDefault="00AD72F8" w:rsidP="00AD72F8">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 Deputy Headteachers</w:t>
            </w:r>
          </w:p>
          <w:p w:rsidR="00AD72F8" w:rsidRPr="009B3747" w:rsidRDefault="00AD72F8" w:rsidP="00AD72F8">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2 Healthy schools co-ordinators</w:t>
            </w:r>
          </w:p>
          <w:p w:rsidR="00AD72F8" w:rsidRPr="009B3747" w:rsidRDefault="00AD72F8" w:rsidP="00AD72F8">
            <w:pPr>
              <w:spacing w:line="240" w:lineRule="auto"/>
              <w:rPr>
                <w:rFonts w:eastAsia="Times New Roman" w:cstheme="minorHAnsi"/>
                <w:sz w:val="24"/>
                <w:szCs w:val="24"/>
                <w:lang w:eastAsia="en-GB"/>
              </w:rPr>
            </w:pPr>
          </w:p>
          <w:p w:rsidR="00AD72F8" w:rsidRPr="009B3747" w:rsidRDefault="00AD72F8" w:rsidP="00AD72F8">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(7 Males / 12 Females)</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72F8" w:rsidRPr="009B3747" w:rsidRDefault="00AD72F8" w:rsidP="00AD72F8">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Semi-structured</w:t>
            </w:r>
          </w:p>
          <w:p w:rsidR="00AD72F8" w:rsidRPr="009B3747" w:rsidRDefault="00AD72F8" w:rsidP="00AD72F8">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interviews</w:t>
            </w:r>
          </w:p>
          <w:p w:rsidR="00AD72F8" w:rsidRPr="009B3747" w:rsidRDefault="00AD72F8" w:rsidP="00AD72F8">
            <w:pPr>
              <w:spacing w:line="240" w:lineRule="auto"/>
              <w:rPr>
                <w:rFonts w:eastAsia="Times New Roman" w:cstheme="minorHAnsi"/>
                <w:sz w:val="24"/>
                <w:szCs w:val="24"/>
                <w:lang w:eastAsia="en-GB"/>
              </w:rPr>
            </w:pP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72F8" w:rsidRPr="009B3747" w:rsidRDefault="00AD72F8" w:rsidP="00AD72F8">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Thematic analysis</w:t>
            </w:r>
          </w:p>
        </w:tc>
      </w:tr>
      <w:tr w:rsidR="00AD72F8" w:rsidRPr="009B3747" w:rsidTr="00E0026C">
        <w:trPr>
          <w:trHeight w:val="1600"/>
        </w:trPr>
        <w:tc>
          <w:tcPr>
            <w:tcW w:w="3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72F8" w:rsidRPr="009B3747" w:rsidRDefault="00AD72F8" w:rsidP="00AD72F8">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Exploring primary school headteachers’ perspectives on the barriers and facilitators of preventing childhood obesity</w:t>
            </w:r>
          </w:p>
          <w:p w:rsidR="00AD72F8" w:rsidRPr="009B3747" w:rsidRDefault="00AD72F8" w:rsidP="00AD72F8">
            <w:pPr>
              <w:spacing w:line="240" w:lineRule="auto"/>
              <w:rPr>
                <w:rFonts w:eastAsia="Times New Roman" w:cstheme="minorHAnsi"/>
                <w:sz w:val="24"/>
                <w:szCs w:val="24"/>
                <w:lang w:eastAsia="en-GB"/>
              </w:rPr>
            </w:pPr>
          </w:p>
          <w:p w:rsidR="00E0026C" w:rsidRPr="009B3747" w:rsidRDefault="00E0026C" w:rsidP="00AD72F8">
            <w:pPr>
              <w:spacing w:line="240" w:lineRule="auto"/>
              <w:rPr>
                <w:rFonts w:eastAsia="Times New Roman" w:cstheme="minorHAnsi"/>
                <w:i/>
                <w:iCs/>
                <w:color w:val="000000"/>
                <w:sz w:val="20"/>
                <w:szCs w:val="20"/>
                <w:lang w:eastAsia="en-GB"/>
              </w:rPr>
            </w:pPr>
            <w:r w:rsidRPr="009B3747">
              <w:rPr>
                <w:rFonts w:eastAsia="Times New Roman" w:cstheme="minorHAnsi"/>
                <w:i/>
                <w:iCs/>
                <w:color w:val="000000"/>
                <w:sz w:val="20"/>
                <w:szCs w:val="20"/>
                <w:lang w:eastAsia="en-GB"/>
              </w:rPr>
              <w:fldChar w:fldCharType="begin" w:fldLock="1"/>
            </w:r>
            <w:r w:rsidR="00A84723" w:rsidRPr="009B3747">
              <w:rPr>
                <w:rFonts w:eastAsia="Times New Roman" w:cstheme="minorHAnsi"/>
                <w:i/>
                <w:iCs/>
                <w:color w:val="000000"/>
                <w:sz w:val="20"/>
                <w:szCs w:val="20"/>
                <w:lang w:eastAsia="en-GB"/>
              </w:rPr>
              <w:instrText>ADDIN CSL_CITATION { "citationItems" : [ { "id" : "ITEM-1", "itemData" : { "author" : [ { "dropping-particle" : "", "family" : "Howard-Drake", "given" : "EJ", "non-dropping-particle" : "", "parse-names" : false, "suffix" : "" }, { "dropping-particle" : "", "family" : "Halliday", "given" : "V", "non-dropping-particle" : "", "parse-names" : false, "suffix" : "" } ], "container-title" : "Journal of Public Health", "id" : "ITEM-1", "issue" : "1", "issued" : { "date-parts" : [ [ "2015" ] ] }, "page" : "44-52", "title" : "Exploring primary school headteachers' perspectives on the barriers and facilitators of preventing childhood obesity", "type" : "article-journal", "volume" : "38" }, "uris" : [ "http://www.mendeley.com/documents/?uuid=5809992c-2717-4e23-9b1e-b80b2a030870" ] } ], "mendeley" : { "formattedCitation" : "(Howard-Drake and Halliday, 2015)", "manualFormatting" : "(Howard-Drake and Halliday, 2015)", "plainTextFormattedCitation" : "(Howard-Drake and Halliday, 2015)", "previouslyFormattedCitation" : "(Howard-Drake and Halliday, 2015)" }, "properties" : { "noteIndex" : 0 }, "schema" : "https://github.com/citation-style-language/schema/raw/master/csl-citation.json" }</w:instrText>
            </w:r>
            <w:r w:rsidRPr="009B3747">
              <w:rPr>
                <w:rFonts w:eastAsia="Times New Roman" w:cstheme="minorHAnsi"/>
                <w:i/>
                <w:iCs/>
                <w:color w:val="000000"/>
                <w:sz w:val="20"/>
                <w:szCs w:val="20"/>
                <w:lang w:eastAsia="en-GB"/>
              </w:rPr>
              <w:fldChar w:fldCharType="separate"/>
            </w:r>
            <w:r w:rsidRPr="009B3747">
              <w:rPr>
                <w:rFonts w:eastAsia="Times New Roman" w:cstheme="minorHAnsi"/>
                <w:iCs/>
                <w:noProof/>
                <w:color w:val="000000"/>
                <w:sz w:val="20"/>
                <w:szCs w:val="20"/>
                <w:lang w:eastAsia="en-GB"/>
              </w:rPr>
              <w:t>(Howard-Drake and Halliday, 2015)</w:t>
            </w:r>
            <w:r w:rsidRPr="009B3747">
              <w:rPr>
                <w:rFonts w:eastAsia="Times New Roman" w:cstheme="minorHAnsi"/>
                <w:i/>
                <w:iCs/>
                <w:color w:val="000000"/>
                <w:sz w:val="20"/>
                <w:szCs w:val="20"/>
                <w:lang w:eastAsia="en-GB"/>
              </w:rPr>
              <w:fldChar w:fldCharType="end"/>
            </w:r>
          </w:p>
          <w:p w:rsidR="00E0026C" w:rsidRPr="009B3747" w:rsidRDefault="00E0026C" w:rsidP="00AD72F8">
            <w:pPr>
              <w:spacing w:line="240" w:lineRule="auto"/>
              <w:rPr>
                <w:rFonts w:eastAsia="Times New Roman" w:cstheme="minorHAnsi"/>
                <w:sz w:val="24"/>
                <w:szCs w:val="24"/>
                <w:lang w:eastAsia="en-GB"/>
              </w:rPr>
            </w:pPr>
          </w:p>
        </w:tc>
        <w:tc>
          <w:tcPr>
            <w:tcW w:w="4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72F8" w:rsidRPr="009B3747" w:rsidRDefault="00AD72F8" w:rsidP="00AD72F8">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Explore primary school headteachers’ views on childhood obesity and more specifically understanding their perceptions on the barriers and facilitators of preventing childhood obesity in primary school settings.</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72F8" w:rsidRPr="009B3747" w:rsidRDefault="00AD72F8" w:rsidP="00AD72F8">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Primary schools, </w:t>
            </w:r>
          </w:p>
          <w:p w:rsidR="00AD72F8" w:rsidRPr="009B3747" w:rsidRDefault="00AD72F8" w:rsidP="00AD72F8">
            <w:pPr>
              <w:spacing w:line="240" w:lineRule="auto"/>
              <w:rPr>
                <w:rFonts w:eastAsia="Times New Roman" w:cstheme="minorHAnsi"/>
                <w:sz w:val="24"/>
                <w:szCs w:val="24"/>
                <w:lang w:eastAsia="en-GB"/>
              </w:rPr>
            </w:pPr>
          </w:p>
          <w:p w:rsidR="00AD72F8" w:rsidRPr="009B3747" w:rsidRDefault="00AD72F8" w:rsidP="00AD72F8">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UK</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72F8" w:rsidRPr="009B3747" w:rsidRDefault="00AD72F8" w:rsidP="00AD72F8">
            <w:pPr>
              <w:spacing w:line="240" w:lineRule="auto"/>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14 Participants - </w:t>
            </w:r>
          </w:p>
          <w:p w:rsidR="00AD72F8" w:rsidRPr="009B3747" w:rsidRDefault="00AD72F8" w:rsidP="00AD72F8">
            <w:pPr>
              <w:spacing w:line="240" w:lineRule="auto"/>
              <w:rPr>
                <w:rFonts w:eastAsia="Times New Roman" w:cstheme="minorHAnsi"/>
                <w:sz w:val="24"/>
                <w:szCs w:val="24"/>
                <w:lang w:eastAsia="en-GB"/>
              </w:rPr>
            </w:pPr>
          </w:p>
          <w:p w:rsidR="00AD72F8" w:rsidRPr="009B3747" w:rsidRDefault="00AD72F8" w:rsidP="00AD72F8">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14 Headteachers</w:t>
            </w:r>
          </w:p>
          <w:p w:rsidR="00AD72F8" w:rsidRPr="009B3747" w:rsidRDefault="00AD72F8" w:rsidP="00AD72F8">
            <w:pPr>
              <w:spacing w:line="240" w:lineRule="auto"/>
              <w:rPr>
                <w:rFonts w:eastAsia="Times New Roman" w:cstheme="minorHAnsi"/>
                <w:sz w:val="24"/>
                <w:szCs w:val="24"/>
                <w:lang w:eastAsia="en-GB"/>
              </w:rPr>
            </w:pPr>
          </w:p>
          <w:p w:rsidR="00AD72F8" w:rsidRPr="009B3747" w:rsidRDefault="00AD72F8" w:rsidP="00AD72F8">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(2 Males / 12 Females)</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72F8" w:rsidRPr="009B3747" w:rsidRDefault="00AD72F8" w:rsidP="00AD72F8">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Semi-structured interviews</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72F8" w:rsidRPr="009B3747" w:rsidRDefault="00AD72F8" w:rsidP="00AD72F8">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Thematic analysis</w:t>
            </w:r>
          </w:p>
        </w:tc>
      </w:tr>
      <w:tr w:rsidR="005108ED" w:rsidRPr="009B3747" w:rsidTr="00E0026C">
        <w:tc>
          <w:tcPr>
            <w:tcW w:w="3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b/>
                <w:bCs/>
                <w:color w:val="000000"/>
                <w:lang w:eastAsia="en-GB"/>
              </w:rPr>
              <w:lastRenderedPageBreak/>
              <w:t>Study details</w:t>
            </w:r>
          </w:p>
          <w:p w:rsidR="005108ED" w:rsidRPr="009B3747" w:rsidRDefault="00FE4357" w:rsidP="005108ED">
            <w:pPr>
              <w:spacing w:line="240" w:lineRule="auto"/>
              <w:rPr>
                <w:rFonts w:eastAsia="Times New Roman" w:cstheme="minorHAnsi"/>
                <w:sz w:val="24"/>
                <w:szCs w:val="24"/>
                <w:lang w:eastAsia="en-GB"/>
              </w:rPr>
            </w:pPr>
            <w:r>
              <w:rPr>
                <w:rFonts w:eastAsia="Times New Roman" w:cstheme="minorHAnsi"/>
                <w:color w:val="000000"/>
                <w:sz w:val="20"/>
                <w:szCs w:val="20"/>
                <w:lang w:eastAsia="en-GB"/>
              </w:rPr>
              <w:t>(i</w:t>
            </w:r>
            <w:r w:rsidR="005108ED" w:rsidRPr="009B3747">
              <w:rPr>
                <w:rFonts w:eastAsia="Times New Roman" w:cstheme="minorHAnsi"/>
                <w:color w:val="000000"/>
                <w:sz w:val="20"/>
                <w:szCs w:val="20"/>
                <w:lang w:eastAsia="en-GB"/>
              </w:rPr>
              <w:t>.e. Title, author, year of publication)</w:t>
            </w:r>
          </w:p>
        </w:tc>
        <w:tc>
          <w:tcPr>
            <w:tcW w:w="4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b/>
                <w:bCs/>
                <w:color w:val="000000"/>
                <w:lang w:eastAsia="en-GB"/>
              </w:rPr>
              <w:t>Study Aim(s)</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b/>
                <w:bCs/>
                <w:color w:val="000000"/>
                <w:lang w:eastAsia="en-GB"/>
              </w:rPr>
              <w:t>Study Context</w:t>
            </w:r>
          </w:p>
          <w:p w:rsidR="005108ED" w:rsidRPr="009B3747" w:rsidRDefault="00FE4357" w:rsidP="005108ED">
            <w:pPr>
              <w:spacing w:line="240" w:lineRule="auto"/>
              <w:rPr>
                <w:rFonts w:eastAsia="Times New Roman" w:cstheme="minorHAnsi"/>
                <w:sz w:val="24"/>
                <w:szCs w:val="24"/>
                <w:lang w:eastAsia="en-GB"/>
              </w:rPr>
            </w:pPr>
            <w:r>
              <w:rPr>
                <w:rFonts w:eastAsia="Times New Roman" w:cstheme="minorHAnsi"/>
                <w:color w:val="000000"/>
                <w:sz w:val="20"/>
                <w:szCs w:val="20"/>
                <w:lang w:eastAsia="en-GB"/>
              </w:rPr>
              <w:t>(i</w:t>
            </w:r>
            <w:r w:rsidR="005108ED" w:rsidRPr="009B3747">
              <w:rPr>
                <w:rFonts w:eastAsia="Times New Roman" w:cstheme="minorHAnsi"/>
                <w:color w:val="000000"/>
                <w:sz w:val="20"/>
                <w:szCs w:val="20"/>
                <w:lang w:eastAsia="en-GB"/>
              </w:rPr>
              <w:t>.e. Setting and location)</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b/>
                <w:bCs/>
                <w:color w:val="000000"/>
                <w:lang w:eastAsia="en-GB"/>
              </w:rPr>
              <w:t>Study population</w:t>
            </w:r>
          </w:p>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(i.e. participant role type or gender)</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b/>
                <w:bCs/>
                <w:color w:val="000000"/>
                <w:lang w:eastAsia="en-GB"/>
              </w:rPr>
              <w:t>Study data collection method</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b/>
                <w:bCs/>
                <w:color w:val="000000"/>
                <w:lang w:eastAsia="en-GB"/>
              </w:rPr>
              <w:t>Study data analysis method</w:t>
            </w:r>
          </w:p>
        </w:tc>
      </w:tr>
      <w:tr w:rsidR="005108ED" w:rsidRPr="009B3747" w:rsidTr="00E0026C">
        <w:tc>
          <w:tcPr>
            <w:tcW w:w="3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Perceptions of Childhood Obesity Among Rural Parents, Teachers, and School Administrators</w:t>
            </w:r>
          </w:p>
          <w:p w:rsidR="005108ED" w:rsidRPr="009B3747" w:rsidRDefault="005108ED" w:rsidP="005108ED">
            <w:pPr>
              <w:spacing w:line="240" w:lineRule="auto"/>
              <w:rPr>
                <w:rFonts w:eastAsia="Times New Roman" w:cstheme="minorHAnsi"/>
                <w:sz w:val="24"/>
                <w:szCs w:val="24"/>
                <w:lang w:eastAsia="en-GB"/>
              </w:rPr>
            </w:pPr>
          </w:p>
          <w:p w:rsidR="005108ED" w:rsidRPr="009B3747" w:rsidRDefault="00E0026C" w:rsidP="005108ED">
            <w:pPr>
              <w:spacing w:line="240" w:lineRule="auto"/>
              <w:rPr>
                <w:rFonts w:eastAsia="Times New Roman" w:cstheme="minorHAnsi"/>
                <w:sz w:val="24"/>
                <w:szCs w:val="24"/>
                <w:lang w:eastAsia="en-GB"/>
              </w:rPr>
            </w:pPr>
            <w:r w:rsidRPr="009B3747">
              <w:rPr>
                <w:rFonts w:eastAsia="Times New Roman" w:cstheme="minorHAnsi"/>
                <w:i/>
                <w:iCs/>
                <w:color w:val="000000"/>
                <w:sz w:val="20"/>
                <w:szCs w:val="20"/>
                <w:lang w:eastAsia="en-GB"/>
              </w:rPr>
              <w:fldChar w:fldCharType="begin" w:fldLock="1"/>
            </w:r>
            <w:r w:rsidR="009C2ECF" w:rsidRPr="009B3747">
              <w:rPr>
                <w:rFonts w:eastAsia="Times New Roman" w:cstheme="minorHAnsi"/>
                <w:i/>
                <w:iCs/>
                <w:color w:val="000000"/>
                <w:sz w:val="20"/>
                <w:szCs w:val="20"/>
                <w:lang w:eastAsia="en-GB"/>
              </w:rPr>
              <w:instrText>ADDIN CSL_CITATION { "citationItems" : [ { "id" : "ITEM-1", "itemData" : { "author" : [ { "dropping-particle" : "", "family" : "Tripp", "given" : "PJ", "non-dropping-particle" : "", "parse-names" : false, "suffix" : "" }, { "dropping-particle" : "", "family" : "Choi", "given" : "JY", "non-dropping-particle" : "", "parse-names" : false, "suffix" : "" } ], "container-title" : "Journal of Family &amp; Consumer Sciences", "id" : "ITEM-1", "issue" : "4", "issued" : { "date-parts" : [ [ "2014" ] ] }, "page" : "33-39", "title" : "Perceptions of Childhood Obesity Among Rural Parents, Teachers, and School Administrators", "type" : "article-journal", "volume" : "106" }, "uris" : [ "http://www.mendeley.com/documents/?uuid=2246024a-fa0a-45b4-96c6-dae9939771a8" ] } ], "mendeley" : { "formattedCitation" : "(Tripp and Choi, 2014)", "plainTextFormattedCitation" : "(Tripp and Choi, 2014)", "previouslyFormattedCitation" : "(Tripp and Choi, 2014)" }, "properties" : { "noteIndex" : 0 }, "schema" : "https://github.com/citation-style-language/schema/raw/master/csl-citation.json" }</w:instrText>
            </w:r>
            <w:r w:rsidRPr="009B3747">
              <w:rPr>
                <w:rFonts w:eastAsia="Times New Roman" w:cstheme="minorHAnsi"/>
                <w:i/>
                <w:iCs/>
                <w:color w:val="000000"/>
                <w:sz w:val="20"/>
                <w:szCs w:val="20"/>
                <w:lang w:eastAsia="en-GB"/>
              </w:rPr>
              <w:fldChar w:fldCharType="separate"/>
            </w:r>
            <w:r w:rsidRPr="009B3747">
              <w:rPr>
                <w:rFonts w:eastAsia="Times New Roman" w:cstheme="minorHAnsi"/>
                <w:iCs/>
                <w:noProof/>
                <w:color w:val="000000"/>
                <w:sz w:val="20"/>
                <w:szCs w:val="20"/>
                <w:lang w:eastAsia="en-GB"/>
              </w:rPr>
              <w:t>(Tripp and Choi, 2014)</w:t>
            </w:r>
            <w:r w:rsidRPr="009B3747">
              <w:rPr>
                <w:rFonts w:eastAsia="Times New Roman" w:cstheme="minorHAnsi"/>
                <w:i/>
                <w:iCs/>
                <w:color w:val="000000"/>
                <w:sz w:val="20"/>
                <w:szCs w:val="20"/>
                <w:lang w:eastAsia="en-GB"/>
              </w:rPr>
              <w:fldChar w:fldCharType="end"/>
            </w:r>
          </w:p>
        </w:tc>
        <w:tc>
          <w:tcPr>
            <w:tcW w:w="4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Describe perceptions related to childhood obesity of rural parents, teachers, and school administrators and to examine how their perceptions shape their choices and behavio</w:t>
            </w:r>
            <w:r w:rsidR="00670813" w:rsidRPr="009B3747">
              <w:rPr>
                <w:rFonts w:eastAsia="Times New Roman" w:cstheme="minorHAnsi"/>
                <w:color w:val="000000"/>
                <w:sz w:val="20"/>
                <w:szCs w:val="20"/>
                <w:lang w:eastAsia="en-GB"/>
              </w:rPr>
              <w:t>u</w:t>
            </w:r>
            <w:r w:rsidRPr="009B3747">
              <w:rPr>
                <w:rFonts w:eastAsia="Times New Roman" w:cstheme="minorHAnsi"/>
                <w:color w:val="000000"/>
                <w:sz w:val="20"/>
                <w:szCs w:val="20"/>
                <w:lang w:eastAsia="en-GB"/>
              </w:rPr>
              <w:t>rs for children’s eating and physical exercise.</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Mixed school education levels,</w:t>
            </w:r>
          </w:p>
          <w:p w:rsidR="005108ED" w:rsidRPr="009B3747" w:rsidRDefault="005108ED" w:rsidP="005108ED">
            <w:pPr>
              <w:spacing w:line="240" w:lineRule="auto"/>
              <w:rPr>
                <w:rFonts w:eastAsia="Times New Roman" w:cstheme="minorHAnsi"/>
                <w:sz w:val="24"/>
                <w:szCs w:val="24"/>
                <w:lang w:eastAsia="en-GB"/>
              </w:rPr>
            </w:pPr>
          </w:p>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USA</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114 Participants - </w:t>
            </w:r>
          </w:p>
          <w:p w:rsidR="005108ED" w:rsidRPr="009B3747" w:rsidRDefault="005108ED" w:rsidP="005108ED">
            <w:pPr>
              <w:spacing w:line="240" w:lineRule="auto"/>
              <w:rPr>
                <w:rFonts w:eastAsia="Times New Roman" w:cstheme="minorHAnsi"/>
                <w:sz w:val="24"/>
                <w:szCs w:val="24"/>
                <w:lang w:eastAsia="en-GB"/>
              </w:rPr>
            </w:pPr>
          </w:p>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74 Parents</w:t>
            </w:r>
          </w:p>
          <w:p w:rsidR="005108ED" w:rsidRPr="009B3747" w:rsidRDefault="005108ED" w:rsidP="005108ED">
            <w:pPr>
              <w:spacing w:line="240" w:lineRule="auto"/>
              <w:rPr>
                <w:rFonts w:eastAsia="Times New Roman" w:cstheme="minorHAnsi"/>
                <w:sz w:val="24"/>
                <w:szCs w:val="24"/>
                <w:lang w:eastAsia="en-GB"/>
              </w:rPr>
            </w:pPr>
          </w:p>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33 Teachers</w:t>
            </w:r>
          </w:p>
          <w:p w:rsidR="005108ED" w:rsidRPr="009B3747" w:rsidRDefault="005108ED" w:rsidP="005108ED">
            <w:pPr>
              <w:spacing w:line="240" w:lineRule="auto"/>
              <w:rPr>
                <w:rFonts w:eastAsia="Times New Roman" w:cstheme="minorHAnsi"/>
                <w:sz w:val="24"/>
                <w:szCs w:val="24"/>
                <w:lang w:eastAsia="en-GB"/>
              </w:rPr>
            </w:pPr>
          </w:p>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4 School administrators (i.e. headteachers</w:t>
            </w:r>
          </w:p>
          <w:p w:rsidR="005108ED" w:rsidRPr="009B3747" w:rsidRDefault="005108ED" w:rsidP="005108ED">
            <w:pPr>
              <w:spacing w:line="240" w:lineRule="auto"/>
              <w:rPr>
                <w:rFonts w:eastAsia="Times New Roman" w:cstheme="minorHAnsi"/>
                <w:sz w:val="24"/>
                <w:szCs w:val="24"/>
                <w:lang w:eastAsia="en-GB"/>
              </w:rPr>
            </w:pPr>
          </w:p>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3 District administrators</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Semi-structured Interviews (with school and district administrators)</w:t>
            </w:r>
          </w:p>
          <w:p w:rsidR="005108ED" w:rsidRPr="009B3747" w:rsidRDefault="005108ED" w:rsidP="005108ED">
            <w:pPr>
              <w:spacing w:line="240" w:lineRule="auto"/>
              <w:rPr>
                <w:rFonts w:eastAsia="Times New Roman" w:cstheme="minorHAnsi"/>
                <w:sz w:val="24"/>
                <w:szCs w:val="24"/>
                <w:lang w:eastAsia="en-GB"/>
              </w:rPr>
            </w:pPr>
          </w:p>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Focus groups (with parents and teachers)</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08ED" w:rsidRPr="009B3747" w:rsidRDefault="00E0026C" w:rsidP="005108E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Grounded theory approach</w:t>
            </w:r>
          </w:p>
        </w:tc>
      </w:tr>
      <w:tr w:rsidR="005108ED" w:rsidRPr="009B3747" w:rsidTr="00E0026C">
        <w:tc>
          <w:tcPr>
            <w:tcW w:w="3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Adolescent Obesity Prevention in Botswana: Beliefs and Recommendations of School</w:t>
            </w:r>
          </w:p>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Personnel</w:t>
            </w:r>
          </w:p>
          <w:p w:rsidR="005108ED" w:rsidRPr="009B3747" w:rsidRDefault="005108ED" w:rsidP="005108ED">
            <w:pPr>
              <w:spacing w:line="240" w:lineRule="auto"/>
              <w:rPr>
                <w:rFonts w:eastAsia="Times New Roman" w:cstheme="minorHAnsi"/>
                <w:sz w:val="24"/>
                <w:szCs w:val="24"/>
                <w:lang w:eastAsia="en-GB"/>
              </w:rPr>
            </w:pPr>
          </w:p>
          <w:p w:rsidR="005108ED" w:rsidRPr="009B3747" w:rsidRDefault="00E0026C" w:rsidP="005108ED">
            <w:pPr>
              <w:spacing w:line="240" w:lineRule="auto"/>
              <w:rPr>
                <w:rFonts w:eastAsia="Times New Roman" w:cstheme="minorHAnsi"/>
                <w:sz w:val="24"/>
                <w:szCs w:val="24"/>
                <w:lang w:eastAsia="en-GB"/>
              </w:rPr>
            </w:pPr>
            <w:r w:rsidRPr="009B3747">
              <w:rPr>
                <w:rFonts w:eastAsia="Times New Roman" w:cstheme="minorHAnsi"/>
                <w:i/>
                <w:iCs/>
                <w:color w:val="000000"/>
                <w:sz w:val="20"/>
                <w:szCs w:val="20"/>
                <w:lang w:eastAsia="en-GB"/>
              </w:rPr>
              <w:fldChar w:fldCharType="begin" w:fldLock="1"/>
            </w:r>
            <w:r w:rsidRPr="009B3747">
              <w:rPr>
                <w:rFonts w:eastAsia="Times New Roman" w:cstheme="minorHAnsi"/>
                <w:i/>
                <w:iCs/>
                <w:color w:val="000000"/>
                <w:sz w:val="20"/>
                <w:szCs w:val="20"/>
                <w:lang w:eastAsia="en-GB"/>
              </w:rPr>
              <w:instrText>ADDIN CSL_CITATION { "citationItems" : [ { "id" : "ITEM-1", "itemData" : { "DOI" : "10.1177/1059840511429003", "ISSN" : "1059-8405", "author" : [ { "dropping-particle" : "", "family" : "Shaibu", "given" : "Sheila", "non-dropping-particle" : "", "parse-names" : false, "suffix" : "" }, { "dropping-particle" : "", "family" : "Holsten", "given" : "Joanna E.", "non-dropping-particle" : "", "parse-names" : false, "suffix" : "" }, { "dropping-particle" : "", "family" : "Stettler", "given" : "Nicolas", "non-dropping-particle" : "", "parse-names" : false, "suffix" : "" }, { "dropping-particle" : "", "family" : "Maruapula", "given" : "Segametsi D.", "non-dropping-particle" : "", "parse-names" : false, "suffix" : "" }, { "dropping-particle" : "", "family" : "Jackson", "given" : "Jose C.", "non-dropping-particle" : "", "parse-names" : false, "suffix" : "" }, { "dropping-particle" : "", "family" : "Malete", "given" : "Leapetswe", "non-dropping-particle" : "", "parse-names" : false, "suffix" : "" }, { "dropping-particle" : "", "family" : "Mokone", "given" : "George", "non-dropping-particle" : "", "parse-names" : false, "suffix" : "" }, { "dropping-particle" : "", "family" : "Wrotniak", "given" : "Brian H.", "non-dropping-particle" : "", "parse-names" : false, "suffix" : "" }, { "dropping-particle" : "", "family" : "Compher", "given" : "Charlene W.", "non-dropping-particle" : "", "parse-names" : false, "suffix" : "" } ], "container-title" : "The Journal of School Nursing", "id" : "ITEM-1", "issue" : "3", "issued" : { "date-parts" : [ [ "2012", "6" ] ] }, "page" : "220-229", "title" : "Adolescent Obesity Prevention in Botswana", "type" : "article-journal", "volume" : "28" }, "uris" : [ "http://www.mendeley.com/documents/?uuid=c06e4e06-bdd2-3421-b846-4c6d0a19f232" ] } ], "mendeley" : { "formattedCitation" : "(Shaibu et al., 2012)", "plainTextFormattedCitation" : "(Shaibu et al., 2012)", "previouslyFormattedCitation" : "(Shaibu et al., 2012)" }, "properties" : { "noteIndex" : 0 }, "schema" : "https://github.com/citation-style-language/schema/raw/master/csl-citation.json" }</w:instrText>
            </w:r>
            <w:r w:rsidRPr="009B3747">
              <w:rPr>
                <w:rFonts w:eastAsia="Times New Roman" w:cstheme="minorHAnsi"/>
                <w:i/>
                <w:iCs/>
                <w:color w:val="000000"/>
                <w:sz w:val="20"/>
                <w:szCs w:val="20"/>
                <w:lang w:eastAsia="en-GB"/>
              </w:rPr>
              <w:fldChar w:fldCharType="separate"/>
            </w:r>
            <w:r w:rsidRPr="009B3747">
              <w:rPr>
                <w:rFonts w:eastAsia="Times New Roman" w:cstheme="minorHAnsi"/>
                <w:iCs/>
                <w:noProof/>
                <w:color w:val="000000"/>
                <w:sz w:val="20"/>
                <w:szCs w:val="20"/>
                <w:lang w:eastAsia="en-GB"/>
              </w:rPr>
              <w:t>(Shaibu et al., 2012)</w:t>
            </w:r>
            <w:r w:rsidRPr="009B3747">
              <w:rPr>
                <w:rFonts w:eastAsia="Times New Roman" w:cstheme="minorHAnsi"/>
                <w:i/>
                <w:iCs/>
                <w:color w:val="000000"/>
                <w:sz w:val="20"/>
                <w:szCs w:val="20"/>
                <w:lang w:eastAsia="en-GB"/>
              </w:rPr>
              <w:fldChar w:fldCharType="end"/>
            </w:r>
          </w:p>
        </w:tc>
        <w:tc>
          <w:tcPr>
            <w:tcW w:w="4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Exploration of student, parent,</w:t>
            </w:r>
          </w:p>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and school personnel’s views on overweight/obesity, dietary</w:t>
            </w:r>
          </w:p>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habits, physical activity, and body image </w:t>
            </w:r>
          </w:p>
          <w:p w:rsidR="005108ED" w:rsidRPr="009B3747" w:rsidRDefault="005108ED" w:rsidP="005108ED">
            <w:pPr>
              <w:spacing w:line="240" w:lineRule="auto"/>
              <w:rPr>
                <w:rFonts w:eastAsia="Times New Roman" w:cstheme="minorHAnsi"/>
                <w:sz w:val="24"/>
                <w:szCs w:val="24"/>
                <w:lang w:eastAsia="en-GB"/>
              </w:rPr>
            </w:pP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Secondary schools, </w:t>
            </w:r>
          </w:p>
          <w:p w:rsidR="005108ED" w:rsidRPr="009B3747" w:rsidRDefault="005108ED" w:rsidP="005108ED">
            <w:pPr>
              <w:spacing w:line="240" w:lineRule="auto"/>
              <w:rPr>
                <w:rFonts w:eastAsia="Times New Roman" w:cstheme="minorHAnsi"/>
                <w:sz w:val="24"/>
                <w:szCs w:val="24"/>
                <w:lang w:eastAsia="en-GB"/>
              </w:rPr>
            </w:pPr>
          </w:p>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Botswana</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18 Participants - </w:t>
            </w:r>
          </w:p>
          <w:p w:rsidR="005108ED" w:rsidRPr="009B3747" w:rsidRDefault="005108ED" w:rsidP="005108ED">
            <w:pPr>
              <w:spacing w:line="240" w:lineRule="auto"/>
              <w:rPr>
                <w:rFonts w:eastAsia="Times New Roman" w:cstheme="minorHAnsi"/>
                <w:sz w:val="24"/>
                <w:szCs w:val="24"/>
                <w:lang w:eastAsia="en-GB"/>
              </w:rPr>
            </w:pPr>
          </w:p>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6 School administrators</w:t>
            </w:r>
          </w:p>
          <w:p w:rsidR="005108ED" w:rsidRPr="009B3747" w:rsidRDefault="005108ED" w:rsidP="005108ED">
            <w:pPr>
              <w:spacing w:line="240" w:lineRule="auto"/>
              <w:rPr>
                <w:rFonts w:eastAsia="Times New Roman" w:cstheme="minorHAnsi"/>
                <w:sz w:val="24"/>
                <w:szCs w:val="24"/>
                <w:lang w:eastAsia="en-GB"/>
              </w:rPr>
            </w:pPr>
          </w:p>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6 Physical education teachers</w:t>
            </w:r>
          </w:p>
          <w:p w:rsidR="005108ED" w:rsidRPr="009B3747" w:rsidRDefault="005108ED" w:rsidP="005108ED">
            <w:pPr>
              <w:spacing w:line="240" w:lineRule="auto"/>
              <w:rPr>
                <w:rFonts w:eastAsia="Times New Roman" w:cstheme="minorHAnsi"/>
                <w:sz w:val="24"/>
                <w:szCs w:val="24"/>
                <w:lang w:eastAsia="en-GB"/>
              </w:rPr>
            </w:pPr>
          </w:p>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6 School food vendor managers</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Semi structured interviews</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Qualitative- Directed content</w:t>
            </w:r>
          </w:p>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analysis</w:t>
            </w:r>
          </w:p>
          <w:p w:rsidR="005108ED" w:rsidRPr="009B3747" w:rsidRDefault="005108ED" w:rsidP="005108ED">
            <w:pPr>
              <w:spacing w:line="240" w:lineRule="auto"/>
              <w:rPr>
                <w:rFonts w:eastAsia="Times New Roman" w:cstheme="minorHAnsi"/>
                <w:sz w:val="24"/>
                <w:szCs w:val="24"/>
                <w:lang w:eastAsia="en-GB"/>
              </w:rPr>
            </w:pPr>
          </w:p>
        </w:tc>
      </w:tr>
      <w:tr w:rsidR="005108ED" w:rsidRPr="009B3747" w:rsidTr="00E0026C">
        <w:tc>
          <w:tcPr>
            <w:tcW w:w="3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The school food environment and adolescent obesity: qualitative insights from high school principals and food service personnel</w:t>
            </w:r>
          </w:p>
          <w:p w:rsidR="005108ED" w:rsidRPr="009B3747" w:rsidRDefault="005108ED" w:rsidP="005108ED">
            <w:pPr>
              <w:spacing w:line="240" w:lineRule="auto"/>
              <w:rPr>
                <w:rFonts w:eastAsia="Times New Roman" w:cstheme="minorHAnsi"/>
                <w:sz w:val="24"/>
                <w:szCs w:val="24"/>
                <w:lang w:eastAsia="en-GB"/>
              </w:rPr>
            </w:pPr>
          </w:p>
          <w:p w:rsidR="005108ED" w:rsidRPr="009B3747" w:rsidRDefault="00E0026C" w:rsidP="005108ED">
            <w:pPr>
              <w:spacing w:line="240" w:lineRule="auto"/>
              <w:rPr>
                <w:rFonts w:eastAsia="Times New Roman" w:cstheme="minorHAnsi"/>
                <w:sz w:val="24"/>
                <w:szCs w:val="24"/>
                <w:lang w:eastAsia="en-GB"/>
              </w:rPr>
            </w:pPr>
            <w:r w:rsidRPr="009B3747">
              <w:rPr>
                <w:rFonts w:eastAsia="Times New Roman" w:cstheme="minorHAnsi"/>
                <w:i/>
                <w:iCs/>
                <w:color w:val="000000"/>
                <w:sz w:val="20"/>
                <w:szCs w:val="20"/>
                <w:lang w:eastAsia="en-GB"/>
              </w:rPr>
              <w:fldChar w:fldCharType="begin" w:fldLock="1"/>
            </w:r>
            <w:r w:rsidR="00395650" w:rsidRPr="009B3747">
              <w:rPr>
                <w:rFonts w:eastAsia="Times New Roman" w:cstheme="minorHAnsi"/>
                <w:i/>
                <w:iCs/>
                <w:color w:val="000000"/>
                <w:sz w:val="20"/>
                <w:szCs w:val="20"/>
                <w:lang w:eastAsia="en-GB"/>
              </w:rPr>
              <w:instrText>ADDIN CSL_CITATION { "citationItems" : [ { "id" : "ITEM-1", "itemData" : { "author" : [ { "dropping-particle" : "", "family" : "Nollen", "given" : "NL", "non-dropping-particle" : "", "parse-names" : false, "suffix" : "" }, { "dropping-particle" : "", "family" : "Befort", "given" : "CA", "non-dropping-particle" : "", "parse-names" : false, "suffix" : "" }, { "dropping-particle" : "", "family" : "Snow", "given" : "P", "non-dropping-particle" : "", "parse-names" : false, "suffix" : "" } ], "container-title" : "\u2026 and Physical Activity", "id" : "ITEM-1", "issue" : "1", "issued" : { "date-parts" : [ [ "2007" ] ] }, "page" : "18", "title" : "The school food environment and adolescent obesity: qualitative insights from high school principals and food service personnel", "type" : "article-journal", "volume" : "4" }, "uris" : [ "http://www.mendeley.com/documents/?uuid=ecb43609-8e4b-4c3d-aeb3-462b0e9fd641" ] } ], "mendeley" : { "formattedCitation" : "(Nollen et al., 2007)", "plainTextFormattedCitation" : "(Nollen et al., 2007)", "previouslyFormattedCitation" : "(Nollen et al., 2007)" }, "properties" : { "noteIndex" : 0 }, "schema" : "https://github.com/citation-style-language/schema/raw/master/csl-citation.json" }</w:instrText>
            </w:r>
            <w:r w:rsidRPr="009B3747">
              <w:rPr>
                <w:rFonts w:eastAsia="Times New Roman" w:cstheme="minorHAnsi"/>
                <w:i/>
                <w:iCs/>
                <w:color w:val="000000"/>
                <w:sz w:val="20"/>
                <w:szCs w:val="20"/>
                <w:lang w:eastAsia="en-GB"/>
              </w:rPr>
              <w:fldChar w:fldCharType="separate"/>
            </w:r>
            <w:r w:rsidRPr="009B3747">
              <w:rPr>
                <w:rFonts w:eastAsia="Times New Roman" w:cstheme="minorHAnsi"/>
                <w:iCs/>
                <w:noProof/>
                <w:color w:val="000000"/>
                <w:sz w:val="20"/>
                <w:szCs w:val="20"/>
                <w:lang w:eastAsia="en-GB"/>
              </w:rPr>
              <w:t>(Nollen et al., 2007)</w:t>
            </w:r>
            <w:r w:rsidRPr="009B3747">
              <w:rPr>
                <w:rFonts w:eastAsia="Times New Roman" w:cstheme="minorHAnsi"/>
                <w:i/>
                <w:iCs/>
                <w:color w:val="000000"/>
                <w:sz w:val="20"/>
                <w:szCs w:val="20"/>
                <w:lang w:eastAsia="en-GB"/>
              </w:rPr>
              <w:fldChar w:fldCharType="end"/>
            </w:r>
          </w:p>
        </w:tc>
        <w:tc>
          <w:tcPr>
            <w:tcW w:w="4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Examine high school personnel's perceptions of the school environment, its impact on obesity, and the potential impact of legislation regulating schools' food/beverage offerings.</w:t>
            </w:r>
          </w:p>
          <w:p w:rsidR="005108ED" w:rsidRPr="009B3747" w:rsidRDefault="005108ED" w:rsidP="005108ED">
            <w:pPr>
              <w:spacing w:line="240" w:lineRule="auto"/>
              <w:rPr>
                <w:rFonts w:eastAsia="Times New Roman" w:cstheme="minorHAnsi"/>
                <w:sz w:val="24"/>
                <w:szCs w:val="24"/>
                <w:lang w:eastAsia="en-GB"/>
              </w:rPr>
            </w:pP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High schools (secondary level education), </w:t>
            </w:r>
          </w:p>
          <w:p w:rsidR="005108ED" w:rsidRPr="009B3747" w:rsidRDefault="005108ED" w:rsidP="005108ED">
            <w:pPr>
              <w:spacing w:line="240" w:lineRule="auto"/>
              <w:rPr>
                <w:rFonts w:eastAsia="Times New Roman" w:cstheme="minorHAnsi"/>
                <w:sz w:val="24"/>
                <w:szCs w:val="24"/>
                <w:lang w:eastAsia="en-GB"/>
              </w:rPr>
            </w:pPr>
          </w:p>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USA</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15 Participants - </w:t>
            </w:r>
          </w:p>
          <w:p w:rsidR="005108ED" w:rsidRPr="009B3747" w:rsidRDefault="005108ED" w:rsidP="005108ED">
            <w:pPr>
              <w:spacing w:line="240" w:lineRule="auto"/>
              <w:rPr>
                <w:rFonts w:eastAsia="Times New Roman" w:cstheme="minorHAnsi"/>
                <w:sz w:val="24"/>
                <w:szCs w:val="24"/>
                <w:lang w:eastAsia="en-GB"/>
              </w:rPr>
            </w:pPr>
          </w:p>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8 School principals (i.e. headteachers)</w:t>
            </w:r>
          </w:p>
          <w:p w:rsidR="005108ED" w:rsidRPr="009B3747" w:rsidRDefault="005108ED" w:rsidP="005108ED">
            <w:pPr>
              <w:spacing w:line="240" w:lineRule="auto"/>
              <w:rPr>
                <w:rFonts w:eastAsia="Times New Roman" w:cstheme="minorHAnsi"/>
                <w:sz w:val="24"/>
                <w:szCs w:val="24"/>
                <w:lang w:eastAsia="en-GB"/>
              </w:rPr>
            </w:pPr>
          </w:p>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7 Dietician/food service managers </w:t>
            </w:r>
          </w:p>
          <w:p w:rsidR="005108ED" w:rsidRPr="009B3747" w:rsidRDefault="005108ED" w:rsidP="005108ED">
            <w:pPr>
              <w:spacing w:line="240" w:lineRule="auto"/>
              <w:rPr>
                <w:rFonts w:eastAsia="Times New Roman" w:cstheme="minorHAnsi"/>
                <w:sz w:val="24"/>
                <w:szCs w:val="24"/>
                <w:lang w:eastAsia="en-GB"/>
              </w:rPr>
            </w:pP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Semi structured interviews </w:t>
            </w:r>
          </w:p>
          <w:p w:rsidR="005108ED" w:rsidRPr="009B3747" w:rsidRDefault="005108ED" w:rsidP="005108ED">
            <w:pPr>
              <w:spacing w:line="240" w:lineRule="auto"/>
              <w:rPr>
                <w:rFonts w:eastAsia="Times New Roman" w:cstheme="minorHAnsi"/>
                <w:sz w:val="24"/>
                <w:szCs w:val="24"/>
                <w:lang w:eastAsia="en-GB"/>
              </w:rPr>
            </w:pP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08ED" w:rsidRPr="009B3747" w:rsidRDefault="005108ED" w:rsidP="005108E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Grounded theory approach</w:t>
            </w:r>
          </w:p>
        </w:tc>
      </w:tr>
    </w:tbl>
    <w:p w:rsidR="00AD72F8" w:rsidRPr="009B3747" w:rsidRDefault="00AD72F8" w:rsidP="003F1507">
      <w:pPr>
        <w:rPr>
          <w:rFonts w:eastAsia="Times New Roman" w:cstheme="minorHAnsi"/>
          <w:color w:val="000000"/>
          <w:lang w:eastAsia="en-GB"/>
        </w:rPr>
        <w:sectPr w:rsidR="00AD72F8" w:rsidRPr="009B3747" w:rsidSect="00AD72F8">
          <w:pgSz w:w="16838" w:h="11906" w:orient="landscape"/>
          <w:pgMar w:top="1440" w:right="1440" w:bottom="1440" w:left="1440" w:header="709" w:footer="709" w:gutter="0"/>
          <w:cols w:space="708"/>
          <w:docGrid w:linePitch="360"/>
        </w:sectPr>
      </w:pPr>
    </w:p>
    <w:p w:rsidR="003F1507" w:rsidRPr="009B3747" w:rsidRDefault="003F1507" w:rsidP="003F1507">
      <w:pPr>
        <w:rPr>
          <w:rFonts w:eastAsia="Times New Roman" w:cstheme="minorHAnsi"/>
          <w:color w:val="000000"/>
          <w:lang w:eastAsia="en-GB"/>
        </w:rPr>
      </w:pPr>
      <w:r w:rsidRPr="009B3747">
        <w:rPr>
          <w:rFonts w:eastAsia="Times New Roman" w:cstheme="minorHAnsi"/>
          <w:color w:val="000000"/>
          <w:lang w:eastAsia="en-GB"/>
        </w:rPr>
        <w:lastRenderedPageBreak/>
        <w:t>N</w:t>
      </w:r>
      <w:r w:rsidR="00C93EF6">
        <w:rPr>
          <w:rFonts w:eastAsia="Times New Roman" w:cstheme="minorHAnsi"/>
          <w:color w:val="000000"/>
          <w:lang w:eastAsia="en-GB"/>
        </w:rPr>
        <w:t xml:space="preserve">o empirical peer-reviewed study, </w:t>
      </w:r>
      <w:r w:rsidRPr="009B3747">
        <w:rPr>
          <w:rFonts w:eastAsia="Times New Roman" w:cstheme="minorHAnsi"/>
          <w:color w:val="000000"/>
          <w:lang w:eastAsia="en-GB"/>
        </w:rPr>
        <w:t>either at a primary or secondary school level could be identified which focused on or included the perspectives of any school governors regarding childhood or adolescent obesity.  Each of the included studies provided differing levels of information regarding the demographic profile of participants, with al</w:t>
      </w:r>
      <w:r w:rsidR="00273991">
        <w:rPr>
          <w:rFonts w:eastAsia="Times New Roman" w:cstheme="minorHAnsi"/>
          <w:color w:val="000000"/>
          <w:lang w:eastAsia="en-GB"/>
        </w:rPr>
        <w:t xml:space="preserve">l stating participant role type, </w:t>
      </w:r>
      <w:r w:rsidRPr="009B3747">
        <w:rPr>
          <w:rFonts w:eastAsia="Times New Roman" w:cstheme="minorHAnsi"/>
          <w:color w:val="000000"/>
          <w:lang w:eastAsia="en-GB"/>
        </w:rPr>
        <w:t xml:space="preserve">i.e. headteacher or deputy headteacher, but only three stating the gender of participants (all UK based).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Five of the six selected articles utilised semi-structured interviews as their method for data collection, with one study employing both semi-structured interviews and focus groups</w:t>
      </w:r>
      <w:r w:rsidR="00E0026C" w:rsidRPr="009B3747">
        <w:rPr>
          <w:rFonts w:eastAsia="Times New Roman" w:cstheme="minorHAnsi"/>
          <w:color w:val="000000"/>
          <w:lang w:eastAsia="en-GB"/>
        </w:rPr>
        <w:t xml:space="preserve"> </w:t>
      </w:r>
      <w:r w:rsidR="00E0026C"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"Tripp", "given" : "PJ", "non-dropping-particle" : "", "parse-names" : false, "suffix" : "" }, { "dropping-particle" : "", "family" : "Choi", "given" : "JY", "non-dropping-particle" : "", "parse-names" : false, "suffix" : "" } ], "container-title" : "Journal of Family &amp; Consumer Sciences", "id" : "ITEM-1", "issue" : "4", "issued" : { "date-parts" : [ [ "2014" ] ] }, "page" : "33-39", "title" : "Perceptions of Childhood Obesity Among Rural Parents, Teachers, and School Administrators", "type" : "article-journal", "volume" : "106" }, "uris" : [ "http://www.mendeley.com/documents/?uuid=2246024a-fa0a-45b4-96c6-dae9939771a8" ] } ], "mendeley" : { "formattedCitation" : "(Tripp and Choi, 2014)", "plainTextFormattedCitation" : "(Tripp and Choi, 2014)", "previouslyFormattedCitation" : "(Tripp and Choi, 2014)" }, "properties" : { "noteIndex" : 0 }, "schema" : "https://github.com/citation-style-language/schema/raw/master/csl-citation.json" }</w:instrText>
      </w:r>
      <w:r w:rsidR="00E0026C" w:rsidRPr="009B3747">
        <w:rPr>
          <w:rFonts w:eastAsia="Times New Roman" w:cstheme="minorHAnsi"/>
          <w:color w:val="000000"/>
          <w:lang w:eastAsia="en-GB"/>
        </w:rPr>
        <w:fldChar w:fldCharType="separate"/>
      </w:r>
      <w:r w:rsidR="00E0026C" w:rsidRPr="009B3747">
        <w:rPr>
          <w:rFonts w:eastAsia="Times New Roman" w:cstheme="minorHAnsi"/>
          <w:noProof/>
          <w:color w:val="000000"/>
          <w:lang w:eastAsia="en-GB"/>
        </w:rPr>
        <w:t>(Tripp and Choi, 2014)</w:t>
      </w:r>
      <w:r w:rsidR="00E0026C" w:rsidRPr="009B3747">
        <w:rPr>
          <w:rFonts w:eastAsia="Times New Roman" w:cstheme="minorHAnsi"/>
          <w:color w:val="000000"/>
          <w:lang w:eastAsia="en-GB"/>
        </w:rPr>
        <w:fldChar w:fldCharType="end"/>
      </w:r>
      <w:r w:rsidRPr="009B3747">
        <w:rPr>
          <w:rFonts w:eastAsia="Times New Roman" w:cstheme="minorHAnsi"/>
          <w:color w:val="000000"/>
          <w:lang w:eastAsia="en-GB"/>
        </w:rPr>
        <w:t>.  Across the six studies a variety of approaches were reported for analysing resultant qualitative data, including thematic analysis</w:t>
      </w:r>
      <w:r w:rsidR="00E0026C" w:rsidRPr="009B3747">
        <w:rPr>
          <w:rFonts w:eastAsia="Times New Roman" w:cstheme="minorHAnsi"/>
          <w:color w:val="000000"/>
          <w:lang w:eastAsia="en-GB"/>
        </w:rPr>
        <w:t xml:space="preserve"> </w:t>
      </w:r>
      <w:r w:rsidR="00E0026C"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"Howard-Drake", "given" : "EJ", "non-dropping-particle" : "", "parse-names" : false, "suffix" : "" }, { "dropping-particle" : "", "family" : "Halliday", "given" : "V", "non-dropping-particle" : "", "parse-names" : false, "suffix" : "" } ], "container-title" : "Journal of Public Health", "id" : "ITEM-1", "issue" : "1", "issued" : { "date-parts" : [ [ "2015" ] ] }, "page" : "44-52", "title" : "Exploring primary school headteachers' perspectives on the barriers and facilitators of preventing childhood obesity", "type" : "article-journal", "volume" : "38" }, "uris" : [ "http://www.mendeley.com/documents/?uuid=5809992c-2717-4e23-9b1e-b80b2a030870" ] }, { "id" : "ITEM-2", "itemData" : { "author" : [ { "dropping-particle" : "", "family" : "Todd", "given" : "C", "non-dropping-particle" : "", "parse-names" : false, "suffix" : "" }, { "dropping-particle" : "", "family" : "Christian", "given" : "D", "non-dropping-particle" : "", "parse-names" : false, "suffix" : "" }, { "dropping-particle" : "", "family" : "Davies", "given" : "H", "non-dropping-particle" : "", "parse-names" : false, "suffix" : "" } ], "container-title" : "BMC research \u2026", "id" : "ITEM-2", "issue" : "1", "issued" : { "date-parts" : [ [ "2015" ] ] }, "page" : "161", "title" : "Headteachers' prior beliefs on child health and their engagement in school based health interventions: a qualitative study", "type" : "article-journal", "volume" : "8" }, "uris" : [ "http://www.mendeley.com/documents/?uuid=9a740b7c-28ec-4b9a-99a5-b768fe7c3a4e" ] } ], "mendeley" : { "formattedCitation" : "(Howard-Drake and Halliday, 2015; Todd et al., 2015)", "manualFormatting" : "(Howard-Drake and Halliday, 2015; Todd et al., 2015)", "plainTextFormattedCitation" : "(Howard-Drake and Halliday, 2015; Todd et al., 2015)", "previouslyFormattedCitation" : "(Howard-Drake and Halliday, 2015; Todd et al., 2015)" }, "properties" : { "noteIndex" : 0 }, "schema" : "https://github.com/citation-style-language/schema/raw/master/csl-citation.json" }</w:instrText>
      </w:r>
      <w:r w:rsidR="00E0026C" w:rsidRPr="009B3747">
        <w:rPr>
          <w:rFonts w:eastAsia="Times New Roman" w:cstheme="minorHAnsi"/>
          <w:color w:val="000000"/>
          <w:lang w:eastAsia="en-GB"/>
        </w:rPr>
        <w:fldChar w:fldCharType="separate"/>
      </w:r>
      <w:r w:rsidR="00E0026C" w:rsidRPr="009B3747">
        <w:rPr>
          <w:rFonts w:eastAsia="Times New Roman" w:cstheme="minorHAnsi"/>
          <w:noProof/>
          <w:color w:val="000000"/>
          <w:lang w:eastAsia="en-GB"/>
        </w:rPr>
        <w:t>(Howard-Drake and Halliday, 2015; Todd et al., 2015)</w:t>
      </w:r>
      <w:r w:rsidR="00E0026C" w:rsidRPr="009B3747">
        <w:rPr>
          <w:rFonts w:eastAsia="Times New Roman" w:cstheme="minorHAnsi"/>
          <w:color w:val="000000"/>
          <w:lang w:eastAsia="en-GB"/>
        </w:rPr>
        <w:fldChar w:fldCharType="end"/>
      </w:r>
      <w:r w:rsidRPr="009B3747">
        <w:rPr>
          <w:rFonts w:eastAsia="Times New Roman" w:cstheme="minorHAnsi"/>
          <w:color w:val="000000"/>
          <w:lang w:eastAsia="en-GB"/>
        </w:rPr>
        <w:t>, framework analysis</w:t>
      </w:r>
      <w:r w:rsidR="00E0026C" w:rsidRPr="009B3747">
        <w:rPr>
          <w:rFonts w:eastAsia="Times New Roman" w:cstheme="minorHAnsi"/>
          <w:color w:val="000000"/>
          <w:lang w:eastAsia="en-GB"/>
        </w:rPr>
        <w:t xml:space="preserve"> </w:t>
      </w:r>
      <w:r w:rsidR="00E0026C" w:rsidRPr="009B3747">
        <w:rPr>
          <w:rFonts w:eastAsia="Times New Roman" w:cstheme="minorHAnsi"/>
          <w:color w:val="000000"/>
          <w:lang w:eastAsia="en-GB"/>
        </w:rPr>
        <w:fldChar w:fldCharType="begin" w:fldLock="1"/>
      </w:r>
      <w:r w:rsidR="00E0026C" w:rsidRPr="009B3747">
        <w:rPr>
          <w:rFonts w:eastAsia="Times New Roman" w:cstheme="minorHAnsi"/>
          <w:color w:val="000000"/>
          <w:lang w:eastAsia="en-GB"/>
        </w:rPr>
        <w:instrText>ADDIN CSL_CITATION { "citationItems" : [ { "id" : "ITEM-1", "itemData" : { "DOI" : "10.1016/j.appet.2014.12.121", "ISSN" : "01956663", "author" : [ { "dropping-particle" : "", "family" : "Clarke", "given" : "J.", "non-dropping-particle" : "", "parse-names" : false, "suffix" : "" }, { "dropping-particle" : "", "family" : "Lancashire", "given" : "E.", "non-dropping-particle" : "", "parse-names" : false, "suffix" : "" }, { "dropping-particle" : "", "family" : "Pallan", "given" : "M.", "non-dropping-particle" : "", "parse-names" : false, "suffix" : "" }, { "dropping-particle" : "", "family" : "Adab", "given" : "P.", "non-dropping-particle" : "", "parse-names" : false, "suffix" : "" } ], "container-title" : "Appetite", "id" : "ITEM-1", "issued" : { "date-parts" : [ [ "2015", "4" ] ] }, "page" : "377", "title" : "Headteacher perspectives on the role of the primary school in preventing childhood obesity", "type" : "article-journal", "volume" : "87" }, "uris" : [ "http://www.mendeley.com/documents/?uuid=ac79f162-74f2-49d2-a629-f4abdfb486ea" ] } ], "mendeley" : { "formattedCitation" : "(Clarke et al., 2015)", "plainTextFormattedCitation" : "(Clarke et al., 2015)", "previouslyFormattedCitation" : "(Clarke et al., 2015)" }, "properties" : { "noteIndex" : 0 }, "schema" : "https://github.com/citation-style-language/schema/raw/master/csl-citation.json" }</w:instrText>
      </w:r>
      <w:r w:rsidR="00E0026C" w:rsidRPr="009B3747">
        <w:rPr>
          <w:rFonts w:eastAsia="Times New Roman" w:cstheme="minorHAnsi"/>
          <w:color w:val="000000"/>
          <w:lang w:eastAsia="en-GB"/>
        </w:rPr>
        <w:fldChar w:fldCharType="separate"/>
      </w:r>
      <w:r w:rsidR="00E0026C" w:rsidRPr="009B3747">
        <w:rPr>
          <w:rFonts w:eastAsia="Times New Roman" w:cstheme="minorHAnsi"/>
          <w:noProof/>
          <w:color w:val="000000"/>
          <w:lang w:eastAsia="en-GB"/>
        </w:rPr>
        <w:t>(Clarke et al., 2015)</w:t>
      </w:r>
      <w:r w:rsidR="00E0026C" w:rsidRPr="009B3747">
        <w:rPr>
          <w:rFonts w:eastAsia="Times New Roman" w:cstheme="minorHAnsi"/>
          <w:color w:val="000000"/>
          <w:lang w:eastAsia="en-GB"/>
        </w:rPr>
        <w:fldChar w:fldCharType="end"/>
      </w:r>
      <w:r w:rsidR="00E0026C" w:rsidRPr="009B3747">
        <w:rPr>
          <w:rFonts w:eastAsia="Times New Roman" w:cstheme="minorHAnsi"/>
          <w:color w:val="000000"/>
          <w:lang w:eastAsia="en-GB"/>
        </w:rPr>
        <w:t xml:space="preserve">, grounded theory </w:t>
      </w:r>
      <w:r w:rsidR="00E0026C"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"Nollen", "given" : "NL", "non-dropping-particle" : "", "parse-names" : false, "suffix" : "" }, { "dropping-particle" : "", "family" : "Befort", "given" : "CA", "non-dropping-particle" : "", "parse-names" : false, "suffix" : "" }, { "dropping-particle" : "", "family" : "Snow", "given" : "P", "non-dropping-particle" : "", "parse-names" : false, "suffix" : "" } ], "container-title" : "\u2026 and Physical Activity", "id" : "ITEM-1", "issue" : "1", "issued" : { "date-parts" : [ [ "2007" ] ] }, "page" : "18", "title" : "The school food environment and adolescent obesity: qualitative insights from high school principals and food service personnel", "type" : "article-journal", "volume" : "4" }, "uris" : [ "http://www.mendeley.com/documents/?uuid=ecb43609-8e4b-4c3d-aeb3-462b0e9fd641" ] }, { "id" : "ITEM-2", "itemData" : { "author" : [ { "dropping-particle" : "", "family" : "Tripp", "given" : "PJ", "non-dropping-particle" : "", "parse-names" : false, "suffix" : "" }, { "dropping-particle" : "", "family" : "Choi", "given" : "JY", "non-dropping-particle" : "", "parse-names" : false, "suffix" : "" } ], "container-title" : "Journal of Family &amp; Consumer Sciences", "id" : "ITEM-2", "issue" : "4", "issued" : { "date-parts" : [ [ "2014" ] ] }, "page" : "33-39", "title" : "Perceptions of Childhood Obesity Among Rural Parents, Teachers, and School Administrators", "type" : "article-journal", "volume" : "106" }, "uris" : [ "http://www.mendeley.com/documents/?uuid=2246024a-fa0a-45b4-96c6-dae9939771a8" ] } ], "mendeley" : { "formattedCitation" : "(Nollen et al., 2007; Tripp and Choi, 2014)", "plainTextFormattedCitation" : "(Nollen et al., 2007; Tripp and Choi, 2014)", "previouslyFormattedCitation" : "(Nollen et al., 2007; Tripp and Choi, 2014)" }, "properties" : { "noteIndex" : 0 }, "schema" : "https://github.com/citation-style-language/schema/raw/master/csl-citation.json" }</w:instrText>
      </w:r>
      <w:r w:rsidR="00E0026C" w:rsidRPr="009B3747">
        <w:rPr>
          <w:rFonts w:eastAsia="Times New Roman" w:cstheme="minorHAnsi"/>
          <w:color w:val="000000"/>
          <w:lang w:eastAsia="en-GB"/>
        </w:rPr>
        <w:fldChar w:fldCharType="separate"/>
      </w:r>
      <w:r w:rsidR="00E0026C" w:rsidRPr="009B3747">
        <w:rPr>
          <w:rFonts w:eastAsia="Times New Roman" w:cstheme="minorHAnsi"/>
          <w:noProof/>
          <w:color w:val="000000"/>
          <w:lang w:eastAsia="en-GB"/>
        </w:rPr>
        <w:t>(Nollen et al., 2007; Tripp and Choi, 2014)</w:t>
      </w:r>
      <w:r w:rsidR="00E0026C" w:rsidRPr="009B3747">
        <w:rPr>
          <w:rFonts w:eastAsia="Times New Roman" w:cstheme="minorHAnsi"/>
          <w:color w:val="000000"/>
          <w:lang w:eastAsia="en-GB"/>
        </w:rPr>
        <w:fldChar w:fldCharType="end"/>
      </w:r>
      <w:r w:rsidR="00E0026C" w:rsidRPr="009B3747">
        <w:rPr>
          <w:rFonts w:eastAsia="Times New Roman" w:cstheme="minorHAnsi"/>
          <w:color w:val="000000"/>
          <w:lang w:eastAsia="en-GB"/>
        </w:rPr>
        <w:t xml:space="preserve"> </w:t>
      </w:r>
      <w:r w:rsidRPr="009B3747">
        <w:rPr>
          <w:rFonts w:eastAsia="Times New Roman" w:cstheme="minorHAnsi"/>
          <w:color w:val="000000"/>
          <w:lang w:eastAsia="en-GB"/>
        </w:rPr>
        <w:t>and qualitative-directed content analysis</w:t>
      </w:r>
      <w:r w:rsidR="00E0026C" w:rsidRPr="009B3747">
        <w:rPr>
          <w:rFonts w:eastAsia="Times New Roman" w:cstheme="minorHAnsi"/>
          <w:color w:val="000000"/>
          <w:lang w:eastAsia="en-GB"/>
        </w:rPr>
        <w:t xml:space="preserve"> </w:t>
      </w:r>
      <w:r w:rsidR="00E0026C" w:rsidRPr="009B3747">
        <w:rPr>
          <w:rFonts w:eastAsia="Times New Roman" w:cstheme="minorHAnsi"/>
          <w:color w:val="000000"/>
          <w:lang w:eastAsia="en-GB"/>
        </w:rPr>
        <w:fldChar w:fldCharType="begin" w:fldLock="1"/>
      </w:r>
      <w:r w:rsidR="00E0026C" w:rsidRPr="009B3747">
        <w:rPr>
          <w:rFonts w:eastAsia="Times New Roman" w:cstheme="minorHAnsi"/>
          <w:color w:val="000000"/>
          <w:lang w:eastAsia="en-GB"/>
        </w:rPr>
        <w:instrText>ADDIN CSL_CITATION { "citationItems" : [ { "id" : "ITEM-1", "itemData" : { "DOI" : "10.1177/1059840511429003", "ISSN" : "1059-8405", "author" : [ { "dropping-particle" : "", "family" : "Shaibu", "given" : "Sheila", "non-dropping-particle" : "", "parse-names" : false, "suffix" : "" }, { "dropping-particle" : "", "family" : "Holsten", "given" : "Joanna E.", "non-dropping-particle" : "", "parse-names" : false, "suffix" : "" }, { "dropping-particle" : "", "family" : "Stettler", "given" : "Nicolas", "non-dropping-particle" : "", "parse-names" : false, "suffix" : "" }, { "dropping-particle" : "", "family" : "Maruapula", "given" : "Segametsi D.", "non-dropping-particle" : "", "parse-names" : false, "suffix" : "" }, { "dropping-particle" : "", "family" : "Jackson", "given" : "Jose C.", "non-dropping-particle" : "", "parse-names" : false, "suffix" : "" }, { "dropping-particle" : "", "family" : "Malete", "given" : "Leapetswe", "non-dropping-particle" : "", "parse-names" : false, "suffix" : "" }, { "dropping-particle" : "", "family" : "Mokone", "given" : "George", "non-dropping-particle" : "", "parse-names" : false, "suffix" : "" }, { "dropping-particle" : "", "family" : "Wrotniak", "given" : "Brian H.", "non-dropping-particle" : "", "parse-names" : false, "suffix" : "" }, { "dropping-particle" : "", "family" : "Compher", "given" : "Charlene W.", "non-dropping-particle" : "", "parse-names" : false, "suffix" : "" } ], "container-title" : "The Journal of School Nursing", "id" : "ITEM-1", "issue" : "3", "issued" : { "date-parts" : [ [ "2012", "6" ] ] }, "page" : "220-229", "title" : "Adolescent Obesity Prevention in Botswana", "type" : "article-journal", "volume" : "28" }, "uris" : [ "http://www.mendeley.com/documents/?uuid=c06e4e06-bdd2-3421-b846-4c6d0a19f232" ] } ], "mendeley" : { "formattedCitation" : "(Shaibu et al., 2012)", "plainTextFormattedCitation" : "(Shaibu et al., 2012)", "previouslyFormattedCitation" : "(Shaibu et al., 2012)" }, "properties" : { "noteIndex" : 0 }, "schema" : "https://github.com/citation-style-language/schema/raw/master/csl-citation.json" }</w:instrText>
      </w:r>
      <w:r w:rsidR="00E0026C" w:rsidRPr="009B3747">
        <w:rPr>
          <w:rFonts w:eastAsia="Times New Roman" w:cstheme="minorHAnsi"/>
          <w:color w:val="000000"/>
          <w:lang w:eastAsia="en-GB"/>
        </w:rPr>
        <w:fldChar w:fldCharType="separate"/>
      </w:r>
      <w:r w:rsidR="00E0026C" w:rsidRPr="009B3747">
        <w:rPr>
          <w:rFonts w:eastAsia="Times New Roman" w:cstheme="minorHAnsi"/>
          <w:noProof/>
          <w:color w:val="000000"/>
          <w:lang w:eastAsia="en-GB"/>
        </w:rPr>
        <w:t>(Shaibu et al., 2012)</w:t>
      </w:r>
      <w:r w:rsidR="00E0026C" w:rsidRPr="009B3747">
        <w:rPr>
          <w:rFonts w:eastAsia="Times New Roman" w:cstheme="minorHAnsi"/>
          <w:color w:val="000000"/>
          <w:lang w:eastAsia="en-GB"/>
        </w:rPr>
        <w:fldChar w:fldCharType="end"/>
      </w:r>
      <w:r w:rsidRPr="009B3747">
        <w:rPr>
          <w:rFonts w:eastAsia="Times New Roman" w:cstheme="minorHAnsi"/>
          <w:color w:val="000000"/>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983506" w:rsidP="003F1507">
      <w:pPr>
        <w:rPr>
          <w:rFonts w:eastAsia="Times New Roman" w:cstheme="minorHAnsi"/>
          <w:sz w:val="24"/>
          <w:szCs w:val="24"/>
          <w:lang w:eastAsia="en-GB"/>
        </w:rPr>
      </w:pPr>
      <w:r w:rsidRPr="009B3747">
        <w:rPr>
          <w:rFonts w:eastAsia="Times New Roman" w:cstheme="minorHAnsi"/>
          <w:color w:val="000000"/>
          <w:u w:val="single"/>
          <w:lang w:eastAsia="en-GB"/>
        </w:rPr>
        <w:t>3</w:t>
      </w:r>
      <w:r w:rsidR="008D6B5D" w:rsidRPr="009B3747">
        <w:rPr>
          <w:rFonts w:eastAsia="Times New Roman" w:cstheme="minorHAnsi"/>
          <w:color w:val="000000"/>
          <w:u w:val="single"/>
          <w:lang w:eastAsia="en-GB"/>
        </w:rPr>
        <w:t>.4.3</w:t>
      </w:r>
      <w:r w:rsidR="003F1507" w:rsidRPr="009B3747">
        <w:rPr>
          <w:rFonts w:eastAsia="Times New Roman" w:cstheme="minorHAnsi"/>
          <w:color w:val="000000"/>
          <w:u w:val="single"/>
          <w:lang w:eastAsia="en-GB"/>
        </w:rPr>
        <w:t xml:space="preserve"> </w:t>
      </w:r>
      <w:r w:rsidRPr="009B3747">
        <w:rPr>
          <w:rFonts w:eastAsia="Times New Roman" w:cstheme="minorHAnsi"/>
          <w:color w:val="000000"/>
          <w:u w:val="single"/>
          <w:lang w:eastAsia="en-GB"/>
        </w:rPr>
        <w:t>Results of q</w:t>
      </w:r>
      <w:r w:rsidR="003F1507" w:rsidRPr="009B3747">
        <w:rPr>
          <w:rFonts w:eastAsia="Times New Roman" w:cstheme="minorHAnsi"/>
          <w:color w:val="000000"/>
          <w:u w:val="single"/>
          <w:lang w:eastAsia="en-GB"/>
        </w:rPr>
        <w:t>uality assessment</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 xml:space="preserve">As </w:t>
      </w:r>
      <w:r w:rsidR="00983506" w:rsidRPr="009B3747">
        <w:rPr>
          <w:rFonts w:eastAsia="Times New Roman" w:cstheme="minorHAnsi"/>
          <w:color w:val="000000"/>
          <w:lang w:eastAsia="en-GB"/>
        </w:rPr>
        <w:t>previously detailed in section 3</w:t>
      </w:r>
      <w:r w:rsidR="00E0026C" w:rsidRPr="009B3747">
        <w:rPr>
          <w:rFonts w:eastAsia="Times New Roman" w:cstheme="minorHAnsi"/>
          <w:color w:val="000000"/>
          <w:lang w:eastAsia="en-GB"/>
        </w:rPr>
        <w:t>.3.3</w:t>
      </w:r>
      <w:r w:rsidRPr="009B3747">
        <w:rPr>
          <w:rFonts w:eastAsia="Times New Roman" w:cstheme="minorHAnsi"/>
          <w:color w:val="000000"/>
          <w:lang w:eastAsia="en-GB"/>
        </w:rPr>
        <w:t>, the Critical Appraisal Skills Programme checklist for qualitative research</w:t>
      </w:r>
      <w:r w:rsidR="00E0026C" w:rsidRPr="009B3747">
        <w:rPr>
          <w:rFonts w:eastAsia="Times New Roman" w:cstheme="minorHAnsi"/>
          <w:color w:val="000000"/>
          <w:lang w:eastAsia="en-GB"/>
        </w:rPr>
        <w:t xml:space="preserve"> </w:t>
      </w:r>
      <w:r w:rsidR="00E0026C" w:rsidRPr="009B3747">
        <w:rPr>
          <w:rFonts w:eastAsia="Times New Roman" w:cstheme="minorHAnsi"/>
          <w:color w:val="000000"/>
          <w:lang w:eastAsia="en-GB"/>
        </w:rPr>
        <w:fldChar w:fldCharType="begin" w:fldLock="1"/>
      </w:r>
      <w:r w:rsidR="008D6B5D" w:rsidRPr="009B3747">
        <w:rPr>
          <w:rFonts w:eastAsia="Times New Roman" w:cstheme="minorHAnsi"/>
          <w:color w:val="000000"/>
          <w:lang w:eastAsia="en-GB"/>
        </w:rPr>
        <w:instrText>ADDIN CSL_CITATION { "citationItems" : [ { "id" : "ITEM-1", "itemData" : { "URL" : "http://media.wix.com/ugd/dded87_29c5b002d99342f788c6ac670e49f274.pdf", "abstract" : "Critical Appraisal Skills Programme (CASP) 2014. CASP Checklists (URL used) Oxford. CASP", "author" : [ { "dropping-particle" : "", "family" : "Critical Appraisal Skills Programme (CASP)", "given" : "", "non-dropping-particle" : "", "parse-names" : false, "suffix" : "" } ], "container-title" : "CASP Checklists", "id" : "ITEM-1", "issued" : { "date-parts" : [ [ "2014" ] ] }, "title" : "CASP Qualitative Checklist", "type" : "webpage" }, "uris" : [ "http://www.mendeley.com/documents/?uuid=e4b86ca5-1a74-47a7-b903-53836d43205b" ] } ], "mendeley" : { "formattedCitation" : "(Critical Appraisal Skills Programme (CASP), 2014)", "plainTextFormattedCitation" : "(Critical Appraisal Skills Programme (CASP), 2014)", "previouslyFormattedCitation" : "(Critical Appraisal Skills Programme (CASP), 2014)" }, "properties" : { "noteIndex" : 0 }, "schema" : "https://github.com/citation-style-language/schema/raw/master/csl-citation.json" }</w:instrText>
      </w:r>
      <w:r w:rsidR="00E0026C" w:rsidRPr="009B3747">
        <w:rPr>
          <w:rFonts w:eastAsia="Times New Roman" w:cstheme="minorHAnsi"/>
          <w:color w:val="000000"/>
          <w:lang w:eastAsia="en-GB"/>
        </w:rPr>
        <w:fldChar w:fldCharType="separate"/>
      </w:r>
      <w:r w:rsidR="00E0026C" w:rsidRPr="009B3747">
        <w:rPr>
          <w:rFonts w:eastAsia="Times New Roman" w:cstheme="minorHAnsi"/>
          <w:noProof/>
          <w:color w:val="000000"/>
          <w:lang w:eastAsia="en-GB"/>
        </w:rPr>
        <w:t>(Critical Appraisal Skills Programme (CASP), 2014)</w:t>
      </w:r>
      <w:r w:rsidR="00E0026C" w:rsidRPr="009B3747">
        <w:rPr>
          <w:rFonts w:eastAsia="Times New Roman" w:cstheme="minorHAnsi"/>
          <w:color w:val="000000"/>
          <w:lang w:eastAsia="en-GB"/>
        </w:rPr>
        <w:fldChar w:fldCharType="end"/>
      </w:r>
      <w:r w:rsidR="00E0026C" w:rsidRPr="009B3747">
        <w:rPr>
          <w:rFonts w:eastAsia="Times New Roman" w:cstheme="minorHAnsi"/>
          <w:color w:val="000000"/>
          <w:lang w:eastAsia="en-GB"/>
        </w:rPr>
        <w:t xml:space="preserve"> </w:t>
      </w:r>
      <w:r w:rsidRPr="009B3747">
        <w:rPr>
          <w:rFonts w:eastAsia="Times New Roman" w:cstheme="minorHAnsi"/>
          <w:color w:val="000000"/>
          <w:lang w:eastAsia="en-GB"/>
        </w:rPr>
        <w:t>was employed to assess the quality of the each individual study i</w:t>
      </w:r>
      <w:r w:rsidR="00846B21" w:rsidRPr="009B3747">
        <w:rPr>
          <w:rFonts w:eastAsia="Times New Roman" w:cstheme="minorHAnsi"/>
          <w:color w:val="000000"/>
          <w:lang w:eastAsia="en-GB"/>
        </w:rPr>
        <w:t>ncluded in the review.  Table 3.5</w:t>
      </w:r>
      <w:r w:rsidRPr="009B3747">
        <w:rPr>
          <w:rFonts w:eastAsia="Times New Roman" w:cstheme="minorHAnsi"/>
          <w:color w:val="000000"/>
          <w:lang w:eastAsia="en-GB"/>
        </w:rPr>
        <w:t>, presents the outcomes of this critical appraisal process, in relation to the ten questions posed within the</w:t>
      </w:r>
      <w:r w:rsidR="006B3384" w:rsidRPr="009B3747">
        <w:rPr>
          <w:rFonts w:eastAsia="Times New Roman" w:cstheme="minorHAnsi"/>
          <w:color w:val="000000"/>
          <w:lang w:eastAsia="en-GB"/>
        </w:rPr>
        <w:t xml:space="preserve"> CASP checklist (see Appendix D</w:t>
      </w:r>
      <w:r w:rsidRPr="009B3747">
        <w:rPr>
          <w:rFonts w:eastAsia="Times New Roman" w:cstheme="minorHAnsi"/>
          <w:color w:val="000000"/>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 xml:space="preserve">Broadly speaking, the overall quality of the six studies was </w:t>
      </w:r>
      <w:r w:rsidR="00133672" w:rsidRPr="009B3747">
        <w:rPr>
          <w:rFonts w:eastAsia="Times New Roman" w:cstheme="minorHAnsi"/>
          <w:color w:val="000000"/>
          <w:lang w:eastAsia="en-GB"/>
        </w:rPr>
        <w:t>considered</w:t>
      </w:r>
      <w:r w:rsidRPr="009B3747">
        <w:rPr>
          <w:rFonts w:eastAsia="Times New Roman" w:cstheme="minorHAnsi"/>
          <w:color w:val="000000"/>
          <w:lang w:eastAsia="en-GB"/>
        </w:rPr>
        <w:t xml:space="preserve"> to be good.  Each study clearly articulated a research aim, in addition to justifying the importance of the research topic of focus.  Across the body of literature included, the adoption of a qualitative methodology and the chosen research design and data collection methods appeared to be appropriate given the specified aim.  Although none of the six studies</w:t>
      </w:r>
      <w:r w:rsidR="00C93EF6">
        <w:rPr>
          <w:rFonts w:eastAsia="Times New Roman" w:cstheme="minorHAnsi"/>
          <w:color w:val="000000"/>
          <w:lang w:eastAsia="en-GB"/>
        </w:rPr>
        <w:t>,</w:t>
      </w:r>
      <w:r w:rsidRPr="009B3747">
        <w:rPr>
          <w:rFonts w:eastAsia="Times New Roman" w:cstheme="minorHAnsi"/>
          <w:color w:val="000000"/>
          <w:lang w:eastAsia="en-GB"/>
        </w:rPr>
        <w:t xml:space="preserve"> discussed in depth the reasoning or theoretical basis behind the chosen methodology and data collection methods.  All but one study</w:t>
      </w:r>
      <w:r w:rsidR="008D6B5D" w:rsidRPr="009B3747">
        <w:rPr>
          <w:rFonts w:eastAsia="Times New Roman" w:cstheme="minorHAnsi"/>
          <w:color w:val="000000"/>
          <w:lang w:eastAsia="en-GB"/>
        </w:rPr>
        <w:t xml:space="preserve"> </w:t>
      </w:r>
      <w:r w:rsidR="008D6B5D" w:rsidRPr="009B3747">
        <w:rPr>
          <w:rFonts w:eastAsia="Times New Roman" w:cstheme="minorHAnsi"/>
          <w:color w:val="000000"/>
          <w:lang w:eastAsia="en-GB"/>
        </w:rPr>
        <w:fldChar w:fldCharType="begin" w:fldLock="1"/>
      </w:r>
      <w:r w:rsidR="008D6B5D" w:rsidRPr="009B3747">
        <w:rPr>
          <w:rFonts w:eastAsia="Times New Roman" w:cstheme="minorHAnsi"/>
          <w:color w:val="000000"/>
          <w:lang w:eastAsia="en-GB"/>
        </w:rPr>
        <w:instrText>ADDIN CSL_CITATION { "citationItems" : [ { "id" : "ITEM-1", "itemData" : { "DOI" : "10.1177/1059840511429003", "ISSN" : "1059-8405", "author" : [ { "dropping-particle" : "", "family" : "Shaibu", "given" : "Sheila", "non-dropping-particle" : "", "parse-names" : false, "suffix" : "" }, { "dropping-particle" : "", "family" : "Holsten", "given" : "Joanna E.", "non-dropping-particle" : "", "parse-names" : false, "suffix" : "" }, { "dropping-particle" : "", "family" : "Stettler", "given" : "Nicolas", "non-dropping-particle" : "", "parse-names" : false, "suffix" : "" }, { "dropping-particle" : "", "family" : "Maruapula", "given" : "Segametsi D.", "non-dropping-particle" : "", "parse-names" : false, "suffix" : "" }, { "dropping-particle" : "", "family" : "Jackson", "given" : "Jose C.", "non-dropping-particle" : "", "parse-names" : false, "suffix" : "" }, { "dropping-particle" : "", "family" : "Malete", "given" : "Leapetswe", "non-dropping-particle" : "", "parse-names" : false, "suffix" : "" }, { "dropping-particle" : "", "family" : "Mokone", "given" : "George", "non-dropping-particle" : "", "parse-names" : false, "suffix" : "" }, { "dropping-particle" : "", "family" : "Wrotniak", "given" : "Brian H.", "non-dropping-particle" : "", "parse-names" : false, "suffix" : "" }, { "dropping-particle" : "", "family" : "Compher", "given" : "Charlene W.", "non-dropping-particle" : "", "parse-names" : false, "suffix" : "" } ], "container-title" : "The Journal of School Nursing", "id" : "ITEM-1", "issue" : "3", "issued" : { "date-parts" : [ [ "2012", "6" ] ] }, "page" : "220-229", "title" : "Adolescent Obesity Prevention in Botswana", "type" : "article-journal", "volume" : "28" }, "uris" : [ "http://www.mendeley.com/documents/?uuid=c06e4e06-bdd2-3421-b846-4c6d0a19f232" ] } ], "mendeley" : { "formattedCitation" : "(Shaibu et al., 2012)", "plainTextFormattedCitation" : "(Shaibu et al., 2012)", "previouslyFormattedCitation" : "(Shaibu et al., 2012)" }, "properties" : { "noteIndex" : 0 }, "schema" : "https://github.com/citation-style-language/schema/raw/master/csl-citation.json" }</w:instrText>
      </w:r>
      <w:r w:rsidR="008D6B5D" w:rsidRPr="009B3747">
        <w:rPr>
          <w:rFonts w:eastAsia="Times New Roman" w:cstheme="minorHAnsi"/>
          <w:color w:val="000000"/>
          <w:lang w:eastAsia="en-GB"/>
        </w:rPr>
        <w:fldChar w:fldCharType="separate"/>
      </w:r>
      <w:r w:rsidR="008D6B5D" w:rsidRPr="009B3747">
        <w:rPr>
          <w:rFonts w:eastAsia="Times New Roman" w:cstheme="minorHAnsi"/>
          <w:noProof/>
          <w:color w:val="000000"/>
          <w:lang w:eastAsia="en-GB"/>
        </w:rPr>
        <w:t>(Shaibu et al., 2012)</w:t>
      </w:r>
      <w:r w:rsidR="008D6B5D" w:rsidRPr="009B3747">
        <w:rPr>
          <w:rFonts w:eastAsia="Times New Roman" w:cstheme="minorHAnsi"/>
          <w:color w:val="000000"/>
          <w:lang w:eastAsia="en-GB"/>
        </w:rPr>
        <w:fldChar w:fldCharType="end"/>
      </w:r>
      <w:r w:rsidR="008D6B5D" w:rsidRPr="009B3747">
        <w:rPr>
          <w:rFonts w:eastAsia="Times New Roman" w:cstheme="minorHAnsi"/>
          <w:color w:val="000000"/>
          <w:lang w:eastAsia="en-GB"/>
        </w:rPr>
        <w:t xml:space="preserve"> </w:t>
      </w:r>
      <w:r w:rsidRPr="009B3747">
        <w:rPr>
          <w:rFonts w:eastAsia="Times New Roman" w:cstheme="minorHAnsi"/>
          <w:color w:val="000000"/>
          <w:lang w:eastAsia="en-GB"/>
        </w:rPr>
        <w:t>referenced that their research had required an ethics application to be submitted and approved.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 xml:space="preserve">All studies reported their approach to participant recruitment, detailing to varying degrees the steps undertaken to purposively identify, select and recruit the study sample.  No reflections were offered across the studies to account for the reasons why some potential participants didn’t respond or declined the invitation to participate.  Irrespective of this, the approaches undertaken, appeared to be in the main appropriate given the respective aims and purpose of each individual study.  Each of </w:t>
      </w:r>
      <w:r w:rsidRPr="009B3747">
        <w:rPr>
          <w:rFonts w:eastAsia="Times New Roman" w:cstheme="minorHAnsi"/>
          <w:color w:val="000000"/>
          <w:lang w:eastAsia="en-GB"/>
        </w:rPr>
        <w:lastRenderedPageBreak/>
        <w:t>the six articles explicitly referenced the methods employed for data collection within their study.  It was clear across the board, how methods were conducted and the form the data was obtained in</w:t>
      </w:r>
      <w:r w:rsidR="00273991">
        <w:rPr>
          <w:rFonts w:eastAsia="Times New Roman" w:cstheme="minorHAnsi"/>
          <w:color w:val="000000"/>
          <w:lang w:eastAsia="en-GB"/>
        </w:rPr>
        <w:t>,</w:t>
      </w:r>
      <w:r w:rsidRPr="009B3747">
        <w:rPr>
          <w:rFonts w:eastAsia="Times New Roman" w:cstheme="minorHAnsi"/>
          <w:color w:val="000000"/>
          <w:lang w:eastAsia="en-GB"/>
        </w:rPr>
        <w:t xml:space="preserve"> i.e. audio-recordings, interviewer notes.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color w:val="000000"/>
          <w:lang w:eastAsia="en-GB"/>
        </w:rPr>
      </w:pPr>
      <w:r w:rsidRPr="009B3747">
        <w:rPr>
          <w:rFonts w:eastAsia="Times New Roman" w:cstheme="minorHAnsi"/>
          <w:color w:val="000000"/>
          <w:lang w:eastAsia="en-GB"/>
        </w:rPr>
        <w:t>A major weakness of all six studies was the inability to identify the level of consideration given to the relationship between researcher and participant.  Across the included literature, there lacked any detailed discussion of potential biases introduced by the researcher(s) during the development of research questions, the process of sampling, recruitment or the choice of research setting.  Whilst one study offered minimal reflection on the potential bias introduced by the researcher’s professional role</w:t>
      </w:r>
      <w:r w:rsidR="008D6B5D" w:rsidRPr="009B3747">
        <w:rPr>
          <w:rFonts w:eastAsia="Times New Roman" w:cstheme="minorHAnsi"/>
          <w:color w:val="000000"/>
          <w:lang w:eastAsia="en-GB"/>
        </w:rPr>
        <w:t xml:space="preserve"> </w:t>
      </w:r>
      <w:r w:rsidR="008D6B5D" w:rsidRPr="009B3747">
        <w:rPr>
          <w:rFonts w:eastAsia="Times New Roman" w:cstheme="minorHAnsi"/>
          <w:color w:val="000000"/>
          <w:lang w:eastAsia="en-GB"/>
        </w:rPr>
        <w:fldChar w:fldCharType="begin" w:fldLock="1"/>
      </w:r>
      <w:r w:rsidR="00A84723" w:rsidRPr="009B3747">
        <w:rPr>
          <w:rFonts w:eastAsia="Times New Roman" w:cstheme="minorHAnsi"/>
          <w:color w:val="000000"/>
          <w:lang w:eastAsia="en-GB"/>
        </w:rPr>
        <w:instrText>ADDIN CSL_CITATION { "citationItems" : [ { "id" : "ITEM-1", "itemData" : { "author" : [ { "dropping-particle" : "", "family" : "Howard-Drake", "given" : "EJ", "non-dropping-particle" : "", "parse-names" : false, "suffix" : "" }, { "dropping-particle" : "", "family" : "Halliday", "given" : "V", "non-dropping-particle" : "", "parse-names" : false, "suffix" : "" } ], "container-title" : "Journal of Public Health", "id" : "ITEM-1", "issue" : "1", "issued" : { "date-parts" : [ [ "2015" ] ] }, "page" : "44-52", "title" : "Exploring primary school headteachers' perspectives on the barriers and facilitators of preventing childhood obesity", "type" : "article-journal", "volume" : "38" }, "uris" : [ "http://www.mendeley.com/documents/?uuid=5809992c-2717-4e23-9b1e-b80b2a030870" ] } ], "mendeley" : { "formattedCitation" : "(Howard-Drake and Halliday, 2015)", "manualFormatting" : "(Howard-Drake and Halliday, 2015)", "plainTextFormattedCitation" : "(Howard-Drake and Halliday, 2015)", "previouslyFormattedCitation" : "(Howard-Drake and Halliday, 2015)" }, "properties" : { "noteIndex" : 0 }, "schema" : "https://github.com/citation-style-language/schema/raw/master/csl-citation.json" }</w:instrText>
      </w:r>
      <w:r w:rsidR="008D6B5D" w:rsidRPr="009B3747">
        <w:rPr>
          <w:rFonts w:eastAsia="Times New Roman" w:cstheme="minorHAnsi"/>
          <w:color w:val="000000"/>
          <w:lang w:eastAsia="en-GB"/>
        </w:rPr>
        <w:fldChar w:fldCharType="separate"/>
      </w:r>
      <w:r w:rsidR="008D6B5D" w:rsidRPr="009B3747">
        <w:rPr>
          <w:rFonts w:eastAsia="Times New Roman" w:cstheme="minorHAnsi"/>
          <w:noProof/>
          <w:color w:val="000000"/>
          <w:lang w:eastAsia="en-GB"/>
        </w:rPr>
        <w:t>(Howard-Drake and Halliday, 2015)</w:t>
      </w:r>
      <w:r w:rsidR="008D6B5D" w:rsidRPr="009B3747">
        <w:rPr>
          <w:rFonts w:eastAsia="Times New Roman" w:cstheme="minorHAnsi"/>
          <w:color w:val="000000"/>
          <w:lang w:eastAsia="en-GB"/>
        </w:rPr>
        <w:fldChar w:fldCharType="end"/>
      </w:r>
      <w:r w:rsidR="008D6B5D" w:rsidRPr="009B3747">
        <w:rPr>
          <w:rFonts w:eastAsia="Times New Roman" w:cstheme="minorHAnsi"/>
          <w:color w:val="000000"/>
          <w:lang w:eastAsia="en-GB"/>
        </w:rPr>
        <w:t xml:space="preserve">, </w:t>
      </w:r>
      <w:r w:rsidRPr="009B3747">
        <w:rPr>
          <w:rFonts w:eastAsia="Times New Roman" w:cstheme="minorHAnsi"/>
          <w:color w:val="000000"/>
          <w:lang w:eastAsia="en-GB"/>
        </w:rPr>
        <w:t>this was not described in any depth.  Given that none of the six met this criteria, it is important to reflect on the appropriateness of this checklist question fo</w:t>
      </w:r>
      <w:r w:rsidR="00C93EF6">
        <w:rPr>
          <w:rFonts w:eastAsia="Times New Roman" w:cstheme="minorHAnsi"/>
          <w:color w:val="000000"/>
          <w:lang w:eastAsia="en-GB"/>
        </w:rPr>
        <w:t xml:space="preserve">r the type of studies included.  </w:t>
      </w:r>
      <w:r w:rsidRPr="009B3747">
        <w:rPr>
          <w:rFonts w:eastAsia="Times New Roman" w:cstheme="minorHAnsi"/>
          <w:color w:val="000000"/>
          <w:lang w:eastAsia="en-GB"/>
        </w:rPr>
        <w:t>With strict word limits often prescribed for academic article submissions, omitting a detailed account of potential biases introduced by the re</w:t>
      </w:r>
      <w:r w:rsidR="00C93EF6">
        <w:rPr>
          <w:rFonts w:eastAsia="Times New Roman" w:cstheme="minorHAnsi"/>
          <w:color w:val="000000"/>
          <w:lang w:eastAsia="en-GB"/>
        </w:rPr>
        <w:t>searcher may be for brevity.</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In relation to the data analysis and resultant findings, all but one study</w:t>
      </w:r>
      <w:r w:rsidR="008D6B5D" w:rsidRPr="009B3747">
        <w:rPr>
          <w:rFonts w:eastAsia="Times New Roman" w:cstheme="minorHAnsi"/>
          <w:color w:val="000000"/>
          <w:lang w:eastAsia="en-GB"/>
        </w:rPr>
        <w:t xml:space="preserve"> </w:t>
      </w:r>
      <w:r w:rsidR="008D6B5D"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"Tripp", "given" : "PJ", "non-dropping-particle" : "", "parse-names" : false, "suffix" : "" }, { "dropping-particle" : "", "family" : "Choi", "given" : "JY", "non-dropping-particle" : "", "parse-names" : false, "suffix" : "" } ], "container-title" : "Journal of Family &amp; Consumer Sciences", "id" : "ITEM-1", "issue" : "4", "issued" : { "date-parts" : [ [ "2014" ] ] }, "page" : "33-39", "title" : "Perceptions of Childhood Obesity Among Rural Parents, Teachers, and School Administrators", "type" : "article-journal", "volume" : "106" }, "uris" : [ "http://www.mendeley.com/documents/?uuid=2246024a-fa0a-45b4-96c6-dae9939771a8" ] } ], "mendeley" : { "formattedCitation" : "(Tripp and Choi, 2014)", "plainTextFormattedCitation" : "(Tripp and Choi, 2014)", "previouslyFormattedCitation" : "(Tripp and Choi, 2014)" }, "properties" : { "noteIndex" : 0 }, "schema" : "https://github.com/citation-style-language/schema/raw/master/csl-citation.json" }</w:instrText>
      </w:r>
      <w:r w:rsidR="008D6B5D" w:rsidRPr="009B3747">
        <w:rPr>
          <w:rFonts w:eastAsia="Times New Roman" w:cstheme="minorHAnsi"/>
          <w:color w:val="000000"/>
          <w:lang w:eastAsia="en-GB"/>
        </w:rPr>
        <w:fldChar w:fldCharType="separate"/>
      </w:r>
      <w:r w:rsidR="008D6B5D" w:rsidRPr="009B3747">
        <w:rPr>
          <w:rFonts w:eastAsia="Times New Roman" w:cstheme="minorHAnsi"/>
          <w:noProof/>
          <w:color w:val="000000"/>
          <w:lang w:eastAsia="en-GB"/>
        </w:rPr>
        <w:t>(Tripp and Choi, 2014)</w:t>
      </w:r>
      <w:r w:rsidR="008D6B5D" w:rsidRPr="009B3747">
        <w:rPr>
          <w:rFonts w:eastAsia="Times New Roman" w:cstheme="minorHAnsi"/>
          <w:color w:val="000000"/>
          <w:lang w:eastAsia="en-GB"/>
        </w:rPr>
        <w:fldChar w:fldCharType="end"/>
      </w:r>
      <w:r w:rsidRPr="009B3747">
        <w:rPr>
          <w:rFonts w:eastAsia="Times New Roman" w:cstheme="minorHAnsi"/>
          <w:color w:val="000000"/>
          <w:lang w:eastAsia="en-GB"/>
        </w:rPr>
        <w:t>, met the</w:t>
      </w:r>
      <w:r w:rsidR="008D6B5D" w:rsidRPr="009B3747">
        <w:rPr>
          <w:rFonts w:eastAsia="Times New Roman" w:cstheme="minorHAnsi"/>
          <w:color w:val="000000"/>
          <w:lang w:eastAsia="en-GB"/>
        </w:rPr>
        <w:t xml:space="preserve"> CASP criteria</w:t>
      </w:r>
      <w:r w:rsidRPr="009B3747">
        <w:rPr>
          <w:rFonts w:eastAsia="Times New Roman" w:cstheme="minorHAnsi"/>
          <w:color w:val="000000"/>
          <w:lang w:eastAsia="en-GB"/>
        </w:rPr>
        <w:t xml:space="preserve"> </w:t>
      </w:r>
      <w:r w:rsidR="008D6B5D" w:rsidRPr="009B3747">
        <w:rPr>
          <w:rFonts w:eastAsia="Times New Roman" w:cstheme="minorHAnsi"/>
          <w:color w:val="000000"/>
          <w:lang w:eastAsia="en-GB"/>
        </w:rPr>
        <w:fldChar w:fldCharType="begin" w:fldLock="1"/>
      </w:r>
      <w:r w:rsidR="008D6B5D" w:rsidRPr="009B3747">
        <w:rPr>
          <w:rFonts w:eastAsia="Times New Roman" w:cstheme="minorHAnsi"/>
          <w:color w:val="000000"/>
          <w:lang w:eastAsia="en-GB"/>
        </w:rPr>
        <w:instrText>ADDIN CSL_CITATION { "citationItems" : [ { "id" : "ITEM-1", "itemData" : { "URL" : "http://media.wix.com/ugd/dded87_29c5b002d99342f788c6ac670e49f274.pdf", "abstract" : "Critical Appraisal Skills Programme (CASP) 2014. CASP Checklists (URL used) Oxford. CASP", "author" : [ { "dropping-particle" : "", "family" : "Critical Appraisal Skills Programme (CASP)", "given" : "", "non-dropping-particle" : "", "parse-names" : false, "suffix" : "" } ], "container-title" : "CASP Checklists", "id" : "ITEM-1", "issued" : { "date-parts" : [ [ "2014" ] ] }, "title" : "CASP Qualitative Checklist", "type" : "webpage" }, "uris" : [ "http://www.mendeley.com/documents/?uuid=e4b86ca5-1a74-47a7-b903-53836d43205b" ] } ], "mendeley" : { "formattedCitation" : "(Critical Appraisal Skills Programme (CASP), 2014)", "plainTextFormattedCitation" : "(Critical Appraisal Skills Programme (CASP), 2014)", "previouslyFormattedCitation" : "(Critical Appraisal Skills Programme (CASP), 2014)" }, "properties" : { "noteIndex" : 0 }, "schema" : "https://github.com/citation-style-language/schema/raw/master/csl-citation.json" }</w:instrText>
      </w:r>
      <w:r w:rsidR="008D6B5D" w:rsidRPr="009B3747">
        <w:rPr>
          <w:rFonts w:eastAsia="Times New Roman" w:cstheme="minorHAnsi"/>
          <w:color w:val="000000"/>
          <w:lang w:eastAsia="en-GB"/>
        </w:rPr>
        <w:fldChar w:fldCharType="separate"/>
      </w:r>
      <w:r w:rsidR="008D6B5D" w:rsidRPr="009B3747">
        <w:rPr>
          <w:rFonts w:eastAsia="Times New Roman" w:cstheme="minorHAnsi"/>
          <w:noProof/>
          <w:color w:val="000000"/>
          <w:lang w:eastAsia="en-GB"/>
        </w:rPr>
        <w:t>(Critical Appraisal Skills Programme (CASP), 2014)</w:t>
      </w:r>
      <w:r w:rsidR="008D6B5D"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for indicating analysis had been sufficiently rigorous and providing a clear statement of findings.  Each provided a description of how the study data was analysed and referenced relevant academic texts to indicate the processes undertaken.  Three studies discussed having more than one analyst</w:t>
      </w:r>
      <w:r w:rsidR="008D6B5D" w:rsidRPr="009B3747">
        <w:rPr>
          <w:rFonts w:eastAsia="Times New Roman" w:cstheme="minorHAnsi"/>
          <w:color w:val="000000"/>
          <w:lang w:eastAsia="en-GB"/>
        </w:rPr>
        <w:t xml:space="preserve"> </w:t>
      </w:r>
      <w:r w:rsidR="008D6B5D"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"Nollen", "given" : "NL", "non-dropping-particle" : "", "parse-names" : false, "suffix" : "" }, { "dropping-particle" : "", "family" : "Befort", "given" : "CA", "non-dropping-particle" : "", "parse-names" : false, "suffix" : "" }, { "dropping-particle" : "", "family" : "Snow", "given" : "P", "non-dropping-particle" : "", "parse-names" : false, "suffix" : "" } ], "container-title" : "\u2026 and Physical Activity", "id" : "ITEM-1", "issue" : "1", "issued" : { "date-parts" : [ [ "2007" ] ] }, "page" : "18", "title" : "The school food environment and adolescent obesity: qualitative insights from high school principals and food service personnel", "type" : "article-journal", "volume" : "4" }, "uris" : [ "http://www.mendeley.com/documents/?uuid=ecb43609-8e4b-4c3d-aeb3-462b0e9fd641" ] }, { "id" : "ITEM-2", "itemData" : { "DOI" : "10.1016/j.appet.2014.12.121", "ISSN" : "01956663", "author" : [ { "dropping-particle" : "", "family" : "Clarke", "given" : "J.", "non-dropping-particle" : "", "parse-names" : false, "suffix" : "" }, { "dropping-particle" : "", "family" : "Lancashire", "given" : "E.", "non-dropping-particle" : "", "parse-names" : false, "suffix" : "" }, { "dropping-particle" : "", "family" : "Pallan", "given" : "M.", "non-dropping-particle" : "", "parse-names" : false, "suffix" : "" }, { "dropping-particle" : "", "family" : "Adab", "given" : "P.", "non-dropping-particle" : "", "parse-names" : false, "suffix" : "" } ], "container-title" : "Appetite", "id" : "ITEM-2", "issued" : { "date-parts" : [ [ "2015", "4" ] ] }, "page" : "377", "title" : "Headteacher perspectives on the role of the primary school in preventing childhood obesity", "type" : "article-journal", "volume" : "87" }, "uris" : [ "http://www.mendeley.com/documents/?uuid=ac79f162-74f2-49d2-a629-f4abdfb486ea" ] }, { "id" : "ITEM-3", "itemData" : { "author" : [ { "dropping-particle" : "", "family" : "Todd", "given" : "C", "non-dropping-particle" : "", "parse-names" : false, "suffix" : "" }, { "dropping-particle" : "", "family" : "Christian", "given" : "D", "non-dropping-particle" : "", "parse-names" : false, "suffix" : "" }, { "dropping-particle" : "", "family" : "Davies", "given" : "H", "non-dropping-particle" : "", "parse-names" : false, "suffix" : "" } ], "container-title" : "BMC research \u2026", "id" : "ITEM-3", "issue" : "1", "issued" : { "date-parts" : [ [ "2015" ] ] }, "page" : "161", "title" : "Headteachers' prior beliefs on child health and their engagement in school based health interventions: a qualitative study", "type" : "article-journal", "volume" : "8" }, "uris" : [ "http://www.mendeley.com/documents/?uuid=9a740b7c-28ec-4b9a-99a5-b768fe7c3a4e" ] } ], "mendeley" : { "formattedCitation" : "(Nollen et al., 2007; Clarke et al., 2015; Todd et al., 2015)", "plainTextFormattedCitation" : "(Nollen et al., 2007; Clarke et al., 2015; Todd et al., 2015)", "previouslyFormattedCitation" : "(Nollen et al., 2007; Clarke et al., 2015; Todd et al., 2015)" }, "properties" : { "noteIndex" : 0 }, "schema" : "https://github.com/citation-style-language/schema/raw/master/csl-citation.json" }</w:instrText>
      </w:r>
      <w:r w:rsidR="008D6B5D" w:rsidRPr="009B3747">
        <w:rPr>
          <w:rFonts w:eastAsia="Times New Roman" w:cstheme="minorHAnsi"/>
          <w:color w:val="000000"/>
          <w:lang w:eastAsia="en-GB"/>
        </w:rPr>
        <w:fldChar w:fldCharType="separate"/>
      </w:r>
      <w:r w:rsidR="008D6B5D" w:rsidRPr="009B3747">
        <w:rPr>
          <w:rFonts w:eastAsia="Times New Roman" w:cstheme="minorHAnsi"/>
          <w:noProof/>
          <w:color w:val="000000"/>
          <w:lang w:eastAsia="en-GB"/>
        </w:rPr>
        <w:t>(Nollen et al., 2007; Clarke et al., 2015; Todd et al., 2015)</w:t>
      </w:r>
      <w:r w:rsidR="008D6B5D" w:rsidRPr="009B3747">
        <w:rPr>
          <w:rFonts w:eastAsia="Times New Roman" w:cstheme="minorHAnsi"/>
          <w:color w:val="000000"/>
          <w:lang w:eastAsia="en-GB"/>
        </w:rPr>
        <w:fldChar w:fldCharType="end"/>
      </w:r>
      <w:r w:rsidR="00C93EF6">
        <w:rPr>
          <w:rFonts w:eastAsia="Times New Roman" w:cstheme="minorHAnsi"/>
          <w:color w:val="000000"/>
          <w:lang w:eastAsia="en-GB"/>
        </w:rPr>
        <w:t>,</w:t>
      </w:r>
      <w:r w:rsidRPr="009B3747">
        <w:rPr>
          <w:rFonts w:eastAsia="Times New Roman" w:cstheme="minorHAnsi"/>
          <w:color w:val="000000"/>
          <w:lang w:eastAsia="en-GB"/>
        </w:rPr>
        <w:t xml:space="preserve"> one study referenced the use of participant validation</w:t>
      </w:r>
      <w:r w:rsidR="00C93EF6">
        <w:rPr>
          <w:rFonts w:eastAsia="Times New Roman" w:cstheme="minorHAnsi"/>
          <w:color w:val="000000"/>
          <w:lang w:eastAsia="en-GB"/>
        </w:rPr>
        <w:t xml:space="preserve">, </w:t>
      </w:r>
      <w:r w:rsidRPr="009B3747">
        <w:rPr>
          <w:rFonts w:eastAsia="Times New Roman" w:cstheme="minorHAnsi"/>
          <w:color w:val="000000"/>
          <w:lang w:eastAsia="en-GB"/>
        </w:rPr>
        <w:t>employed to reduce potential bias in the data analysis process</w:t>
      </w:r>
      <w:r w:rsidR="00C93EF6">
        <w:rPr>
          <w:rFonts w:eastAsia="Times New Roman" w:cstheme="minorHAnsi"/>
          <w:color w:val="000000"/>
          <w:lang w:eastAsia="en-GB"/>
        </w:rPr>
        <w:t xml:space="preserve"> </w:t>
      </w:r>
      <w:r w:rsidR="00C93EF6" w:rsidRPr="009B3747">
        <w:rPr>
          <w:rFonts w:eastAsia="Times New Roman" w:cstheme="minorHAnsi"/>
          <w:color w:val="000000"/>
          <w:lang w:eastAsia="en-GB"/>
        </w:rPr>
        <w:fldChar w:fldCharType="begin" w:fldLock="1"/>
      </w:r>
      <w:r w:rsidR="00C93EF6" w:rsidRPr="009B3747">
        <w:rPr>
          <w:rFonts w:eastAsia="Times New Roman" w:cstheme="minorHAnsi"/>
          <w:color w:val="000000"/>
          <w:lang w:eastAsia="en-GB"/>
        </w:rPr>
        <w:instrText>ADDIN CSL_CITATION { "citationItems" : [ { "id" : "ITEM-1", "itemData" : { "author" : [ { "dropping-particle" : "", "family" : "Todd", "given" : "C", "non-dropping-particle" : "", "parse-names" : false, "suffix" : "" }, { "dropping-particle" : "", "family" : "Christian", "given" : "D", "non-dropping-particle" : "", "parse-names" : false, "suffix" : "" }, { "dropping-particle" : "", "family" : "Davies", "given" : "H", "non-dropping-particle" : "", "parse-names" : false, "suffix" : "" } ], "container-title" : "BMC research \u2026", "id" : "ITEM-1", "issue" : "1", "issued" : { "date-parts" : [ [ "2015" ] ] }, "page" : "161", "title" : "Headteachers' prior beliefs on child health and their engagement in school based health interventions: a qualitative study", "type" : "article-journal", "volume" : "8" }, "uris" : [ "http://www.mendeley.com/documents/?uuid=9a740b7c-28ec-4b9a-99a5-b768fe7c3a4e" ] } ], "mendeley" : { "formattedCitation" : "(Todd et al., 2015)", "plainTextFormattedCitation" : "(Todd et al., 2015)", "previouslyFormattedCitation" : "(Todd et al., 2015)" }, "properties" : { "noteIndex" : 0 }, "schema" : "https://github.com/citation-style-language/schema/raw/master/csl-citation.json" }</w:instrText>
      </w:r>
      <w:r w:rsidR="00C93EF6" w:rsidRPr="009B3747">
        <w:rPr>
          <w:rFonts w:eastAsia="Times New Roman" w:cstheme="minorHAnsi"/>
          <w:color w:val="000000"/>
          <w:lang w:eastAsia="en-GB"/>
        </w:rPr>
        <w:fldChar w:fldCharType="separate"/>
      </w:r>
      <w:r w:rsidR="00C93EF6" w:rsidRPr="009B3747">
        <w:rPr>
          <w:rFonts w:eastAsia="Times New Roman" w:cstheme="minorHAnsi"/>
          <w:noProof/>
          <w:color w:val="000000"/>
          <w:lang w:eastAsia="en-GB"/>
        </w:rPr>
        <w:t>(Todd et al., 2015)</w:t>
      </w:r>
      <w:r w:rsidR="00C93EF6"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Aside from </w:t>
      </w:r>
      <w:r w:rsidR="002A3A24" w:rsidRPr="009B3747">
        <w:rPr>
          <w:rFonts w:eastAsia="Times New Roman" w:cstheme="minorHAnsi"/>
          <w:color w:val="000000"/>
          <w:lang w:eastAsia="en-GB"/>
        </w:rPr>
        <w:t xml:space="preserve">one study </w:t>
      </w:r>
      <w:r w:rsidR="002A3A24"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"Tripp", "given" : "PJ", "non-dropping-particle" : "", "parse-names" : false, "suffix" : "" }, { "dropping-particle" : "", "family" : "Choi", "given" : "JY", "non-dropping-particle" : "", "parse-names" : false, "suffix" : "" } ], "container-title" : "Journal of Family &amp; Consumer Sciences", "id" : "ITEM-1", "issue" : "4", "issued" : { "date-parts" : [ [ "2014" ] ] }, "page" : "33-39", "title" : "Perceptions of Childhood Obesity Among Rural Parents, Teachers, and School Administrators", "type" : "article-journal", "volume" : "106" }, "uris" : [ "http://www.mendeley.com/documents/?uuid=2246024a-fa0a-45b4-96c6-dae9939771a8" ] } ], "mendeley" : { "formattedCitation" : "(Tripp and Choi, 2014)", "plainTextFormattedCitation" : "(Tripp and Choi, 2014)", "previouslyFormattedCitation" : "(Tripp and Choi, 2014)" }, "properties" : { "noteIndex" : 0 }, "schema" : "https://github.com/citation-style-language/schema/raw/master/csl-citation.json" }</w:instrText>
      </w:r>
      <w:r w:rsidR="002A3A24" w:rsidRPr="009B3747">
        <w:rPr>
          <w:rFonts w:eastAsia="Times New Roman" w:cstheme="minorHAnsi"/>
          <w:color w:val="000000"/>
          <w:lang w:eastAsia="en-GB"/>
        </w:rPr>
        <w:fldChar w:fldCharType="separate"/>
      </w:r>
      <w:r w:rsidR="002A3A24" w:rsidRPr="009B3747">
        <w:rPr>
          <w:rFonts w:eastAsia="Times New Roman" w:cstheme="minorHAnsi"/>
          <w:noProof/>
          <w:color w:val="000000"/>
          <w:lang w:eastAsia="en-GB"/>
        </w:rPr>
        <w:t>(Tripp and Choi, 2014)</w:t>
      </w:r>
      <w:r w:rsidR="002A3A24" w:rsidRPr="009B3747">
        <w:rPr>
          <w:rFonts w:eastAsia="Times New Roman" w:cstheme="minorHAnsi"/>
          <w:color w:val="000000"/>
          <w:lang w:eastAsia="en-GB"/>
        </w:rPr>
        <w:fldChar w:fldCharType="end"/>
      </w:r>
      <w:r w:rsidRPr="009B3747">
        <w:rPr>
          <w:rFonts w:eastAsia="Times New Roman" w:cstheme="minorHAnsi"/>
          <w:color w:val="000000"/>
          <w:lang w:eastAsia="en-GB"/>
        </w:rPr>
        <w:t>, study data (i.e. verbatim quotations) was utilised in the remaining five studies to support the findings claimed.</w:t>
      </w:r>
      <w:r w:rsidR="00C93EF6">
        <w:rPr>
          <w:rFonts w:eastAsia="Times New Roman" w:cstheme="minorHAnsi"/>
          <w:color w:val="000000"/>
          <w:lang w:eastAsia="en-GB"/>
        </w:rPr>
        <w:t xml:space="preserve">  Although meeting the criteria, </w:t>
      </w:r>
      <w:r w:rsidRPr="009B3747">
        <w:rPr>
          <w:rFonts w:eastAsia="Times New Roman" w:cstheme="minorHAnsi"/>
          <w:color w:val="000000"/>
          <w:lang w:eastAsia="en-GB"/>
        </w:rPr>
        <w:t xml:space="preserve">a minimal amount of data was utilised </w:t>
      </w:r>
      <w:r w:rsidR="00264621" w:rsidRPr="009B3747">
        <w:rPr>
          <w:rFonts w:eastAsia="Times New Roman" w:cstheme="minorHAnsi"/>
          <w:color w:val="000000"/>
          <w:lang w:eastAsia="en-GB"/>
        </w:rPr>
        <w:t>in one study</w:t>
      </w:r>
      <w:r w:rsidR="002A3A24" w:rsidRPr="009B3747">
        <w:rPr>
          <w:rFonts w:eastAsia="Times New Roman" w:cstheme="minorHAnsi"/>
          <w:color w:val="000000"/>
          <w:lang w:eastAsia="en-GB"/>
        </w:rPr>
        <w:t xml:space="preserve"> </w:t>
      </w:r>
      <w:r w:rsidR="002A3A24"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"Nollen", "given" : "NL", "non-dropping-particle" : "", "parse-names" : false, "suffix" : "" }, { "dropping-particle" : "", "family" : "Befort", "given" : "CA", "non-dropping-particle" : "", "parse-names" : false, "suffix" : "" }, { "dropping-particle" : "", "family" : "Snow", "given" : "P", "non-dropping-particle" : "", "parse-names" : false, "suffix" : "" } ], "container-title" : "\u2026 and Physical Activity", "id" : "ITEM-1", "issue" : "1", "issued" : { "date-parts" : [ [ "2007" ] ] }, "page" : "18", "title" : "The school food environment and adolescent obesity: qualitative insights from high school principals and food service personnel", "type" : "article-journal", "volume" : "4" }, "uris" : [ "http://www.mendeley.com/documents/?uuid=ecb43609-8e4b-4c3d-aeb3-462b0e9fd641" ] } ], "mendeley" : { "formattedCitation" : "(Nollen et al., 2007)", "plainTextFormattedCitation" : "(Nollen et al., 2007)", "previouslyFormattedCitation" : "(Nollen et al., 2007)" }, "properties" : { "noteIndex" : 0 }, "schema" : "https://github.com/citation-style-language/schema/raw/master/csl-citation.json" }</w:instrText>
      </w:r>
      <w:r w:rsidR="002A3A24" w:rsidRPr="009B3747">
        <w:rPr>
          <w:rFonts w:eastAsia="Times New Roman" w:cstheme="minorHAnsi"/>
          <w:color w:val="000000"/>
          <w:lang w:eastAsia="en-GB"/>
        </w:rPr>
        <w:fldChar w:fldCharType="separate"/>
      </w:r>
      <w:r w:rsidR="002A3A24" w:rsidRPr="009B3747">
        <w:rPr>
          <w:rFonts w:eastAsia="Times New Roman" w:cstheme="minorHAnsi"/>
          <w:noProof/>
          <w:color w:val="000000"/>
          <w:lang w:eastAsia="en-GB"/>
        </w:rPr>
        <w:t>(Nollen et al., 2007)</w:t>
      </w:r>
      <w:r w:rsidR="002A3A24" w:rsidRPr="009B3747">
        <w:rPr>
          <w:rFonts w:eastAsia="Times New Roman" w:cstheme="minorHAnsi"/>
          <w:color w:val="000000"/>
          <w:lang w:eastAsia="en-GB"/>
        </w:rPr>
        <w:fldChar w:fldCharType="end"/>
      </w:r>
      <w:r w:rsidR="00C93EF6">
        <w:rPr>
          <w:rFonts w:eastAsia="Times New Roman" w:cstheme="minorHAnsi"/>
          <w:color w:val="000000"/>
          <w:lang w:eastAsia="en-GB"/>
        </w:rPr>
        <w:t xml:space="preserve">, </w:t>
      </w:r>
      <w:r w:rsidR="002A3A24" w:rsidRPr="009B3747">
        <w:rPr>
          <w:rFonts w:eastAsia="Times New Roman" w:cstheme="minorHAnsi"/>
          <w:color w:val="000000"/>
          <w:lang w:eastAsia="en-GB"/>
        </w:rPr>
        <w:t>t</w:t>
      </w:r>
      <w:r w:rsidR="00264621" w:rsidRPr="009B3747">
        <w:rPr>
          <w:rFonts w:eastAsia="Times New Roman" w:cstheme="minorHAnsi"/>
          <w:color w:val="000000"/>
          <w:lang w:eastAsia="en-GB"/>
        </w:rPr>
        <w:t>o</w:t>
      </w:r>
      <w:r w:rsidRPr="009B3747">
        <w:rPr>
          <w:rFonts w:eastAsia="Times New Roman" w:cstheme="minorHAnsi"/>
          <w:color w:val="000000"/>
          <w:lang w:eastAsia="en-GB"/>
        </w:rPr>
        <w:t xml:space="preserve"> illustrate or illuminate the author's interpretations.  All studies articulated within their discussion or conclusion chapters how their respective research contributes to existing knowledge or understanding of the topic.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6B3384" w:rsidRPr="009B3747" w:rsidRDefault="006B3384" w:rsidP="003F1507">
      <w:pPr>
        <w:rPr>
          <w:rFonts w:eastAsia="Times New Roman" w:cstheme="minorHAnsi"/>
          <w:color w:val="000000"/>
          <w:u w:val="single"/>
          <w:lang w:eastAsia="en-GB"/>
        </w:rPr>
      </w:pPr>
    </w:p>
    <w:p w:rsidR="006B3384" w:rsidRPr="009B3747" w:rsidRDefault="006B3384" w:rsidP="003F1507">
      <w:pPr>
        <w:rPr>
          <w:rFonts w:eastAsia="Times New Roman" w:cstheme="minorHAnsi"/>
          <w:color w:val="000000"/>
          <w:u w:val="single"/>
          <w:lang w:eastAsia="en-GB"/>
        </w:rPr>
      </w:pPr>
    </w:p>
    <w:p w:rsidR="006B3384" w:rsidRPr="009B3747" w:rsidRDefault="006B3384" w:rsidP="003F1507">
      <w:pPr>
        <w:rPr>
          <w:rFonts w:eastAsia="Times New Roman" w:cstheme="minorHAnsi"/>
          <w:color w:val="000000"/>
          <w:u w:val="single"/>
          <w:lang w:eastAsia="en-GB"/>
        </w:rPr>
      </w:pPr>
    </w:p>
    <w:p w:rsidR="006B3384" w:rsidRPr="009B3747" w:rsidRDefault="006B3384" w:rsidP="003F1507">
      <w:pPr>
        <w:rPr>
          <w:rFonts w:eastAsia="Times New Roman" w:cstheme="minorHAnsi"/>
          <w:color w:val="000000"/>
          <w:u w:val="single"/>
          <w:lang w:eastAsia="en-GB"/>
        </w:rPr>
      </w:pPr>
    </w:p>
    <w:p w:rsidR="006B3384" w:rsidRPr="009B3747" w:rsidRDefault="006B3384" w:rsidP="003F1507">
      <w:pPr>
        <w:rPr>
          <w:rFonts w:eastAsia="Times New Roman" w:cstheme="minorHAnsi"/>
          <w:color w:val="000000"/>
          <w:u w:val="single"/>
          <w:lang w:eastAsia="en-GB"/>
        </w:rPr>
      </w:pPr>
    </w:p>
    <w:p w:rsidR="006B3384" w:rsidRPr="009B3747" w:rsidRDefault="006B3384" w:rsidP="003F1507">
      <w:pPr>
        <w:rPr>
          <w:rFonts w:eastAsia="Times New Roman" w:cstheme="minorHAnsi"/>
          <w:color w:val="000000"/>
          <w:u w:val="single"/>
          <w:lang w:eastAsia="en-GB"/>
        </w:rPr>
      </w:pPr>
    </w:p>
    <w:p w:rsidR="006B3384" w:rsidRPr="009B3747" w:rsidRDefault="006B3384" w:rsidP="003F1507">
      <w:pPr>
        <w:rPr>
          <w:rFonts w:eastAsia="Times New Roman" w:cstheme="minorHAnsi"/>
          <w:color w:val="000000"/>
          <w:u w:val="single"/>
          <w:lang w:eastAsia="en-GB"/>
        </w:rPr>
        <w:sectPr w:rsidR="006B3384" w:rsidRPr="009B3747">
          <w:pgSz w:w="11906" w:h="16838"/>
          <w:pgMar w:top="1440" w:right="1440" w:bottom="1440" w:left="1440" w:header="708" w:footer="708" w:gutter="0"/>
          <w:cols w:space="708"/>
          <w:docGrid w:linePitch="360"/>
        </w:sectPr>
      </w:pPr>
    </w:p>
    <w:p w:rsidR="006B3384" w:rsidRPr="009B3747" w:rsidRDefault="006B3384" w:rsidP="003F1507">
      <w:pPr>
        <w:rPr>
          <w:rFonts w:eastAsia="Times New Roman" w:cstheme="minorHAnsi"/>
          <w:color w:val="000000"/>
          <w:u w:val="single"/>
          <w:lang w:eastAsia="en-GB"/>
        </w:rPr>
      </w:pPr>
    </w:p>
    <w:p w:rsidR="006B3384" w:rsidRPr="009B3747" w:rsidRDefault="00846B21" w:rsidP="003F1507">
      <w:pPr>
        <w:rPr>
          <w:rFonts w:eastAsia="Times New Roman" w:cstheme="minorHAnsi"/>
          <w:color w:val="000000"/>
          <w:u w:val="single"/>
          <w:lang w:eastAsia="en-GB"/>
        </w:rPr>
      </w:pPr>
      <w:r w:rsidRPr="009B3747">
        <w:rPr>
          <w:rFonts w:eastAsia="Times New Roman" w:cstheme="minorHAnsi"/>
          <w:color w:val="000000"/>
          <w:u w:val="single"/>
          <w:lang w:eastAsia="en-GB"/>
        </w:rPr>
        <w:t xml:space="preserve">Table 3.5 </w:t>
      </w:r>
      <w:r w:rsidR="006B3384" w:rsidRPr="009B3747">
        <w:rPr>
          <w:rFonts w:eastAsia="Times New Roman" w:cstheme="minorHAnsi"/>
          <w:color w:val="000000"/>
          <w:u w:val="single"/>
          <w:lang w:eastAsia="en-GB"/>
        </w:rPr>
        <w:t>– Summary of completed quality assessments on included studies</w:t>
      </w:r>
    </w:p>
    <w:p w:rsidR="006B3384" w:rsidRPr="009B3747" w:rsidRDefault="006B3384" w:rsidP="003F1507">
      <w:pPr>
        <w:rPr>
          <w:rFonts w:eastAsia="Times New Roman" w:cstheme="minorHAnsi"/>
          <w:color w:val="000000"/>
          <w:u w:val="single"/>
          <w:lang w:eastAsia="en-GB"/>
        </w:rPr>
      </w:pPr>
    </w:p>
    <w:tbl>
      <w:tblPr>
        <w:tblW w:w="15877" w:type="dxa"/>
        <w:tblInd w:w="-861" w:type="dxa"/>
        <w:tblLayout w:type="fixed"/>
        <w:tblCellMar>
          <w:top w:w="15" w:type="dxa"/>
          <w:left w:w="15" w:type="dxa"/>
          <w:bottom w:w="15" w:type="dxa"/>
          <w:right w:w="15" w:type="dxa"/>
        </w:tblCellMar>
        <w:tblLook w:val="04A0" w:firstRow="1" w:lastRow="0" w:firstColumn="1" w:lastColumn="0" w:noHBand="0" w:noVBand="1"/>
      </w:tblPr>
      <w:tblGrid>
        <w:gridCol w:w="4253"/>
        <w:gridCol w:w="1134"/>
        <w:gridCol w:w="1276"/>
        <w:gridCol w:w="1276"/>
        <w:gridCol w:w="1276"/>
        <w:gridCol w:w="1275"/>
        <w:gridCol w:w="1276"/>
        <w:gridCol w:w="1134"/>
        <w:gridCol w:w="992"/>
        <w:gridCol w:w="993"/>
        <w:gridCol w:w="992"/>
      </w:tblGrid>
      <w:tr w:rsidR="006B3384" w:rsidRPr="009B3747" w:rsidTr="006B3384">
        <w:tc>
          <w:tcPr>
            <w:tcW w:w="4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b/>
                <w:bCs/>
                <w:color w:val="000000"/>
                <w:sz w:val="20"/>
                <w:szCs w:val="20"/>
                <w:lang w:eastAsia="en-GB"/>
              </w:rPr>
              <w:t>Study</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b/>
                <w:bCs/>
                <w:color w:val="000000"/>
                <w:sz w:val="20"/>
                <w:szCs w:val="20"/>
                <w:lang w:eastAsia="en-GB"/>
              </w:rPr>
              <w:t>Clear statement?</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b/>
                <w:bCs/>
                <w:color w:val="000000"/>
                <w:sz w:val="20"/>
                <w:szCs w:val="20"/>
                <w:lang w:eastAsia="en-GB"/>
              </w:rPr>
              <w:t>Method appropriate</w:t>
            </w:r>
          </w:p>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b/>
                <w:bCs/>
                <w:color w:val="000000"/>
                <w:sz w:val="20"/>
                <w:szCs w:val="20"/>
                <w:lang w:eastAsia="en-GB"/>
              </w:rPr>
              <w:t>?</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b/>
                <w:bCs/>
                <w:color w:val="000000"/>
                <w:sz w:val="20"/>
                <w:szCs w:val="20"/>
                <w:lang w:eastAsia="en-GB"/>
              </w:rPr>
              <w:t>Research design appropriate?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b/>
                <w:bCs/>
                <w:color w:val="000000"/>
                <w:sz w:val="20"/>
                <w:szCs w:val="20"/>
                <w:lang w:eastAsia="en-GB"/>
              </w:rPr>
              <w:t>Recruitment strategy appropriate</w:t>
            </w:r>
          </w:p>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b/>
                <w:bCs/>
                <w:color w:val="000000"/>
                <w:sz w:val="20"/>
                <w:szCs w:val="20"/>
                <w:lang w:eastAsia="en-GB"/>
              </w:rPr>
              <w:t>?</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b/>
                <w:bCs/>
                <w:color w:val="000000"/>
                <w:sz w:val="20"/>
                <w:szCs w:val="20"/>
                <w:lang w:eastAsia="en-GB"/>
              </w:rPr>
              <w:t>Data collection appropriate?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b/>
                <w:bCs/>
                <w:color w:val="000000"/>
                <w:sz w:val="20"/>
                <w:szCs w:val="20"/>
                <w:lang w:eastAsia="en-GB"/>
              </w:rPr>
              <w:t>Relationship adequately considered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b/>
                <w:bCs/>
                <w:color w:val="000000"/>
                <w:sz w:val="20"/>
                <w:szCs w:val="20"/>
                <w:lang w:eastAsia="en-GB"/>
              </w:rPr>
              <w:t>Ethical issues considered?</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b/>
                <w:bCs/>
                <w:color w:val="000000"/>
                <w:sz w:val="20"/>
                <w:szCs w:val="20"/>
                <w:lang w:eastAsia="en-GB"/>
              </w:rPr>
              <w:t>Data analysis rigorous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b/>
                <w:bCs/>
                <w:color w:val="000000"/>
                <w:sz w:val="20"/>
                <w:szCs w:val="20"/>
                <w:lang w:eastAsia="en-GB"/>
              </w:rPr>
              <w:t>Clear findings</w:t>
            </w:r>
          </w:p>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b/>
                <w:bCs/>
                <w:color w:val="000000"/>
                <w:sz w:val="20"/>
                <w:szCs w:val="20"/>
                <w:lang w:eastAsia="en-GB"/>
              </w:rPr>
              <w:t>?</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b/>
                <w:bCs/>
                <w:color w:val="000000"/>
                <w:sz w:val="20"/>
                <w:szCs w:val="20"/>
                <w:lang w:eastAsia="en-GB"/>
              </w:rPr>
              <w:t>Research valuable</w:t>
            </w:r>
          </w:p>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b/>
                <w:bCs/>
                <w:color w:val="000000"/>
                <w:sz w:val="20"/>
                <w:szCs w:val="20"/>
                <w:lang w:eastAsia="en-GB"/>
              </w:rPr>
              <w:t>?</w:t>
            </w:r>
          </w:p>
        </w:tc>
      </w:tr>
      <w:tr w:rsidR="006B3384" w:rsidRPr="009B3747" w:rsidTr="006B3384">
        <w:tc>
          <w:tcPr>
            <w:tcW w:w="4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Obesity prevention in English primary schools: headteacher perspectives</w:t>
            </w:r>
          </w:p>
          <w:p w:rsidR="006B3384" w:rsidRPr="009B3747" w:rsidRDefault="008D6B5D" w:rsidP="006B3384">
            <w:pPr>
              <w:spacing w:line="240" w:lineRule="auto"/>
              <w:jc w:val="center"/>
              <w:rPr>
                <w:rFonts w:eastAsia="Times New Roman" w:cstheme="minorHAnsi"/>
                <w:sz w:val="24"/>
                <w:szCs w:val="24"/>
                <w:lang w:eastAsia="en-GB"/>
              </w:rPr>
            </w:pPr>
            <w:r w:rsidRPr="009B3747">
              <w:rPr>
                <w:rFonts w:eastAsia="Times New Roman" w:cstheme="minorHAnsi"/>
                <w:i/>
                <w:iCs/>
                <w:color w:val="000000"/>
                <w:sz w:val="20"/>
                <w:szCs w:val="20"/>
                <w:lang w:eastAsia="en-GB"/>
              </w:rPr>
              <w:fldChar w:fldCharType="begin" w:fldLock="1"/>
            </w:r>
            <w:r w:rsidRPr="009B3747">
              <w:rPr>
                <w:rFonts w:eastAsia="Times New Roman" w:cstheme="minorHAnsi"/>
                <w:i/>
                <w:iCs/>
                <w:color w:val="000000"/>
                <w:sz w:val="20"/>
                <w:szCs w:val="20"/>
                <w:lang w:eastAsia="en-GB"/>
              </w:rPr>
              <w:instrText>ADDIN CSL_CITATION { "citationItems" : [ { "id" : "ITEM-1", "itemData" : { "DOI" : "10.1016/j.appet.2014.12.121", "ISSN" : "01956663", "author" : [ { "dropping-particle" : "", "family" : "Clarke", "given" : "J.", "non-dropping-particle" : "", "parse-names" : false, "suffix" : "" }, { "dropping-particle" : "", "family" : "Lancashire", "given" : "E.", "non-dropping-particle" : "", "parse-names" : false, "suffix" : "" }, { "dropping-particle" : "", "family" : "Pallan", "given" : "M.", "non-dropping-particle" : "", "parse-names" : false, "suffix" : "" }, { "dropping-particle" : "", "family" : "Adab", "given" : "P.", "non-dropping-particle" : "", "parse-names" : false, "suffix" : "" } ], "container-title" : "Appetite", "id" : "ITEM-1", "issued" : { "date-parts" : [ [ "2015", "4" ] ] }, "page" : "377", "title" : "Headteacher perspectives on the role of the primary school in preventing childhood obesity", "type" : "article-journal", "volume" : "87" }, "uris" : [ "http://www.mendeley.com/documents/?uuid=ac79f162-74f2-49d2-a629-f4abdfb486ea" ] } ], "mendeley" : { "formattedCitation" : "(Clarke et al., 2015)", "plainTextFormattedCitation" : "(Clarke et al., 2015)", "previouslyFormattedCitation" : "(Clarke et al., 2015)" }, "properties" : { "noteIndex" : 0 }, "schema" : "https://github.com/citation-style-language/schema/raw/master/csl-citation.json" }</w:instrText>
            </w:r>
            <w:r w:rsidRPr="009B3747">
              <w:rPr>
                <w:rFonts w:eastAsia="Times New Roman" w:cstheme="minorHAnsi"/>
                <w:i/>
                <w:iCs/>
                <w:color w:val="000000"/>
                <w:sz w:val="20"/>
                <w:szCs w:val="20"/>
                <w:lang w:eastAsia="en-GB"/>
              </w:rPr>
              <w:fldChar w:fldCharType="separate"/>
            </w:r>
            <w:r w:rsidRPr="009B3747">
              <w:rPr>
                <w:rFonts w:eastAsia="Times New Roman" w:cstheme="minorHAnsi"/>
                <w:iCs/>
                <w:noProof/>
                <w:color w:val="000000"/>
                <w:sz w:val="20"/>
                <w:szCs w:val="20"/>
                <w:lang w:eastAsia="en-GB"/>
              </w:rPr>
              <w:t>(Clarke et al., 2015)</w:t>
            </w:r>
            <w:r w:rsidRPr="009B3747">
              <w:rPr>
                <w:rFonts w:eastAsia="Times New Roman" w:cstheme="minorHAnsi"/>
                <w:i/>
                <w:iCs/>
                <w:color w:val="000000"/>
                <w:sz w:val="20"/>
                <w:szCs w:val="20"/>
                <w:lang w:eastAsia="en-GB"/>
              </w:rPr>
              <w:fldChar w:fldCharType="end"/>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r>
      <w:tr w:rsidR="006B3384" w:rsidRPr="009B3747" w:rsidTr="006B3384">
        <w:tc>
          <w:tcPr>
            <w:tcW w:w="4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 xml:space="preserve">Headteachers' prior beliefs on child health and their engagement in school based health interventions: A qualitative study </w:t>
            </w:r>
          </w:p>
          <w:p w:rsidR="006B3384" w:rsidRPr="009B3747" w:rsidRDefault="008D6B5D" w:rsidP="006B3384">
            <w:pPr>
              <w:spacing w:line="240" w:lineRule="auto"/>
              <w:jc w:val="center"/>
              <w:rPr>
                <w:rFonts w:eastAsia="Times New Roman" w:cstheme="minorHAnsi"/>
                <w:sz w:val="24"/>
                <w:szCs w:val="24"/>
                <w:lang w:eastAsia="en-GB"/>
              </w:rPr>
            </w:pPr>
            <w:r w:rsidRPr="009B3747">
              <w:rPr>
                <w:rFonts w:eastAsia="Times New Roman" w:cstheme="minorHAnsi"/>
                <w:i/>
                <w:iCs/>
                <w:color w:val="000000"/>
                <w:sz w:val="20"/>
                <w:szCs w:val="20"/>
                <w:lang w:eastAsia="en-GB"/>
              </w:rPr>
              <w:fldChar w:fldCharType="begin" w:fldLock="1"/>
            </w:r>
            <w:r w:rsidR="009C2ECF" w:rsidRPr="009B3747">
              <w:rPr>
                <w:rFonts w:eastAsia="Times New Roman" w:cstheme="minorHAnsi"/>
                <w:i/>
                <w:iCs/>
                <w:color w:val="000000"/>
                <w:sz w:val="20"/>
                <w:szCs w:val="20"/>
                <w:lang w:eastAsia="en-GB"/>
              </w:rPr>
              <w:instrText>ADDIN CSL_CITATION { "citationItems" : [ { "id" : "ITEM-1", "itemData" : { "author" : [ { "dropping-particle" : "", "family" : "Todd", "given" : "C", "non-dropping-particle" : "", "parse-names" : false, "suffix" : "" }, { "dropping-particle" : "", "family" : "Christian", "given" : "D", "non-dropping-particle" : "", "parse-names" : false, "suffix" : "" }, { "dropping-particle" : "", "family" : "Davies", "given" : "H", "non-dropping-particle" : "", "parse-names" : false, "suffix" : "" } ], "container-title" : "BMC research \u2026", "id" : "ITEM-1", "issue" : "1", "issued" : { "date-parts" : [ [ "2015" ] ] }, "page" : "161", "title" : "Headteachers' prior beliefs on child health and their engagement in school based health interventions: a qualitative study", "type" : "article-journal", "volume" : "8" }, "uris" : [ "http://www.mendeley.com/documents/?uuid=9a740b7c-28ec-4b9a-99a5-b768fe7c3a4e" ] } ], "mendeley" : { "formattedCitation" : "(Todd et al., 2015)", "plainTextFormattedCitation" : "(Todd et al., 2015)", "previouslyFormattedCitation" : "(Todd et al., 2015)" }, "properties" : { "noteIndex" : 0 }, "schema" : "https://github.com/citation-style-language/schema/raw/master/csl-citation.json" }</w:instrText>
            </w:r>
            <w:r w:rsidRPr="009B3747">
              <w:rPr>
                <w:rFonts w:eastAsia="Times New Roman" w:cstheme="minorHAnsi"/>
                <w:i/>
                <w:iCs/>
                <w:color w:val="000000"/>
                <w:sz w:val="20"/>
                <w:szCs w:val="20"/>
                <w:lang w:eastAsia="en-GB"/>
              </w:rPr>
              <w:fldChar w:fldCharType="separate"/>
            </w:r>
            <w:r w:rsidRPr="009B3747">
              <w:rPr>
                <w:rFonts w:eastAsia="Times New Roman" w:cstheme="minorHAnsi"/>
                <w:iCs/>
                <w:noProof/>
                <w:color w:val="000000"/>
                <w:sz w:val="20"/>
                <w:szCs w:val="20"/>
                <w:lang w:eastAsia="en-GB"/>
              </w:rPr>
              <w:t>(Todd et al., 2015)</w:t>
            </w:r>
            <w:r w:rsidRPr="009B3747">
              <w:rPr>
                <w:rFonts w:eastAsia="Times New Roman" w:cstheme="minorHAnsi"/>
                <w:i/>
                <w:iCs/>
                <w:color w:val="000000"/>
                <w:sz w:val="20"/>
                <w:szCs w:val="20"/>
                <w:lang w:eastAsia="en-GB"/>
              </w:rPr>
              <w:fldChar w:fldCharType="end"/>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r>
      <w:tr w:rsidR="006B3384" w:rsidRPr="009B3747" w:rsidTr="006B3384">
        <w:tc>
          <w:tcPr>
            <w:tcW w:w="4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8D6B5D">
            <w:pPr>
              <w:spacing w:line="240" w:lineRule="auto"/>
              <w:jc w:val="center"/>
              <w:rPr>
                <w:rFonts w:eastAsia="Times New Roman" w:cstheme="minorHAnsi"/>
                <w:i/>
                <w:iCs/>
                <w:color w:val="000000"/>
                <w:sz w:val="20"/>
                <w:szCs w:val="20"/>
                <w:lang w:eastAsia="en-GB"/>
              </w:rPr>
            </w:pPr>
            <w:r w:rsidRPr="009B3747">
              <w:rPr>
                <w:rFonts w:eastAsia="Times New Roman" w:cstheme="minorHAnsi"/>
                <w:color w:val="000000"/>
                <w:sz w:val="20"/>
                <w:szCs w:val="20"/>
                <w:lang w:eastAsia="en-GB"/>
              </w:rPr>
              <w:t xml:space="preserve">Exploring primary school headteachers’ perspectives on the barriers and facilitators of preventing childhood obesity </w:t>
            </w:r>
          </w:p>
          <w:p w:rsidR="008D6B5D" w:rsidRPr="009B3747" w:rsidRDefault="008D6B5D" w:rsidP="008D6B5D">
            <w:pPr>
              <w:spacing w:line="240" w:lineRule="auto"/>
              <w:jc w:val="center"/>
              <w:rPr>
                <w:rFonts w:eastAsia="Times New Roman" w:cstheme="minorHAnsi"/>
                <w:sz w:val="24"/>
                <w:szCs w:val="24"/>
                <w:lang w:eastAsia="en-GB"/>
              </w:rPr>
            </w:pPr>
            <w:r w:rsidRPr="009B3747">
              <w:rPr>
                <w:rFonts w:eastAsia="Times New Roman" w:cstheme="minorHAnsi"/>
                <w:i/>
                <w:iCs/>
                <w:color w:val="000000"/>
                <w:sz w:val="20"/>
                <w:szCs w:val="20"/>
                <w:lang w:eastAsia="en-GB"/>
              </w:rPr>
              <w:fldChar w:fldCharType="begin" w:fldLock="1"/>
            </w:r>
            <w:r w:rsidR="00A84723" w:rsidRPr="009B3747">
              <w:rPr>
                <w:rFonts w:eastAsia="Times New Roman" w:cstheme="minorHAnsi"/>
                <w:i/>
                <w:iCs/>
                <w:color w:val="000000"/>
                <w:sz w:val="20"/>
                <w:szCs w:val="20"/>
                <w:lang w:eastAsia="en-GB"/>
              </w:rPr>
              <w:instrText>ADDIN CSL_CITATION { "citationItems" : [ { "id" : "ITEM-1", "itemData" : { "author" : [ { "dropping-particle" : "", "family" : "Howard-Drake", "given" : "EJ", "non-dropping-particle" : "", "parse-names" : false, "suffix" : "" }, { "dropping-particle" : "", "family" : "Halliday", "given" : "V", "non-dropping-particle" : "", "parse-names" : false, "suffix" : "" } ], "container-title" : "Journal of Public Health", "id" : "ITEM-1", "issue" : "1", "issued" : { "date-parts" : [ [ "2015" ] ] }, "page" : "44-52", "title" : "Exploring primary school headteachers' perspectives on the barriers and facilitators of preventing childhood obesity", "type" : "article-journal", "volume" : "38" }, "uris" : [ "http://www.mendeley.com/documents/?uuid=5809992c-2717-4e23-9b1e-b80b2a030870" ] } ], "mendeley" : { "formattedCitation" : "(Howard-Drake and Halliday, 2015)", "manualFormatting" : "(Howard-Drake and Halliday, 2015)", "plainTextFormattedCitation" : "(Howard-Drake and Halliday, 2015)", "previouslyFormattedCitation" : "(Howard-Drake and Halliday, 2015)" }, "properties" : { "noteIndex" : 0 }, "schema" : "https://github.com/citation-style-language/schema/raw/master/csl-citation.json" }</w:instrText>
            </w:r>
            <w:r w:rsidRPr="009B3747">
              <w:rPr>
                <w:rFonts w:eastAsia="Times New Roman" w:cstheme="minorHAnsi"/>
                <w:i/>
                <w:iCs/>
                <w:color w:val="000000"/>
                <w:sz w:val="20"/>
                <w:szCs w:val="20"/>
                <w:lang w:eastAsia="en-GB"/>
              </w:rPr>
              <w:fldChar w:fldCharType="separate"/>
            </w:r>
            <w:r w:rsidRPr="009B3747">
              <w:rPr>
                <w:rFonts w:eastAsia="Times New Roman" w:cstheme="minorHAnsi"/>
                <w:iCs/>
                <w:noProof/>
                <w:color w:val="000000"/>
                <w:sz w:val="20"/>
                <w:szCs w:val="20"/>
                <w:lang w:eastAsia="en-GB"/>
              </w:rPr>
              <w:t>(Howard-Drake and Halliday, 2015)</w:t>
            </w:r>
            <w:r w:rsidRPr="009B3747">
              <w:rPr>
                <w:rFonts w:eastAsia="Times New Roman" w:cstheme="minorHAnsi"/>
                <w:i/>
                <w:iCs/>
                <w:color w:val="000000"/>
                <w:sz w:val="20"/>
                <w:szCs w:val="20"/>
                <w:lang w:eastAsia="en-GB"/>
              </w:rPr>
              <w:fldChar w:fldCharType="end"/>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r>
      <w:tr w:rsidR="006B3384" w:rsidRPr="009B3747" w:rsidTr="006B3384">
        <w:tc>
          <w:tcPr>
            <w:tcW w:w="4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 xml:space="preserve">Perceptions of Childhood Obesity Among Rural Parents, Teachers, and School Administrators </w:t>
            </w:r>
          </w:p>
          <w:p w:rsidR="006B3384" w:rsidRPr="009B3747" w:rsidRDefault="008D6B5D" w:rsidP="006B3384">
            <w:pPr>
              <w:spacing w:line="240" w:lineRule="auto"/>
              <w:jc w:val="center"/>
              <w:rPr>
                <w:rFonts w:eastAsia="Times New Roman" w:cstheme="minorHAnsi"/>
                <w:sz w:val="24"/>
                <w:szCs w:val="24"/>
                <w:lang w:eastAsia="en-GB"/>
              </w:rPr>
            </w:pPr>
            <w:r w:rsidRPr="009B3747">
              <w:rPr>
                <w:rFonts w:eastAsia="Times New Roman" w:cstheme="minorHAnsi"/>
                <w:i/>
                <w:iCs/>
                <w:color w:val="000000"/>
                <w:sz w:val="20"/>
                <w:szCs w:val="20"/>
                <w:lang w:eastAsia="en-GB"/>
              </w:rPr>
              <w:fldChar w:fldCharType="begin" w:fldLock="1"/>
            </w:r>
            <w:r w:rsidR="009C2ECF" w:rsidRPr="009B3747">
              <w:rPr>
                <w:rFonts w:eastAsia="Times New Roman" w:cstheme="minorHAnsi"/>
                <w:i/>
                <w:iCs/>
                <w:color w:val="000000"/>
                <w:sz w:val="20"/>
                <w:szCs w:val="20"/>
                <w:lang w:eastAsia="en-GB"/>
              </w:rPr>
              <w:instrText>ADDIN CSL_CITATION { "citationItems" : [ { "id" : "ITEM-1", "itemData" : { "author" : [ { "dropping-particle" : "", "family" : "Tripp", "given" : "PJ", "non-dropping-particle" : "", "parse-names" : false, "suffix" : "" }, { "dropping-particle" : "", "family" : "Choi", "given" : "JY", "non-dropping-particle" : "", "parse-names" : false, "suffix" : "" } ], "container-title" : "Journal of Family &amp; Consumer Sciences", "id" : "ITEM-1", "issue" : "4", "issued" : { "date-parts" : [ [ "2014" ] ] }, "page" : "33-39", "title" : "Perceptions of Childhood Obesity Among Rural Parents, Teachers, and School Administrators", "type" : "article-journal", "volume" : "106" }, "uris" : [ "http://www.mendeley.com/documents/?uuid=2246024a-fa0a-45b4-96c6-dae9939771a8" ] } ], "mendeley" : { "formattedCitation" : "(Tripp and Choi, 2014)", "plainTextFormattedCitation" : "(Tripp and Choi, 2014)", "previouslyFormattedCitation" : "(Tripp and Choi, 2014)" }, "properties" : { "noteIndex" : 0 }, "schema" : "https://github.com/citation-style-language/schema/raw/master/csl-citation.json" }</w:instrText>
            </w:r>
            <w:r w:rsidRPr="009B3747">
              <w:rPr>
                <w:rFonts w:eastAsia="Times New Roman" w:cstheme="minorHAnsi"/>
                <w:i/>
                <w:iCs/>
                <w:color w:val="000000"/>
                <w:sz w:val="20"/>
                <w:szCs w:val="20"/>
                <w:lang w:eastAsia="en-GB"/>
              </w:rPr>
              <w:fldChar w:fldCharType="separate"/>
            </w:r>
            <w:r w:rsidRPr="009B3747">
              <w:rPr>
                <w:rFonts w:eastAsia="Times New Roman" w:cstheme="minorHAnsi"/>
                <w:iCs/>
                <w:noProof/>
                <w:color w:val="000000"/>
                <w:sz w:val="20"/>
                <w:szCs w:val="20"/>
                <w:lang w:eastAsia="en-GB"/>
              </w:rPr>
              <w:t>(Tripp and Choi, 2014)</w:t>
            </w:r>
            <w:r w:rsidRPr="009B3747">
              <w:rPr>
                <w:rFonts w:eastAsia="Times New Roman" w:cstheme="minorHAnsi"/>
                <w:i/>
                <w:iCs/>
                <w:color w:val="000000"/>
                <w:sz w:val="20"/>
                <w:szCs w:val="20"/>
                <w:lang w:eastAsia="en-GB"/>
              </w:rPr>
              <w:fldChar w:fldCharType="end"/>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Can’t tell</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Can’t tell</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r>
      <w:tr w:rsidR="006B3384" w:rsidRPr="009B3747" w:rsidTr="006B3384">
        <w:tc>
          <w:tcPr>
            <w:tcW w:w="4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 xml:space="preserve">Adolescent Obesity Prevention in Botswana: Beliefs and Recommendations of School Personnel </w:t>
            </w:r>
          </w:p>
          <w:p w:rsidR="006B3384" w:rsidRPr="009B3747" w:rsidRDefault="008D6B5D" w:rsidP="006B3384">
            <w:pPr>
              <w:spacing w:line="240" w:lineRule="auto"/>
              <w:jc w:val="center"/>
              <w:rPr>
                <w:rFonts w:eastAsia="Times New Roman" w:cstheme="minorHAnsi"/>
                <w:sz w:val="24"/>
                <w:szCs w:val="24"/>
                <w:lang w:eastAsia="en-GB"/>
              </w:rPr>
            </w:pPr>
            <w:r w:rsidRPr="009B3747">
              <w:rPr>
                <w:rFonts w:eastAsia="Times New Roman" w:cstheme="minorHAnsi"/>
                <w:i/>
                <w:iCs/>
                <w:color w:val="000000"/>
                <w:sz w:val="20"/>
                <w:szCs w:val="20"/>
                <w:lang w:eastAsia="en-GB"/>
              </w:rPr>
              <w:fldChar w:fldCharType="begin" w:fldLock="1"/>
            </w:r>
            <w:r w:rsidRPr="009B3747">
              <w:rPr>
                <w:rFonts w:eastAsia="Times New Roman" w:cstheme="minorHAnsi"/>
                <w:i/>
                <w:iCs/>
                <w:color w:val="000000"/>
                <w:sz w:val="20"/>
                <w:szCs w:val="20"/>
                <w:lang w:eastAsia="en-GB"/>
              </w:rPr>
              <w:instrText>ADDIN CSL_CITATION { "citationItems" : [ { "id" : "ITEM-1", "itemData" : { "DOI" : "10.1177/1059840511429003", "ISSN" : "1059-8405", "author" : [ { "dropping-particle" : "", "family" : "Shaibu", "given" : "Sheila", "non-dropping-particle" : "", "parse-names" : false, "suffix" : "" }, { "dropping-particle" : "", "family" : "Holsten", "given" : "Joanna E.", "non-dropping-particle" : "", "parse-names" : false, "suffix" : "" }, { "dropping-particle" : "", "family" : "Stettler", "given" : "Nicolas", "non-dropping-particle" : "", "parse-names" : false, "suffix" : "" }, { "dropping-particle" : "", "family" : "Maruapula", "given" : "Segametsi D.", "non-dropping-particle" : "", "parse-names" : false, "suffix" : "" }, { "dropping-particle" : "", "family" : "Jackson", "given" : "Jose C.", "non-dropping-particle" : "", "parse-names" : false, "suffix" : "" }, { "dropping-particle" : "", "family" : "Malete", "given" : "Leapetswe", "non-dropping-particle" : "", "parse-names" : false, "suffix" : "" }, { "dropping-particle" : "", "family" : "Mokone", "given" : "George", "non-dropping-particle" : "", "parse-names" : false, "suffix" : "" }, { "dropping-particle" : "", "family" : "Wrotniak", "given" : "Brian H.", "non-dropping-particle" : "", "parse-names" : false, "suffix" : "" }, { "dropping-particle" : "", "family" : "Compher", "given" : "Charlene W.", "non-dropping-particle" : "", "parse-names" : false, "suffix" : "" } ], "container-title" : "The Journal of School Nursing", "id" : "ITEM-1", "issue" : "3", "issued" : { "date-parts" : [ [ "2012", "6" ] ] }, "page" : "220-229", "title" : "Adolescent Obesity Prevention in Botswana", "type" : "article-journal", "volume" : "28" }, "uris" : [ "http://www.mendeley.com/documents/?uuid=c06e4e06-bdd2-3421-b846-4c6d0a19f232" ] } ], "mendeley" : { "formattedCitation" : "(Shaibu et al., 2012)", "plainTextFormattedCitation" : "(Shaibu et al., 2012)", "previouslyFormattedCitation" : "(Shaibu et al., 2012)" }, "properties" : { "noteIndex" : 0 }, "schema" : "https://github.com/citation-style-language/schema/raw/master/csl-citation.json" }</w:instrText>
            </w:r>
            <w:r w:rsidRPr="009B3747">
              <w:rPr>
                <w:rFonts w:eastAsia="Times New Roman" w:cstheme="minorHAnsi"/>
                <w:i/>
                <w:iCs/>
                <w:color w:val="000000"/>
                <w:sz w:val="20"/>
                <w:szCs w:val="20"/>
                <w:lang w:eastAsia="en-GB"/>
              </w:rPr>
              <w:fldChar w:fldCharType="separate"/>
            </w:r>
            <w:r w:rsidRPr="009B3747">
              <w:rPr>
                <w:rFonts w:eastAsia="Times New Roman" w:cstheme="minorHAnsi"/>
                <w:iCs/>
                <w:noProof/>
                <w:color w:val="000000"/>
                <w:sz w:val="20"/>
                <w:szCs w:val="20"/>
                <w:lang w:eastAsia="en-GB"/>
              </w:rPr>
              <w:t>(Shaibu et al., 2012)</w:t>
            </w:r>
            <w:r w:rsidRPr="009B3747">
              <w:rPr>
                <w:rFonts w:eastAsia="Times New Roman" w:cstheme="minorHAnsi"/>
                <w:i/>
                <w:iCs/>
                <w:color w:val="000000"/>
                <w:sz w:val="20"/>
                <w:szCs w:val="20"/>
                <w:lang w:eastAsia="en-GB"/>
              </w:rPr>
              <w:fldChar w:fldCharType="end"/>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Can’t tell</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Can’t tell</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r>
      <w:tr w:rsidR="006B3384" w:rsidRPr="009B3747" w:rsidTr="006B3384">
        <w:tc>
          <w:tcPr>
            <w:tcW w:w="4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The school food environment and adolescent obesity: qualitative insights from high school principals and food service personnel</w:t>
            </w:r>
          </w:p>
          <w:p w:rsidR="006B3384" w:rsidRPr="009B3747" w:rsidRDefault="008D6B5D" w:rsidP="008D6B5D">
            <w:pPr>
              <w:spacing w:line="240" w:lineRule="auto"/>
              <w:jc w:val="center"/>
              <w:rPr>
                <w:rFonts w:eastAsia="Times New Roman" w:cstheme="minorHAnsi"/>
                <w:sz w:val="24"/>
                <w:szCs w:val="24"/>
                <w:lang w:eastAsia="en-GB"/>
              </w:rPr>
            </w:pPr>
            <w:r w:rsidRPr="009B3747">
              <w:rPr>
                <w:rFonts w:eastAsia="Times New Roman" w:cstheme="minorHAnsi"/>
                <w:i/>
                <w:iCs/>
                <w:color w:val="000000"/>
                <w:sz w:val="20"/>
                <w:szCs w:val="20"/>
                <w:lang w:eastAsia="en-GB"/>
              </w:rPr>
              <w:fldChar w:fldCharType="begin" w:fldLock="1"/>
            </w:r>
            <w:r w:rsidR="00395650" w:rsidRPr="009B3747">
              <w:rPr>
                <w:rFonts w:eastAsia="Times New Roman" w:cstheme="minorHAnsi"/>
                <w:i/>
                <w:iCs/>
                <w:color w:val="000000"/>
                <w:sz w:val="20"/>
                <w:szCs w:val="20"/>
                <w:lang w:eastAsia="en-GB"/>
              </w:rPr>
              <w:instrText>ADDIN CSL_CITATION { "citationItems" : [ { "id" : "ITEM-1", "itemData" : { "author" : [ { "dropping-particle" : "", "family" : "Nollen", "given" : "NL", "non-dropping-particle" : "", "parse-names" : false, "suffix" : "" }, { "dropping-particle" : "", "family" : "Befort", "given" : "CA", "non-dropping-particle" : "", "parse-names" : false, "suffix" : "" }, { "dropping-particle" : "", "family" : "Snow", "given" : "P", "non-dropping-particle" : "", "parse-names" : false, "suffix" : "" } ], "container-title" : "\u2026 and Physical Activity", "id" : "ITEM-1", "issue" : "1", "issued" : { "date-parts" : [ [ "2007" ] ] }, "page" : "18", "title" : "The school food environment and adolescent obesity: qualitative insights from high school principals and food service personnel", "type" : "article-journal", "volume" : "4" }, "uris" : [ "http://www.mendeley.com/documents/?uuid=ecb43609-8e4b-4c3d-aeb3-462b0e9fd641" ] } ], "mendeley" : { "formattedCitation" : "(Nollen et al., 2007)", "plainTextFormattedCitation" : "(Nollen et al., 2007)", "previouslyFormattedCitation" : "(Nollen et al., 2007)" }, "properties" : { "noteIndex" : 0 }, "schema" : "https://github.com/citation-style-language/schema/raw/master/csl-citation.json" }</w:instrText>
            </w:r>
            <w:r w:rsidRPr="009B3747">
              <w:rPr>
                <w:rFonts w:eastAsia="Times New Roman" w:cstheme="minorHAnsi"/>
                <w:i/>
                <w:iCs/>
                <w:color w:val="000000"/>
                <w:sz w:val="20"/>
                <w:szCs w:val="20"/>
                <w:lang w:eastAsia="en-GB"/>
              </w:rPr>
              <w:fldChar w:fldCharType="separate"/>
            </w:r>
            <w:r w:rsidRPr="009B3747">
              <w:rPr>
                <w:rFonts w:eastAsia="Times New Roman" w:cstheme="minorHAnsi"/>
                <w:iCs/>
                <w:noProof/>
                <w:color w:val="000000"/>
                <w:sz w:val="20"/>
                <w:szCs w:val="20"/>
                <w:lang w:eastAsia="en-GB"/>
              </w:rPr>
              <w:t>(Nollen et al., 2007)</w:t>
            </w:r>
            <w:r w:rsidRPr="009B3747">
              <w:rPr>
                <w:rFonts w:eastAsia="Times New Roman" w:cstheme="minorHAnsi"/>
                <w:i/>
                <w:iCs/>
                <w:color w:val="000000"/>
                <w:sz w:val="20"/>
                <w:szCs w:val="20"/>
                <w:lang w:eastAsia="en-GB"/>
              </w:rPr>
              <w:fldChar w:fldCharType="end"/>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3384" w:rsidRPr="009B3747" w:rsidRDefault="006B3384" w:rsidP="006B338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Yes</w:t>
            </w:r>
          </w:p>
        </w:tc>
      </w:tr>
    </w:tbl>
    <w:p w:rsidR="006B3384" w:rsidRPr="009B3747" w:rsidRDefault="006B3384" w:rsidP="003F1507">
      <w:pPr>
        <w:rPr>
          <w:rFonts w:eastAsia="Times New Roman" w:cstheme="minorHAnsi"/>
          <w:color w:val="000000"/>
          <w:u w:val="single"/>
          <w:lang w:eastAsia="en-GB"/>
        </w:rPr>
        <w:sectPr w:rsidR="006B3384" w:rsidRPr="009B3747" w:rsidSect="006B3384">
          <w:pgSz w:w="16838" w:h="11906" w:orient="landscape"/>
          <w:pgMar w:top="568" w:right="1440" w:bottom="1440" w:left="1440" w:header="709" w:footer="709" w:gutter="0"/>
          <w:cols w:space="708"/>
          <w:docGrid w:linePitch="360"/>
        </w:sectPr>
      </w:pPr>
    </w:p>
    <w:p w:rsidR="003F1507" w:rsidRPr="009B3747" w:rsidRDefault="00983506" w:rsidP="003F1507">
      <w:pPr>
        <w:rPr>
          <w:rFonts w:eastAsia="Times New Roman" w:cstheme="minorHAnsi"/>
          <w:sz w:val="24"/>
          <w:szCs w:val="24"/>
          <w:lang w:eastAsia="en-GB"/>
        </w:rPr>
      </w:pPr>
      <w:r w:rsidRPr="009B3747">
        <w:rPr>
          <w:rFonts w:eastAsia="Times New Roman" w:cstheme="minorHAnsi"/>
          <w:color w:val="000000"/>
          <w:u w:val="single"/>
          <w:lang w:eastAsia="en-GB"/>
        </w:rPr>
        <w:lastRenderedPageBreak/>
        <w:t>3</w:t>
      </w:r>
      <w:r w:rsidR="008D6B5D" w:rsidRPr="009B3747">
        <w:rPr>
          <w:rFonts w:eastAsia="Times New Roman" w:cstheme="minorHAnsi"/>
          <w:color w:val="000000"/>
          <w:u w:val="single"/>
          <w:lang w:eastAsia="en-GB"/>
        </w:rPr>
        <w:t xml:space="preserve">.4.4 </w:t>
      </w:r>
      <w:r w:rsidR="003F1507" w:rsidRPr="009B3747">
        <w:rPr>
          <w:rFonts w:eastAsia="Times New Roman" w:cstheme="minorHAnsi"/>
          <w:color w:val="000000"/>
          <w:u w:val="single"/>
          <w:lang w:eastAsia="en-GB"/>
        </w:rPr>
        <w:t xml:space="preserve">Key findings from the thematic synthesis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 xml:space="preserve">The remainder of this chapter presents the findings from the thematic synthesis.  Four overarching themes and a larger number of sub-themes (nine) emerged from the three stage process undertaken </w:t>
      </w:r>
      <w:r w:rsidR="002A3A24" w:rsidRPr="009B3747">
        <w:rPr>
          <w:rFonts w:eastAsia="Times New Roman" w:cstheme="minorHAnsi"/>
          <w:color w:val="000000"/>
          <w:lang w:eastAsia="en-GB"/>
        </w:rPr>
        <w:fldChar w:fldCharType="begin" w:fldLock="1"/>
      </w:r>
      <w:r w:rsidR="00690D3B" w:rsidRPr="009B3747">
        <w:rPr>
          <w:rFonts w:eastAsia="Times New Roman" w:cstheme="minorHAnsi"/>
          <w:color w:val="000000"/>
          <w:lang w:eastAsia="en-GB"/>
        </w:rPr>
        <w:instrText>ADDIN CSL_CITATION { "citationItems" : [ { "id" : "ITEM-1", "itemData" : { "DOI" : "10.1186/1471-2288-8-45", "ISBN" : "1471-2288 (Electronic)\\r1471-2288 (Linking)", "ISSN" : "1471-2288", "PMID" : "18616818", "abstract" : "BACKGROUND: There is a growing recognition of the value of synthesising qualitative research in the evidence base in order to facilitate effective and appropriate health care. In response to this, methods for undertaking these syntheses are currently being developed. Thematic analysis is a method that is often used to analyse data in primary qualitative research. This paper reports on the use of this type of analysis in systematic reviews to bring together and integrate the findings of multiple qualitative studies.\\n\\nMETHODS: We describe thematic synthesis, outline several steps for its conduct and illustrate the process and outcome of this approach using a completed review of health promotion research. Thematic synthesis has three stages: the coding of text 'line-by-line'; the development of 'descriptive themes'; and the generation of 'analytical themes'. While the development of descriptive themes remains 'close' to the primary studies, the analytical themes represent a stage of interpretation whereby the reviewers 'go beyond' the primary studies and generate new interpretive constructs, explanations or hypotheses. The use of computer software can facilitate this method of synthesis; detailed guidance is given on how this can be achieved.\\n\\nRESULTS: We used thematic synthesis to combine the studies of children's views and identified key themes to explore in the intervention studies. Most interventions were based in school and often combined learning about health benefits with 'hands-on' experience. The studies of children's views suggested that fruit and vegetables should be treated in different ways, and that messages should not focus on health warnings. Interventions that were in line with these suggestions tended to be more effective. Thematic synthesis enabled us to stay 'close' to the results of the primary studies, synthesising them in a transparent way, and facilitating the explicit production of new concepts and hypotheses.\\n\\nCONCLUSION: We compare thematic synthesis to other methods for the synthesis of qualitative research, discussing issues of context and rigour. Thematic synthesis is presented as a tried and tested method that preserves an explicit and transparent link between conclusions and the text of primary studies; as such it preserves principles that have traditionally been important to systematic reviewing.", "author" : [ { "dropping-particle" : "", "family" : "Thomas", "given" : "James", "non-dropping-particle" : "", "parse-names" : false, "suffix" : "" }, { "dropping-particle" : "", "family" : "Harden", "given" : "Angela", "non-dropping-particle" : "", "parse-names" : false, "suffix" : "" } ], "container-title" : "BMC Medical Research Methodology", "id" : "ITEM-1", "issue" : "1", "issued" : { "date-parts" : [ [ "2008" ] ] }, "page" : "45", "title" : "Methods for the thematic synthesis of qualitative research in systematic reviews", "type" : "article-journal", "volume" : "8" }, "uris" : [ "http://www.mendeley.com/documents/?uuid=75e4c3ca-7a9b-4ec0-aa8e-23fe7e9f4462" ] } ], "mendeley" : { "formattedCitation" : "(Thomas and Harden, 2008)", "plainTextFormattedCitation" : "(Thomas and Harden, 2008)", "previouslyFormattedCitation" : "(Thomas and Harden, 2008)" }, "properties" : { "noteIndex" : 0 }, "schema" : "https://github.com/citation-style-language/schema/raw/master/csl-citation.json" }</w:instrText>
      </w:r>
      <w:r w:rsidR="002A3A24" w:rsidRPr="009B3747">
        <w:rPr>
          <w:rFonts w:eastAsia="Times New Roman" w:cstheme="minorHAnsi"/>
          <w:color w:val="000000"/>
          <w:lang w:eastAsia="en-GB"/>
        </w:rPr>
        <w:fldChar w:fldCharType="separate"/>
      </w:r>
      <w:r w:rsidR="002A3A24" w:rsidRPr="009B3747">
        <w:rPr>
          <w:rFonts w:eastAsia="Times New Roman" w:cstheme="minorHAnsi"/>
          <w:noProof/>
          <w:color w:val="000000"/>
          <w:lang w:eastAsia="en-GB"/>
        </w:rPr>
        <w:t>(Thomas and Harden, 2008)</w:t>
      </w:r>
      <w:r w:rsidR="002A3A24" w:rsidRPr="009B3747">
        <w:rPr>
          <w:rFonts w:eastAsia="Times New Roman" w:cstheme="minorHAnsi"/>
          <w:color w:val="000000"/>
          <w:lang w:eastAsia="en-GB"/>
        </w:rPr>
        <w:fldChar w:fldCharType="end"/>
      </w:r>
      <w:r w:rsidRPr="009B3747">
        <w:rPr>
          <w:rFonts w:eastAsia="Times New Roman" w:cstheme="minorHAnsi"/>
          <w:color w:val="000000"/>
          <w:lang w:eastAsia="en-GB"/>
        </w:rPr>
        <w:t>.  The four theme</w:t>
      </w:r>
      <w:r w:rsidR="00577A7B" w:rsidRPr="009B3747">
        <w:rPr>
          <w:rFonts w:eastAsia="Times New Roman" w:cstheme="minorHAnsi"/>
          <w:color w:val="000000"/>
          <w:lang w:eastAsia="en-GB"/>
        </w:rPr>
        <w:t>s are - 1) Existence of childhood obesity</w:t>
      </w:r>
      <w:r w:rsidRPr="009B3747">
        <w:rPr>
          <w:rFonts w:eastAsia="Times New Roman" w:cstheme="minorHAnsi"/>
          <w:color w:val="000000"/>
          <w:lang w:eastAsia="en-GB"/>
        </w:rPr>
        <w:t xml:space="preserve">, 2) </w:t>
      </w:r>
      <w:r w:rsidR="00577A7B" w:rsidRPr="009B3747">
        <w:rPr>
          <w:rFonts w:eastAsia="Times New Roman" w:cstheme="minorHAnsi"/>
          <w:color w:val="000000"/>
          <w:lang w:eastAsia="en-GB"/>
        </w:rPr>
        <w:t>The school setting</w:t>
      </w:r>
      <w:r w:rsidRPr="009B3747">
        <w:rPr>
          <w:rFonts w:eastAsia="Times New Roman" w:cstheme="minorHAnsi"/>
          <w:color w:val="000000"/>
          <w:lang w:eastAsia="en-GB"/>
        </w:rPr>
        <w:t xml:space="preserve"> 3) Constraining factors and 4) Enablin</w:t>
      </w:r>
      <w:r w:rsidR="002A3A24" w:rsidRPr="009B3747">
        <w:rPr>
          <w:rFonts w:eastAsia="Times New Roman" w:cstheme="minorHAnsi"/>
          <w:color w:val="000000"/>
          <w:lang w:eastAsia="en-GB"/>
        </w:rPr>
        <w:t>g factors.  Table 3.6</w:t>
      </w:r>
      <w:r w:rsidRPr="009B3747">
        <w:rPr>
          <w:rFonts w:eastAsia="Times New Roman" w:cstheme="minorHAnsi"/>
          <w:color w:val="000000"/>
          <w:lang w:eastAsia="en-GB"/>
        </w:rPr>
        <w:t>, presents each of the themes and respective sub-themes, in addition to providing supporting data (i.e. verbatim quotations) directly obtained from the primary studies.  The term ‘headteacher’ will be utilised throughout the narrative below to encapsulate all variations</w:t>
      </w:r>
      <w:r w:rsidR="00273991">
        <w:rPr>
          <w:rFonts w:eastAsia="Times New Roman" w:cstheme="minorHAnsi"/>
          <w:color w:val="000000"/>
          <w:lang w:eastAsia="en-GB"/>
        </w:rPr>
        <w:t xml:space="preserve"> of this school leadership role, </w:t>
      </w:r>
      <w:r w:rsidRPr="009B3747">
        <w:rPr>
          <w:rFonts w:eastAsia="Times New Roman" w:cstheme="minorHAnsi"/>
          <w:color w:val="000000"/>
          <w:lang w:eastAsia="en-GB"/>
        </w:rPr>
        <w:t>i.e. School Principal or School Administrator.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2A3A24" w:rsidP="003F1507">
      <w:pPr>
        <w:rPr>
          <w:rFonts w:eastAsia="Times New Roman" w:cstheme="minorHAnsi"/>
          <w:sz w:val="24"/>
          <w:szCs w:val="24"/>
          <w:lang w:eastAsia="en-GB"/>
        </w:rPr>
      </w:pPr>
      <w:r w:rsidRPr="009B3747">
        <w:rPr>
          <w:rFonts w:eastAsia="Times New Roman" w:cstheme="minorHAnsi"/>
          <w:color w:val="000000"/>
          <w:lang w:eastAsia="en-GB"/>
        </w:rPr>
        <w:t xml:space="preserve">3.4.4.1 </w:t>
      </w:r>
      <w:r w:rsidR="003F1507" w:rsidRPr="009B3747">
        <w:rPr>
          <w:rFonts w:eastAsia="Times New Roman" w:cstheme="minorHAnsi"/>
          <w:color w:val="000000"/>
          <w:lang w:eastAsia="en-GB"/>
        </w:rPr>
        <w:t xml:space="preserve">Theme 1 </w:t>
      </w:r>
      <w:r w:rsidR="00577A7B" w:rsidRPr="009B3747">
        <w:rPr>
          <w:rFonts w:eastAsia="Times New Roman" w:cstheme="minorHAnsi"/>
          <w:color w:val="000000"/>
          <w:lang w:eastAsia="en-GB"/>
        </w:rPr>
        <w:t>–</w:t>
      </w:r>
      <w:r w:rsidR="003F1507" w:rsidRPr="009B3747">
        <w:rPr>
          <w:rFonts w:eastAsia="Times New Roman" w:cstheme="minorHAnsi"/>
          <w:color w:val="000000"/>
          <w:lang w:eastAsia="en-GB"/>
        </w:rPr>
        <w:t xml:space="preserve"> </w:t>
      </w:r>
      <w:r w:rsidR="00577A7B" w:rsidRPr="009B3747">
        <w:rPr>
          <w:rFonts w:eastAsia="Times New Roman" w:cstheme="minorHAnsi"/>
          <w:color w:val="000000"/>
          <w:lang w:eastAsia="en-GB"/>
        </w:rPr>
        <w:t xml:space="preserve">Existence of childhood obesity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This first theme discusses headteachers</w:t>
      </w:r>
      <w:r w:rsidR="00670813" w:rsidRPr="009B3747">
        <w:rPr>
          <w:rFonts w:eastAsia="Times New Roman" w:cstheme="minorHAnsi"/>
          <w:color w:val="000000"/>
          <w:lang w:eastAsia="en-GB"/>
        </w:rPr>
        <w:t>’</w:t>
      </w:r>
      <w:r w:rsidRPr="009B3747">
        <w:rPr>
          <w:rFonts w:eastAsia="Times New Roman" w:cstheme="minorHAnsi"/>
          <w:color w:val="000000"/>
          <w:lang w:eastAsia="en-GB"/>
        </w:rPr>
        <w:t xml:space="preserve"> perceptions of childhood obesity in relation to its scale within their school setting and explores the views regarding socio-economic differences in both obesity and associated lifestyle behaviours.</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577A7B" w:rsidP="003F1507">
      <w:pPr>
        <w:rPr>
          <w:rFonts w:eastAsia="Times New Roman" w:cstheme="minorHAnsi"/>
          <w:sz w:val="24"/>
          <w:szCs w:val="24"/>
          <w:lang w:eastAsia="en-GB"/>
        </w:rPr>
      </w:pPr>
      <w:r w:rsidRPr="009B3747">
        <w:rPr>
          <w:rFonts w:eastAsia="Times New Roman" w:cstheme="minorHAnsi"/>
          <w:i/>
          <w:iCs/>
          <w:color w:val="000000"/>
          <w:lang w:eastAsia="en-GB"/>
        </w:rPr>
        <w:t>Perceived prevalence</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Significant variation existed between study participants regarding the perceived scale of childhood and adolescent obesity within their respective school setting.  Whilst some headteachers recognised that childhood obesity was a growing issue, broadly speaking this was perceived as the exception not the rule with only a minority of children affected.  Furthermore, headteachers predominantly in the UK raised concerns regarding the disparity they believed to exist between the reported significant scale of childhood obesity (i.e. through the Nation</w:t>
      </w:r>
      <w:r w:rsidR="00C93EF6">
        <w:rPr>
          <w:rFonts w:eastAsia="Times New Roman" w:cstheme="minorHAnsi"/>
          <w:color w:val="000000"/>
          <w:lang w:eastAsia="en-GB"/>
        </w:rPr>
        <w:t xml:space="preserve">al Child Measurement Programme), </w:t>
      </w:r>
      <w:r w:rsidRPr="009B3747">
        <w:rPr>
          <w:rFonts w:eastAsia="Times New Roman" w:cstheme="minorHAnsi"/>
          <w:color w:val="000000"/>
          <w:lang w:eastAsia="en-GB"/>
        </w:rPr>
        <w:t>and the perceived lower prevalence within their own school pupil population.  This view however was not shared by all, with other headteachers albeit a smaller proportion from different contexts observing increasing proportions of overweight or obese children and adolescence.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264621" w:rsidRPr="009B3747" w:rsidRDefault="003F1507" w:rsidP="003F1507">
      <w:pPr>
        <w:rPr>
          <w:rFonts w:eastAsia="Times New Roman" w:cstheme="minorHAnsi"/>
          <w:color w:val="000000"/>
          <w:lang w:eastAsia="en-GB"/>
        </w:rPr>
      </w:pPr>
      <w:r w:rsidRPr="009B3747">
        <w:rPr>
          <w:rFonts w:eastAsia="Times New Roman" w:cstheme="minorHAnsi"/>
          <w:color w:val="000000"/>
          <w:lang w:eastAsia="en-GB"/>
        </w:rPr>
        <w:t>Headteachers identified a range of lifestyle behaviours or wider health issues they perceived their school pupils exhibit or experience.  Whilst some of the behaviours or issues reported were believed to directly relate to a child or adolescent’s weight status</w:t>
      </w:r>
      <w:r w:rsidR="00273991">
        <w:rPr>
          <w:rFonts w:eastAsia="Times New Roman" w:cstheme="minorHAnsi"/>
          <w:color w:val="000000"/>
          <w:lang w:eastAsia="en-GB"/>
        </w:rPr>
        <w:t>,</w:t>
      </w:r>
      <w:r w:rsidRPr="009B3747">
        <w:rPr>
          <w:rFonts w:eastAsia="Times New Roman" w:cstheme="minorHAnsi"/>
          <w:color w:val="000000"/>
          <w:lang w:eastAsia="en-GB"/>
        </w:rPr>
        <w:t xml:space="preserve"> i.e. food intake, others were indirectly implicated either resulting from or contributing to the existence of obesity</w:t>
      </w:r>
      <w:r w:rsidR="00273991">
        <w:rPr>
          <w:rFonts w:eastAsia="Times New Roman" w:cstheme="minorHAnsi"/>
          <w:color w:val="000000"/>
          <w:lang w:eastAsia="en-GB"/>
        </w:rPr>
        <w:t>,</w:t>
      </w:r>
      <w:r w:rsidRPr="009B3747">
        <w:rPr>
          <w:rFonts w:eastAsia="Times New Roman" w:cstheme="minorHAnsi"/>
          <w:color w:val="000000"/>
          <w:lang w:eastAsia="en-GB"/>
        </w:rPr>
        <w:t xml:space="preserve"> i.e. low self-esteem.   </w:t>
      </w:r>
    </w:p>
    <w:p w:rsidR="00264621" w:rsidRPr="009B3747" w:rsidRDefault="00264621" w:rsidP="003F1507">
      <w:pPr>
        <w:rPr>
          <w:rFonts w:eastAsia="Times New Roman" w:cstheme="minorHAnsi"/>
          <w:color w:val="000000"/>
          <w:lang w:eastAsia="en-GB"/>
        </w:rPr>
        <w:sectPr w:rsidR="00264621" w:rsidRPr="009B3747">
          <w:pgSz w:w="11906" w:h="16838"/>
          <w:pgMar w:top="1440" w:right="1440" w:bottom="1440" w:left="1440" w:header="708" w:footer="708" w:gutter="0"/>
          <w:cols w:space="708"/>
          <w:docGrid w:linePitch="360"/>
        </w:sectPr>
      </w:pPr>
    </w:p>
    <w:p w:rsidR="00264621" w:rsidRPr="009B3747" w:rsidRDefault="00846B21" w:rsidP="00264621">
      <w:pPr>
        <w:spacing w:line="264" w:lineRule="auto"/>
        <w:ind w:left="720" w:hanging="720"/>
        <w:rPr>
          <w:rFonts w:eastAsia="Times New Roman" w:cstheme="minorHAnsi"/>
          <w:u w:val="single"/>
          <w:lang w:eastAsia="en-GB"/>
        </w:rPr>
      </w:pPr>
      <w:r w:rsidRPr="009B3747">
        <w:rPr>
          <w:rFonts w:eastAsia="Times New Roman" w:cstheme="minorHAnsi"/>
          <w:color w:val="000000"/>
          <w:u w:val="single"/>
          <w:lang w:eastAsia="en-GB"/>
        </w:rPr>
        <w:lastRenderedPageBreak/>
        <w:t>Table 3.6</w:t>
      </w:r>
      <w:r w:rsidR="00264621" w:rsidRPr="009B3747">
        <w:rPr>
          <w:rFonts w:eastAsia="Times New Roman" w:cstheme="minorHAnsi"/>
          <w:color w:val="000000"/>
          <w:u w:val="single"/>
          <w:lang w:eastAsia="en-GB"/>
        </w:rPr>
        <w:t xml:space="preserve"> - Illustrative findings related to each theme and subtheme</w:t>
      </w:r>
    </w:p>
    <w:p w:rsidR="00264621" w:rsidRPr="009B3747" w:rsidRDefault="00264621" w:rsidP="00264621">
      <w:pPr>
        <w:spacing w:line="264" w:lineRule="auto"/>
        <w:rPr>
          <w:rFonts w:eastAsia="Times New Roman" w:cstheme="minorHAnsi"/>
          <w:sz w:val="24"/>
          <w:szCs w:val="24"/>
          <w:lang w:eastAsia="en-GB"/>
        </w:rPr>
      </w:pPr>
    </w:p>
    <w:tbl>
      <w:tblPr>
        <w:tblW w:w="16160" w:type="dxa"/>
        <w:tblInd w:w="-1144" w:type="dxa"/>
        <w:tblCellMar>
          <w:top w:w="15" w:type="dxa"/>
          <w:left w:w="15" w:type="dxa"/>
          <w:bottom w:w="15" w:type="dxa"/>
          <w:right w:w="15" w:type="dxa"/>
        </w:tblCellMar>
        <w:tblLook w:val="04A0" w:firstRow="1" w:lastRow="0" w:firstColumn="1" w:lastColumn="0" w:noHBand="0" w:noVBand="1"/>
      </w:tblPr>
      <w:tblGrid>
        <w:gridCol w:w="1276"/>
        <w:gridCol w:w="1701"/>
        <w:gridCol w:w="13183"/>
      </w:tblGrid>
      <w:tr w:rsidR="00264621" w:rsidRPr="009B3747" w:rsidTr="00264621">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64621" w:rsidRPr="009B3747" w:rsidRDefault="00264621" w:rsidP="00264621">
            <w:pPr>
              <w:spacing w:line="264"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 xml:space="preserve">Theme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64621" w:rsidRPr="009B3747" w:rsidRDefault="00264621" w:rsidP="00264621">
            <w:pPr>
              <w:spacing w:line="264"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Subtheme</w:t>
            </w:r>
          </w:p>
        </w:tc>
        <w:tc>
          <w:tcPr>
            <w:tcW w:w="131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64621" w:rsidRPr="009B3747" w:rsidRDefault="00264621" w:rsidP="00264621">
            <w:pPr>
              <w:spacing w:line="264"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Participants quotations from primary study (reference)</w:t>
            </w:r>
          </w:p>
        </w:tc>
      </w:tr>
      <w:tr w:rsidR="00264621" w:rsidRPr="009B3747" w:rsidTr="00264621">
        <w:trPr>
          <w:trHeight w:val="400"/>
        </w:trPr>
        <w:tc>
          <w:tcPr>
            <w:tcW w:w="12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64621" w:rsidRPr="009B3747" w:rsidRDefault="00577A7B" w:rsidP="00264621">
            <w:pPr>
              <w:spacing w:line="264" w:lineRule="auto"/>
              <w:rPr>
                <w:rFonts w:eastAsia="Times New Roman" w:cstheme="minorHAnsi"/>
                <w:sz w:val="24"/>
                <w:szCs w:val="24"/>
                <w:lang w:eastAsia="en-GB"/>
              </w:rPr>
            </w:pPr>
            <w:r w:rsidRPr="009B3747">
              <w:rPr>
                <w:rFonts w:eastAsia="Times New Roman" w:cstheme="minorHAnsi"/>
                <w:color w:val="000000"/>
                <w:sz w:val="20"/>
                <w:szCs w:val="20"/>
                <w:lang w:eastAsia="en-GB"/>
              </w:rPr>
              <w:t>Existence of childhood obesity</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64621" w:rsidRPr="009B3747" w:rsidRDefault="00577A7B" w:rsidP="00264621">
            <w:pPr>
              <w:spacing w:line="264"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Perceived </w:t>
            </w:r>
            <w:r w:rsidR="00670813" w:rsidRPr="009B3747">
              <w:rPr>
                <w:rFonts w:eastAsia="Times New Roman" w:cstheme="minorHAnsi"/>
                <w:color w:val="000000"/>
                <w:sz w:val="20"/>
                <w:szCs w:val="20"/>
                <w:lang w:eastAsia="en-GB"/>
              </w:rPr>
              <w:t>prevalence</w:t>
            </w:r>
            <w:r w:rsidR="00264621" w:rsidRPr="009B3747">
              <w:rPr>
                <w:rFonts w:eastAsia="Times New Roman" w:cstheme="minorHAnsi"/>
                <w:color w:val="000000"/>
                <w:sz w:val="20"/>
                <w:szCs w:val="20"/>
                <w:lang w:eastAsia="en-GB"/>
              </w:rPr>
              <w:t xml:space="preserve"> </w:t>
            </w:r>
          </w:p>
        </w:tc>
        <w:tc>
          <w:tcPr>
            <w:tcW w:w="131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64621" w:rsidRPr="009B3747" w:rsidRDefault="00264621" w:rsidP="00264621">
            <w:pPr>
              <w:spacing w:line="264" w:lineRule="auto"/>
              <w:rPr>
                <w:rFonts w:eastAsia="Times New Roman" w:cstheme="minorHAnsi"/>
                <w:sz w:val="24"/>
                <w:szCs w:val="24"/>
                <w:lang w:eastAsia="en-GB"/>
              </w:rPr>
            </w:pPr>
            <w:r w:rsidRPr="009B3747">
              <w:rPr>
                <w:rFonts w:eastAsia="Times New Roman" w:cstheme="minorHAnsi"/>
                <w:i/>
                <w:color w:val="000000"/>
                <w:sz w:val="20"/>
                <w:szCs w:val="20"/>
                <w:lang w:eastAsia="en-GB"/>
              </w:rPr>
              <w:t>“I don’t think it is an absolute priority for us</w:t>
            </w:r>
            <w:r w:rsidR="00281979">
              <w:rPr>
                <w:rFonts w:eastAsia="Times New Roman" w:cstheme="minorHAnsi"/>
                <w:i/>
                <w:color w:val="000000"/>
                <w:sz w:val="20"/>
                <w:szCs w:val="20"/>
                <w:lang w:eastAsia="en-GB"/>
              </w:rPr>
              <w:t>,</w:t>
            </w:r>
            <w:r w:rsidRPr="009B3747">
              <w:rPr>
                <w:rFonts w:eastAsia="Times New Roman" w:cstheme="minorHAnsi"/>
                <w:i/>
                <w:color w:val="000000"/>
                <w:sz w:val="20"/>
                <w:szCs w:val="20"/>
                <w:lang w:eastAsia="en-GB"/>
              </w:rPr>
              <w:t xml:space="preserve"> but </w:t>
            </w:r>
            <w:r w:rsidR="00281979">
              <w:rPr>
                <w:rFonts w:eastAsia="Times New Roman" w:cstheme="minorHAnsi"/>
                <w:i/>
                <w:color w:val="000000"/>
                <w:sz w:val="20"/>
                <w:szCs w:val="20"/>
                <w:lang w:eastAsia="en-GB"/>
              </w:rPr>
              <w:t>I</w:t>
            </w:r>
            <w:r w:rsidRPr="009B3747">
              <w:rPr>
                <w:rFonts w:eastAsia="Times New Roman" w:cstheme="minorHAnsi"/>
                <w:i/>
                <w:color w:val="000000"/>
                <w:sz w:val="20"/>
                <w:szCs w:val="20"/>
                <w:lang w:eastAsia="en-GB"/>
              </w:rPr>
              <w:t>’d say in every year group/in every class there’s probably one or two children who are signiﬁcantly overweight”.</w:t>
            </w:r>
            <w:r w:rsidRPr="009B3747">
              <w:rPr>
                <w:rFonts w:eastAsia="Times New Roman" w:cstheme="minorHAnsi"/>
                <w:sz w:val="24"/>
                <w:szCs w:val="24"/>
                <w:lang w:eastAsia="en-GB"/>
              </w:rPr>
              <w:t xml:space="preserve"> </w:t>
            </w:r>
            <w:r w:rsidRPr="009B3747">
              <w:rPr>
                <w:rFonts w:eastAsia="Times New Roman" w:cstheme="minorHAnsi"/>
                <w:i/>
                <w:iCs/>
                <w:color w:val="000000"/>
                <w:sz w:val="20"/>
                <w:szCs w:val="20"/>
                <w:lang w:eastAsia="en-GB"/>
              </w:rPr>
              <w:t>(Clarke et al, 2015)</w:t>
            </w:r>
          </w:p>
          <w:p w:rsidR="00264621" w:rsidRPr="009B3747" w:rsidRDefault="00264621" w:rsidP="00264621">
            <w:pPr>
              <w:spacing w:line="264" w:lineRule="auto"/>
              <w:rPr>
                <w:rFonts w:eastAsia="Times New Roman" w:cstheme="minorHAnsi"/>
                <w:sz w:val="24"/>
                <w:szCs w:val="24"/>
                <w:lang w:eastAsia="en-GB"/>
              </w:rPr>
            </w:pPr>
          </w:p>
          <w:p w:rsidR="00264621" w:rsidRPr="009B3747" w:rsidRDefault="00264621" w:rsidP="00264621">
            <w:pPr>
              <w:spacing w:line="264" w:lineRule="auto"/>
              <w:rPr>
                <w:rFonts w:eastAsia="Times New Roman" w:cstheme="minorHAnsi"/>
                <w:sz w:val="24"/>
                <w:szCs w:val="24"/>
                <w:lang w:eastAsia="en-GB"/>
              </w:rPr>
            </w:pPr>
            <w:r w:rsidRPr="009B3747">
              <w:rPr>
                <w:rFonts w:eastAsia="Times New Roman" w:cstheme="minorHAnsi"/>
                <w:i/>
                <w:color w:val="000000"/>
                <w:sz w:val="20"/>
                <w:szCs w:val="20"/>
                <w:lang w:eastAsia="en-GB"/>
              </w:rPr>
              <w:t>“I could never work out where the government get their ﬁgures from for the number this high proportion of children that are supposed to be fat slobs because yes we’ve got a few children who are physically</w:t>
            </w:r>
            <w:r w:rsidR="00281979">
              <w:rPr>
                <w:rFonts w:eastAsia="Times New Roman" w:cstheme="minorHAnsi"/>
                <w:i/>
                <w:color w:val="000000"/>
                <w:sz w:val="20"/>
                <w:szCs w:val="20"/>
                <w:lang w:eastAsia="en-GB"/>
              </w:rPr>
              <w:t xml:space="preserve"> overweight, </w:t>
            </w:r>
            <w:r w:rsidRPr="009B3747">
              <w:rPr>
                <w:rFonts w:eastAsia="Times New Roman" w:cstheme="minorHAnsi"/>
                <w:i/>
                <w:color w:val="000000"/>
                <w:sz w:val="20"/>
                <w:szCs w:val="20"/>
                <w:lang w:eastAsia="en-GB"/>
              </w:rPr>
              <w:t>but it’s not a signiﬁcant number, no more than one or two in each class, but they talk, what a third of children are obese aren’t they?”</w:t>
            </w:r>
            <w:r w:rsidRPr="009B3747">
              <w:rPr>
                <w:rFonts w:eastAsia="Times New Roman" w:cstheme="minorHAnsi"/>
                <w:color w:val="000000"/>
                <w:sz w:val="20"/>
                <w:szCs w:val="20"/>
                <w:lang w:eastAsia="en-GB"/>
              </w:rPr>
              <w:t xml:space="preserve"> </w:t>
            </w:r>
            <w:r w:rsidRPr="009B3747">
              <w:rPr>
                <w:rFonts w:eastAsia="Times New Roman" w:cstheme="minorHAnsi"/>
                <w:i/>
                <w:iCs/>
                <w:color w:val="000000"/>
                <w:sz w:val="20"/>
                <w:szCs w:val="20"/>
                <w:lang w:eastAsia="en-GB"/>
              </w:rPr>
              <w:t>(Howard-Drake and Halliday, 2015)</w:t>
            </w:r>
          </w:p>
          <w:p w:rsidR="00264621" w:rsidRPr="009B3747" w:rsidRDefault="00264621" w:rsidP="00264621">
            <w:pPr>
              <w:spacing w:line="264" w:lineRule="auto"/>
              <w:rPr>
                <w:rFonts w:eastAsia="Times New Roman" w:cstheme="minorHAnsi"/>
                <w:sz w:val="24"/>
                <w:szCs w:val="24"/>
                <w:lang w:eastAsia="en-GB"/>
              </w:rPr>
            </w:pPr>
          </w:p>
          <w:p w:rsidR="00264621" w:rsidRPr="009B3747" w:rsidRDefault="00264621" w:rsidP="00264621">
            <w:pPr>
              <w:spacing w:line="264" w:lineRule="auto"/>
              <w:rPr>
                <w:rFonts w:eastAsia="Times New Roman" w:cstheme="minorHAnsi"/>
                <w:sz w:val="24"/>
                <w:szCs w:val="24"/>
                <w:lang w:eastAsia="en-GB"/>
              </w:rPr>
            </w:pPr>
            <w:r w:rsidRPr="009B3747">
              <w:rPr>
                <w:rFonts w:eastAsia="Times New Roman" w:cstheme="minorHAnsi"/>
                <w:i/>
                <w:color w:val="000000"/>
                <w:sz w:val="20"/>
                <w:szCs w:val="20"/>
                <w:lang w:eastAsia="en-GB"/>
              </w:rPr>
              <w:t>“We’ve still got lots of children here who are unfit and unhealthy you know, I think, I’m sure the school nurse will tell you when it comes to the centres of younger children coming into school with regard to their weight, we see lots of children who’re very, very large children who obviously aren’t living very healthy lifestyles at home.”</w:t>
            </w:r>
            <w:r w:rsidRPr="009B3747">
              <w:rPr>
                <w:rFonts w:eastAsia="Times New Roman" w:cstheme="minorHAnsi"/>
                <w:i/>
                <w:sz w:val="24"/>
                <w:szCs w:val="24"/>
                <w:lang w:eastAsia="en-GB"/>
              </w:rPr>
              <w:t xml:space="preserve"> </w:t>
            </w:r>
            <w:r w:rsidRPr="009B3747">
              <w:rPr>
                <w:rFonts w:eastAsia="Times New Roman" w:cstheme="minorHAnsi"/>
                <w:i/>
                <w:iCs/>
                <w:color w:val="000000"/>
                <w:sz w:val="20"/>
                <w:szCs w:val="20"/>
                <w:lang w:eastAsia="en-GB"/>
              </w:rPr>
              <w:t>(Todd et al, 2015)</w:t>
            </w:r>
          </w:p>
        </w:tc>
      </w:tr>
      <w:tr w:rsidR="00264621" w:rsidRPr="009B3747" w:rsidTr="00264621">
        <w:trPr>
          <w:trHeight w:val="400"/>
        </w:trPr>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264621" w:rsidRPr="009B3747" w:rsidRDefault="00264621" w:rsidP="00264621">
            <w:pPr>
              <w:spacing w:line="264" w:lineRule="auto"/>
              <w:rPr>
                <w:rFonts w:eastAsia="Times New Roman" w:cstheme="minorHAnsi"/>
                <w:sz w:val="24"/>
                <w:szCs w:val="24"/>
                <w:lang w:eastAsia="en-GB"/>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64621" w:rsidRPr="009B3747" w:rsidRDefault="00264621" w:rsidP="00264621">
            <w:pPr>
              <w:spacing w:line="264" w:lineRule="auto"/>
              <w:rPr>
                <w:rFonts w:eastAsia="Times New Roman" w:cstheme="minorHAnsi"/>
                <w:sz w:val="24"/>
                <w:szCs w:val="24"/>
                <w:lang w:eastAsia="en-GB"/>
              </w:rPr>
            </w:pPr>
            <w:r w:rsidRPr="009B3747">
              <w:rPr>
                <w:rFonts w:eastAsia="Times New Roman" w:cstheme="minorHAnsi"/>
                <w:color w:val="000000"/>
                <w:sz w:val="20"/>
                <w:szCs w:val="20"/>
                <w:lang w:eastAsia="en-GB"/>
              </w:rPr>
              <w:t>Socio-economic differences</w:t>
            </w:r>
          </w:p>
        </w:tc>
        <w:tc>
          <w:tcPr>
            <w:tcW w:w="131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64621" w:rsidRPr="009B3747" w:rsidRDefault="00264621" w:rsidP="00264621">
            <w:pPr>
              <w:spacing w:line="264" w:lineRule="auto"/>
              <w:rPr>
                <w:rFonts w:eastAsia="Times New Roman" w:cstheme="minorHAnsi"/>
                <w:sz w:val="24"/>
                <w:szCs w:val="24"/>
                <w:lang w:eastAsia="en-GB"/>
              </w:rPr>
            </w:pPr>
            <w:r w:rsidRPr="009B3747">
              <w:rPr>
                <w:rFonts w:eastAsia="Times New Roman" w:cstheme="minorHAnsi"/>
                <w:i/>
                <w:color w:val="000000"/>
                <w:sz w:val="20"/>
                <w:szCs w:val="20"/>
                <w:lang w:eastAsia="en-GB"/>
              </w:rPr>
              <w:t>“Some of it is linked to choices that families make and maybe understanding of what is a healthy diet. . . more so probably is the link to how much income families have”.</w:t>
            </w:r>
            <w:r w:rsidRPr="009B3747">
              <w:rPr>
                <w:rFonts w:eastAsia="Times New Roman" w:cstheme="minorHAnsi"/>
                <w:sz w:val="24"/>
                <w:szCs w:val="24"/>
                <w:lang w:eastAsia="en-GB"/>
              </w:rPr>
              <w:t xml:space="preserve"> </w:t>
            </w:r>
            <w:r w:rsidRPr="009B3747">
              <w:rPr>
                <w:rFonts w:eastAsia="Times New Roman" w:cstheme="minorHAnsi"/>
                <w:color w:val="000000"/>
                <w:sz w:val="20"/>
                <w:szCs w:val="20"/>
                <w:lang w:eastAsia="en-GB"/>
              </w:rPr>
              <w:t>(Clarke et al, 2015)”</w:t>
            </w:r>
          </w:p>
          <w:p w:rsidR="00264621" w:rsidRPr="009B3747" w:rsidRDefault="00264621" w:rsidP="00264621">
            <w:pPr>
              <w:spacing w:line="264" w:lineRule="auto"/>
              <w:rPr>
                <w:rFonts w:eastAsia="Times New Roman" w:cstheme="minorHAnsi"/>
                <w:sz w:val="24"/>
                <w:szCs w:val="24"/>
                <w:lang w:eastAsia="en-GB"/>
              </w:rPr>
            </w:pPr>
          </w:p>
          <w:p w:rsidR="00264621" w:rsidRPr="009B3747" w:rsidRDefault="00264621" w:rsidP="00264621">
            <w:pPr>
              <w:spacing w:line="264" w:lineRule="auto"/>
              <w:rPr>
                <w:rFonts w:eastAsia="Times New Roman" w:cstheme="minorHAnsi"/>
                <w:sz w:val="24"/>
                <w:szCs w:val="24"/>
                <w:lang w:eastAsia="en-GB"/>
              </w:rPr>
            </w:pPr>
            <w:r w:rsidRPr="009B3747">
              <w:rPr>
                <w:rFonts w:eastAsia="Times New Roman" w:cstheme="minorHAnsi"/>
                <w:i/>
                <w:color w:val="000000"/>
                <w:sz w:val="20"/>
                <w:szCs w:val="20"/>
                <w:lang w:eastAsia="en-GB"/>
              </w:rPr>
              <w:t>“Poorer the families are, the more they gravitate towards cheap food”.</w:t>
            </w:r>
            <w:r w:rsidRPr="009B3747">
              <w:rPr>
                <w:rFonts w:eastAsia="Times New Roman" w:cstheme="minorHAnsi"/>
                <w:sz w:val="24"/>
                <w:szCs w:val="24"/>
                <w:lang w:eastAsia="en-GB"/>
              </w:rPr>
              <w:t xml:space="preserve"> </w:t>
            </w:r>
            <w:r w:rsidRPr="009B3747">
              <w:rPr>
                <w:rFonts w:eastAsia="Times New Roman" w:cstheme="minorHAnsi"/>
                <w:color w:val="000000"/>
                <w:sz w:val="20"/>
                <w:szCs w:val="20"/>
                <w:lang w:eastAsia="en-GB"/>
              </w:rPr>
              <w:t>(Howard-Drake and Halliday, 2015)</w:t>
            </w:r>
          </w:p>
          <w:p w:rsidR="00264621" w:rsidRPr="009B3747" w:rsidRDefault="00264621" w:rsidP="00264621">
            <w:pPr>
              <w:spacing w:line="264" w:lineRule="auto"/>
              <w:rPr>
                <w:rFonts w:eastAsia="Times New Roman" w:cstheme="minorHAnsi"/>
                <w:i/>
                <w:sz w:val="24"/>
                <w:szCs w:val="24"/>
                <w:lang w:eastAsia="en-GB"/>
              </w:rPr>
            </w:pPr>
          </w:p>
          <w:p w:rsidR="00264621" w:rsidRPr="009B3747" w:rsidRDefault="00264621" w:rsidP="00264621">
            <w:pPr>
              <w:spacing w:line="264" w:lineRule="auto"/>
              <w:rPr>
                <w:rFonts w:eastAsia="Times New Roman" w:cstheme="minorHAnsi"/>
                <w:sz w:val="24"/>
                <w:szCs w:val="24"/>
                <w:lang w:eastAsia="en-GB"/>
              </w:rPr>
            </w:pPr>
            <w:r w:rsidRPr="009B3747">
              <w:rPr>
                <w:rFonts w:eastAsia="Times New Roman" w:cstheme="minorHAnsi"/>
                <w:i/>
                <w:color w:val="000000"/>
                <w:sz w:val="20"/>
                <w:szCs w:val="20"/>
                <w:lang w:eastAsia="en-GB"/>
              </w:rPr>
              <w:t>‘‘The more income people have ... the more th</w:t>
            </w:r>
            <w:r w:rsidR="00577A7B" w:rsidRPr="009B3747">
              <w:rPr>
                <w:rFonts w:eastAsia="Times New Roman" w:cstheme="minorHAnsi"/>
                <w:i/>
                <w:color w:val="000000"/>
                <w:sz w:val="20"/>
                <w:szCs w:val="20"/>
                <w:lang w:eastAsia="en-GB"/>
              </w:rPr>
              <w:t>ey tend to eat the rubbish…</w:t>
            </w:r>
            <w:r w:rsidRPr="009B3747">
              <w:rPr>
                <w:rFonts w:eastAsia="Times New Roman" w:cstheme="minorHAnsi"/>
                <w:i/>
                <w:color w:val="000000"/>
                <w:sz w:val="20"/>
                <w:szCs w:val="20"/>
                <w:lang w:eastAsia="en-GB"/>
              </w:rPr>
              <w:t>how many pizza deliveries, things parents send for their children ... and Kentucky chicken.’’</w:t>
            </w:r>
            <w:r w:rsidRPr="009B3747">
              <w:rPr>
                <w:rFonts w:eastAsia="Times New Roman" w:cstheme="minorHAnsi"/>
                <w:sz w:val="24"/>
                <w:szCs w:val="24"/>
                <w:lang w:eastAsia="en-GB"/>
              </w:rPr>
              <w:t xml:space="preserve"> </w:t>
            </w:r>
            <w:r w:rsidRPr="009B3747">
              <w:rPr>
                <w:rFonts w:eastAsia="Times New Roman" w:cstheme="minorHAnsi"/>
                <w:color w:val="000000"/>
                <w:sz w:val="20"/>
                <w:szCs w:val="20"/>
                <w:lang w:eastAsia="en-GB"/>
              </w:rPr>
              <w:t>(Shaibu et al, 2011)</w:t>
            </w:r>
          </w:p>
          <w:p w:rsidR="00264621" w:rsidRPr="009B3747" w:rsidRDefault="00264621" w:rsidP="00264621">
            <w:pPr>
              <w:spacing w:line="264" w:lineRule="auto"/>
              <w:rPr>
                <w:rFonts w:eastAsia="Times New Roman" w:cstheme="minorHAnsi"/>
                <w:sz w:val="24"/>
                <w:szCs w:val="24"/>
                <w:lang w:eastAsia="en-GB"/>
              </w:rPr>
            </w:pPr>
          </w:p>
          <w:p w:rsidR="00264621" w:rsidRPr="009B3747" w:rsidRDefault="00264621" w:rsidP="00264621">
            <w:pPr>
              <w:spacing w:line="264" w:lineRule="auto"/>
              <w:rPr>
                <w:rFonts w:eastAsia="Times New Roman" w:cstheme="minorHAnsi"/>
                <w:sz w:val="24"/>
                <w:szCs w:val="24"/>
                <w:lang w:eastAsia="en-GB"/>
              </w:rPr>
            </w:pPr>
            <w:r w:rsidRPr="009B3747">
              <w:rPr>
                <w:rFonts w:eastAsia="Times New Roman" w:cstheme="minorHAnsi"/>
                <w:i/>
                <w:color w:val="000000"/>
                <w:sz w:val="20"/>
                <w:szCs w:val="20"/>
                <w:lang w:eastAsia="en-GB"/>
              </w:rPr>
              <w:t>“..I think that there is a disadvantage in being in a so-called ‘affluent’ area, because obviously children who come from professional working families there perhaps is less time if you like there, it’s not a financial aspect, difficulty, but there are different pressures and different challenges”.</w:t>
            </w:r>
            <w:r w:rsidRPr="009B3747">
              <w:rPr>
                <w:rFonts w:eastAsia="Times New Roman" w:cstheme="minorHAnsi"/>
                <w:i/>
                <w:sz w:val="24"/>
                <w:szCs w:val="24"/>
                <w:lang w:eastAsia="en-GB"/>
              </w:rPr>
              <w:t xml:space="preserve"> </w:t>
            </w:r>
            <w:r w:rsidRPr="009B3747">
              <w:rPr>
                <w:rFonts w:eastAsia="Times New Roman" w:cstheme="minorHAnsi"/>
                <w:color w:val="000000"/>
                <w:sz w:val="20"/>
                <w:szCs w:val="20"/>
                <w:lang w:eastAsia="en-GB"/>
              </w:rPr>
              <w:t>(Todd et al, 2015)</w:t>
            </w:r>
          </w:p>
        </w:tc>
      </w:tr>
      <w:tr w:rsidR="00264621" w:rsidRPr="009B3747" w:rsidTr="00264621">
        <w:trPr>
          <w:trHeight w:val="400"/>
        </w:trPr>
        <w:tc>
          <w:tcPr>
            <w:tcW w:w="12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64621" w:rsidRPr="009B3747" w:rsidRDefault="00577A7B" w:rsidP="00264621">
            <w:pPr>
              <w:spacing w:line="264" w:lineRule="auto"/>
              <w:rPr>
                <w:rFonts w:eastAsia="Times New Roman" w:cstheme="minorHAnsi"/>
                <w:sz w:val="24"/>
                <w:szCs w:val="24"/>
                <w:lang w:eastAsia="en-GB"/>
              </w:rPr>
            </w:pPr>
            <w:r w:rsidRPr="009B3747">
              <w:rPr>
                <w:rFonts w:eastAsia="Times New Roman" w:cstheme="minorHAnsi"/>
                <w:color w:val="000000"/>
                <w:sz w:val="20"/>
                <w:szCs w:val="20"/>
                <w:lang w:eastAsia="en-GB"/>
              </w:rPr>
              <w:t>The school setting</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64621" w:rsidRPr="009B3747" w:rsidRDefault="00264621" w:rsidP="00264621">
            <w:pPr>
              <w:spacing w:line="264" w:lineRule="auto"/>
              <w:rPr>
                <w:rFonts w:eastAsia="Times New Roman" w:cstheme="minorHAnsi"/>
                <w:sz w:val="24"/>
                <w:szCs w:val="24"/>
                <w:lang w:eastAsia="en-GB"/>
              </w:rPr>
            </w:pPr>
            <w:r w:rsidRPr="009B3747">
              <w:rPr>
                <w:rFonts w:eastAsia="Times New Roman" w:cstheme="minorHAnsi"/>
                <w:color w:val="000000"/>
                <w:sz w:val="20"/>
                <w:szCs w:val="20"/>
                <w:lang w:eastAsia="en-GB"/>
              </w:rPr>
              <w:t>Healthy behaviours and learning</w:t>
            </w:r>
          </w:p>
        </w:tc>
        <w:tc>
          <w:tcPr>
            <w:tcW w:w="131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64621" w:rsidRPr="009B3747" w:rsidRDefault="00264621" w:rsidP="00264621">
            <w:pPr>
              <w:spacing w:line="264" w:lineRule="auto"/>
              <w:rPr>
                <w:rFonts w:eastAsia="Times New Roman" w:cstheme="minorHAnsi"/>
                <w:sz w:val="24"/>
                <w:szCs w:val="24"/>
                <w:lang w:eastAsia="en-GB"/>
              </w:rPr>
            </w:pPr>
            <w:r w:rsidRPr="009B3747">
              <w:rPr>
                <w:rFonts w:eastAsia="Times New Roman" w:cstheme="minorHAnsi"/>
                <w:i/>
                <w:color w:val="000000"/>
                <w:sz w:val="20"/>
                <w:szCs w:val="20"/>
                <w:lang w:eastAsia="en-GB"/>
              </w:rPr>
              <w:t xml:space="preserve">“I think healthier children are more switched on to their learning and they seem more enthusiastic and more willing to work hard and be independent and engage with the learning”. </w:t>
            </w:r>
            <w:r w:rsidRPr="009B3747">
              <w:rPr>
                <w:rFonts w:eastAsia="Times New Roman" w:cstheme="minorHAnsi"/>
                <w:sz w:val="24"/>
                <w:szCs w:val="24"/>
                <w:lang w:eastAsia="en-GB"/>
              </w:rPr>
              <w:t>(</w:t>
            </w:r>
            <w:r w:rsidRPr="009B3747">
              <w:rPr>
                <w:rFonts w:eastAsia="Times New Roman" w:cstheme="minorHAnsi"/>
                <w:color w:val="000000"/>
                <w:sz w:val="20"/>
                <w:szCs w:val="20"/>
                <w:lang w:eastAsia="en-GB"/>
              </w:rPr>
              <w:t>Clarke et al, 2015)</w:t>
            </w:r>
          </w:p>
          <w:p w:rsidR="00264621" w:rsidRPr="009B3747" w:rsidRDefault="00264621" w:rsidP="00264621">
            <w:pPr>
              <w:spacing w:line="264" w:lineRule="auto"/>
              <w:rPr>
                <w:rFonts w:eastAsia="Times New Roman" w:cstheme="minorHAnsi"/>
                <w:sz w:val="24"/>
                <w:szCs w:val="24"/>
                <w:lang w:eastAsia="en-GB"/>
              </w:rPr>
            </w:pPr>
          </w:p>
          <w:p w:rsidR="00264621" w:rsidRPr="009B3747" w:rsidRDefault="00264621" w:rsidP="00264621">
            <w:pPr>
              <w:spacing w:line="264" w:lineRule="auto"/>
              <w:rPr>
                <w:rFonts w:eastAsia="Times New Roman" w:cstheme="minorHAnsi"/>
                <w:sz w:val="24"/>
                <w:szCs w:val="24"/>
                <w:lang w:eastAsia="en-GB"/>
              </w:rPr>
            </w:pPr>
            <w:r w:rsidRPr="009B3747">
              <w:rPr>
                <w:rFonts w:eastAsia="Times New Roman" w:cstheme="minorHAnsi"/>
                <w:i/>
                <w:color w:val="000000"/>
                <w:sz w:val="20"/>
                <w:szCs w:val="20"/>
                <w:lang w:eastAsia="en-GB"/>
              </w:rPr>
              <w:lastRenderedPageBreak/>
              <w:t>"The approach we've always tried to take is when it (mental and physical health) becomes an issue and effects the other three (learning environment, academic environment, discipline) we get involved...they've all got to fit together...I don't think you can zero in on any one without looking at the big picture."</w:t>
            </w:r>
            <w:r w:rsidRPr="009B3747">
              <w:rPr>
                <w:rFonts w:eastAsia="Times New Roman" w:cstheme="minorHAnsi"/>
                <w:i/>
                <w:sz w:val="24"/>
                <w:szCs w:val="24"/>
                <w:lang w:eastAsia="en-GB"/>
              </w:rPr>
              <w:t xml:space="preserve"> </w:t>
            </w:r>
            <w:r w:rsidRPr="009B3747">
              <w:rPr>
                <w:rFonts w:eastAsia="Times New Roman" w:cstheme="minorHAnsi"/>
                <w:color w:val="000000"/>
                <w:sz w:val="20"/>
                <w:szCs w:val="20"/>
                <w:lang w:eastAsia="en-GB"/>
              </w:rPr>
              <w:t>(Nollen et al, 2007)</w:t>
            </w:r>
          </w:p>
        </w:tc>
      </w:tr>
      <w:tr w:rsidR="00264621" w:rsidRPr="009B3747" w:rsidTr="00264621">
        <w:trPr>
          <w:trHeight w:val="400"/>
        </w:trPr>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264621" w:rsidRPr="009B3747" w:rsidRDefault="00264621" w:rsidP="00264621">
            <w:pPr>
              <w:spacing w:line="264" w:lineRule="auto"/>
              <w:rPr>
                <w:rFonts w:eastAsia="Times New Roman" w:cstheme="minorHAnsi"/>
                <w:sz w:val="24"/>
                <w:szCs w:val="24"/>
                <w:lang w:eastAsia="en-GB"/>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64621" w:rsidRPr="009B3747" w:rsidRDefault="00577A7B" w:rsidP="00264621">
            <w:pPr>
              <w:spacing w:line="264" w:lineRule="auto"/>
              <w:rPr>
                <w:rFonts w:eastAsia="Times New Roman" w:cstheme="minorHAnsi"/>
                <w:sz w:val="24"/>
                <w:szCs w:val="24"/>
                <w:lang w:eastAsia="en-GB"/>
              </w:rPr>
            </w:pPr>
            <w:r w:rsidRPr="009B3747">
              <w:rPr>
                <w:rFonts w:eastAsia="Times New Roman" w:cstheme="minorHAnsi"/>
                <w:color w:val="000000"/>
                <w:sz w:val="20"/>
                <w:szCs w:val="20"/>
                <w:lang w:eastAsia="en-GB"/>
              </w:rPr>
              <w:t>Preventative action</w:t>
            </w:r>
          </w:p>
        </w:tc>
        <w:tc>
          <w:tcPr>
            <w:tcW w:w="131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64621" w:rsidRPr="009B3747" w:rsidRDefault="00264621" w:rsidP="00264621">
            <w:pPr>
              <w:spacing w:line="264" w:lineRule="auto"/>
              <w:rPr>
                <w:rFonts w:eastAsia="Times New Roman" w:cstheme="minorHAnsi"/>
                <w:i/>
                <w:sz w:val="24"/>
                <w:szCs w:val="24"/>
                <w:lang w:eastAsia="en-GB"/>
              </w:rPr>
            </w:pPr>
            <w:r w:rsidRPr="009B3747">
              <w:rPr>
                <w:rFonts w:eastAsia="Times New Roman" w:cstheme="minorHAnsi"/>
                <w:i/>
                <w:color w:val="000000"/>
                <w:sz w:val="20"/>
                <w:szCs w:val="20"/>
                <w:lang w:eastAsia="en-GB"/>
              </w:rPr>
              <w:t xml:space="preserve">“Something I’ve seen before which I thought was really useful…was the whole school involved in ten minutes of activity at the same time each day…it meant that sort of midway through the morning the children were being fired up again, we know that it sort of re-sparks the brain and what have you”. </w:t>
            </w:r>
          </w:p>
          <w:p w:rsidR="00264621" w:rsidRPr="009B3747" w:rsidRDefault="00264621" w:rsidP="00264621">
            <w:pPr>
              <w:spacing w:line="264" w:lineRule="auto"/>
              <w:rPr>
                <w:rFonts w:eastAsia="Times New Roman" w:cstheme="minorHAnsi"/>
                <w:sz w:val="24"/>
                <w:szCs w:val="24"/>
                <w:lang w:eastAsia="en-GB"/>
              </w:rPr>
            </w:pPr>
            <w:r w:rsidRPr="009B3747">
              <w:rPr>
                <w:rFonts w:eastAsia="Times New Roman" w:cstheme="minorHAnsi"/>
                <w:color w:val="000000"/>
                <w:sz w:val="20"/>
                <w:szCs w:val="20"/>
                <w:lang w:eastAsia="en-GB"/>
              </w:rPr>
              <w:t>(Todd et al, 2015)</w:t>
            </w:r>
          </w:p>
        </w:tc>
      </w:tr>
      <w:tr w:rsidR="00264621" w:rsidRPr="009B3747" w:rsidTr="00264621">
        <w:trPr>
          <w:trHeight w:val="400"/>
        </w:trPr>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264621" w:rsidRPr="009B3747" w:rsidRDefault="00264621" w:rsidP="00264621">
            <w:pPr>
              <w:spacing w:line="264" w:lineRule="auto"/>
              <w:rPr>
                <w:rFonts w:eastAsia="Times New Roman" w:cstheme="minorHAnsi"/>
                <w:sz w:val="24"/>
                <w:szCs w:val="24"/>
                <w:lang w:eastAsia="en-GB"/>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64621" w:rsidRPr="009B3747" w:rsidRDefault="00264621" w:rsidP="00264621">
            <w:pPr>
              <w:spacing w:line="264" w:lineRule="auto"/>
              <w:rPr>
                <w:rFonts w:eastAsia="Times New Roman" w:cstheme="minorHAnsi"/>
                <w:sz w:val="24"/>
                <w:szCs w:val="24"/>
                <w:lang w:eastAsia="en-GB"/>
              </w:rPr>
            </w:pPr>
            <w:r w:rsidRPr="009B3747">
              <w:rPr>
                <w:rFonts w:eastAsia="Times New Roman" w:cstheme="minorHAnsi"/>
                <w:color w:val="000000"/>
                <w:sz w:val="20"/>
                <w:szCs w:val="20"/>
                <w:lang w:eastAsia="en-GB"/>
              </w:rPr>
              <w:t>Role modelling</w:t>
            </w:r>
          </w:p>
        </w:tc>
        <w:tc>
          <w:tcPr>
            <w:tcW w:w="131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64621" w:rsidRPr="009B3747" w:rsidRDefault="00E2105D" w:rsidP="00264621">
            <w:pPr>
              <w:spacing w:line="264" w:lineRule="auto"/>
              <w:rPr>
                <w:rFonts w:eastAsia="Times New Roman" w:cstheme="minorHAnsi"/>
                <w:sz w:val="24"/>
                <w:szCs w:val="24"/>
                <w:lang w:eastAsia="en-GB"/>
              </w:rPr>
            </w:pPr>
            <w:r w:rsidRPr="009B3747">
              <w:rPr>
                <w:rFonts w:eastAsia="Times New Roman" w:cstheme="minorHAnsi"/>
                <w:i/>
                <w:color w:val="000000"/>
                <w:sz w:val="20"/>
                <w:szCs w:val="20"/>
                <w:lang w:eastAsia="en-GB"/>
              </w:rPr>
              <w:t>“</w:t>
            </w:r>
            <w:r w:rsidR="00264621" w:rsidRPr="009B3747">
              <w:rPr>
                <w:rFonts w:eastAsia="Times New Roman" w:cstheme="minorHAnsi"/>
                <w:i/>
                <w:color w:val="000000"/>
                <w:sz w:val="20"/>
                <w:szCs w:val="20"/>
                <w:lang w:eastAsia="en-GB"/>
              </w:rPr>
              <w:t>We get involved and I think that’s part of the secret here, the children don’t see us just standing there and watching. . . we’re in a canoe, we’re up a wall, we’re in the mud, and it’s fun</w:t>
            </w:r>
            <w:r w:rsidRPr="009B3747">
              <w:rPr>
                <w:rFonts w:eastAsia="Times New Roman" w:cstheme="minorHAnsi"/>
                <w:i/>
                <w:color w:val="000000"/>
                <w:sz w:val="20"/>
                <w:szCs w:val="20"/>
                <w:lang w:eastAsia="en-GB"/>
              </w:rPr>
              <w:t>”</w:t>
            </w:r>
            <w:r w:rsidR="00264621" w:rsidRPr="009B3747">
              <w:rPr>
                <w:rFonts w:eastAsia="Times New Roman" w:cstheme="minorHAnsi"/>
                <w:sz w:val="24"/>
                <w:szCs w:val="24"/>
                <w:lang w:eastAsia="en-GB"/>
              </w:rPr>
              <w:t xml:space="preserve"> </w:t>
            </w:r>
            <w:r w:rsidR="00264621" w:rsidRPr="009B3747">
              <w:rPr>
                <w:rFonts w:eastAsia="Times New Roman" w:cstheme="minorHAnsi"/>
                <w:color w:val="000000"/>
                <w:sz w:val="20"/>
                <w:szCs w:val="20"/>
                <w:lang w:eastAsia="en-GB"/>
              </w:rPr>
              <w:t>(Clarke et al, 2015)</w:t>
            </w:r>
          </w:p>
          <w:p w:rsidR="00264621" w:rsidRPr="009B3747" w:rsidRDefault="00264621" w:rsidP="00264621">
            <w:pPr>
              <w:spacing w:line="264" w:lineRule="auto"/>
              <w:rPr>
                <w:rFonts w:eastAsia="Times New Roman" w:cstheme="minorHAnsi"/>
                <w:sz w:val="24"/>
                <w:szCs w:val="24"/>
                <w:lang w:eastAsia="en-GB"/>
              </w:rPr>
            </w:pPr>
          </w:p>
          <w:p w:rsidR="00264621" w:rsidRPr="009B3747" w:rsidRDefault="00264621" w:rsidP="00264621">
            <w:pPr>
              <w:spacing w:line="264" w:lineRule="auto"/>
              <w:rPr>
                <w:rFonts w:eastAsia="Times New Roman" w:cstheme="minorHAnsi"/>
                <w:i/>
                <w:sz w:val="24"/>
                <w:szCs w:val="24"/>
                <w:lang w:eastAsia="en-GB"/>
              </w:rPr>
            </w:pPr>
            <w:r w:rsidRPr="009B3747">
              <w:rPr>
                <w:rFonts w:eastAsia="Times New Roman" w:cstheme="minorHAnsi"/>
                <w:i/>
                <w:color w:val="000000"/>
                <w:sz w:val="20"/>
                <w:szCs w:val="20"/>
                <w:lang w:eastAsia="en-GB"/>
              </w:rPr>
              <w:t>“Even though I’m a bit big, I wouldn’t ask the children to do anything I wouldn’t participate in myself.</w:t>
            </w:r>
            <w:r w:rsidR="00E2105D" w:rsidRPr="009B3747">
              <w:rPr>
                <w:rFonts w:eastAsia="Times New Roman" w:cstheme="minorHAnsi"/>
                <w:i/>
                <w:color w:val="000000"/>
                <w:sz w:val="20"/>
                <w:szCs w:val="20"/>
                <w:lang w:eastAsia="en-GB"/>
              </w:rPr>
              <w:t>”</w:t>
            </w:r>
          </w:p>
          <w:p w:rsidR="00264621" w:rsidRPr="009B3747" w:rsidRDefault="00264621" w:rsidP="00264621">
            <w:pPr>
              <w:spacing w:line="264" w:lineRule="auto"/>
              <w:rPr>
                <w:rFonts w:eastAsia="Times New Roman" w:cstheme="minorHAnsi"/>
                <w:sz w:val="24"/>
                <w:szCs w:val="24"/>
                <w:lang w:eastAsia="en-GB"/>
              </w:rPr>
            </w:pPr>
            <w:r w:rsidRPr="009B3747">
              <w:rPr>
                <w:rFonts w:eastAsia="Times New Roman" w:cstheme="minorHAnsi"/>
                <w:color w:val="000000"/>
                <w:sz w:val="20"/>
                <w:szCs w:val="20"/>
                <w:lang w:eastAsia="en-GB"/>
              </w:rPr>
              <w:t>(Howard-Drake and Halliday, 2015)</w:t>
            </w:r>
          </w:p>
        </w:tc>
      </w:tr>
      <w:tr w:rsidR="00264621" w:rsidRPr="009B3747" w:rsidTr="00264621">
        <w:trPr>
          <w:trHeight w:val="400"/>
        </w:trPr>
        <w:tc>
          <w:tcPr>
            <w:tcW w:w="12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64621" w:rsidRPr="009B3747" w:rsidRDefault="00264621" w:rsidP="00264621">
            <w:pPr>
              <w:spacing w:line="264" w:lineRule="auto"/>
              <w:rPr>
                <w:rFonts w:eastAsia="Times New Roman" w:cstheme="minorHAnsi"/>
                <w:sz w:val="24"/>
                <w:szCs w:val="24"/>
                <w:lang w:eastAsia="en-GB"/>
              </w:rPr>
            </w:pPr>
            <w:r w:rsidRPr="009B3747">
              <w:rPr>
                <w:rFonts w:eastAsia="Times New Roman" w:cstheme="minorHAnsi"/>
                <w:color w:val="000000"/>
                <w:sz w:val="20"/>
                <w:szCs w:val="20"/>
                <w:lang w:eastAsia="en-GB"/>
              </w:rPr>
              <w:t>Constraining factors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64621" w:rsidRPr="009B3747" w:rsidRDefault="00264621" w:rsidP="00577A7B">
            <w:pPr>
              <w:spacing w:line="264"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Parents </w:t>
            </w:r>
          </w:p>
        </w:tc>
        <w:tc>
          <w:tcPr>
            <w:tcW w:w="131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64621" w:rsidRPr="009B3747" w:rsidRDefault="00264621" w:rsidP="00264621">
            <w:pPr>
              <w:spacing w:line="264" w:lineRule="auto"/>
              <w:rPr>
                <w:rFonts w:eastAsia="Times New Roman" w:cstheme="minorHAnsi"/>
                <w:sz w:val="24"/>
                <w:szCs w:val="24"/>
                <w:lang w:eastAsia="en-GB"/>
              </w:rPr>
            </w:pPr>
            <w:r w:rsidRPr="009B3747">
              <w:rPr>
                <w:rFonts w:eastAsia="Times New Roman" w:cstheme="minorHAnsi"/>
                <w:i/>
                <w:color w:val="000000"/>
                <w:sz w:val="20"/>
                <w:szCs w:val="20"/>
                <w:lang w:eastAsia="en-GB"/>
              </w:rPr>
              <w:t xml:space="preserve">"The school should be a part of what's going on, I just don't think we should be looked at as the </w:t>
            </w:r>
            <w:r w:rsidR="00670813" w:rsidRPr="009B3747">
              <w:rPr>
                <w:rFonts w:eastAsia="Times New Roman" w:cstheme="minorHAnsi"/>
                <w:i/>
                <w:color w:val="000000"/>
                <w:sz w:val="20"/>
                <w:szCs w:val="20"/>
                <w:lang w:eastAsia="en-GB"/>
              </w:rPr>
              <w:t>saviour</w:t>
            </w:r>
            <w:r w:rsidRPr="009B3747">
              <w:rPr>
                <w:rFonts w:eastAsia="Times New Roman" w:cstheme="minorHAnsi"/>
                <w:i/>
                <w:color w:val="000000"/>
                <w:sz w:val="20"/>
                <w:szCs w:val="20"/>
                <w:lang w:eastAsia="en-GB"/>
              </w:rPr>
              <w:t xml:space="preserve"> to any particular social issue... I think we need to be a part of it, but don't look to us to solve all of those problems. I think we act as parents way too much."</w:t>
            </w:r>
            <w:r w:rsidRPr="009B3747">
              <w:rPr>
                <w:rFonts w:eastAsia="Times New Roman" w:cstheme="minorHAnsi"/>
                <w:i/>
                <w:sz w:val="24"/>
                <w:szCs w:val="24"/>
                <w:lang w:eastAsia="en-GB"/>
              </w:rPr>
              <w:t xml:space="preserve"> </w:t>
            </w:r>
            <w:r w:rsidRPr="009B3747">
              <w:rPr>
                <w:rFonts w:eastAsia="Times New Roman" w:cstheme="minorHAnsi"/>
                <w:color w:val="000000"/>
                <w:sz w:val="20"/>
                <w:szCs w:val="20"/>
                <w:lang w:eastAsia="en-GB"/>
              </w:rPr>
              <w:t>(Nollen et al, 2007)</w:t>
            </w:r>
          </w:p>
          <w:p w:rsidR="00264621" w:rsidRPr="009B3747" w:rsidRDefault="00264621" w:rsidP="00264621">
            <w:pPr>
              <w:spacing w:line="264" w:lineRule="auto"/>
              <w:rPr>
                <w:rFonts w:eastAsia="Times New Roman" w:cstheme="minorHAnsi"/>
                <w:sz w:val="24"/>
                <w:szCs w:val="24"/>
                <w:lang w:eastAsia="en-GB"/>
              </w:rPr>
            </w:pPr>
          </w:p>
          <w:p w:rsidR="00264621" w:rsidRPr="009B3747" w:rsidRDefault="00264621" w:rsidP="00670813">
            <w:pPr>
              <w:spacing w:line="264" w:lineRule="auto"/>
              <w:rPr>
                <w:rFonts w:eastAsia="Times New Roman" w:cstheme="minorHAnsi"/>
                <w:sz w:val="24"/>
                <w:szCs w:val="24"/>
                <w:lang w:eastAsia="en-GB"/>
              </w:rPr>
            </w:pPr>
            <w:r w:rsidRPr="009B3747">
              <w:rPr>
                <w:rFonts w:eastAsia="Times New Roman" w:cstheme="minorHAnsi"/>
                <w:i/>
                <w:color w:val="000000"/>
                <w:sz w:val="20"/>
                <w:szCs w:val="20"/>
                <w:lang w:eastAsia="en-GB"/>
              </w:rPr>
              <w:t>“My wife worked the other side of town and, as she said, ‘We give them breakf</w:t>
            </w:r>
            <w:r w:rsidR="00670813" w:rsidRPr="009B3747">
              <w:rPr>
                <w:rFonts w:eastAsia="Times New Roman" w:cstheme="minorHAnsi"/>
                <w:i/>
                <w:color w:val="000000"/>
                <w:sz w:val="20"/>
                <w:szCs w:val="20"/>
                <w:lang w:eastAsia="en-GB"/>
              </w:rPr>
              <w:t xml:space="preserve">ast, we teach them how to brush </w:t>
            </w:r>
            <w:r w:rsidRPr="009B3747">
              <w:rPr>
                <w:rFonts w:eastAsia="Times New Roman" w:cstheme="minorHAnsi"/>
                <w:i/>
                <w:color w:val="000000"/>
                <w:sz w:val="20"/>
                <w:szCs w:val="20"/>
                <w:lang w:eastAsia="en-GB"/>
              </w:rPr>
              <w:t>their teeth, we teach them what fruit is and how to eat it, we teach them how to hold a knife and fork. We’ll be the one there before long in getting them out of the bed and dressing them’. That’s not to say that the things that we do in school are not important, but surely there’s a partnership?”</w:t>
            </w:r>
            <w:r w:rsidRPr="009B3747">
              <w:rPr>
                <w:rFonts w:eastAsia="Times New Roman" w:cstheme="minorHAnsi"/>
                <w:sz w:val="24"/>
                <w:szCs w:val="24"/>
                <w:lang w:eastAsia="en-GB"/>
              </w:rPr>
              <w:t xml:space="preserve"> </w:t>
            </w:r>
            <w:r w:rsidRPr="009B3747">
              <w:rPr>
                <w:rFonts w:eastAsia="Times New Roman" w:cstheme="minorHAnsi"/>
                <w:color w:val="000000"/>
                <w:sz w:val="20"/>
                <w:szCs w:val="20"/>
                <w:lang w:eastAsia="en-GB"/>
              </w:rPr>
              <w:t>(Todd et al, 2015)</w:t>
            </w:r>
          </w:p>
        </w:tc>
      </w:tr>
      <w:tr w:rsidR="00264621" w:rsidRPr="009B3747" w:rsidTr="00264621">
        <w:trPr>
          <w:trHeight w:val="164"/>
        </w:trPr>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264621" w:rsidRPr="009B3747" w:rsidRDefault="00264621" w:rsidP="00264621">
            <w:pPr>
              <w:spacing w:line="264" w:lineRule="auto"/>
              <w:rPr>
                <w:rFonts w:eastAsia="Times New Roman" w:cstheme="minorHAnsi"/>
                <w:sz w:val="24"/>
                <w:szCs w:val="24"/>
                <w:lang w:eastAsia="en-GB"/>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64621" w:rsidRPr="009B3747" w:rsidRDefault="00264621" w:rsidP="00264621">
            <w:pPr>
              <w:spacing w:line="264" w:lineRule="auto"/>
              <w:rPr>
                <w:rFonts w:eastAsia="Times New Roman" w:cstheme="minorHAnsi"/>
                <w:sz w:val="24"/>
                <w:szCs w:val="24"/>
                <w:lang w:eastAsia="en-GB"/>
              </w:rPr>
            </w:pPr>
            <w:r w:rsidRPr="009B3747">
              <w:rPr>
                <w:rFonts w:eastAsia="Times New Roman" w:cstheme="minorHAnsi"/>
                <w:color w:val="000000"/>
                <w:sz w:val="20"/>
                <w:szCs w:val="20"/>
                <w:lang w:eastAsia="en-GB"/>
              </w:rPr>
              <w:t>Academic priorities</w:t>
            </w:r>
          </w:p>
        </w:tc>
        <w:tc>
          <w:tcPr>
            <w:tcW w:w="131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64621" w:rsidRPr="009B3747" w:rsidRDefault="00264621" w:rsidP="00264621">
            <w:pPr>
              <w:spacing w:line="264" w:lineRule="auto"/>
              <w:rPr>
                <w:rFonts w:eastAsia="Times New Roman" w:cstheme="minorHAnsi"/>
                <w:sz w:val="24"/>
                <w:szCs w:val="24"/>
                <w:lang w:eastAsia="en-GB"/>
              </w:rPr>
            </w:pPr>
            <w:r w:rsidRPr="009B3747">
              <w:rPr>
                <w:rFonts w:eastAsia="Times New Roman" w:cstheme="minorHAnsi"/>
                <w:i/>
                <w:color w:val="000000"/>
                <w:sz w:val="20"/>
                <w:szCs w:val="20"/>
                <w:lang w:eastAsia="en-GB"/>
              </w:rPr>
              <w:t>“If this was my school and I was able to r</w:t>
            </w:r>
            <w:r w:rsidR="00670813" w:rsidRPr="009B3747">
              <w:rPr>
                <w:rFonts w:eastAsia="Times New Roman" w:cstheme="minorHAnsi"/>
                <w:i/>
                <w:color w:val="000000"/>
                <w:sz w:val="20"/>
                <w:szCs w:val="20"/>
                <w:lang w:eastAsia="en-GB"/>
              </w:rPr>
              <w:t>un it in any way I wanted to…</w:t>
            </w:r>
            <w:r w:rsidRPr="009B3747">
              <w:rPr>
                <w:rFonts w:eastAsia="Times New Roman" w:cstheme="minorHAnsi"/>
                <w:i/>
                <w:color w:val="000000"/>
                <w:sz w:val="20"/>
                <w:szCs w:val="20"/>
                <w:lang w:eastAsia="en-GB"/>
              </w:rPr>
              <w:t>a bigger part of their education would be healthy eating and active lifestyles. I can only do it minimally because of the government agenda. . . which has to be the ultimate priority o</w:t>
            </w:r>
            <w:r w:rsidR="00E2105D" w:rsidRPr="009B3747">
              <w:rPr>
                <w:rFonts w:eastAsia="Times New Roman" w:cstheme="minorHAnsi"/>
                <w:i/>
                <w:color w:val="000000"/>
                <w:sz w:val="20"/>
                <w:szCs w:val="20"/>
                <w:lang w:eastAsia="en-GB"/>
              </w:rPr>
              <w:t>therwise I get into trouble”</w:t>
            </w:r>
            <w:r w:rsidRPr="009B3747">
              <w:rPr>
                <w:rFonts w:eastAsia="Times New Roman" w:cstheme="minorHAnsi"/>
                <w:sz w:val="24"/>
                <w:szCs w:val="24"/>
                <w:lang w:eastAsia="en-GB"/>
              </w:rPr>
              <w:t xml:space="preserve"> </w:t>
            </w:r>
            <w:r w:rsidRPr="009B3747">
              <w:rPr>
                <w:rFonts w:eastAsia="Times New Roman" w:cstheme="minorHAnsi"/>
                <w:color w:val="000000"/>
                <w:sz w:val="20"/>
                <w:szCs w:val="20"/>
                <w:lang w:eastAsia="en-GB"/>
              </w:rPr>
              <w:t>(Clarke et al, 2015)</w:t>
            </w:r>
          </w:p>
          <w:p w:rsidR="00264621" w:rsidRPr="009B3747" w:rsidRDefault="00264621" w:rsidP="00264621">
            <w:pPr>
              <w:spacing w:line="264" w:lineRule="auto"/>
              <w:rPr>
                <w:rFonts w:eastAsia="Times New Roman" w:cstheme="minorHAnsi"/>
                <w:sz w:val="24"/>
                <w:szCs w:val="24"/>
                <w:lang w:eastAsia="en-GB"/>
              </w:rPr>
            </w:pPr>
          </w:p>
          <w:p w:rsidR="00264621" w:rsidRPr="009B3747" w:rsidRDefault="00264621" w:rsidP="00264621">
            <w:pPr>
              <w:spacing w:line="264" w:lineRule="auto"/>
              <w:rPr>
                <w:rFonts w:eastAsia="Times New Roman" w:cstheme="minorHAnsi"/>
                <w:sz w:val="24"/>
                <w:szCs w:val="24"/>
                <w:lang w:eastAsia="en-GB"/>
              </w:rPr>
            </w:pPr>
            <w:r w:rsidRPr="009B3747">
              <w:rPr>
                <w:rFonts w:eastAsia="Times New Roman" w:cstheme="minorHAnsi"/>
                <w:i/>
                <w:color w:val="000000"/>
                <w:sz w:val="20"/>
                <w:szCs w:val="20"/>
                <w:lang w:eastAsia="en-GB"/>
              </w:rPr>
              <w:t>“I keep going back to my core purpose is to educate and I can try and take on all the ills of society, but I need them to grow up reading and writing”.</w:t>
            </w:r>
            <w:r w:rsidRPr="009B3747">
              <w:rPr>
                <w:rFonts w:eastAsia="Times New Roman" w:cstheme="minorHAnsi"/>
                <w:sz w:val="24"/>
                <w:szCs w:val="24"/>
                <w:lang w:eastAsia="en-GB"/>
              </w:rPr>
              <w:t xml:space="preserve"> </w:t>
            </w:r>
            <w:r w:rsidRPr="009B3747">
              <w:rPr>
                <w:rFonts w:eastAsia="Times New Roman" w:cstheme="minorHAnsi"/>
                <w:color w:val="000000"/>
                <w:sz w:val="20"/>
                <w:szCs w:val="20"/>
                <w:lang w:eastAsia="en-GB"/>
              </w:rPr>
              <w:t>(Howard-Drake and Halliday, 2015)</w:t>
            </w:r>
          </w:p>
        </w:tc>
      </w:tr>
      <w:tr w:rsidR="00264621" w:rsidRPr="009B3747" w:rsidTr="00264621">
        <w:trPr>
          <w:trHeight w:val="400"/>
        </w:trPr>
        <w:tc>
          <w:tcPr>
            <w:tcW w:w="12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64621" w:rsidRPr="009B3747" w:rsidRDefault="00264621" w:rsidP="00264621">
            <w:pPr>
              <w:spacing w:line="264" w:lineRule="auto"/>
              <w:rPr>
                <w:rFonts w:eastAsia="Times New Roman" w:cstheme="minorHAnsi"/>
                <w:sz w:val="24"/>
                <w:szCs w:val="24"/>
                <w:lang w:eastAsia="en-GB"/>
              </w:rPr>
            </w:pPr>
            <w:r w:rsidRPr="009B3747">
              <w:rPr>
                <w:rFonts w:eastAsia="Times New Roman" w:cstheme="minorHAnsi"/>
                <w:color w:val="000000"/>
                <w:sz w:val="20"/>
                <w:szCs w:val="20"/>
                <w:lang w:eastAsia="en-GB"/>
              </w:rPr>
              <w:t>Enabling factors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64621" w:rsidRPr="009B3747" w:rsidRDefault="00577A7B" w:rsidP="00264621">
            <w:pPr>
              <w:spacing w:line="264" w:lineRule="auto"/>
              <w:rPr>
                <w:rFonts w:eastAsia="Times New Roman" w:cstheme="minorHAnsi"/>
                <w:sz w:val="24"/>
                <w:szCs w:val="24"/>
                <w:lang w:eastAsia="en-GB"/>
              </w:rPr>
            </w:pPr>
            <w:r w:rsidRPr="009B3747">
              <w:rPr>
                <w:rFonts w:eastAsia="Times New Roman" w:cstheme="minorHAnsi"/>
                <w:color w:val="000000"/>
                <w:sz w:val="20"/>
                <w:szCs w:val="20"/>
                <w:lang w:eastAsia="en-GB"/>
              </w:rPr>
              <w:t>External partners</w:t>
            </w:r>
            <w:r w:rsidR="00264621" w:rsidRPr="009B3747">
              <w:rPr>
                <w:rFonts w:eastAsia="Times New Roman" w:cstheme="minorHAnsi"/>
                <w:color w:val="000000"/>
                <w:sz w:val="20"/>
                <w:szCs w:val="20"/>
                <w:lang w:eastAsia="en-GB"/>
              </w:rPr>
              <w:t xml:space="preserve"> </w:t>
            </w:r>
          </w:p>
        </w:tc>
        <w:tc>
          <w:tcPr>
            <w:tcW w:w="131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64621" w:rsidRPr="009B3747" w:rsidRDefault="00E2105D" w:rsidP="00264621">
            <w:pPr>
              <w:spacing w:line="264" w:lineRule="auto"/>
              <w:rPr>
                <w:rFonts w:eastAsia="Times New Roman" w:cstheme="minorHAnsi"/>
                <w:sz w:val="24"/>
                <w:szCs w:val="24"/>
                <w:lang w:eastAsia="en-GB"/>
              </w:rPr>
            </w:pPr>
            <w:r w:rsidRPr="009B3747">
              <w:rPr>
                <w:rFonts w:eastAsia="Times New Roman" w:cstheme="minorHAnsi"/>
                <w:i/>
                <w:color w:val="000000"/>
                <w:sz w:val="20"/>
                <w:szCs w:val="20"/>
                <w:lang w:eastAsia="en-GB"/>
              </w:rPr>
              <w:t>“</w:t>
            </w:r>
            <w:r w:rsidR="00264621" w:rsidRPr="009B3747">
              <w:rPr>
                <w:rFonts w:eastAsia="Times New Roman" w:cstheme="minorHAnsi"/>
                <w:i/>
                <w:color w:val="000000"/>
                <w:sz w:val="20"/>
                <w:szCs w:val="20"/>
                <w:lang w:eastAsia="en-GB"/>
              </w:rPr>
              <w:t>I’ve got an IT specialist, I’ve got a top notch caretaker, I’ve got a ﬁrst class bursar, I’m going to have a sports coach, I’ve got an attendance ofﬁcer and if we got a healthy person, school nurse, you know, it’d be brilliant wouldn’t it?</w:t>
            </w:r>
            <w:r w:rsidRPr="009B3747">
              <w:rPr>
                <w:rFonts w:eastAsia="Times New Roman" w:cstheme="minorHAnsi"/>
                <w:i/>
                <w:color w:val="000000"/>
                <w:sz w:val="20"/>
                <w:szCs w:val="20"/>
                <w:lang w:eastAsia="en-GB"/>
              </w:rPr>
              <w:t>”</w:t>
            </w:r>
            <w:r w:rsidR="00264621" w:rsidRPr="009B3747">
              <w:rPr>
                <w:rFonts w:eastAsia="Times New Roman" w:cstheme="minorHAnsi"/>
                <w:sz w:val="20"/>
                <w:szCs w:val="20"/>
                <w:lang w:eastAsia="en-GB"/>
              </w:rPr>
              <w:t xml:space="preserve"> </w:t>
            </w:r>
            <w:r w:rsidRPr="009B3747">
              <w:rPr>
                <w:rFonts w:eastAsia="Times New Roman" w:cstheme="minorHAnsi"/>
                <w:sz w:val="20"/>
                <w:szCs w:val="20"/>
                <w:lang w:eastAsia="en-GB"/>
              </w:rPr>
              <w:t>(</w:t>
            </w:r>
            <w:r w:rsidRPr="009B3747">
              <w:rPr>
                <w:rFonts w:eastAsia="Times New Roman" w:cstheme="minorHAnsi"/>
                <w:color w:val="000000"/>
                <w:sz w:val="20"/>
                <w:szCs w:val="20"/>
                <w:lang w:eastAsia="en-GB"/>
              </w:rPr>
              <w:t xml:space="preserve">Clarke et al, </w:t>
            </w:r>
            <w:r w:rsidR="00264621" w:rsidRPr="009B3747">
              <w:rPr>
                <w:rFonts w:eastAsia="Times New Roman" w:cstheme="minorHAnsi"/>
                <w:color w:val="000000"/>
                <w:sz w:val="20"/>
                <w:szCs w:val="20"/>
                <w:lang w:eastAsia="en-GB"/>
              </w:rPr>
              <w:t>2015)</w:t>
            </w:r>
          </w:p>
        </w:tc>
      </w:tr>
      <w:tr w:rsidR="00264621" w:rsidRPr="009B3747" w:rsidTr="00264621">
        <w:trPr>
          <w:trHeight w:val="710"/>
        </w:trPr>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264621" w:rsidRPr="009B3747" w:rsidRDefault="00264621" w:rsidP="00264621">
            <w:pPr>
              <w:spacing w:line="264" w:lineRule="auto"/>
              <w:rPr>
                <w:rFonts w:eastAsia="Times New Roman" w:cstheme="minorHAnsi"/>
                <w:sz w:val="24"/>
                <w:szCs w:val="24"/>
                <w:lang w:eastAsia="en-GB"/>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64621" w:rsidRPr="009B3747" w:rsidRDefault="00264621" w:rsidP="00264621">
            <w:pPr>
              <w:spacing w:line="264"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School leadership </w:t>
            </w:r>
          </w:p>
        </w:tc>
        <w:tc>
          <w:tcPr>
            <w:tcW w:w="131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64621" w:rsidRPr="009B3747" w:rsidRDefault="00E2105D" w:rsidP="00E2105D">
            <w:pPr>
              <w:spacing w:line="264" w:lineRule="auto"/>
              <w:rPr>
                <w:rFonts w:eastAsia="Times New Roman" w:cstheme="minorHAnsi"/>
                <w:sz w:val="24"/>
                <w:szCs w:val="24"/>
                <w:lang w:eastAsia="en-GB"/>
              </w:rPr>
            </w:pPr>
            <w:r w:rsidRPr="009B3747">
              <w:rPr>
                <w:rFonts w:eastAsia="Times New Roman" w:cstheme="minorHAnsi"/>
                <w:i/>
                <w:color w:val="000000"/>
                <w:sz w:val="20"/>
                <w:szCs w:val="20"/>
                <w:lang w:eastAsia="en-GB"/>
              </w:rPr>
              <w:t>“</w:t>
            </w:r>
            <w:r w:rsidR="00264621" w:rsidRPr="009B3747">
              <w:rPr>
                <w:rFonts w:eastAsia="Times New Roman" w:cstheme="minorHAnsi"/>
                <w:i/>
                <w:color w:val="000000"/>
                <w:sz w:val="20"/>
                <w:szCs w:val="20"/>
                <w:lang w:eastAsia="en-GB"/>
              </w:rPr>
              <w:t>Because I’m determined to do it, I want to do it ... there are the other academic pressures, so if you’re not absolutely determined it’s one of those things you could let slip as it</w:t>
            </w:r>
            <w:r w:rsidRPr="009B3747">
              <w:rPr>
                <w:rFonts w:eastAsia="Times New Roman" w:cstheme="minorHAnsi"/>
                <w:i/>
                <w:color w:val="000000"/>
                <w:sz w:val="20"/>
                <w:szCs w:val="20"/>
                <w:lang w:eastAsia="en-GB"/>
              </w:rPr>
              <w:t>’s not really your core purpose”</w:t>
            </w:r>
            <w:r w:rsidR="00264621" w:rsidRPr="009B3747">
              <w:rPr>
                <w:rFonts w:eastAsia="Times New Roman" w:cstheme="minorHAnsi"/>
                <w:sz w:val="24"/>
                <w:szCs w:val="24"/>
                <w:lang w:eastAsia="en-GB"/>
              </w:rPr>
              <w:t xml:space="preserve"> </w:t>
            </w:r>
            <w:r w:rsidR="00264621" w:rsidRPr="009B3747">
              <w:rPr>
                <w:rFonts w:eastAsia="Times New Roman" w:cstheme="minorHAnsi"/>
                <w:color w:val="000000"/>
                <w:sz w:val="20"/>
                <w:szCs w:val="20"/>
                <w:lang w:eastAsia="en-GB"/>
              </w:rPr>
              <w:t>(Howard-Drake and Halliday, 2015)</w:t>
            </w:r>
          </w:p>
        </w:tc>
      </w:tr>
    </w:tbl>
    <w:p w:rsidR="00264621" w:rsidRPr="009B3747" w:rsidRDefault="00264621" w:rsidP="00264621">
      <w:pPr>
        <w:spacing w:line="264" w:lineRule="auto"/>
        <w:rPr>
          <w:rFonts w:eastAsia="Times New Roman" w:cstheme="minorHAnsi"/>
          <w:color w:val="000000"/>
          <w:lang w:eastAsia="en-GB"/>
        </w:rPr>
        <w:sectPr w:rsidR="00264621" w:rsidRPr="009B3747" w:rsidSect="00264621">
          <w:pgSz w:w="16838" w:h="11906" w:orient="landscape"/>
          <w:pgMar w:top="1440" w:right="1440" w:bottom="1440" w:left="1440" w:header="709" w:footer="709" w:gutter="0"/>
          <w:cols w:space="708"/>
          <w:docGrid w:linePitch="360"/>
        </w:sectPr>
      </w:pPr>
    </w:p>
    <w:p w:rsidR="003F1507" w:rsidRPr="009B3747" w:rsidRDefault="00264621" w:rsidP="003F1507">
      <w:pPr>
        <w:rPr>
          <w:rFonts w:eastAsia="Times New Roman" w:cstheme="minorHAnsi"/>
          <w:sz w:val="24"/>
          <w:szCs w:val="24"/>
          <w:lang w:eastAsia="en-GB"/>
        </w:rPr>
      </w:pPr>
      <w:r w:rsidRPr="009B3747">
        <w:rPr>
          <w:rFonts w:eastAsia="Times New Roman" w:cstheme="minorHAnsi"/>
          <w:color w:val="000000"/>
          <w:lang w:eastAsia="en-GB"/>
        </w:rPr>
        <w:lastRenderedPageBreak/>
        <w:t xml:space="preserve">Concern was expressed regarding the perception that children and adolescents increasingly </w:t>
      </w:r>
      <w:r w:rsidR="003F1507" w:rsidRPr="009B3747">
        <w:rPr>
          <w:rFonts w:eastAsia="Times New Roman" w:cstheme="minorHAnsi"/>
          <w:color w:val="000000"/>
          <w:lang w:eastAsia="en-GB"/>
        </w:rPr>
        <w:t>have unhealthy dietary habits and disproportionately engage in sedentary behaviour.  Furthermore, headteachers</w:t>
      </w:r>
      <w:r w:rsidR="002A3A24" w:rsidRPr="009B3747">
        <w:rPr>
          <w:rFonts w:eastAsia="Times New Roman" w:cstheme="minorHAnsi"/>
          <w:color w:val="000000"/>
          <w:lang w:eastAsia="en-GB"/>
        </w:rPr>
        <w:t>,</w:t>
      </w:r>
      <w:r w:rsidR="003F1507" w:rsidRPr="009B3747">
        <w:rPr>
          <w:rFonts w:eastAsia="Times New Roman" w:cstheme="minorHAnsi"/>
          <w:color w:val="000000"/>
          <w:lang w:eastAsia="en-GB"/>
        </w:rPr>
        <w:t xml:space="preserve"> particularly from UK primary schools, discussed a perceived escalating issue with child mental health and emotional well-being.</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i/>
          <w:iCs/>
          <w:color w:val="000000"/>
          <w:lang w:eastAsia="en-GB"/>
        </w:rPr>
        <w:t>Socio-economic differences</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A recurring pattern within the analysed findings regardless of the research setting, was the view that both obesity prevalence and associated lifestyle behaviours differed according to the socio-economic status of children and their families.  Whilst the commonly shared view was that differences existed, the direction of this difference varied amongst headteachers.  In the most part, headteachers believed that increasing deprivation was associated with poorer diets, physical inactivity and excess weight status.  This was broadly attributed to the perceived impact of low incomes on being able to make healthy choices</w:t>
      </w:r>
      <w:r w:rsidR="00273991">
        <w:rPr>
          <w:rFonts w:eastAsia="Times New Roman" w:cstheme="minorHAnsi"/>
          <w:color w:val="000000"/>
          <w:lang w:eastAsia="en-GB"/>
        </w:rPr>
        <w:t>,</w:t>
      </w:r>
      <w:r w:rsidRPr="009B3747">
        <w:rPr>
          <w:rFonts w:eastAsia="Times New Roman" w:cstheme="minorHAnsi"/>
          <w:color w:val="000000"/>
          <w:lang w:eastAsia="en-GB"/>
        </w:rPr>
        <w:t xml:space="preserve"> i.e. purchasing nutritious food or engaging in extra-curricular activities.  Furthermore, families from lower socioeconomic backgrounds were generally </w:t>
      </w:r>
      <w:r w:rsidR="00133672" w:rsidRPr="009B3747">
        <w:rPr>
          <w:rFonts w:eastAsia="Times New Roman" w:cstheme="minorHAnsi"/>
          <w:color w:val="000000"/>
          <w:lang w:eastAsia="en-GB"/>
        </w:rPr>
        <w:t>believed</w:t>
      </w:r>
      <w:r w:rsidRPr="009B3747">
        <w:rPr>
          <w:rFonts w:eastAsia="Times New Roman" w:cstheme="minorHAnsi"/>
          <w:color w:val="000000"/>
          <w:lang w:eastAsia="en-GB"/>
        </w:rPr>
        <w:t xml:space="preserve"> to have less understanding regarding how, what and why to make particular decisions </w:t>
      </w:r>
      <w:r w:rsidR="004862DC">
        <w:rPr>
          <w:rFonts w:eastAsia="Times New Roman" w:cstheme="minorHAnsi"/>
          <w:color w:val="000000"/>
          <w:lang w:eastAsia="en-GB"/>
        </w:rPr>
        <w:t xml:space="preserve">regarding health and well-being, </w:t>
      </w:r>
      <w:r w:rsidRPr="009B3747">
        <w:rPr>
          <w:rFonts w:eastAsia="Times New Roman" w:cstheme="minorHAnsi"/>
          <w:color w:val="000000"/>
          <w:lang w:eastAsia="en-GB"/>
        </w:rPr>
        <w:t xml:space="preserve">e.g. adopting a healthy diet.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 xml:space="preserve">Paradoxically, this view was contradicted by those headteachers who associated increasing affluence with increasing prevalence of obesity and in particular unhealthy dietary habits.  For some this related to affluent families having greater financial resources to purchase unhealthy fast foods, whilst for others the connection was drawn between pressured professional lives and having limited available time.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2A3A24" w:rsidP="003F1507">
      <w:pPr>
        <w:rPr>
          <w:rFonts w:eastAsia="Times New Roman" w:cstheme="minorHAnsi"/>
          <w:sz w:val="24"/>
          <w:szCs w:val="24"/>
          <w:lang w:eastAsia="en-GB"/>
        </w:rPr>
      </w:pPr>
      <w:r w:rsidRPr="009B3747">
        <w:rPr>
          <w:rFonts w:eastAsia="Times New Roman" w:cstheme="minorHAnsi"/>
          <w:color w:val="000000"/>
          <w:lang w:eastAsia="en-GB"/>
        </w:rPr>
        <w:t xml:space="preserve">3.4.4.2 </w:t>
      </w:r>
      <w:r w:rsidR="003F1507" w:rsidRPr="009B3747">
        <w:rPr>
          <w:rFonts w:eastAsia="Times New Roman" w:cstheme="minorHAnsi"/>
          <w:color w:val="000000"/>
          <w:lang w:eastAsia="en-GB"/>
        </w:rPr>
        <w:t xml:space="preserve">Theme two - The </w:t>
      </w:r>
      <w:r w:rsidR="00577A7B" w:rsidRPr="009B3747">
        <w:rPr>
          <w:rFonts w:eastAsia="Times New Roman" w:cstheme="minorHAnsi"/>
          <w:color w:val="000000"/>
          <w:lang w:eastAsia="en-GB"/>
        </w:rPr>
        <w:t>school setting</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The second theme, examines headteachers</w:t>
      </w:r>
      <w:r w:rsidR="002A3A24" w:rsidRPr="009B3747">
        <w:rPr>
          <w:rFonts w:eastAsia="Times New Roman" w:cstheme="minorHAnsi"/>
          <w:color w:val="000000"/>
          <w:lang w:eastAsia="en-GB"/>
        </w:rPr>
        <w:t>’</w:t>
      </w:r>
      <w:r w:rsidRPr="009B3747">
        <w:rPr>
          <w:rFonts w:eastAsia="Times New Roman" w:cstheme="minorHAnsi"/>
          <w:color w:val="000000"/>
          <w:lang w:eastAsia="en-GB"/>
        </w:rPr>
        <w:t xml:space="preserve"> views regarding their school’s role in preventing excess weight gain during childhood and adolescence.  Three recurring patterns emerged related to </w:t>
      </w:r>
      <w:r w:rsidR="002A3A24" w:rsidRPr="009B3747">
        <w:rPr>
          <w:rFonts w:eastAsia="Times New Roman" w:cstheme="minorHAnsi"/>
          <w:color w:val="000000"/>
          <w:lang w:eastAsia="en-GB"/>
        </w:rPr>
        <w:t xml:space="preserve">a school’s role in prevention.  </w:t>
      </w:r>
      <w:r w:rsidRPr="009B3747">
        <w:rPr>
          <w:rFonts w:eastAsia="Times New Roman" w:cstheme="minorHAnsi"/>
          <w:color w:val="000000"/>
          <w:lang w:eastAsia="en-GB"/>
        </w:rPr>
        <w:t>Firstly the belief by headteachers that a relationship exists between the lifestyle behaviours and learning outcomes; secondly, that a school undertakes a variety of actions which contribute to obesity prevention and finally that within the school setting, role modelling is an important influencing factor for preventative action.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5E052F" w:rsidRPr="009B3747" w:rsidRDefault="005E052F" w:rsidP="003F1507">
      <w:pPr>
        <w:rPr>
          <w:rFonts w:eastAsia="Times New Roman" w:cstheme="minorHAnsi"/>
          <w:sz w:val="24"/>
          <w:szCs w:val="24"/>
          <w:lang w:eastAsia="en-GB"/>
        </w:rPr>
      </w:pPr>
    </w:p>
    <w:p w:rsidR="003F1507" w:rsidRPr="009B3747" w:rsidRDefault="003F1507" w:rsidP="003F1507">
      <w:pPr>
        <w:rPr>
          <w:rFonts w:eastAsia="Times New Roman" w:cstheme="minorHAnsi"/>
          <w:i/>
          <w:sz w:val="24"/>
          <w:szCs w:val="24"/>
          <w:lang w:eastAsia="en-GB"/>
        </w:rPr>
      </w:pPr>
      <w:r w:rsidRPr="009B3747">
        <w:rPr>
          <w:rFonts w:eastAsia="Times New Roman" w:cstheme="minorHAnsi"/>
          <w:i/>
          <w:color w:val="000000"/>
          <w:lang w:eastAsia="en-GB"/>
        </w:rPr>
        <w:lastRenderedPageBreak/>
        <w:t>Lifestyle behaviours and learning outcomes</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 xml:space="preserve">In the main, headteachers perceived that the lifestyle behaviours and the resultant health status of children and adolescents impacted on their ability to learn.  The general perception was that the health of a child and their learning outcomes are intrinsically linked, with some placing significant emphasis on the importance of both physical and mental health.  Headteachers therefore proposed the concept of the ‘whole child’ and discussed that schools play a vital role in the holistic development of children and adolescents.  Particularly crucial for some headteachers, was the recognition of the positive influence that healthy eating and increasing physical activity levels has on pupil concentration levels, engagement and ability to learn within the school environment. In addition, for those children and adolescents adopting healthier dietary habits and participating in physical activity opportunities, improvements were identified in pupil </w:t>
      </w:r>
      <w:r w:rsidR="005E052F" w:rsidRPr="009B3747">
        <w:rPr>
          <w:rFonts w:eastAsia="Times New Roman" w:cstheme="minorHAnsi"/>
          <w:color w:val="000000"/>
          <w:lang w:eastAsia="en-GB"/>
        </w:rPr>
        <w:t>self-esteem</w:t>
      </w:r>
      <w:r w:rsidRPr="009B3747">
        <w:rPr>
          <w:rFonts w:eastAsia="Times New Roman" w:cstheme="minorHAnsi"/>
          <w:color w:val="000000"/>
          <w:lang w:eastAsia="en-GB"/>
        </w:rPr>
        <w:t xml:space="preserve"> and wider emotional wellbeing.</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The understanding that a relationship exists between health, learning and ultimately academic outcomes, was a key driver for headteachers and their schools in taking action to improve lifestyle behaviours.  Despite this, significant concerns were raised by some about whether the school should actually be prioritising the improvement of children’s physical and mental health given that their fundamental purpose is to educate and support pupil academic achievement.  Some highlighted an issue with the fact that an excessive focus on activity outside of their core remit, could impact upon their school's capacity for teaching and learning.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577A7B" w:rsidP="003F1507">
      <w:pPr>
        <w:rPr>
          <w:rFonts w:eastAsia="Times New Roman" w:cstheme="minorHAnsi"/>
          <w:i/>
          <w:color w:val="000000"/>
          <w:lang w:eastAsia="en-GB"/>
        </w:rPr>
      </w:pPr>
      <w:r w:rsidRPr="009B3747">
        <w:rPr>
          <w:rFonts w:eastAsia="Times New Roman" w:cstheme="minorHAnsi"/>
          <w:i/>
          <w:color w:val="000000"/>
          <w:lang w:eastAsia="en-GB"/>
        </w:rPr>
        <w:t>Preventative action</w:t>
      </w:r>
    </w:p>
    <w:p w:rsidR="00983506" w:rsidRPr="009B3747" w:rsidRDefault="00983506" w:rsidP="003F1507">
      <w:pPr>
        <w:rPr>
          <w:rFonts w:eastAsia="Times New Roman" w:cstheme="minorHAnsi"/>
          <w:sz w:val="24"/>
          <w:szCs w:val="24"/>
          <w:lang w:eastAsia="en-GB"/>
        </w:rPr>
      </w:pPr>
    </w:p>
    <w:p w:rsidR="003F1507" w:rsidRPr="00C93EF6" w:rsidRDefault="003F1507" w:rsidP="003F1507">
      <w:pPr>
        <w:rPr>
          <w:rFonts w:eastAsia="Times New Roman" w:cstheme="minorHAnsi"/>
          <w:color w:val="000000"/>
          <w:lang w:eastAsia="en-GB"/>
        </w:rPr>
      </w:pPr>
      <w:r w:rsidRPr="009B3747">
        <w:rPr>
          <w:rFonts w:eastAsia="Times New Roman" w:cstheme="minorHAnsi"/>
          <w:color w:val="000000"/>
          <w:lang w:eastAsia="en-GB"/>
        </w:rPr>
        <w:t>Universally, headteachers provided an extensive range of examples related to the provision of opportunities within a prima</w:t>
      </w:r>
      <w:r w:rsidR="00C93EF6">
        <w:rPr>
          <w:rFonts w:eastAsia="Times New Roman" w:cstheme="minorHAnsi"/>
          <w:color w:val="000000"/>
          <w:lang w:eastAsia="en-GB"/>
        </w:rPr>
        <w:t xml:space="preserve">ry and secondary school setting, </w:t>
      </w:r>
      <w:r w:rsidRPr="009B3747">
        <w:rPr>
          <w:rFonts w:eastAsia="Times New Roman" w:cstheme="minorHAnsi"/>
          <w:color w:val="000000"/>
          <w:lang w:eastAsia="en-GB"/>
        </w:rPr>
        <w:t>which could contribute to prevention of excess weight and improve child health.  Driven for some by specific school health policies, reference was made to their school’s use of the curriculum to deliver key health messages and the provision of extracurricular activities (e.g. co</w:t>
      </w:r>
      <w:r w:rsidR="00C93EF6">
        <w:rPr>
          <w:rFonts w:eastAsia="Times New Roman" w:cstheme="minorHAnsi"/>
          <w:color w:val="000000"/>
          <w:lang w:eastAsia="en-GB"/>
        </w:rPr>
        <w:t xml:space="preserve">oking classes and sports clubs), </w:t>
      </w:r>
      <w:r w:rsidRPr="009B3747">
        <w:rPr>
          <w:rFonts w:eastAsia="Times New Roman" w:cstheme="minorHAnsi"/>
          <w:color w:val="000000"/>
          <w:lang w:eastAsia="en-GB"/>
        </w:rPr>
        <w:t xml:space="preserve">to promote healthy lifestyles.  Disparity was evident between different schools approaches to creating healthy food environments.  Headteachers from the UK perceived a key part of a school's role in the prevention of childhood obesity, was ensuring the provision of healthy school food as part of school lunches and breakfast clubs.  Headteachers from Botswana in comparison, expressed significant concern </w:t>
      </w:r>
      <w:r w:rsidRPr="009B3747">
        <w:rPr>
          <w:rFonts w:eastAsia="Times New Roman" w:cstheme="minorHAnsi"/>
          <w:color w:val="000000"/>
          <w:lang w:eastAsia="en-GB"/>
        </w:rPr>
        <w:lastRenderedPageBreak/>
        <w:t>regarding the poor availability of healthy foods in their schools and the over the use by pupils of in-school tuck shops (selling predominantly unhealthy foods).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For some, as opposed to disparate activities or action within their school, providing health enhancing opportunities was better achieved through the adoption of a whole school approach or specific health policies.  Rather than formally preventing obesity, headteachers particularly in primary school settings felt that holistic approaches where the aim was to improve lifestyle behaviours across the school, better supports their ability to fulfil their perceived moral responsibility of developing the whole child.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i/>
          <w:sz w:val="24"/>
          <w:szCs w:val="24"/>
          <w:lang w:eastAsia="en-GB"/>
        </w:rPr>
      </w:pPr>
      <w:r w:rsidRPr="009B3747">
        <w:rPr>
          <w:rFonts w:eastAsia="Times New Roman" w:cstheme="minorHAnsi"/>
          <w:i/>
          <w:color w:val="000000"/>
          <w:lang w:eastAsia="en-GB"/>
        </w:rPr>
        <w:t>Role modelling</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As part of the perceived role of a school in preventing childhood obesity, was the view that school staff including headteachers themselves should set a positive example in respect to the lifestyle behaviours they exhibit.  Headteachers frequently referred to the importance of school staff setting a good example throughout the school setting including during school lunches and through participation in healthy activities</w:t>
      </w:r>
      <w:r w:rsidR="00273991">
        <w:rPr>
          <w:rFonts w:eastAsia="Times New Roman" w:cstheme="minorHAnsi"/>
          <w:color w:val="000000"/>
          <w:lang w:eastAsia="en-GB"/>
        </w:rPr>
        <w:t>,</w:t>
      </w:r>
      <w:r w:rsidRPr="009B3747">
        <w:rPr>
          <w:rFonts w:eastAsia="Times New Roman" w:cstheme="minorHAnsi"/>
          <w:color w:val="000000"/>
          <w:lang w:eastAsia="en-GB"/>
        </w:rPr>
        <w:t xml:space="preserve"> i.e. </w:t>
      </w:r>
      <w:r w:rsidR="00C86DA7" w:rsidRPr="009B3747">
        <w:rPr>
          <w:rFonts w:eastAsia="Times New Roman" w:cstheme="minorHAnsi"/>
          <w:color w:val="000000"/>
          <w:lang w:eastAsia="en-GB"/>
        </w:rPr>
        <w:t>extra-curricular</w:t>
      </w:r>
      <w:r w:rsidRPr="009B3747">
        <w:rPr>
          <w:rFonts w:eastAsia="Times New Roman" w:cstheme="minorHAnsi"/>
          <w:color w:val="000000"/>
          <w:lang w:eastAsia="en-GB"/>
        </w:rPr>
        <w:t xml:space="preserve"> sessions.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 xml:space="preserve">Despite this, headteachers within the UK and Botswana particularly, indicated concern over the unhealthy lifestyle behaviours and excess weight status of both school staff and themselves as school leaders.  For some, it was perceived that the credibility of the health messages being promoted to both pupils and parents could be affected by inappropriate or poor role modelling.  The sensitive nature of obesity and the risk of stigmatising individuals within a school setting, meant that some headteachers felt unable to have open discussions about </w:t>
      </w:r>
      <w:r w:rsidR="0043140D" w:rsidRPr="009B3747">
        <w:rPr>
          <w:rFonts w:eastAsia="Times New Roman" w:cstheme="minorHAnsi"/>
          <w:color w:val="000000"/>
          <w:lang w:eastAsia="en-GB"/>
        </w:rPr>
        <w:t xml:space="preserve">it.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2A3A24" w:rsidP="003F1507">
      <w:pPr>
        <w:rPr>
          <w:rFonts w:eastAsia="Times New Roman" w:cstheme="minorHAnsi"/>
          <w:sz w:val="24"/>
          <w:szCs w:val="24"/>
          <w:lang w:eastAsia="en-GB"/>
        </w:rPr>
      </w:pPr>
      <w:r w:rsidRPr="009B3747">
        <w:rPr>
          <w:rFonts w:eastAsia="Times New Roman" w:cstheme="minorHAnsi"/>
          <w:color w:val="000000"/>
          <w:lang w:eastAsia="en-GB"/>
        </w:rPr>
        <w:t xml:space="preserve">3.4.4.3 </w:t>
      </w:r>
      <w:r w:rsidR="003F1507" w:rsidRPr="009B3747">
        <w:rPr>
          <w:rFonts w:eastAsia="Times New Roman" w:cstheme="minorHAnsi"/>
          <w:color w:val="000000"/>
          <w:lang w:eastAsia="en-GB"/>
        </w:rPr>
        <w:t>Theme 3 - Constraining factors</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The third theme, presents within two subthemes the factors commonly identified within the findings which appear to constrain a school's ability or desire to prevent childhood obesity namely 1) parents a</w:t>
      </w:r>
      <w:r w:rsidR="0043140D" w:rsidRPr="009B3747">
        <w:rPr>
          <w:rFonts w:eastAsia="Times New Roman" w:cstheme="minorHAnsi"/>
          <w:color w:val="000000"/>
          <w:lang w:eastAsia="en-GB"/>
        </w:rPr>
        <w:t>nd the home environment and 2) s</w:t>
      </w:r>
      <w:r w:rsidRPr="009B3747">
        <w:rPr>
          <w:rFonts w:eastAsia="Times New Roman" w:cstheme="minorHAnsi"/>
          <w:color w:val="000000"/>
          <w:lang w:eastAsia="en-GB"/>
        </w:rPr>
        <w:t>chool pressures and priorities.</w:t>
      </w:r>
    </w:p>
    <w:p w:rsidR="005E052F" w:rsidRPr="009B3747" w:rsidRDefault="005E052F" w:rsidP="003F1507">
      <w:pPr>
        <w:rPr>
          <w:rFonts w:eastAsia="Times New Roman" w:cstheme="minorHAnsi"/>
          <w:sz w:val="24"/>
          <w:szCs w:val="24"/>
          <w:lang w:eastAsia="en-GB"/>
        </w:rPr>
      </w:pPr>
    </w:p>
    <w:p w:rsidR="005E052F" w:rsidRPr="009B3747" w:rsidRDefault="005E052F" w:rsidP="003F1507">
      <w:pPr>
        <w:rPr>
          <w:rFonts w:eastAsia="Times New Roman" w:cstheme="minorHAnsi"/>
          <w:sz w:val="24"/>
          <w:szCs w:val="24"/>
          <w:lang w:eastAsia="en-GB"/>
        </w:rPr>
      </w:pPr>
    </w:p>
    <w:p w:rsidR="005E052F" w:rsidRPr="009B3747" w:rsidRDefault="005E052F" w:rsidP="003F1507">
      <w:pPr>
        <w:rPr>
          <w:rFonts w:eastAsia="Times New Roman" w:cstheme="minorHAnsi"/>
          <w:sz w:val="24"/>
          <w:szCs w:val="24"/>
          <w:lang w:eastAsia="en-GB"/>
        </w:rPr>
      </w:pPr>
    </w:p>
    <w:p w:rsidR="005E052F" w:rsidRPr="009B3747" w:rsidRDefault="005E052F" w:rsidP="003F1507">
      <w:pPr>
        <w:rPr>
          <w:rFonts w:eastAsia="Times New Roman" w:cstheme="minorHAnsi"/>
          <w:i/>
          <w:iCs/>
          <w:color w:val="000000"/>
          <w:lang w:eastAsia="en-GB"/>
        </w:rPr>
      </w:pPr>
    </w:p>
    <w:p w:rsidR="00577A7B" w:rsidRPr="009B3747" w:rsidRDefault="00577A7B" w:rsidP="003F1507">
      <w:pPr>
        <w:rPr>
          <w:rFonts w:eastAsia="Times New Roman" w:cstheme="minorHAnsi"/>
          <w:sz w:val="24"/>
          <w:szCs w:val="24"/>
          <w:lang w:eastAsia="en-GB"/>
        </w:rPr>
      </w:pPr>
      <w:r w:rsidRPr="009B3747">
        <w:rPr>
          <w:rFonts w:eastAsia="Times New Roman" w:cstheme="minorHAnsi"/>
          <w:i/>
          <w:iCs/>
          <w:color w:val="000000"/>
          <w:lang w:eastAsia="en-GB"/>
        </w:rPr>
        <w:lastRenderedPageBreak/>
        <w:t>P</w:t>
      </w:r>
      <w:r w:rsidR="003F1507" w:rsidRPr="009B3747">
        <w:rPr>
          <w:rFonts w:eastAsia="Times New Roman" w:cstheme="minorHAnsi"/>
          <w:i/>
          <w:iCs/>
          <w:color w:val="000000"/>
          <w:lang w:eastAsia="en-GB"/>
        </w:rPr>
        <w:t>arents</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Universally headteachers from all contexts referenced the important influence of parents and the home environment on whether and how their school is able to achieve a meaningful impact on the prevention of excess weight during childhood and adolescence.  Parents were perceived to have the greatest responsibility for ensuring their children maintain a healthy weight, with headteachers viewing their school should play a supportive role.  Reference was made to the positive engagement achieved with some parents on improving children’s lifestyle behaviours, however across the board, headteachers in both primary and secondary level schools frequently expressed the belief that some parents were not fulfilling their responsibility especially in respect to childhood obesity.  Consequently, significant concerns were raised about schools increasingly having to act as parents in respects to both the perceived basic health needs of children</w:t>
      </w:r>
      <w:r w:rsidR="00273991">
        <w:rPr>
          <w:rFonts w:eastAsia="Times New Roman" w:cstheme="minorHAnsi"/>
          <w:color w:val="000000"/>
          <w:lang w:eastAsia="en-GB"/>
        </w:rPr>
        <w:t>,</w:t>
      </w:r>
      <w:r w:rsidRPr="009B3747">
        <w:rPr>
          <w:rFonts w:eastAsia="Times New Roman" w:cstheme="minorHAnsi"/>
          <w:color w:val="000000"/>
          <w:lang w:eastAsia="en-GB"/>
        </w:rPr>
        <w:t xml:space="preserve"> i.e. providing breakfasts and in relation to the provision of health enhancing opportunities</w:t>
      </w:r>
      <w:r w:rsidR="00273991">
        <w:rPr>
          <w:rFonts w:eastAsia="Times New Roman" w:cstheme="minorHAnsi"/>
          <w:color w:val="000000"/>
          <w:lang w:eastAsia="en-GB"/>
        </w:rPr>
        <w:t>,</w:t>
      </w:r>
      <w:r w:rsidRPr="009B3747">
        <w:rPr>
          <w:rFonts w:eastAsia="Times New Roman" w:cstheme="minorHAnsi"/>
          <w:color w:val="000000"/>
          <w:lang w:eastAsia="en-GB"/>
        </w:rPr>
        <w:t xml:space="preserve"> i.e. access to physical activity sessions.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A multitude of factors were discussed by headteachers, which were deemed to affect whether or how parents fulfil their responsibility for improving their children’s lifestyle behaviours and resultant weight status.  Limited familial income or parental knowledge regarding what constitutes healthy behaviours was referenced by some, particularly in areas of deprivation.  However for others, poor parenting was identified as the reason for diminishing parental responsibility, where allowing children to engage in unhealthy dietary habits and sedentary behaviour was simply viewed as an easier option.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Overall, these challenges meant that headteachers felt their ability to effectively prevent childhood obesity was constrained and the consistency of key health promoting messages between the school, pupils and pa</w:t>
      </w:r>
      <w:r w:rsidR="0043140D" w:rsidRPr="009B3747">
        <w:rPr>
          <w:rFonts w:eastAsia="Times New Roman" w:cstheme="minorHAnsi"/>
          <w:color w:val="000000"/>
          <w:lang w:eastAsia="en-GB"/>
        </w:rPr>
        <w:t xml:space="preserve">rents hindered.  Despite this, </w:t>
      </w:r>
      <w:r w:rsidRPr="009B3747">
        <w:rPr>
          <w:rFonts w:eastAsia="Times New Roman" w:cstheme="minorHAnsi"/>
          <w:color w:val="000000"/>
          <w:lang w:eastAsia="en-GB"/>
        </w:rPr>
        <w:t xml:space="preserve">given the perception that certain pupils wouldn’t get the opportunity outside of the school setting to engage in healthy lifestyles, for some headteachers it meant they proactively took on an even greater level of responsibility for child health and well-being.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i/>
          <w:iCs/>
          <w:color w:val="000000"/>
          <w:lang w:eastAsia="en-GB"/>
        </w:rPr>
        <w:t xml:space="preserve">Academic priorities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A recurring pattern across all findings reviewed was the challenge of balancing school priorities, namely academic and educational with non-mandatory, non-assessed activity</w:t>
      </w:r>
      <w:r w:rsidR="00273991">
        <w:rPr>
          <w:rFonts w:eastAsia="Times New Roman" w:cstheme="minorHAnsi"/>
          <w:color w:val="000000"/>
          <w:lang w:eastAsia="en-GB"/>
        </w:rPr>
        <w:t>,</w:t>
      </w:r>
      <w:r w:rsidRPr="009B3747">
        <w:rPr>
          <w:rFonts w:eastAsia="Times New Roman" w:cstheme="minorHAnsi"/>
          <w:color w:val="000000"/>
          <w:lang w:eastAsia="en-GB"/>
        </w:rPr>
        <w:t xml:space="preserve"> i.e. related to health </w:t>
      </w:r>
      <w:r w:rsidRPr="009B3747">
        <w:rPr>
          <w:rFonts w:eastAsia="Times New Roman" w:cstheme="minorHAnsi"/>
          <w:color w:val="000000"/>
          <w:lang w:eastAsia="en-GB"/>
        </w:rPr>
        <w:lastRenderedPageBreak/>
        <w:t>and well-being.  Limited internal capacity, reducing resources and increasing governmental pressures in respect to academic targets, were viewed to be constraining schools ability to comprehensively focus on the wider development issues of children and adolescents.  Despite the widely held belief as previously discussed, that health and lifestyle behaviours impacts on a pupil’s ability to learn, the explicit and enduring focus on academic achievement both in primary and secondary school environments, means that headteachers felt tied to what they can realistically achieve with issues such as preventing childhood obesity.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For some however, a perception remained that schools had increasingly taken on greater responsibility for areas such as improving healthy lifestyle behaviours and consequently there was a risk of this being done at the sacrifice of learning and teaching.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2A3A24" w:rsidP="003F1507">
      <w:pPr>
        <w:rPr>
          <w:rFonts w:eastAsia="Times New Roman" w:cstheme="minorHAnsi"/>
          <w:sz w:val="24"/>
          <w:szCs w:val="24"/>
          <w:lang w:eastAsia="en-GB"/>
        </w:rPr>
      </w:pPr>
      <w:r w:rsidRPr="009B3747">
        <w:rPr>
          <w:rFonts w:eastAsia="Times New Roman" w:cstheme="minorHAnsi"/>
          <w:color w:val="000000"/>
          <w:lang w:eastAsia="en-GB"/>
        </w:rPr>
        <w:t xml:space="preserve">3.4.4.4 </w:t>
      </w:r>
      <w:r w:rsidR="003F1507" w:rsidRPr="009B3747">
        <w:rPr>
          <w:rFonts w:eastAsia="Times New Roman" w:cstheme="minorHAnsi"/>
          <w:color w:val="000000"/>
          <w:lang w:eastAsia="en-GB"/>
        </w:rPr>
        <w:t>Theme 4 - Enabling factors</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 xml:space="preserve">The fourth and final theme, presents within two subthemes the factors commonly identified within the findings which relate to factors enabling a school's ability or desire to prevent childhood obesity namely 1) </w:t>
      </w:r>
      <w:r w:rsidR="002A3A24" w:rsidRPr="009B3747">
        <w:rPr>
          <w:rFonts w:eastAsia="Times New Roman" w:cstheme="minorHAnsi"/>
          <w:color w:val="000000"/>
          <w:lang w:eastAsia="en-GB"/>
        </w:rPr>
        <w:t>external partners and 2) e</w:t>
      </w:r>
      <w:r w:rsidRPr="009B3747">
        <w:rPr>
          <w:rFonts w:eastAsia="Times New Roman" w:cstheme="minorHAnsi"/>
          <w:color w:val="000000"/>
          <w:lang w:eastAsia="en-GB"/>
        </w:rPr>
        <w:t>ffective school leadership</w:t>
      </w:r>
      <w:r w:rsidR="00C93EF6">
        <w:rPr>
          <w:rFonts w:eastAsia="Times New Roman" w:cstheme="minorHAnsi"/>
          <w:color w:val="000000"/>
          <w:lang w:eastAsia="en-GB"/>
        </w:rPr>
        <w:t>.</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577A7B" w:rsidP="003F1507">
      <w:pPr>
        <w:rPr>
          <w:rFonts w:eastAsia="Times New Roman" w:cstheme="minorHAnsi"/>
          <w:sz w:val="24"/>
          <w:szCs w:val="24"/>
          <w:lang w:eastAsia="en-GB"/>
        </w:rPr>
      </w:pPr>
      <w:r w:rsidRPr="009B3747">
        <w:rPr>
          <w:rFonts w:eastAsia="Times New Roman" w:cstheme="minorHAnsi"/>
          <w:i/>
          <w:iCs/>
          <w:color w:val="000000"/>
          <w:lang w:eastAsia="en-GB"/>
        </w:rPr>
        <w:t>External partners</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Across all settings, a wide range of partners or partnerships were identified</w:t>
      </w:r>
      <w:r w:rsidR="0071085A">
        <w:rPr>
          <w:rFonts w:eastAsia="Times New Roman" w:cstheme="minorHAnsi"/>
          <w:color w:val="000000"/>
          <w:lang w:eastAsia="en-GB"/>
        </w:rPr>
        <w:t>,</w:t>
      </w:r>
      <w:r w:rsidRPr="009B3747">
        <w:rPr>
          <w:rFonts w:eastAsia="Times New Roman" w:cstheme="minorHAnsi"/>
          <w:color w:val="000000"/>
          <w:lang w:eastAsia="en-GB"/>
        </w:rPr>
        <w:t xml:space="preserve"> which were </w:t>
      </w:r>
      <w:r w:rsidR="00133672" w:rsidRPr="009B3747">
        <w:rPr>
          <w:rFonts w:eastAsia="Times New Roman" w:cstheme="minorHAnsi"/>
          <w:color w:val="000000"/>
          <w:lang w:eastAsia="en-GB"/>
        </w:rPr>
        <w:t xml:space="preserve">argued </w:t>
      </w:r>
      <w:r w:rsidRPr="009B3747">
        <w:rPr>
          <w:rFonts w:eastAsia="Times New Roman" w:cstheme="minorHAnsi"/>
          <w:color w:val="000000"/>
          <w:lang w:eastAsia="en-GB"/>
        </w:rPr>
        <w:t>to provide schools with effective support for preventing excess weight in childhood and adolescence.  Despite headteachers particularly in a UK context identifying that funding cuts to services or programmes such as ‘Healthy Schools’, had hindered their school’s preventative action, the importance of partnership working</w:t>
      </w:r>
      <w:r w:rsidR="00DB6004">
        <w:rPr>
          <w:rFonts w:eastAsia="Times New Roman" w:cstheme="minorHAnsi"/>
          <w:color w:val="000000"/>
          <w:lang w:eastAsia="en-GB"/>
        </w:rPr>
        <w:t>,</w:t>
      </w:r>
      <w:r w:rsidRPr="009B3747">
        <w:rPr>
          <w:rFonts w:eastAsia="Times New Roman" w:cstheme="minorHAnsi"/>
          <w:color w:val="000000"/>
          <w:lang w:eastAsia="en-GB"/>
        </w:rPr>
        <w:t xml:space="preserve"> was still perceived to be essential given the complexity and sensitivity of childhood obesity as a public health issue.</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In addition, given that school staff often lacked the time, knowledge, skills or confidence to run health promotion activities, having external partners come into a school environment was an important way to gain additional capacity and ensure the consistency and credibility of key health promotion messages.  However for a minority of schools, where the improvement of healthy lifestyle behaviours was highly prioritised, school staff were expected to deliver out of school activities to children.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lastRenderedPageBreak/>
        <w:t xml:space="preserve">Although accessibility issues were raised, of the external partners </w:t>
      </w:r>
      <w:r w:rsidR="00281979">
        <w:rPr>
          <w:rFonts w:eastAsia="Times New Roman" w:cstheme="minorHAnsi"/>
          <w:color w:val="000000"/>
          <w:lang w:eastAsia="en-GB"/>
        </w:rPr>
        <w:t>referenced</w:t>
      </w:r>
      <w:r w:rsidRPr="009B3747">
        <w:rPr>
          <w:rFonts w:eastAsia="Times New Roman" w:cstheme="minorHAnsi"/>
          <w:color w:val="000000"/>
          <w:lang w:eastAsia="en-GB"/>
        </w:rPr>
        <w:t>, school nurses were particularly regarded by headteachers</w:t>
      </w:r>
      <w:r w:rsidR="00DB6004">
        <w:rPr>
          <w:rFonts w:eastAsia="Times New Roman" w:cstheme="minorHAnsi"/>
          <w:color w:val="000000"/>
          <w:lang w:eastAsia="en-GB"/>
        </w:rPr>
        <w:t>,</w:t>
      </w:r>
      <w:r w:rsidRPr="009B3747">
        <w:rPr>
          <w:rFonts w:eastAsia="Times New Roman" w:cstheme="minorHAnsi"/>
          <w:color w:val="000000"/>
          <w:lang w:eastAsia="en-GB"/>
        </w:rPr>
        <w:t xml:space="preserve"> as being crucial for engaging not only with pupils</w:t>
      </w:r>
      <w:r w:rsidR="00281979">
        <w:rPr>
          <w:rFonts w:eastAsia="Times New Roman" w:cstheme="minorHAnsi"/>
          <w:color w:val="000000"/>
          <w:lang w:eastAsia="en-GB"/>
        </w:rPr>
        <w:t>,</w:t>
      </w:r>
      <w:r w:rsidRPr="009B3747">
        <w:rPr>
          <w:rFonts w:eastAsia="Times New Roman" w:cstheme="minorHAnsi"/>
          <w:color w:val="000000"/>
          <w:lang w:eastAsia="en-GB"/>
        </w:rPr>
        <w:t xml:space="preserve"> but acting as a bridge </w:t>
      </w:r>
      <w:r w:rsidR="00DB6004">
        <w:rPr>
          <w:rFonts w:eastAsia="Times New Roman" w:cstheme="minorHAnsi"/>
          <w:color w:val="000000"/>
          <w:lang w:eastAsia="en-GB"/>
        </w:rPr>
        <w:t>between the parents and school as well</w:t>
      </w:r>
      <w:r w:rsidRPr="009B3747">
        <w:rPr>
          <w:rFonts w:eastAsia="Times New Roman" w:cstheme="minorHAnsi"/>
          <w:color w:val="000000"/>
          <w:lang w:eastAsia="en-GB"/>
        </w:rPr>
        <w:t>.  </w:t>
      </w:r>
    </w:p>
    <w:p w:rsidR="005E052F"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i/>
          <w:sz w:val="24"/>
          <w:szCs w:val="24"/>
          <w:lang w:eastAsia="en-GB"/>
        </w:rPr>
      </w:pPr>
      <w:r w:rsidRPr="009B3747">
        <w:rPr>
          <w:rFonts w:eastAsia="Times New Roman" w:cstheme="minorHAnsi"/>
          <w:i/>
          <w:color w:val="000000"/>
          <w:lang w:eastAsia="en-GB"/>
        </w:rPr>
        <w:t xml:space="preserve">School leadership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A further enabling factor determining whether or how a school engages in the obesity prevention agenda, was proposed by headteachers as the importance of leadership. Some expressed that their own personal values and approach to leadership regarding the prioritisation of child health could alleviate some of the constraining factors identified.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For these headteachers, they perceived they were able to determine the school culture regarding the promotion of health and this stemmed from their passion or interest in improving the lifestyle behaviours and wider health and wellbeing of children at their school.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983506" w:rsidP="003F1507">
      <w:pPr>
        <w:rPr>
          <w:rFonts w:eastAsia="Times New Roman" w:cstheme="minorHAnsi"/>
          <w:b/>
          <w:sz w:val="24"/>
          <w:szCs w:val="24"/>
          <w:lang w:eastAsia="en-GB"/>
        </w:rPr>
      </w:pPr>
      <w:r w:rsidRPr="009B3747">
        <w:rPr>
          <w:rFonts w:eastAsia="Times New Roman" w:cstheme="minorHAnsi"/>
          <w:b/>
          <w:color w:val="000000"/>
          <w:sz w:val="24"/>
          <w:szCs w:val="24"/>
          <w:u w:val="single"/>
          <w:lang w:eastAsia="en-GB"/>
        </w:rPr>
        <w:t>3</w:t>
      </w:r>
      <w:r w:rsidR="00EF116B" w:rsidRPr="009B3747">
        <w:rPr>
          <w:rFonts w:eastAsia="Times New Roman" w:cstheme="minorHAnsi"/>
          <w:b/>
          <w:color w:val="000000"/>
          <w:sz w:val="24"/>
          <w:szCs w:val="24"/>
          <w:u w:val="single"/>
          <w:lang w:eastAsia="en-GB"/>
        </w:rPr>
        <w:t>.5</w:t>
      </w:r>
      <w:r w:rsidR="003F1507" w:rsidRPr="009B3747">
        <w:rPr>
          <w:rFonts w:eastAsia="Times New Roman" w:cstheme="minorHAnsi"/>
          <w:b/>
          <w:color w:val="000000"/>
          <w:sz w:val="24"/>
          <w:szCs w:val="24"/>
          <w:u w:val="single"/>
          <w:lang w:eastAsia="en-GB"/>
        </w:rPr>
        <w:t xml:space="preserve"> Discussion</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The aim of this review was to systematically identify and synthesise the re</w:t>
      </w:r>
      <w:r w:rsidR="005E052F" w:rsidRPr="009B3747">
        <w:rPr>
          <w:rFonts w:eastAsia="Times New Roman" w:cstheme="minorHAnsi"/>
          <w:color w:val="000000"/>
          <w:lang w:eastAsia="en-GB"/>
        </w:rPr>
        <w:t>search literature concerning</w:t>
      </w:r>
      <w:r w:rsidR="00A42BA8" w:rsidRPr="009B3747">
        <w:rPr>
          <w:rFonts w:eastAsia="Times New Roman" w:cstheme="minorHAnsi"/>
          <w:color w:val="000000"/>
          <w:lang w:eastAsia="en-GB"/>
        </w:rPr>
        <w:t xml:space="preserve"> ‘</w:t>
      </w:r>
      <w:r w:rsidR="005E052F" w:rsidRPr="009B3747">
        <w:rPr>
          <w:rFonts w:eastAsia="Times New Roman" w:cstheme="minorHAnsi"/>
          <w:i/>
          <w:iCs/>
          <w:color w:val="000000"/>
          <w:lang w:eastAsia="en-GB"/>
        </w:rPr>
        <w:t xml:space="preserve">headteachers’ </w:t>
      </w:r>
      <w:r w:rsidRPr="009B3747">
        <w:rPr>
          <w:rFonts w:eastAsia="Times New Roman" w:cstheme="minorHAnsi"/>
          <w:i/>
          <w:iCs/>
          <w:color w:val="000000"/>
          <w:lang w:eastAsia="en-GB"/>
        </w:rPr>
        <w:t>and chairs of governors</w:t>
      </w:r>
      <w:r w:rsidR="00C86DA7" w:rsidRPr="009B3747">
        <w:rPr>
          <w:rFonts w:eastAsia="Times New Roman" w:cstheme="minorHAnsi"/>
          <w:i/>
          <w:iCs/>
          <w:color w:val="000000"/>
          <w:lang w:eastAsia="en-GB"/>
        </w:rPr>
        <w:t>’</w:t>
      </w:r>
      <w:r w:rsidRPr="009B3747">
        <w:rPr>
          <w:rFonts w:eastAsia="Times New Roman" w:cstheme="minorHAnsi"/>
          <w:i/>
          <w:iCs/>
          <w:color w:val="000000"/>
          <w:lang w:eastAsia="en-GB"/>
        </w:rPr>
        <w:t xml:space="preserve"> </w:t>
      </w:r>
      <w:r w:rsidR="005E052F" w:rsidRPr="009B3747">
        <w:rPr>
          <w:rFonts w:eastAsia="Times New Roman" w:cstheme="minorHAnsi"/>
          <w:i/>
          <w:iCs/>
          <w:color w:val="000000"/>
          <w:lang w:eastAsia="en-GB"/>
        </w:rPr>
        <w:t xml:space="preserve">perspectives </w:t>
      </w:r>
      <w:r w:rsidRPr="009B3747">
        <w:rPr>
          <w:rFonts w:eastAsia="Times New Roman" w:cstheme="minorHAnsi"/>
          <w:i/>
          <w:iCs/>
          <w:color w:val="000000"/>
          <w:lang w:eastAsia="en-GB"/>
        </w:rPr>
        <w:t>on childhood or adolescent obesity and it</w:t>
      </w:r>
      <w:r w:rsidR="00A42BA8" w:rsidRPr="009B3747">
        <w:rPr>
          <w:rFonts w:eastAsia="Times New Roman" w:cstheme="minorHAnsi"/>
          <w:i/>
          <w:iCs/>
          <w:color w:val="000000"/>
          <w:lang w:eastAsia="en-GB"/>
        </w:rPr>
        <w:t>s prevention in school settings’</w:t>
      </w:r>
      <w:r w:rsidRPr="009B3747">
        <w:rPr>
          <w:rFonts w:eastAsia="Times New Roman" w:cstheme="minorHAnsi"/>
          <w:color w:val="000000"/>
          <w:lang w:eastAsia="en-GB"/>
        </w:rPr>
        <w:t xml:space="preserve">.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Six qualitative empirical studies were identified, with a thematic synthesis conducted on the primary data contained. Resulting from this process was the emergence of four cross-cutting themes and nine associated sub-themes.</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The review confirmed that headteachers within primary and secondary schools are aware of the issue of childhood and adolescent obesity, however generally don’t perceive the scale of the problem within their own school setting to be of significant conc</w:t>
      </w:r>
      <w:r w:rsidR="00DB6004">
        <w:rPr>
          <w:rFonts w:eastAsia="Times New Roman" w:cstheme="minorHAnsi"/>
          <w:color w:val="000000"/>
          <w:lang w:eastAsia="en-GB"/>
        </w:rPr>
        <w:t xml:space="preserve">ern.  Headteachers did identify an </w:t>
      </w:r>
      <w:r w:rsidRPr="009B3747">
        <w:rPr>
          <w:rFonts w:eastAsia="Times New Roman" w:cstheme="minorHAnsi"/>
          <w:color w:val="000000"/>
          <w:lang w:eastAsia="en-GB"/>
        </w:rPr>
        <w:t xml:space="preserve">escalating issue in children and adolescence relating to unhealthy lifestyle behaviours </w:t>
      </w:r>
      <w:r w:rsidR="00273991">
        <w:rPr>
          <w:rFonts w:eastAsia="Times New Roman" w:cstheme="minorHAnsi"/>
          <w:color w:val="000000"/>
          <w:lang w:eastAsia="en-GB"/>
        </w:rPr>
        <w:t>(</w:t>
      </w:r>
      <w:r w:rsidRPr="009B3747">
        <w:rPr>
          <w:rFonts w:eastAsia="Times New Roman" w:cstheme="minorHAnsi"/>
          <w:color w:val="000000"/>
          <w:lang w:eastAsia="en-GB"/>
        </w:rPr>
        <w:t>i.e. unhealthy dietary habits</w:t>
      </w:r>
      <w:r w:rsidR="00273991">
        <w:rPr>
          <w:rFonts w:eastAsia="Times New Roman" w:cstheme="minorHAnsi"/>
          <w:color w:val="000000"/>
          <w:lang w:eastAsia="en-GB"/>
        </w:rPr>
        <w:t>)</w:t>
      </w:r>
      <w:r w:rsidRPr="009B3747">
        <w:rPr>
          <w:rFonts w:eastAsia="Times New Roman" w:cstheme="minorHAnsi"/>
          <w:color w:val="000000"/>
          <w:lang w:eastAsia="en-GB"/>
        </w:rPr>
        <w:t xml:space="preserve"> and wider health issues </w:t>
      </w:r>
      <w:r w:rsidR="00273991">
        <w:rPr>
          <w:rFonts w:eastAsia="Times New Roman" w:cstheme="minorHAnsi"/>
          <w:color w:val="000000"/>
          <w:lang w:eastAsia="en-GB"/>
        </w:rPr>
        <w:t>(</w:t>
      </w:r>
      <w:r w:rsidRPr="009B3747">
        <w:rPr>
          <w:rFonts w:eastAsia="Times New Roman" w:cstheme="minorHAnsi"/>
          <w:color w:val="000000"/>
          <w:lang w:eastAsia="en-GB"/>
        </w:rPr>
        <w:t>i.e. mental health</w:t>
      </w:r>
      <w:r w:rsidR="00273991">
        <w:rPr>
          <w:rFonts w:eastAsia="Times New Roman" w:cstheme="minorHAnsi"/>
          <w:color w:val="000000"/>
          <w:lang w:eastAsia="en-GB"/>
        </w:rPr>
        <w:t>)</w:t>
      </w:r>
      <w:r w:rsidRPr="009B3747">
        <w:rPr>
          <w:rFonts w:eastAsia="Times New Roman" w:cstheme="minorHAnsi"/>
          <w:color w:val="000000"/>
          <w:lang w:eastAsia="en-GB"/>
        </w:rPr>
        <w:t>.  Participants across all studies reviewed</w:t>
      </w:r>
      <w:r w:rsidR="00DB6004">
        <w:rPr>
          <w:rFonts w:eastAsia="Times New Roman" w:cstheme="minorHAnsi"/>
          <w:color w:val="000000"/>
          <w:lang w:eastAsia="en-GB"/>
        </w:rPr>
        <w:t xml:space="preserve">, </w:t>
      </w:r>
      <w:r w:rsidRPr="009B3747">
        <w:rPr>
          <w:rFonts w:eastAsia="Times New Roman" w:cstheme="minorHAnsi"/>
          <w:color w:val="000000"/>
          <w:lang w:eastAsia="en-GB"/>
        </w:rPr>
        <w:t>commonly shared the belief that the existence of obesity, unhealthy dietary habits and sedentary behaviour differed according to the socio-economic status of children and families.  Although in the main poorer health behaviours and outcomes were associated with lower income families, for some the reverse was true in relation to increasing affluence and poorer lifestyle choices.</w:t>
      </w:r>
    </w:p>
    <w:p w:rsidR="003F1507" w:rsidRPr="009B3747" w:rsidRDefault="0043140D" w:rsidP="003F1507">
      <w:pPr>
        <w:rPr>
          <w:rFonts w:eastAsia="Times New Roman" w:cstheme="minorHAnsi"/>
          <w:sz w:val="24"/>
          <w:szCs w:val="24"/>
          <w:lang w:eastAsia="en-GB"/>
        </w:rPr>
      </w:pPr>
      <w:r w:rsidRPr="009B3747">
        <w:rPr>
          <w:rFonts w:eastAsia="Times New Roman" w:cstheme="minorHAnsi"/>
          <w:color w:val="000000"/>
          <w:lang w:eastAsia="en-GB"/>
        </w:rPr>
        <w:lastRenderedPageBreak/>
        <w:t>The review identified that h</w:t>
      </w:r>
      <w:r w:rsidR="003F1507" w:rsidRPr="009B3747">
        <w:rPr>
          <w:rFonts w:eastAsia="Times New Roman" w:cstheme="minorHAnsi"/>
          <w:color w:val="000000"/>
          <w:lang w:eastAsia="en-GB"/>
        </w:rPr>
        <w:t>eadteachers across the board believed that their schools had a role to play in the prevention of childhood obesity.  A factor driving this belief was the perception that a child or adolescent's health was linked to their ability to learn.  Consequently, headteachers identified the academic benefits of taking action to improve children and adolescents lifestyle behaviours</w:t>
      </w:r>
      <w:r w:rsidR="00273991">
        <w:rPr>
          <w:rFonts w:eastAsia="Times New Roman" w:cstheme="minorHAnsi"/>
          <w:color w:val="000000"/>
          <w:lang w:eastAsia="en-GB"/>
        </w:rPr>
        <w:t>,</w:t>
      </w:r>
      <w:r w:rsidR="003F1507" w:rsidRPr="009B3747">
        <w:rPr>
          <w:rFonts w:eastAsia="Times New Roman" w:cstheme="minorHAnsi"/>
          <w:color w:val="000000"/>
          <w:lang w:eastAsia="en-GB"/>
        </w:rPr>
        <w:t xml:space="preserve"> i.e. healthy eating and physical activity uptake.  Concern was raised however about whether too much of an emphasis on fulfilling the role of preventing childhood obesity would detract from a school’s core purpose of education.  Despite this, headteachers provided extensive examples of their school’s action in improving the dietary habits and physical activity levels of children.  Provision of health enhancing opportunities was evidence</w:t>
      </w:r>
      <w:r w:rsidR="00DB6004">
        <w:rPr>
          <w:rFonts w:eastAsia="Times New Roman" w:cstheme="minorHAnsi"/>
          <w:color w:val="000000"/>
          <w:lang w:eastAsia="en-GB"/>
        </w:rPr>
        <w:t>d</w:t>
      </w:r>
      <w:r w:rsidR="003F1507" w:rsidRPr="009B3747">
        <w:rPr>
          <w:rFonts w:eastAsia="Times New Roman" w:cstheme="minorHAnsi"/>
          <w:color w:val="000000"/>
          <w:lang w:eastAsia="en-GB"/>
        </w:rPr>
        <w:t xml:space="preserve"> both inside and outside of the curriculum, involving both pupils, school staff and parents.  An issue raised by some headteachers, was the potential influence of positive or negative role models within a school setting, related to both school staff and headteachers themselves.</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A strong recurring pattern within the review was the view shared ex</w:t>
      </w:r>
      <w:r w:rsidR="00DB6004">
        <w:rPr>
          <w:rFonts w:eastAsia="Times New Roman" w:cstheme="minorHAnsi"/>
          <w:color w:val="000000"/>
          <w:lang w:eastAsia="en-GB"/>
        </w:rPr>
        <w:t xml:space="preserve">tensively across study findings, </w:t>
      </w:r>
      <w:r w:rsidRPr="009B3747">
        <w:rPr>
          <w:rFonts w:eastAsia="Times New Roman" w:cstheme="minorHAnsi"/>
          <w:color w:val="000000"/>
          <w:lang w:eastAsia="en-GB"/>
        </w:rPr>
        <w:t xml:space="preserve">that parents play the most decisive role in children and </w:t>
      </w:r>
      <w:r w:rsidR="00C86DA7" w:rsidRPr="009B3747">
        <w:rPr>
          <w:rFonts w:eastAsia="Times New Roman" w:cstheme="minorHAnsi"/>
          <w:color w:val="000000"/>
          <w:lang w:eastAsia="en-GB"/>
        </w:rPr>
        <w:t>adolescents’</w:t>
      </w:r>
      <w:r w:rsidRPr="009B3747">
        <w:rPr>
          <w:rFonts w:eastAsia="Times New Roman" w:cstheme="minorHAnsi"/>
          <w:color w:val="000000"/>
          <w:lang w:eastAsia="en-GB"/>
        </w:rPr>
        <w:t xml:space="preserve"> health and well-being and at times are a significant constraining factor in the prevention of obesity in school settings.  Universally parents were believed to have the greatest responsibility for preventing childhood and adolescent obesity and whilst some were fulfilling this, the opinion was that others were negating their parental duties.  This was attributed to lack o</w:t>
      </w:r>
      <w:r w:rsidR="00DB6004">
        <w:rPr>
          <w:rFonts w:eastAsia="Times New Roman" w:cstheme="minorHAnsi"/>
          <w:color w:val="000000"/>
          <w:lang w:eastAsia="en-GB"/>
        </w:rPr>
        <w:t>f knowledge and resources relating to healthy choices, although in</w:t>
      </w:r>
      <w:r w:rsidRPr="009B3747">
        <w:rPr>
          <w:rFonts w:eastAsia="Times New Roman" w:cstheme="minorHAnsi"/>
          <w:color w:val="000000"/>
          <w:lang w:eastAsia="en-GB"/>
        </w:rPr>
        <w:t xml:space="preserve"> some instances poor parenting skills were identified.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The review highlighted that the second most significant constraining factor for school based preventative action, related to the increasing pressure for schools to meeting academic targets.  This was identified as reducing the capacity and resources available to prioritise other aspects of child development including health and well-being.  For some this resulted in a conflict between what headteachers would ideally like to achieve in relation to balancing the needs of the whole child, and what realistically they were able to given the constraints primarily driven by government.  However there were significant concerns identified within the findings from those headteachers who felt it was inappropriate for schools to have a greater level of responsibility in preventing childhood obesity, given that their fundamental purpose is to educate children and adolescents.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The final theme within the review, revealed that enabling factors exist</w:t>
      </w:r>
      <w:r w:rsidR="0071085A">
        <w:rPr>
          <w:rFonts w:eastAsia="Times New Roman" w:cstheme="minorHAnsi"/>
          <w:color w:val="000000"/>
          <w:lang w:eastAsia="en-GB"/>
        </w:rPr>
        <w:t>,</w:t>
      </w:r>
      <w:r w:rsidRPr="009B3747">
        <w:rPr>
          <w:rFonts w:eastAsia="Times New Roman" w:cstheme="minorHAnsi"/>
          <w:color w:val="000000"/>
          <w:lang w:eastAsia="en-GB"/>
        </w:rPr>
        <w:t xml:space="preserve"> which headteachers believed do or would facilitate their ability and desire for their school based obesity prevention.  Commonly, engaging with external partners was viewed as an effective approach to increase capacity, </w:t>
      </w:r>
      <w:r w:rsidRPr="009B3747">
        <w:rPr>
          <w:rFonts w:eastAsia="Times New Roman" w:cstheme="minorHAnsi"/>
          <w:color w:val="000000"/>
          <w:lang w:eastAsia="en-GB"/>
        </w:rPr>
        <w:lastRenderedPageBreak/>
        <w:t xml:space="preserve">consistency and credibility for health promotion messages.  Whilst funding and accessibility issues with key services such as school nurses were identified, headteachers broadly felt these partners are crucial for engaging with both pupils and parents on the complex and sensitive issue of obesity.  Finally, despite the constraining factors identified, headteachers across the studies reviewed </w:t>
      </w:r>
      <w:r w:rsidR="00133672" w:rsidRPr="009B3747">
        <w:rPr>
          <w:rFonts w:eastAsia="Times New Roman" w:cstheme="minorHAnsi"/>
          <w:color w:val="000000"/>
          <w:lang w:eastAsia="en-GB"/>
        </w:rPr>
        <w:t>believed</w:t>
      </w:r>
      <w:r w:rsidRPr="009B3747">
        <w:rPr>
          <w:rFonts w:eastAsia="Times New Roman" w:cstheme="minorHAnsi"/>
          <w:color w:val="000000"/>
          <w:lang w:eastAsia="en-GB"/>
        </w:rPr>
        <w:t xml:space="preserve"> that their own leadership, values and passion could support the continued action to improving child and adolescent lifestyle behaviours and therefore the prevention of obesity.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EF116B" w:rsidP="003F1507">
      <w:pPr>
        <w:rPr>
          <w:rFonts w:eastAsia="Times New Roman" w:cstheme="minorHAnsi"/>
          <w:color w:val="000000"/>
          <w:u w:val="single"/>
          <w:lang w:eastAsia="en-GB"/>
        </w:rPr>
      </w:pPr>
      <w:r w:rsidRPr="009B3747">
        <w:rPr>
          <w:rFonts w:eastAsia="Times New Roman" w:cstheme="minorHAnsi"/>
          <w:color w:val="000000"/>
          <w:u w:val="single"/>
          <w:lang w:eastAsia="en-GB"/>
        </w:rPr>
        <w:t>3.5.1</w:t>
      </w:r>
      <w:r w:rsidR="003F1507" w:rsidRPr="009B3747">
        <w:rPr>
          <w:rFonts w:eastAsia="Times New Roman" w:cstheme="minorHAnsi"/>
          <w:color w:val="000000"/>
          <w:u w:val="single"/>
          <w:lang w:eastAsia="en-GB"/>
        </w:rPr>
        <w:t xml:space="preserve"> Limitations</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A number of limitations exist related to both the methods and outcome of this systematic review and qualitative synthesis.  Firstly, in relation to the searches, whilst a comprehensive and robust approach was utilised to identify literature, some relevant studies may have been missed in the search.  Similarly, despite the systematic steps employed to screen studies of interest, eligible studies could have been inappropriately excluded from the final review.  In addition, the decision to exclude unpublished non-peer reviewed literature may have restricted the range of perspectives obtained.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 xml:space="preserve">There was no access to the original data set of the primary studies and for some, either no raw data (i.e. participant verbatim quotations) was included or it was limited.  Consequently, it is important to reflect on the fact that this review is a synthesis of study authors analyses and interpretations of their own data sets.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A key limitation of this review is the fact that whilst the explicit views of headteachers were sought and synthesised in each of the primary studies reviewed, it is important to note that for some studies</w:t>
      </w:r>
      <w:r w:rsidR="00C86DA7" w:rsidRPr="009B3747">
        <w:rPr>
          <w:rFonts w:eastAsia="Times New Roman" w:cstheme="minorHAnsi"/>
          <w:color w:val="000000"/>
          <w:lang w:eastAsia="en-GB"/>
        </w:rPr>
        <w:t>,</w:t>
      </w:r>
      <w:r w:rsidRPr="009B3747">
        <w:rPr>
          <w:rFonts w:eastAsia="Times New Roman" w:cstheme="minorHAnsi"/>
          <w:color w:val="000000"/>
          <w:lang w:eastAsia="en-GB"/>
        </w:rPr>
        <w:t xml:space="preserve"> ‘headteachers’ was a term utilised to reflect a wider sample of school stakeholders</w:t>
      </w:r>
      <w:r w:rsidR="00273991">
        <w:rPr>
          <w:rFonts w:eastAsia="Times New Roman" w:cstheme="minorHAnsi"/>
          <w:color w:val="000000"/>
          <w:lang w:eastAsia="en-GB"/>
        </w:rPr>
        <w:t>,</w:t>
      </w:r>
      <w:r w:rsidRPr="009B3747">
        <w:rPr>
          <w:rFonts w:eastAsia="Times New Roman" w:cstheme="minorHAnsi"/>
          <w:color w:val="000000"/>
          <w:lang w:eastAsia="en-GB"/>
        </w:rPr>
        <w:t xml:space="preserve"> i.e. inclusive of deputy-headteachers.  Furthermore, study authors at times proposed findings or interpretations of their study population as </w:t>
      </w:r>
      <w:r w:rsidR="00A42BA8" w:rsidRPr="009B3747">
        <w:rPr>
          <w:rFonts w:eastAsia="Times New Roman" w:cstheme="minorHAnsi"/>
          <w:color w:val="000000"/>
          <w:lang w:eastAsia="en-GB"/>
        </w:rPr>
        <w:t>a whole (not only related to headteachers’ beliefs</w:t>
      </w:r>
      <w:r w:rsidRPr="009B3747">
        <w:rPr>
          <w:rFonts w:eastAsia="Times New Roman" w:cstheme="minorHAnsi"/>
          <w:color w:val="000000"/>
          <w:lang w:eastAsia="en-GB"/>
        </w:rPr>
        <w:t>).  These issues therefore has the potential to limit the relevance of the overall interpretations drawn from the thematic synthesis.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 xml:space="preserve">In addition, across the six studies reviewed, 66 headteachers were included from both primary and secondary school settings in a UK and non-UK location.  Despite the variety of the participant and school demographics included, it essential to reflect on the fact that the views obtained are context specific and cannot be seen as representative of the population of interest.  Furthermore, although </w:t>
      </w:r>
      <w:r w:rsidRPr="009B3747">
        <w:rPr>
          <w:rFonts w:eastAsia="Times New Roman" w:cstheme="minorHAnsi"/>
          <w:color w:val="000000"/>
          <w:lang w:eastAsia="en-GB"/>
        </w:rPr>
        <w:lastRenderedPageBreak/>
        <w:t>headteachers</w:t>
      </w:r>
      <w:r w:rsidR="00C86DA7" w:rsidRPr="009B3747">
        <w:rPr>
          <w:rFonts w:eastAsia="Times New Roman" w:cstheme="minorHAnsi"/>
          <w:color w:val="000000"/>
          <w:lang w:eastAsia="en-GB"/>
        </w:rPr>
        <w:t>’</w:t>
      </w:r>
      <w:r w:rsidRPr="009B3747">
        <w:rPr>
          <w:rFonts w:eastAsia="Times New Roman" w:cstheme="minorHAnsi"/>
          <w:color w:val="000000"/>
          <w:lang w:eastAsia="en-GB"/>
        </w:rPr>
        <w:t xml:space="preserve"> views were included in these studies, secondary school headteachers (from the UK) and governors or chairs of governors (both UK and non UK) were identified as missing from the evidence base.  </w:t>
      </w:r>
    </w:p>
    <w:p w:rsidR="009D727E" w:rsidRPr="009B3747" w:rsidRDefault="009D727E" w:rsidP="003F1507">
      <w:pPr>
        <w:rPr>
          <w:rFonts w:eastAsia="Times New Roman" w:cstheme="minorHAnsi"/>
          <w:sz w:val="24"/>
          <w:szCs w:val="24"/>
          <w:lang w:eastAsia="en-GB"/>
        </w:rPr>
      </w:pPr>
    </w:p>
    <w:p w:rsidR="003F1507" w:rsidRPr="009B3747" w:rsidRDefault="00983506" w:rsidP="003F1507">
      <w:pPr>
        <w:rPr>
          <w:rFonts w:eastAsia="Times New Roman" w:cstheme="minorHAnsi"/>
          <w:b/>
          <w:sz w:val="24"/>
          <w:szCs w:val="24"/>
          <w:lang w:eastAsia="en-GB"/>
        </w:rPr>
      </w:pPr>
      <w:r w:rsidRPr="009B3747">
        <w:rPr>
          <w:rFonts w:eastAsia="Times New Roman" w:cstheme="minorHAnsi"/>
          <w:b/>
          <w:color w:val="000000"/>
          <w:sz w:val="24"/>
          <w:szCs w:val="24"/>
          <w:u w:val="single"/>
          <w:lang w:eastAsia="en-GB"/>
        </w:rPr>
        <w:t>3</w:t>
      </w:r>
      <w:r w:rsidR="00EF116B" w:rsidRPr="009B3747">
        <w:rPr>
          <w:rFonts w:eastAsia="Times New Roman" w:cstheme="minorHAnsi"/>
          <w:b/>
          <w:color w:val="000000"/>
          <w:sz w:val="24"/>
          <w:szCs w:val="24"/>
          <w:u w:val="single"/>
          <w:lang w:eastAsia="en-GB"/>
        </w:rPr>
        <w:t>.6</w:t>
      </w:r>
      <w:r w:rsidR="003F1507" w:rsidRPr="009B3747">
        <w:rPr>
          <w:rFonts w:eastAsia="Times New Roman" w:cstheme="minorHAnsi"/>
          <w:b/>
          <w:color w:val="000000"/>
          <w:sz w:val="24"/>
          <w:szCs w:val="24"/>
          <w:u w:val="single"/>
          <w:lang w:eastAsia="en-GB"/>
        </w:rPr>
        <w:t xml:space="preserve"> Conclusion and recommendations for further research</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In spite of the limitations identified, this qualitative review and thema</w:t>
      </w:r>
      <w:r w:rsidR="00DB655F" w:rsidRPr="009B3747">
        <w:rPr>
          <w:rFonts w:eastAsia="Times New Roman" w:cstheme="minorHAnsi"/>
          <w:color w:val="000000"/>
          <w:lang w:eastAsia="en-GB"/>
        </w:rPr>
        <w:t xml:space="preserve">tic synthesis is the first time </w:t>
      </w:r>
      <w:r w:rsidRPr="009B3747">
        <w:rPr>
          <w:rFonts w:eastAsia="Times New Roman" w:cstheme="minorHAnsi"/>
          <w:color w:val="000000"/>
          <w:lang w:eastAsia="en-GB"/>
        </w:rPr>
        <w:t>school headteachers</w:t>
      </w:r>
      <w:r w:rsidR="00C86DA7" w:rsidRPr="009B3747">
        <w:rPr>
          <w:rFonts w:eastAsia="Times New Roman" w:cstheme="minorHAnsi"/>
          <w:color w:val="000000"/>
          <w:lang w:eastAsia="en-GB"/>
        </w:rPr>
        <w:t>’</w:t>
      </w:r>
      <w:r w:rsidRPr="009B3747">
        <w:rPr>
          <w:rFonts w:eastAsia="Times New Roman" w:cstheme="minorHAnsi"/>
          <w:color w:val="000000"/>
          <w:lang w:eastAsia="en-GB"/>
        </w:rPr>
        <w:t xml:space="preserve"> </w:t>
      </w:r>
      <w:r w:rsidR="00DB655F" w:rsidRPr="009B3747">
        <w:rPr>
          <w:rFonts w:eastAsia="Times New Roman" w:cstheme="minorHAnsi"/>
          <w:color w:val="000000"/>
          <w:lang w:eastAsia="en-GB"/>
        </w:rPr>
        <w:t xml:space="preserve">perspectives </w:t>
      </w:r>
      <w:r w:rsidRPr="009B3747">
        <w:rPr>
          <w:rFonts w:eastAsia="Times New Roman" w:cstheme="minorHAnsi"/>
          <w:color w:val="000000"/>
          <w:lang w:eastAsia="en-GB"/>
        </w:rPr>
        <w:t xml:space="preserve">regarding childhood or adolescent obesity have been collectively synthesised and analysed.  Whilst not attempting to claim representativeness, the findings do </w:t>
      </w:r>
      <w:r w:rsidR="0071085A">
        <w:rPr>
          <w:rFonts w:eastAsia="Times New Roman" w:cstheme="minorHAnsi"/>
          <w:color w:val="000000"/>
          <w:lang w:eastAsia="en-GB"/>
        </w:rPr>
        <w:t xml:space="preserve">however provide useful insights, </w:t>
      </w:r>
      <w:r w:rsidRPr="009B3747">
        <w:rPr>
          <w:rFonts w:eastAsia="Times New Roman" w:cstheme="minorHAnsi"/>
          <w:color w:val="000000"/>
          <w:lang w:eastAsia="en-GB"/>
        </w:rPr>
        <w:t>which can contribute to answering both</w:t>
      </w:r>
      <w:r w:rsidR="00DB6004">
        <w:rPr>
          <w:rFonts w:eastAsia="Times New Roman" w:cstheme="minorHAnsi"/>
          <w:color w:val="000000"/>
          <w:lang w:eastAsia="en-GB"/>
        </w:rPr>
        <w:t xml:space="preserve"> the review question and overarching</w:t>
      </w:r>
      <w:r w:rsidRPr="009B3747">
        <w:rPr>
          <w:rFonts w:eastAsia="Times New Roman" w:cstheme="minorHAnsi"/>
          <w:color w:val="000000"/>
          <w:lang w:eastAsia="en-GB"/>
        </w:rPr>
        <w:t xml:space="preserve"> research question for the </w:t>
      </w:r>
      <w:r w:rsidR="00DB6004">
        <w:rPr>
          <w:rFonts w:eastAsia="Times New Roman" w:cstheme="minorHAnsi"/>
          <w:color w:val="000000"/>
          <w:lang w:eastAsia="en-GB"/>
        </w:rPr>
        <w:t>PhD</w:t>
      </w:r>
      <w:r w:rsidRPr="009B3747">
        <w:rPr>
          <w:rFonts w:eastAsia="Times New Roman" w:cstheme="minorHAnsi"/>
          <w:color w:val="000000"/>
          <w:lang w:eastAsia="en-GB"/>
        </w:rPr>
        <w:t>.  The review has also highlighted the need for further res</w:t>
      </w:r>
      <w:r w:rsidR="00DB655F" w:rsidRPr="009B3747">
        <w:rPr>
          <w:rFonts w:eastAsia="Times New Roman" w:cstheme="minorHAnsi"/>
          <w:color w:val="000000"/>
          <w:lang w:eastAsia="en-GB"/>
        </w:rPr>
        <w:t xml:space="preserve">earch into </w:t>
      </w:r>
      <w:r w:rsidRPr="009B3747">
        <w:rPr>
          <w:rFonts w:eastAsia="Times New Roman" w:cstheme="minorHAnsi"/>
          <w:color w:val="000000"/>
          <w:lang w:eastAsia="en-GB"/>
        </w:rPr>
        <w:t>headteachers</w:t>
      </w:r>
      <w:r w:rsidR="00C86DA7" w:rsidRPr="009B3747">
        <w:rPr>
          <w:rFonts w:eastAsia="Times New Roman" w:cstheme="minorHAnsi"/>
          <w:color w:val="000000"/>
          <w:lang w:eastAsia="en-GB"/>
        </w:rPr>
        <w:t>’</w:t>
      </w:r>
      <w:r w:rsidRPr="009B3747">
        <w:rPr>
          <w:rFonts w:eastAsia="Times New Roman" w:cstheme="minorHAnsi"/>
          <w:color w:val="000000"/>
          <w:lang w:eastAsia="en-GB"/>
        </w:rPr>
        <w:t xml:space="preserve"> and chairs of governors</w:t>
      </w:r>
      <w:r w:rsidR="00C86DA7" w:rsidRPr="009B3747">
        <w:rPr>
          <w:rFonts w:eastAsia="Times New Roman" w:cstheme="minorHAnsi"/>
          <w:color w:val="000000"/>
          <w:lang w:eastAsia="en-GB"/>
        </w:rPr>
        <w:t>’</w:t>
      </w:r>
      <w:r w:rsidR="00DB655F" w:rsidRPr="009B3747">
        <w:rPr>
          <w:rFonts w:eastAsia="Times New Roman" w:cstheme="minorHAnsi"/>
          <w:color w:val="000000"/>
          <w:lang w:eastAsia="en-GB"/>
        </w:rPr>
        <w:t xml:space="preserve"> views</w:t>
      </w:r>
      <w:r w:rsidR="00DB6004">
        <w:rPr>
          <w:rFonts w:eastAsia="Times New Roman" w:cstheme="minorHAnsi"/>
          <w:color w:val="000000"/>
          <w:lang w:eastAsia="en-GB"/>
        </w:rPr>
        <w:t xml:space="preserve"> more broadly, </w:t>
      </w:r>
      <w:r w:rsidRPr="009B3747">
        <w:rPr>
          <w:rFonts w:eastAsia="Times New Roman" w:cstheme="minorHAnsi"/>
          <w:color w:val="000000"/>
          <w:lang w:eastAsia="en-GB"/>
        </w:rPr>
        <w:t>but particularly at a secondary school level in the UK, where their views were not accounted for.  This gap in the research and the justified importance of these key stakeho</w:t>
      </w:r>
      <w:r w:rsidR="00EF116B" w:rsidRPr="009B3747">
        <w:rPr>
          <w:rFonts w:eastAsia="Times New Roman" w:cstheme="minorHAnsi"/>
          <w:color w:val="000000"/>
          <w:lang w:eastAsia="en-GB"/>
        </w:rPr>
        <w:t>lders as detailed in c</w:t>
      </w:r>
      <w:r w:rsidR="00577A7B" w:rsidRPr="009B3747">
        <w:rPr>
          <w:rFonts w:eastAsia="Times New Roman" w:cstheme="minorHAnsi"/>
          <w:color w:val="000000"/>
          <w:lang w:eastAsia="en-GB"/>
        </w:rPr>
        <w:t>hapter two,</w:t>
      </w:r>
      <w:r w:rsidRPr="009B3747">
        <w:rPr>
          <w:rFonts w:eastAsia="Times New Roman" w:cstheme="minorHAnsi"/>
          <w:color w:val="000000"/>
          <w:lang w:eastAsia="en-GB"/>
        </w:rPr>
        <w:t xml:space="preserve"> has confirmed the appropriateness of the research focus for the doctoral study.  Prior to articulating the methods employed to address the paucity of literature related to this topic and population of interest, the overarching research question, aims and objectives have been re-stated below -  </w:t>
      </w:r>
    </w:p>
    <w:p w:rsidR="003F1507" w:rsidRPr="009B3747" w:rsidRDefault="003F1507" w:rsidP="003F1507">
      <w:pPr>
        <w:rPr>
          <w:rFonts w:eastAsia="Times New Roman" w:cstheme="minorHAnsi"/>
          <w:sz w:val="24"/>
          <w:szCs w:val="24"/>
          <w:lang w:eastAsia="en-GB"/>
        </w:rPr>
      </w:pPr>
    </w:p>
    <w:p w:rsidR="003F1507" w:rsidRPr="009B3747" w:rsidRDefault="00983506" w:rsidP="003F1507">
      <w:pPr>
        <w:rPr>
          <w:rFonts w:eastAsia="Times New Roman" w:cstheme="minorHAnsi"/>
          <w:b/>
          <w:sz w:val="24"/>
          <w:szCs w:val="24"/>
          <w:u w:val="single"/>
          <w:lang w:eastAsia="en-GB"/>
        </w:rPr>
      </w:pPr>
      <w:r w:rsidRPr="009B3747">
        <w:rPr>
          <w:rFonts w:eastAsia="Times New Roman" w:cstheme="minorHAnsi"/>
          <w:b/>
          <w:sz w:val="24"/>
          <w:szCs w:val="24"/>
          <w:u w:val="single"/>
          <w:lang w:eastAsia="en-GB"/>
        </w:rPr>
        <w:t>3</w:t>
      </w:r>
      <w:r w:rsidR="00EF116B" w:rsidRPr="009B3747">
        <w:rPr>
          <w:rFonts w:eastAsia="Times New Roman" w:cstheme="minorHAnsi"/>
          <w:b/>
          <w:sz w:val="24"/>
          <w:szCs w:val="24"/>
          <w:u w:val="single"/>
          <w:lang w:eastAsia="en-GB"/>
        </w:rPr>
        <w:t>.7</w:t>
      </w:r>
      <w:r w:rsidR="003F1507" w:rsidRPr="009B3747">
        <w:rPr>
          <w:rFonts w:eastAsia="Times New Roman" w:cstheme="minorHAnsi"/>
          <w:b/>
          <w:sz w:val="24"/>
          <w:szCs w:val="24"/>
          <w:u w:val="single"/>
          <w:lang w:eastAsia="en-GB"/>
        </w:rPr>
        <w:t xml:space="preserve"> Research question, aims and objectives</w:t>
      </w:r>
    </w:p>
    <w:p w:rsidR="00EF116B" w:rsidRPr="009B3747" w:rsidRDefault="00EF116B" w:rsidP="003F1507">
      <w:pPr>
        <w:rPr>
          <w:rFonts w:eastAsia="Times New Roman" w:cstheme="minorHAnsi"/>
          <w:u w:val="single"/>
          <w:lang w:eastAsia="en-GB"/>
        </w:rPr>
      </w:pPr>
    </w:p>
    <w:p w:rsidR="00EF116B" w:rsidRPr="009B3747" w:rsidRDefault="00EF116B" w:rsidP="00EF116B">
      <w:pPr>
        <w:rPr>
          <w:rFonts w:eastAsia="Times New Roman" w:cstheme="minorHAnsi"/>
          <w:sz w:val="24"/>
          <w:szCs w:val="24"/>
          <w:lang w:eastAsia="en-GB"/>
        </w:rPr>
      </w:pPr>
      <w:r w:rsidRPr="009B3747">
        <w:rPr>
          <w:rFonts w:eastAsia="Times New Roman" w:cstheme="minorHAnsi"/>
          <w:b/>
          <w:bCs/>
          <w:color w:val="000000"/>
          <w:lang w:eastAsia="en-GB"/>
        </w:rPr>
        <w:t>Research question</w:t>
      </w:r>
    </w:p>
    <w:p w:rsidR="00EF116B" w:rsidRPr="009B3747" w:rsidRDefault="00EF116B" w:rsidP="00EF116B">
      <w:pPr>
        <w:rPr>
          <w:rFonts w:eastAsia="Times New Roman" w:cstheme="minorHAnsi"/>
          <w:sz w:val="24"/>
          <w:szCs w:val="24"/>
          <w:lang w:eastAsia="en-GB"/>
        </w:rPr>
      </w:pPr>
      <w:r w:rsidRPr="009B3747">
        <w:rPr>
          <w:rFonts w:eastAsia="Times New Roman" w:cstheme="minorHAnsi"/>
          <w:color w:val="000000"/>
          <w:lang w:eastAsia="en-GB"/>
        </w:rPr>
        <w:t>What are headteachers’ and chairs of governors’ perspectives on adolescent obesity and its prevention in English secondary school settings?</w:t>
      </w:r>
    </w:p>
    <w:p w:rsidR="00EF116B" w:rsidRPr="009B3747" w:rsidRDefault="00EF116B" w:rsidP="00EF116B">
      <w:pPr>
        <w:rPr>
          <w:rFonts w:eastAsia="Times New Roman" w:cstheme="minorHAnsi"/>
          <w:sz w:val="24"/>
          <w:szCs w:val="24"/>
          <w:lang w:eastAsia="en-GB"/>
        </w:rPr>
      </w:pPr>
    </w:p>
    <w:p w:rsidR="00EF116B" w:rsidRPr="009B3747" w:rsidRDefault="00EF116B" w:rsidP="00EF116B">
      <w:pPr>
        <w:rPr>
          <w:rFonts w:eastAsia="Times New Roman" w:cstheme="minorHAnsi"/>
          <w:sz w:val="24"/>
          <w:szCs w:val="24"/>
          <w:lang w:eastAsia="en-GB"/>
        </w:rPr>
      </w:pPr>
      <w:r w:rsidRPr="009B3747">
        <w:rPr>
          <w:rFonts w:eastAsia="Times New Roman" w:cstheme="minorHAnsi"/>
          <w:b/>
          <w:bCs/>
          <w:color w:val="000000"/>
          <w:lang w:eastAsia="en-GB"/>
        </w:rPr>
        <w:t>Research aims</w:t>
      </w:r>
    </w:p>
    <w:p w:rsidR="00C27A50" w:rsidRDefault="00C27A50" w:rsidP="00EF116B">
      <w:pPr>
        <w:rPr>
          <w:rFonts w:eastAsia="Times New Roman" w:cstheme="minorHAnsi"/>
          <w:color w:val="000000"/>
          <w:lang w:eastAsia="en-GB"/>
        </w:rPr>
      </w:pPr>
      <w:r>
        <w:rPr>
          <w:rFonts w:eastAsia="Times New Roman" w:cstheme="minorHAnsi"/>
          <w:color w:val="000000"/>
          <w:lang w:eastAsia="en-GB"/>
        </w:rPr>
        <w:t>For each phase of the mixed methods study, t</w:t>
      </w:r>
      <w:r w:rsidR="005F2FF6" w:rsidRPr="009B3747">
        <w:rPr>
          <w:rFonts w:eastAsia="Times New Roman" w:cstheme="minorHAnsi"/>
          <w:color w:val="000000"/>
          <w:lang w:eastAsia="en-GB"/>
        </w:rPr>
        <w:t>wo</w:t>
      </w:r>
      <w:r w:rsidR="00EF116B" w:rsidRPr="009B3747">
        <w:rPr>
          <w:rFonts w:eastAsia="Times New Roman" w:cstheme="minorHAnsi"/>
          <w:color w:val="000000"/>
          <w:lang w:eastAsia="en-GB"/>
        </w:rPr>
        <w:t xml:space="preserve"> distinct aim</w:t>
      </w:r>
      <w:r>
        <w:rPr>
          <w:rFonts w:eastAsia="Times New Roman" w:cstheme="minorHAnsi"/>
          <w:color w:val="000000"/>
          <w:lang w:eastAsia="en-GB"/>
        </w:rPr>
        <w:t>s and related objectives exist.</w:t>
      </w:r>
    </w:p>
    <w:p w:rsidR="00C27A50" w:rsidRPr="009B3747" w:rsidRDefault="00C27A50" w:rsidP="00EF116B">
      <w:pPr>
        <w:rPr>
          <w:rFonts w:eastAsia="Times New Roman" w:cstheme="minorHAnsi"/>
          <w:sz w:val="24"/>
          <w:szCs w:val="24"/>
          <w:lang w:eastAsia="en-GB"/>
        </w:rPr>
      </w:pPr>
    </w:p>
    <w:p w:rsidR="00EF116B" w:rsidRPr="009B3747" w:rsidRDefault="00EF116B" w:rsidP="00EF116B">
      <w:pPr>
        <w:rPr>
          <w:rFonts w:eastAsia="Times New Roman" w:cstheme="minorHAnsi"/>
          <w:sz w:val="24"/>
          <w:szCs w:val="24"/>
          <w:lang w:eastAsia="en-GB"/>
        </w:rPr>
      </w:pPr>
      <w:r w:rsidRPr="009B3747">
        <w:rPr>
          <w:rFonts w:eastAsia="Times New Roman" w:cstheme="minorHAnsi"/>
          <w:color w:val="000000"/>
          <w:u w:val="single"/>
          <w:lang w:eastAsia="en-GB"/>
        </w:rPr>
        <w:t>Aim 1</w:t>
      </w:r>
    </w:p>
    <w:p w:rsidR="00EF116B" w:rsidRPr="009B3747" w:rsidRDefault="00EF116B" w:rsidP="00EF116B">
      <w:pPr>
        <w:rPr>
          <w:rFonts w:eastAsia="Times New Roman" w:cstheme="minorHAnsi"/>
          <w:color w:val="000000"/>
          <w:lang w:eastAsia="en-GB"/>
        </w:rPr>
      </w:pPr>
    </w:p>
    <w:p w:rsidR="00EF116B" w:rsidRPr="009B3747" w:rsidRDefault="005F2FF6" w:rsidP="00EF116B">
      <w:pPr>
        <w:rPr>
          <w:rFonts w:eastAsia="Times New Roman" w:cstheme="minorHAnsi"/>
          <w:sz w:val="24"/>
          <w:szCs w:val="24"/>
          <w:lang w:eastAsia="en-GB"/>
        </w:rPr>
      </w:pPr>
      <w:r w:rsidRPr="009B3747">
        <w:rPr>
          <w:rFonts w:eastAsia="Times New Roman" w:cstheme="minorHAnsi"/>
          <w:color w:val="000000"/>
          <w:lang w:eastAsia="en-GB"/>
        </w:rPr>
        <w:t xml:space="preserve">Within an </w:t>
      </w:r>
      <w:r w:rsidR="00EF116B" w:rsidRPr="009B3747">
        <w:rPr>
          <w:rFonts w:eastAsia="Times New Roman" w:cstheme="minorHAnsi"/>
          <w:color w:val="000000"/>
          <w:lang w:eastAsia="en-GB"/>
        </w:rPr>
        <w:t>initial and core qualitative phase of the research, explore and understand in-depth headteachers</w:t>
      </w:r>
      <w:r w:rsidR="005E052F" w:rsidRPr="009B3747">
        <w:rPr>
          <w:rFonts w:eastAsia="Times New Roman" w:cstheme="minorHAnsi"/>
          <w:color w:val="000000"/>
          <w:lang w:eastAsia="en-GB"/>
        </w:rPr>
        <w:t>’</w:t>
      </w:r>
      <w:r w:rsidR="00EF116B" w:rsidRPr="009B3747">
        <w:rPr>
          <w:rFonts w:eastAsia="Times New Roman" w:cstheme="minorHAnsi"/>
          <w:color w:val="000000"/>
          <w:lang w:eastAsia="en-GB"/>
        </w:rPr>
        <w:t xml:space="preserve"> and chairs of governors</w:t>
      </w:r>
      <w:r w:rsidR="005E052F" w:rsidRPr="009B3747">
        <w:rPr>
          <w:rFonts w:eastAsia="Times New Roman" w:cstheme="minorHAnsi"/>
          <w:color w:val="000000"/>
          <w:lang w:eastAsia="en-GB"/>
        </w:rPr>
        <w:t>’</w:t>
      </w:r>
      <w:r w:rsidR="00EF116B" w:rsidRPr="009B3747">
        <w:rPr>
          <w:rFonts w:eastAsia="Times New Roman" w:cstheme="minorHAnsi"/>
          <w:color w:val="000000"/>
          <w:lang w:eastAsia="en-GB"/>
        </w:rPr>
        <w:t xml:space="preserve"> views and experiences of adolescent obesity and its prevention in English secondary school settings</w:t>
      </w:r>
    </w:p>
    <w:p w:rsidR="00EF116B" w:rsidRDefault="00EF116B" w:rsidP="00EF116B">
      <w:pPr>
        <w:rPr>
          <w:rFonts w:eastAsia="Times New Roman" w:cstheme="minorHAnsi"/>
          <w:sz w:val="24"/>
          <w:szCs w:val="24"/>
          <w:lang w:eastAsia="en-GB"/>
        </w:rPr>
      </w:pPr>
    </w:p>
    <w:p w:rsidR="00DB6004" w:rsidRPr="009B3747" w:rsidRDefault="00DB6004" w:rsidP="00EF116B">
      <w:pPr>
        <w:rPr>
          <w:rFonts w:eastAsia="Times New Roman" w:cstheme="minorHAnsi"/>
          <w:sz w:val="24"/>
          <w:szCs w:val="24"/>
          <w:lang w:eastAsia="en-GB"/>
        </w:rPr>
      </w:pPr>
    </w:p>
    <w:p w:rsidR="00EF116B" w:rsidRPr="009B3747" w:rsidRDefault="00EF116B" w:rsidP="00EF116B">
      <w:pPr>
        <w:rPr>
          <w:rFonts w:eastAsia="Times New Roman" w:cstheme="minorHAnsi"/>
          <w:sz w:val="24"/>
          <w:szCs w:val="24"/>
          <w:lang w:eastAsia="en-GB"/>
        </w:rPr>
      </w:pPr>
      <w:r w:rsidRPr="009B3747">
        <w:rPr>
          <w:rFonts w:eastAsia="Times New Roman" w:cstheme="minorHAnsi"/>
          <w:i/>
          <w:iCs/>
          <w:color w:val="000000"/>
          <w:lang w:eastAsia="en-GB"/>
        </w:rPr>
        <w:lastRenderedPageBreak/>
        <w:t xml:space="preserve">Aim 1 Objectives </w:t>
      </w:r>
    </w:p>
    <w:p w:rsidR="00EF116B" w:rsidRPr="009B3747" w:rsidRDefault="00EF116B" w:rsidP="00EF116B">
      <w:pPr>
        <w:rPr>
          <w:rFonts w:eastAsia="Times New Roman" w:cstheme="minorHAnsi"/>
          <w:sz w:val="24"/>
          <w:szCs w:val="24"/>
          <w:lang w:eastAsia="en-GB"/>
        </w:rPr>
      </w:pPr>
    </w:p>
    <w:p w:rsidR="00EF116B" w:rsidRPr="009B3747" w:rsidRDefault="00EF116B" w:rsidP="00C27072">
      <w:pPr>
        <w:numPr>
          <w:ilvl w:val="0"/>
          <w:numId w:val="112"/>
        </w:numPr>
        <w:textAlignment w:val="baseline"/>
        <w:rPr>
          <w:rFonts w:eastAsia="Times New Roman" w:cstheme="minorHAnsi"/>
          <w:color w:val="000000"/>
          <w:lang w:eastAsia="en-GB"/>
        </w:rPr>
      </w:pPr>
      <w:r w:rsidRPr="009B3747">
        <w:rPr>
          <w:rFonts w:eastAsia="Times New Roman" w:cstheme="minorHAnsi"/>
          <w:color w:val="000000"/>
          <w:lang w:eastAsia="en-GB"/>
        </w:rPr>
        <w:t>Conduct a systematic review and qualitative synthesis in order to position the research question within existing literature and inform the approach to qualitative data collection</w:t>
      </w:r>
    </w:p>
    <w:p w:rsidR="00EF116B" w:rsidRPr="009B3747" w:rsidRDefault="00EF116B" w:rsidP="00C27072">
      <w:pPr>
        <w:numPr>
          <w:ilvl w:val="0"/>
          <w:numId w:val="112"/>
        </w:numPr>
        <w:textAlignment w:val="baseline"/>
        <w:rPr>
          <w:rFonts w:eastAsia="Times New Roman" w:cstheme="minorHAnsi"/>
          <w:color w:val="000000"/>
          <w:lang w:eastAsia="en-GB"/>
        </w:rPr>
      </w:pPr>
      <w:r w:rsidRPr="009B3747">
        <w:rPr>
          <w:rFonts w:eastAsia="Times New Roman" w:cstheme="minorHAnsi"/>
          <w:color w:val="000000"/>
          <w:lang w:eastAsia="en-GB"/>
        </w:rPr>
        <w:t>Undertake semi-structured face to face interviews with headteachers and chairs of governors in England</w:t>
      </w:r>
    </w:p>
    <w:p w:rsidR="00EF116B" w:rsidRPr="009B3747" w:rsidRDefault="00EF116B" w:rsidP="00C27072">
      <w:pPr>
        <w:numPr>
          <w:ilvl w:val="0"/>
          <w:numId w:val="112"/>
        </w:numPr>
        <w:textAlignment w:val="baseline"/>
        <w:rPr>
          <w:rFonts w:eastAsia="Times New Roman" w:cstheme="minorHAnsi"/>
          <w:color w:val="000000"/>
          <w:lang w:eastAsia="en-GB"/>
        </w:rPr>
      </w:pPr>
      <w:r w:rsidRPr="009B3747">
        <w:rPr>
          <w:rFonts w:eastAsia="Times New Roman" w:cstheme="minorHAnsi"/>
          <w:color w:val="000000"/>
          <w:lang w:eastAsia="en-GB"/>
        </w:rPr>
        <w:t xml:space="preserve">Develop and utilise an interview schedule that will enable an in-depth exploration and discussion with interview participants on the following topics - </w:t>
      </w:r>
    </w:p>
    <w:p w:rsidR="00EF116B" w:rsidRPr="009B3747" w:rsidRDefault="00EF116B" w:rsidP="005E052F">
      <w:pPr>
        <w:numPr>
          <w:ilvl w:val="0"/>
          <w:numId w:val="158"/>
        </w:numPr>
        <w:tabs>
          <w:tab w:val="clear" w:pos="720"/>
          <w:tab w:val="num" w:pos="1134"/>
        </w:tabs>
        <w:ind w:left="1134"/>
        <w:textAlignment w:val="baseline"/>
        <w:rPr>
          <w:rFonts w:eastAsia="Times New Roman" w:cstheme="minorHAnsi"/>
          <w:color w:val="000000"/>
          <w:lang w:eastAsia="en-GB"/>
        </w:rPr>
      </w:pPr>
      <w:r w:rsidRPr="009B3747">
        <w:rPr>
          <w:rFonts w:eastAsia="Times New Roman" w:cstheme="minorHAnsi"/>
          <w:color w:val="000000"/>
          <w:lang w:eastAsia="en-GB"/>
        </w:rPr>
        <w:t xml:space="preserve">Childhood and adolescent obesity causation and consequences </w:t>
      </w:r>
    </w:p>
    <w:p w:rsidR="00EF116B" w:rsidRPr="009B3747" w:rsidRDefault="00EF116B" w:rsidP="005E052F">
      <w:pPr>
        <w:numPr>
          <w:ilvl w:val="0"/>
          <w:numId w:val="158"/>
        </w:numPr>
        <w:tabs>
          <w:tab w:val="clear" w:pos="720"/>
          <w:tab w:val="num" w:pos="1134"/>
        </w:tabs>
        <w:ind w:left="1134"/>
        <w:textAlignment w:val="baseline"/>
        <w:rPr>
          <w:rFonts w:eastAsia="Times New Roman" w:cstheme="minorHAnsi"/>
          <w:color w:val="000000"/>
          <w:lang w:eastAsia="en-GB"/>
        </w:rPr>
      </w:pPr>
      <w:r w:rsidRPr="009B3747">
        <w:rPr>
          <w:rFonts w:eastAsia="Times New Roman" w:cstheme="minorHAnsi"/>
          <w:color w:val="000000"/>
          <w:lang w:eastAsia="en-GB"/>
        </w:rPr>
        <w:t>Types of activity or action undertaken in secondary school settings that contributes to preventing childhood obesity</w:t>
      </w:r>
    </w:p>
    <w:p w:rsidR="00EF116B" w:rsidRPr="009B3747" w:rsidRDefault="00EF116B" w:rsidP="005E052F">
      <w:pPr>
        <w:numPr>
          <w:ilvl w:val="0"/>
          <w:numId w:val="158"/>
        </w:numPr>
        <w:tabs>
          <w:tab w:val="clear" w:pos="720"/>
          <w:tab w:val="num" w:pos="1134"/>
        </w:tabs>
        <w:ind w:left="1134"/>
        <w:textAlignment w:val="baseline"/>
        <w:rPr>
          <w:rFonts w:eastAsia="Times New Roman" w:cstheme="minorHAnsi"/>
          <w:color w:val="000000"/>
          <w:lang w:eastAsia="en-GB"/>
        </w:rPr>
      </w:pPr>
      <w:r w:rsidRPr="009B3747">
        <w:rPr>
          <w:rFonts w:eastAsia="Times New Roman" w:cstheme="minorHAnsi"/>
          <w:color w:val="000000"/>
          <w:lang w:eastAsia="en-GB"/>
        </w:rPr>
        <w:t>Roles of schools, headteachers and chairs of governors in preventing childhood obesity in secondary schools</w:t>
      </w:r>
    </w:p>
    <w:p w:rsidR="00EF116B" w:rsidRPr="009B3747" w:rsidRDefault="00EF116B" w:rsidP="005E052F">
      <w:pPr>
        <w:numPr>
          <w:ilvl w:val="0"/>
          <w:numId w:val="158"/>
        </w:numPr>
        <w:tabs>
          <w:tab w:val="clear" w:pos="720"/>
          <w:tab w:val="num" w:pos="1134"/>
        </w:tabs>
        <w:ind w:left="1134"/>
        <w:textAlignment w:val="baseline"/>
        <w:rPr>
          <w:rFonts w:eastAsia="Times New Roman" w:cstheme="minorHAnsi"/>
          <w:color w:val="000000"/>
          <w:lang w:eastAsia="en-GB"/>
        </w:rPr>
      </w:pPr>
      <w:r w:rsidRPr="009B3747">
        <w:rPr>
          <w:rFonts w:eastAsia="Times New Roman" w:cstheme="minorHAnsi"/>
          <w:color w:val="000000"/>
          <w:lang w:eastAsia="en-GB"/>
        </w:rPr>
        <w:t>The barriers and facilitators of preventing childhood obesity in secondary schools</w:t>
      </w:r>
    </w:p>
    <w:p w:rsidR="00EF116B" w:rsidRPr="009B3747" w:rsidRDefault="00EF116B" w:rsidP="00C27072">
      <w:pPr>
        <w:numPr>
          <w:ilvl w:val="0"/>
          <w:numId w:val="114"/>
        </w:numPr>
        <w:textAlignment w:val="baseline"/>
        <w:rPr>
          <w:rFonts w:eastAsia="Times New Roman" w:cstheme="minorHAnsi"/>
          <w:color w:val="000000" w:themeColor="text1"/>
          <w:lang w:eastAsia="en-GB"/>
        </w:rPr>
      </w:pPr>
      <w:r w:rsidRPr="009B3747">
        <w:rPr>
          <w:rFonts w:eastAsia="Times New Roman" w:cstheme="minorHAnsi"/>
          <w:color w:val="000000"/>
          <w:lang w:eastAsia="en-GB"/>
        </w:rPr>
        <w:t xml:space="preserve">Conduct a thematic analysis of the collected interview data, in order to generate a cohesive </w:t>
      </w:r>
      <w:r w:rsidRPr="009B3747">
        <w:rPr>
          <w:rFonts w:eastAsia="Times New Roman" w:cstheme="minorHAnsi"/>
          <w:color w:val="000000" w:themeColor="text1"/>
          <w:lang w:eastAsia="en-GB"/>
        </w:rPr>
        <w:t>narrative of the qualitative findings</w:t>
      </w:r>
    </w:p>
    <w:p w:rsidR="00EF116B" w:rsidRPr="009B3747" w:rsidRDefault="00EF116B" w:rsidP="00EF116B">
      <w:pPr>
        <w:rPr>
          <w:rFonts w:eastAsia="Times New Roman" w:cstheme="minorHAnsi"/>
          <w:color w:val="000000" w:themeColor="text1"/>
          <w:sz w:val="24"/>
          <w:szCs w:val="24"/>
          <w:lang w:eastAsia="en-GB"/>
        </w:rPr>
      </w:pPr>
    </w:p>
    <w:p w:rsidR="00EF116B" w:rsidRPr="009B3747" w:rsidRDefault="00EF116B" w:rsidP="00EF116B">
      <w:pPr>
        <w:rPr>
          <w:rFonts w:eastAsia="Times New Roman" w:cstheme="minorHAnsi"/>
          <w:color w:val="000000" w:themeColor="text1"/>
          <w:sz w:val="24"/>
          <w:szCs w:val="24"/>
          <w:lang w:eastAsia="en-GB"/>
        </w:rPr>
      </w:pPr>
      <w:r w:rsidRPr="009B3747">
        <w:rPr>
          <w:rFonts w:eastAsia="Times New Roman" w:cstheme="minorHAnsi"/>
          <w:color w:val="000000" w:themeColor="text1"/>
          <w:u w:val="single"/>
          <w:lang w:eastAsia="en-GB"/>
        </w:rPr>
        <w:t>Aim 2</w:t>
      </w:r>
    </w:p>
    <w:p w:rsidR="00EF116B" w:rsidRPr="009B3747" w:rsidRDefault="00EF116B" w:rsidP="00EF116B">
      <w:pPr>
        <w:rPr>
          <w:rFonts w:eastAsia="Times New Roman" w:cstheme="minorHAnsi"/>
          <w:color w:val="000000" w:themeColor="text1"/>
          <w:sz w:val="24"/>
          <w:szCs w:val="24"/>
          <w:lang w:eastAsia="en-GB"/>
        </w:rPr>
      </w:pPr>
    </w:p>
    <w:p w:rsidR="005F2FF6" w:rsidRPr="009B3747" w:rsidRDefault="005F2FF6" w:rsidP="005F2FF6">
      <w:pPr>
        <w:rPr>
          <w:rFonts w:eastAsia="Times New Roman" w:cstheme="minorHAnsi"/>
          <w:color w:val="000000" w:themeColor="text1"/>
          <w:lang w:eastAsia="en-GB"/>
        </w:rPr>
      </w:pPr>
      <w:r w:rsidRPr="009B3747">
        <w:rPr>
          <w:rFonts w:eastAsia="Times New Roman" w:cstheme="minorHAnsi"/>
          <w:color w:val="000000" w:themeColor="text1"/>
          <w:lang w:eastAsia="en-GB"/>
        </w:rPr>
        <w:t>Within a supplementary quantitative research phase and in order to determine the relevance of the qualitative findings outside of their original context, conduct a descriptive cross-sectional survey</w:t>
      </w:r>
      <w:r w:rsidR="0071085A">
        <w:rPr>
          <w:rFonts w:eastAsia="Times New Roman" w:cstheme="minorHAnsi"/>
          <w:color w:val="000000" w:themeColor="text1"/>
          <w:lang w:eastAsia="en-GB"/>
        </w:rPr>
        <w:t xml:space="preserve">, </w:t>
      </w:r>
      <w:r w:rsidRPr="009B3747">
        <w:rPr>
          <w:rFonts w:eastAsia="Times New Roman" w:cstheme="minorHAnsi"/>
          <w:color w:val="000000" w:themeColor="text1"/>
          <w:lang w:eastAsia="en-GB"/>
        </w:rPr>
        <w:t xml:space="preserve">which identifies headteachers’ and chairs of governors’ opinions and attitudes towards adolescent obesity and its prevention in </w:t>
      </w:r>
      <w:r w:rsidR="002E65A4" w:rsidRPr="009B3747">
        <w:rPr>
          <w:rFonts w:eastAsia="Times New Roman" w:cstheme="minorHAnsi"/>
          <w:color w:val="000000" w:themeColor="text1"/>
          <w:lang w:eastAsia="en-GB"/>
        </w:rPr>
        <w:t xml:space="preserve">English </w:t>
      </w:r>
      <w:r w:rsidRPr="009B3747">
        <w:rPr>
          <w:rFonts w:eastAsia="Times New Roman" w:cstheme="minorHAnsi"/>
          <w:color w:val="000000" w:themeColor="text1"/>
          <w:lang w:eastAsia="en-GB"/>
        </w:rPr>
        <w:t>secondary school settings.  </w:t>
      </w:r>
    </w:p>
    <w:p w:rsidR="00EF116B" w:rsidRPr="009B3747" w:rsidRDefault="00EF116B" w:rsidP="00EF116B">
      <w:pPr>
        <w:rPr>
          <w:rFonts w:eastAsia="Times New Roman" w:cstheme="minorHAnsi"/>
          <w:color w:val="000000" w:themeColor="text1"/>
          <w:sz w:val="24"/>
          <w:szCs w:val="24"/>
          <w:lang w:eastAsia="en-GB"/>
        </w:rPr>
      </w:pPr>
    </w:p>
    <w:p w:rsidR="00EF116B" w:rsidRPr="009B3747" w:rsidRDefault="00EF116B" w:rsidP="00EF116B">
      <w:pPr>
        <w:rPr>
          <w:rFonts w:eastAsia="Times New Roman" w:cstheme="minorHAnsi"/>
          <w:sz w:val="24"/>
          <w:szCs w:val="24"/>
          <w:lang w:eastAsia="en-GB"/>
        </w:rPr>
      </w:pPr>
      <w:r w:rsidRPr="009B3747">
        <w:rPr>
          <w:rFonts w:eastAsia="Times New Roman" w:cstheme="minorHAnsi"/>
          <w:i/>
          <w:iCs/>
          <w:color w:val="000000"/>
          <w:lang w:eastAsia="en-GB"/>
        </w:rPr>
        <w:t xml:space="preserve">Aim 2 Objectives </w:t>
      </w:r>
    </w:p>
    <w:p w:rsidR="00EF116B" w:rsidRPr="009B3747" w:rsidRDefault="00EF116B" w:rsidP="00EF116B">
      <w:pPr>
        <w:rPr>
          <w:rFonts w:eastAsia="Times New Roman" w:cstheme="minorHAnsi"/>
          <w:sz w:val="24"/>
          <w:szCs w:val="24"/>
          <w:lang w:eastAsia="en-GB"/>
        </w:rPr>
      </w:pPr>
    </w:p>
    <w:p w:rsidR="00EF116B" w:rsidRPr="009B3747" w:rsidRDefault="00EF116B" w:rsidP="00C27072">
      <w:pPr>
        <w:numPr>
          <w:ilvl w:val="0"/>
          <w:numId w:val="115"/>
        </w:numPr>
        <w:textAlignment w:val="baseline"/>
        <w:rPr>
          <w:rFonts w:eastAsia="Times New Roman" w:cstheme="minorHAnsi"/>
          <w:color w:val="000000"/>
          <w:lang w:eastAsia="en-GB"/>
        </w:rPr>
      </w:pPr>
      <w:r w:rsidRPr="009B3747">
        <w:rPr>
          <w:rFonts w:eastAsia="Times New Roman" w:cstheme="minorHAnsi"/>
          <w:color w:val="000000"/>
          <w:lang w:eastAsia="en-GB"/>
        </w:rPr>
        <w:t>Develop and pilot test an appropriate survey data collection tool</w:t>
      </w:r>
      <w:r w:rsidR="00273991">
        <w:rPr>
          <w:rFonts w:eastAsia="Times New Roman" w:cstheme="minorHAnsi"/>
          <w:color w:val="000000"/>
          <w:lang w:eastAsia="en-GB"/>
        </w:rPr>
        <w:t>,</w:t>
      </w:r>
      <w:r w:rsidRPr="009B3747">
        <w:rPr>
          <w:rFonts w:eastAsia="Times New Roman" w:cstheme="minorHAnsi"/>
          <w:color w:val="000000"/>
          <w:lang w:eastAsia="en-GB"/>
        </w:rPr>
        <w:t xml:space="preserve"> i.e. online questionnaire, for use with a larger sample of secondary school headteachers and chairs of governors</w:t>
      </w:r>
    </w:p>
    <w:p w:rsidR="00EF116B" w:rsidRPr="009B3747" w:rsidRDefault="00EF116B" w:rsidP="00C27072">
      <w:pPr>
        <w:numPr>
          <w:ilvl w:val="0"/>
          <w:numId w:val="115"/>
        </w:numPr>
        <w:textAlignment w:val="baseline"/>
        <w:rPr>
          <w:rFonts w:eastAsia="Times New Roman" w:cstheme="minorHAnsi"/>
          <w:color w:val="000000"/>
          <w:lang w:eastAsia="en-GB"/>
        </w:rPr>
      </w:pPr>
      <w:r w:rsidRPr="009B3747">
        <w:rPr>
          <w:rFonts w:eastAsia="Times New Roman" w:cstheme="minorHAnsi"/>
          <w:color w:val="000000"/>
          <w:lang w:eastAsia="en-GB"/>
        </w:rPr>
        <w:t>Design the structure and the content of the online questionnaire around the analysed qualitative findings and resultant themes</w:t>
      </w:r>
    </w:p>
    <w:p w:rsidR="00EF116B" w:rsidRPr="009B3747" w:rsidRDefault="00EF116B" w:rsidP="00C27072">
      <w:pPr>
        <w:numPr>
          <w:ilvl w:val="0"/>
          <w:numId w:val="116"/>
        </w:numPr>
        <w:textAlignment w:val="baseline"/>
        <w:rPr>
          <w:rFonts w:eastAsia="Times New Roman" w:cstheme="minorHAnsi"/>
          <w:color w:val="000000"/>
          <w:lang w:eastAsia="en-GB"/>
        </w:rPr>
      </w:pPr>
      <w:r w:rsidRPr="009B3747">
        <w:rPr>
          <w:rFonts w:eastAsia="Times New Roman" w:cstheme="minorHAnsi"/>
          <w:color w:val="000000"/>
          <w:lang w:eastAsia="en-GB"/>
        </w:rPr>
        <w:t xml:space="preserve">Distribute the pilot tested online questionnaire to the census of secondary school headteachers and chairs of governors in England </w:t>
      </w:r>
    </w:p>
    <w:p w:rsidR="00EF116B" w:rsidRPr="009B3747" w:rsidRDefault="00EF116B" w:rsidP="00C27072">
      <w:pPr>
        <w:numPr>
          <w:ilvl w:val="0"/>
          <w:numId w:val="117"/>
        </w:numPr>
        <w:textAlignment w:val="baseline"/>
        <w:rPr>
          <w:rFonts w:eastAsia="Times New Roman" w:cstheme="minorHAnsi"/>
          <w:color w:val="000000"/>
          <w:lang w:eastAsia="en-GB"/>
        </w:rPr>
      </w:pPr>
      <w:r w:rsidRPr="009B3747">
        <w:rPr>
          <w:rFonts w:eastAsia="Times New Roman" w:cstheme="minorHAnsi"/>
          <w:color w:val="000000"/>
          <w:lang w:eastAsia="en-GB"/>
        </w:rPr>
        <w:t xml:space="preserve">Utilise descriptive and inferential statistics to analyse survey data and examine relationship between demographics and identified attitudes and opinions </w:t>
      </w:r>
    </w:p>
    <w:p w:rsidR="00E3660F" w:rsidRPr="009B3747" w:rsidRDefault="00983506" w:rsidP="00DB6004">
      <w:pPr>
        <w:ind w:left="2880" w:firstLine="720"/>
        <w:rPr>
          <w:rFonts w:eastAsia="Times New Roman" w:cstheme="minorHAnsi"/>
          <w:b/>
          <w:bCs/>
          <w:color w:val="000000"/>
          <w:sz w:val="36"/>
          <w:szCs w:val="36"/>
          <w:u w:val="single"/>
          <w:lang w:eastAsia="en-GB"/>
        </w:rPr>
      </w:pPr>
      <w:r w:rsidRPr="009B3747">
        <w:rPr>
          <w:rFonts w:eastAsia="Times New Roman" w:cstheme="minorHAnsi"/>
          <w:b/>
          <w:bCs/>
          <w:color w:val="000000"/>
          <w:sz w:val="36"/>
          <w:szCs w:val="36"/>
          <w:u w:val="single"/>
          <w:lang w:eastAsia="en-GB"/>
        </w:rPr>
        <w:lastRenderedPageBreak/>
        <w:t>Chapter 4</w:t>
      </w:r>
    </w:p>
    <w:p w:rsidR="00E3660F" w:rsidRPr="009B3747" w:rsidRDefault="00E3660F" w:rsidP="003F1507">
      <w:pPr>
        <w:rPr>
          <w:rFonts w:eastAsia="Times New Roman" w:cstheme="minorHAnsi"/>
          <w:b/>
          <w:bCs/>
          <w:color w:val="000000"/>
          <w:sz w:val="28"/>
          <w:szCs w:val="28"/>
          <w:u w:val="single"/>
          <w:lang w:eastAsia="en-GB"/>
        </w:rPr>
      </w:pPr>
    </w:p>
    <w:p w:rsidR="003F1507" w:rsidRPr="009B3747" w:rsidRDefault="00782EBA" w:rsidP="003F1507">
      <w:pPr>
        <w:rPr>
          <w:rFonts w:eastAsia="Times New Roman" w:cstheme="minorHAnsi"/>
          <w:sz w:val="32"/>
          <w:szCs w:val="32"/>
          <w:lang w:eastAsia="en-GB"/>
        </w:rPr>
      </w:pPr>
      <w:r w:rsidRPr="009B3747">
        <w:rPr>
          <w:rFonts w:eastAsia="Times New Roman" w:cstheme="minorHAnsi"/>
          <w:b/>
          <w:bCs/>
          <w:color w:val="000000"/>
          <w:sz w:val="32"/>
          <w:szCs w:val="32"/>
          <w:u w:val="single"/>
          <w:lang w:eastAsia="en-GB"/>
        </w:rPr>
        <w:t>Research a</w:t>
      </w:r>
      <w:r w:rsidR="003F1507" w:rsidRPr="009B3747">
        <w:rPr>
          <w:rFonts w:eastAsia="Times New Roman" w:cstheme="minorHAnsi"/>
          <w:b/>
          <w:bCs/>
          <w:color w:val="000000"/>
          <w:sz w:val="32"/>
          <w:szCs w:val="32"/>
          <w:u w:val="single"/>
          <w:lang w:eastAsia="en-GB"/>
        </w:rPr>
        <w:t>pproach and design</w:t>
      </w:r>
    </w:p>
    <w:p w:rsidR="003F1507" w:rsidRPr="009B3747" w:rsidRDefault="003F1507" w:rsidP="00665616">
      <w:pPr>
        <w:jc w:val="both"/>
        <w:rPr>
          <w:rFonts w:eastAsia="Times New Roman" w:cstheme="minorHAnsi"/>
          <w:sz w:val="24"/>
          <w:szCs w:val="24"/>
          <w:lang w:eastAsia="en-GB"/>
        </w:rPr>
      </w:pPr>
      <w:r w:rsidRPr="009B3747">
        <w:rPr>
          <w:rFonts w:eastAsia="Times New Roman" w:cstheme="minorHAnsi"/>
          <w:sz w:val="24"/>
          <w:szCs w:val="24"/>
          <w:lang w:eastAsia="en-GB"/>
        </w:rPr>
        <w:t> </w:t>
      </w:r>
    </w:p>
    <w:p w:rsidR="00665616" w:rsidRPr="009B3747" w:rsidRDefault="00665616" w:rsidP="00665616">
      <w:pPr>
        <w:jc w:val="both"/>
        <w:rPr>
          <w:rFonts w:eastAsia="Times New Roman" w:cstheme="minorHAnsi"/>
          <w:b/>
          <w:sz w:val="24"/>
          <w:szCs w:val="24"/>
          <w:u w:val="single"/>
          <w:lang w:eastAsia="en-GB"/>
        </w:rPr>
      </w:pPr>
      <w:r w:rsidRPr="009B3747">
        <w:rPr>
          <w:rFonts w:eastAsia="Times New Roman" w:cstheme="minorHAnsi"/>
          <w:b/>
          <w:sz w:val="24"/>
          <w:szCs w:val="24"/>
          <w:u w:val="single"/>
          <w:lang w:eastAsia="en-GB"/>
        </w:rPr>
        <w:t>4.1 Introduction</w:t>
      </w:r>
    </w:p>
    <w:p w:rsidR="00665616" w:rsidRPr="009B3747" w:rsidRDefault="00665616" w:rsidP="00665616">
      <w:pPr>
        <w:jc w:val="both"/>
        <w:rPr>
          <w:rFonts w:eastAsia="Times New Roman" w:cstheme="minorHAnsi"/>
          <w:sz w:val="24"/>
          <w:szCs w:val="24"/>
          <w:lang w:eastAsia="en-GB"/>
        </w:rPr>
      </w:pPr>
    </w:p>
    <w:p w:rsidR="003F1507" w:rsidRPr="009B3747" w:rsidRDefault="003F1507" w:rsidP="00665616">
      <w:pPr>
        <w:jc w:val="both"/>
        <w:rPr>
          <w:rFonts w:eastAsia="Times New Roman" w:cstheme="minorHAnsi"/>
          <w:sz w:val="24"/>
          <w:szCs w:val="24"/>
          <w:lang w:eastAsia="en-GB"/>
        </w:rPr>
      </w:pPr>
      <w:r w:rsidRPr="009B3747">
        <w:rPr>
          <w:rFonts w:eastAsia="Times New Roman" w:cstheme="minorHAnsi"/>
          <w:color w:val="000000"/>
          <w:lang w:eastAsia="en-GB"/>
        </w:rPr>
        <w:t>This chapter presents a detailed outline of the research approach and design employed.  Beginning with a broad discussion on approaches to research, the underlying philosophical assumptions from which research originates are then examine</w:t>
      </w:r>
      <w:r w:rsidR="00577A7B" w:rsidRPr="009B3747">
        <w:rPr>
          <w:rFonts w:eastAsia="Times New Roman" w:cstheme="minorHAnsi"/>
          <w:color w:val="000000"/>
          <w:lang w:eastAsia="en-GB"/>
        </w:rPr>
        <w:t>d</w:t>
      </w:r>
      <w:r w:rsidR="00FF0FA0">
        <w:rPr>
          <w:rFonts w:eastAsia="Times New Roman" w:cstheme="minorHAnsi"/>
          <w:color w:val="000000"/>
          <w:lang w:eastAsia="en-GB"/>
        </w:rPr>
        <w:t>,</w:t>
      </w:r>
      <w:r w:rsidR="00577A7B" w:rsidRPr="009B3747">
        <w:rPr>
          <w:rFonts w:eastAsia="Times New Roman" w:cstheme="minorHAnsi"/>
          <w:color w:val="000000"/>
          <w:lang w:eastAsia="en-GB"/>
        </w:rPr>
        <w:t xml:space="preserve"> with particular attention </w:t>
      </w:r>
      <w:r w:rsidRPr="009B3747">
        <w:rPr>
          <w:rFonts w:eastAsia="Times New Roman" w:cstheme="minorHAnsi"/>
          <w:color w:val="000000"/>
          <w:lang w:eastAsia="en-GB"/>
        </w:rPr>
        <w:t>paid to the worldview this study is aligned to – pragmatism.  An overview of mixed methods research designs are then provided</w:t>
      </w:r>
      <w:r w:rsidR="00FF0FA0">
        <w:rPr>
          <w:rFonts w:eastAsia="Times New Roman" w:cstheme="minorHAnsi"/>
          <w:color w:val="000000"/>
          <w:lang w:eastAsia="en-GB"/>
        </w:rPr>
        <w:t>,</w:t>
      </w:r>
      <w:r w:rsidRPr="009B3747">
        <w:rPr>
          <w:rFonts w:eastAsia="Times New Roman" w:cstheme="minorHAnsi"/>
          <w:color w:val="000000"/>
          <w:lang w:eastAsia="en-GB"/>
        </w:rPr>
        <w:t xml:space="preserve"> along with a comprehensive justification for this study adopting an exploratory sequential design.</w:t>
      </w:r>
    </w:p>
    <w:p w:rsidR="003F1507" w:rsidRPr="009B3747" w:rsidRDefault="003F1507" w:rsidP="003F1507">
      <w:pPr>
        <w:rPr>
          <w:rFonts w:eastAsia="Times New Roman" w:cstheme="minorHAnsi"/>
          <w:b/>
          <w:bCs/>
          <w:color w:val="000000"/>
          <w:sz w:val="28"/>
          <w:szCs w:val="28"/>
          <w:u w:val="single"/>
          <w:lang w:eastAsia="en-GB"/>
        </w:rPr>
      </w:pPr>
    </w:p>
    <w:p w:rsidR="003F1507" w:rsidRPr="009B3747" w:rsidRDefault="00983506" w:rsidP="003F1507">
      <w:pPr>
        <w:rPr>
          <w:rFonts w:eastAsia="Times New Roman" w:cstheme="minorHAnsi"/>
          <w:b/>
          <w:sz w:val="24"/>
          <w:szCs w:val="24"/>
          <w:u w:val="single"/>
          <w:lang w:eastAsia="en-GB"/>
        </w:rPr>
      </w:pPr>
      <w:r w:rsidRPr="009B3747">
        <w:rPr>
          <w:rFonts w:eastAsia="Times New Roman" w:cstheme="minorHAnsi"/>
          <w:b/>
          <w:bCs/>
          <w:color w:val="000000"/>
          <w:sz w:val="24"/>
          <w:szCs w:val="24"/>
          <w:u w:val="single"/>
          <w:lang w:eastAsia="en-GB"/>
        </w:rPr>
        <w:t>4</w:t>
      </w:r>
      <w:r w:rsidR="00665616" w:rsidRPr="009B3747">
        <w:rPr>
          <w:rFonts w:eastAsia="Times New Roman" w:cstheme="minorHAnsi"/>
          <w:b/>
          <w:bCs/>
          <w:color w:val="000000"/>
          <w:sz w:val="24"/>
          <w:szCs w:val="24"/>
          <w:u w:val="single"/>
          <w:lang w:eastAsia="en-GB"/>
        </w:rPr>
        <w:t>.2</w:t>
      </w:r>
      <w:r w:rsidR="003F1507" w:rsidRPr="009B3747">
        <w:rPr>
          <w:rFonts w:eastAsia="Times New Roman" w:cstheme="minorHAnsi"/>
          <w:b/>
          <w:bCs/>
          <w:color w:val="000000"/>
          <w:sz w:val="24"/>
          <w:szCs w:val="24"/>
          <w:u w:val="single"/>
          <w:lang w:eastAsia="en-GB"/>
        </w:rPr>
        <w:t xml:space="preserve"> Approaches to research</w:t>
      </w:r>
    </w:p>
    <w:p w:rsidR="003F1507" w:rsidRPr="009B3747" w:rsidRDefault="003F1507" w:rsidP="003F1507">
      <w:pPr>
        <w:rPr>
          <w:rFonts w:eastAsia="Times New Roman" w:cstheme="minorHAnsi"/>
          <w:color w:val="000000"/>
          <w:lang w:eastAsia="en-GB"/>
        </w:rPr>
      </w:pP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Research approaches namely quantitative, qualitative or mixed methods</w:t>
      </w:r>
      <w:r w:rsidR="00690D3B" w:rsidRPr="009B3747">
        <w:rPr>
          <w:rFonts w:eastAsia="Times New Roman" w:cstheme="minorHAnsi"/>
          <w:color w:val="000000"/>
          <w:lang w:eastAsia="en-GB"/>
        </w:rPr>
        <w:t xml:space="preserve"> </w:t>
      </w:r>
      <w:r w:rsidR="00690D3B"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"Tashakkori", "given" : "A", "non-dropping-particle" : "", "parse-names" : false, "suffix" : "" }, { "dropping-particle" : "", "family" : "Teddlie", "given" : "C", "non-dropping-particle" : "", "parse-names" : false, "suffix" : "" } ], "id" : "ITEM-1", "issued" : { "date-parts" : [ [ "1998" ] ] }, "publisher" : "SAGE Publications Inc.", "publisher-place" : "Thousand Oaks", "title" : "Mixed methodology: Combining qualitative and quantitative approaches", "type" : "book" }, "uris" : [ "http://www.mendeley.com/documents/?uuid=ae2c4064-a6e2-43d5-99fe-d61ae7ac43f4" ] } ], "mendeley" : { "formattedCitation" : "(Tashakkori and Teddlie, 1998)", "plainTextFormattedCitation" : "(Tashakkori and Teddlie, 1998)", "previouslyFormattedCitation" : "(Tashakkori and Teddlie, 1998)" }, "properties" : { "noteIndex" : 0 }, "schema" : "https://github.com/citation-style-language/schema/raw/master/csl-citation.json" }</w:instrText>
      </w:r>
      <w:r w:rsidR="00690D3B" w:rsidRPr="009B3747">
        <w:rPr>
          <w:rFonts w:eastAsia="Times New Roman" w:cstheme="minorHAnsi"/>
          <w:color w:val="000000"/>
          <w:lang w:eastAsia="en-GB"/>
        </w:rPr>
        <w:fldChar w:fldCharType="separate"/>
      </w:r>
      <w:r w:rsidR="00690D3B" w:rsidRPr="009B3747">
        <w:rPr>
          <w:rFonts w:eastAsia="Times New Roman" w:cstheme="minorHAnsi"/>
          <w:noProof/>
          <w:color w:val="000000"/>
          <w:lang w:eastAsia="en-GB"/>
        </w:rPr>
        <w:t>(Tashakkori and Teddlie, 1998)</w:t>
      </w:r>
      <w:r w:rsidR="00690D3B" w:rsidRPr="009B3747">
        <w:rPr>
          <w:rFonts w:eastAsia="Times New Roman" w:cstheme="minorHAnsi"/>
          <w:color w:val="000000"/>
          <w:lang w:eastAsia="en-GB"/>
        </w:rPr>
        <w:fldChar w:fldCharType="end"/>
      </w:r>
      <w:r w:rsidR="00690D3B" w:rsidRPr="009B3747">
        <w:rPr>
          <w:rFonts w:eastAsia="Times New Roman" w:cstheme="minorHAnsi"/>
          <w:color w:val="000000"/>
          <w:lang w:eastAsia="en-GB"/>
        </w:rPr>
        <w:t xml:space="preserve"> are </w:t>
      </w:r>
      <w:r w:rsidR="00690D3B" w:rsidRPr="009B3747">
        <w:rPr>
          <w:rFonts w:eastAsia="Times New Roman" w:cstheme="minorHAnsi"/>
          <w:i/>
          <w:color w:val="000000"/>
          <w:lang w:eastAsia="en-GB"/>
        </w:rPr>
        <w:t>“</w:t>
      </w:r>
      <w:r w:rsidRPr="009B3747">
        <w:rPr>
          <w:rFonts w:eastAsia="Times New Roman" w:cstheme="minorHAnsi"/>
          <w:i/>
          <w:color w:val="000000"/>
          <w:lang w:eastAsia="en-GB"/>
        </w:rPr>
        <w:t>plans and the procedures for research that span the steps from broad assumptions to detailed methods of data collecti</w:t>
      </w:r>
      <w:r w:rsidR="00690D3B" w:rsidRPr="009B3747">
        <w:rPr>
          <w:rFonts w:eastAsia="Times New Roman" w:cstheme="minorHAnsi"/>
          <w:i/>
          <w:color w:val="000000"/>
          <w:lang w:eastAsia="en-GB"/>
        </w:rPr>
        <w:t xml:space="preserve">on, analysis and interpretation” </w:t>
      </w:r>
      <w:r w:rsidR="00690D3B"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"DOI" : "10.1007/s13398-014-0173-7.2", "ISBN" : "9781452274614", "ISSN" : "13514180", "PMID" : "15991970", "author" : [ { "dropping-particle" : "", "family" : "Creswell", "given" : "J W", "non-dropping-particle" : "", "parse-names" : false, "suffix" : "" } ], "container-title" : "SAGE Publications", "edition" : "4th", "id" : "ITEM-1", "issued" : { "date-parts" : [ [ "2014" ] ] }, "number-of-pages" : "398", "publisher" : "SAGE Publications Inc.", "publisher-place" : "Los Angeles", "title" : "Research Design: Qualitative, Quantitative, and Mixed Methods Approaches", "type" : "book" }, "uris" : [ "http://www.mendeley.com/documents/?uuid=e78417b4-b5b5-4ebf-9e1d-3894864dbccd" ] } ], "mendeley" : { "formattedCitation" : "(Creswell, 2014)", "manualFormatting" : "(Creswell, 2014, p.3)", "plainTextFormattedCitation" : "(Creswell, 2014)", "previouslyFormattedCitation" : "(Creswell, 2014)" }, "properties" : { "noteIndex" : 0 }, "schema" : "https://github.com/citation-style-language/schema/raw/master/csl-citation.json" }</w:instrText>
      </w:r>
      <w:r w:rsidR="00690D3B" w:rsidRPr="009B3747">
        <w:rPr>
          <w:rFonts w:eastAsia="Times New Roman" w:cstheme="minorHAnsi"/>
          <w:color w:val="000000"/>
          <w:lang w:eastAsia="en-GB"/>
        </w:rPr>
        <w:fldChar w:fldCharType="separate"/>
      </w:r>
      <w:r w:rsidR="00690D3B" w:rsidRPr="009B3747">
        <w:rPr>
          <w:rFonts w:eastAsia="Times New Roman" w:cstheme="minorHAnsi"/>
          <w:noProof/>
          <w:color w:val="000000"/>
          <w:lang w:eastAsia="en-GB"/>
        </w:rPr>
        <w:t>(Creswell, 2014</w:t>
      </w:r>
      <w:r w:rsidR="00FB5B00" w:rsidRPr="009B3747">
        <w:rPr>
          <w:rFonts w:eastAsia="Times New Roman" w:cstheme="minorHAnsi"/>
          <w:noProof/>
          <w:color w:val="000000"/>
          <w:lang w:eastAsia="en-GB"/>
        </w:rPr>
        <w:t>, p.</w:t>
      </w:r>
      <w:r w:rsidR="00690D3B" w:rsidRPr="009B3747">
        <w:rPr>
          <w:rFonts w:eastAsia="Times New Roman" w:cstheme="minorHAnsi"/>
          <w:noProof/>
          <w:color w:val="000000"/>
          <w:lang w:eastAsia="en-GB"/>
        </w:rPr>
        <w:t>3)</w:t>
      </w:r>
      <w:r w:rsidR="00690D3B" w:rsidRPr="009B3747">
        <w:rPr>
          <w:rFonts w:eastAsia="Times New Roman" w:cstheme="minorHAnsi"/>
          <w:color w:val="000000"/>
          <w:lang w:eastAsia="en-GB"/>
        </w:rPr>
        <w:fldChar w:fldCharType="end"/>
      </w:r>
      <w:r w:rsidR="00690D3B"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Whilst traditionally viewed as distinct and discrete, quantitative and qualitative research approaches have more recently been argued to represent poles at either end of an interactive continuum </w:t>
      </w:r>
      <w:r w:rsidR="00690D3B" w:rsidRPr="009B3747">
        <w:rPr>
          <w:rFonts w:eastAsia="Times New Roman" w:cstheme="minorHAnsi"/>
          <w:color w:val="000000"/>
          <w:lang w:eastAsia="en-GB"/>
        </w:rPr>
        <w:fldChar w:fldCharType="begin" w:fldLock="1"/>
      </w:r>
      <w:r w:rsidR="00690D3B" w:rsidRPr="009B3747">
        <w:rPr>
          <w:rFonts w:eastAsia="Times New Roman" w:cstheme="minorHAnsi"/>
          <w:color w:val="000000"/>
          <w:lang w:eastAsia="en-GB"/>
        </w:rPr>
        <w:instrText>ADDIN CSL_CITATION { "citationItems" : [ { "id" : "ITEM-1", "itemData" : { "ISBN" : "0809321505", "author" : [ { "dropping-particle" : "", "family" : "Newman", "given" : "Isadore.", "non-dropping-particle" : "", "parse-names" : false, "suffix" : "" }, { "dropping-particle" : "", "family" : "Benz", "given" : "Carolyn R.", "non-dropping-particle" : "", "parse-names" : false, "suffix" : "" } ], "id" : "ITEM-1", "issued" : { "date-parts" : [ [ "1998" ] ] }, "number-of-pages" : "218", "publisher" : "Southern Illinois University Press", "title" : "Qualitative-quantitative research methodology : exploring the interactive continuum", "type" : "book" }, "uris" : [ "http://www.mendeley.com/documents/?uuid=9c62356f-186d-31a0-8828-563d9211f563" ] } ], "mendeley" : { "formattedCitation" : "(Newman and Benz, 1998)", "plainTextFormattedCitation" : "(Newman and Benz, 1998)", "previouslyFormattedCitation" : "(Newman and Benz, 1998)" }, "properties" : { "noteIndex" : 0 }, "schema" : "https://github.com/citation-style-language/schema/raw/master/csl-citation.json" }</w:instrText>
      </w:r>
      <w:r w:rsidR="00690D3B" w:rsidRPr="009B3747">
        <w:rPr>
          <w:rFonts w:eastAsia="Times New Roman" w:cstheme="minorHAnsi"/>
          <w:color w:val="000000"/>
          <w:lang w:eastAsia="en-GB"/>
        </w:rPr>
        <w:fldChar w:fldCharType="separate"/>
      </w:r>
      <w:r w:rsidR="00690D3B" w:rsidRPr="009B3747">
        <w:rPr>
          <w:rFonts w:eastAsia="Times New Roman" w:cstheme="minorHAnsi"/>
          <w:noProof/>
          <w:color w:val="000000"/>
          <w:lang w:eastAsia="en-GB"/>
        </w:rPr>
        <w:t>(Newman and Benz, 1998)</w:t>
      </w:r>
      <w:r w:rsidR="00690D3B" w:rsidRPr="009B3747">
        <w:rPr>
          <w:rFonts w:eastAsia="Times New Roman" w:cstheme="minorHAnsi"/>
          <w:color w:val="000000"/>
          <w:lang w:eastAsia="en-GB"/>
        </w:rPr>
        <w:fldChar w:fldCharType="end"/>
      </w:r>
      <w:r w:rsidR="00FF0FA0">
        <w:rPr>
          <w:rFonts w:eastAsia="Times New Roman" w:cstheme="minorHAnsi"/>
          <w:color w:val="000000"/>
          <w:lang w:eastAsia="en-GB"/>
        </w:rPr>
        <w:t xml:space="preserve">, </w:t>
      </w:r>
      <w:r w:rsidRPr="009B3747">
        <w:rPr>
          <w:rFonts w:eastAsia="Times New Roman" w:cstheme="minorHAnsi"/>
          <w:color w:val="000000"/>
          <w:lang w:eastAsia="en-GB"/>
        </w:rPr>
        <w:t>with mixed methods covering the area in the middle</w:t>
      </w:r>
      <w:r w:rsidR="00690D3B" w:rsidRPr="009B3747">
        <w:rPr>
          <w:rFonts w:eastAsia="Times New Roman" w:cstheme="minorHAnsi"/>
          <w:color w:val="000000"/>
          <w:lang w:eastAsia="en-GB"/>
        </w:rPr>
        <w:t xml:space="preserve"> </w:t>
      </w:r>
      <w:r w:rsidR="00690D3B"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"Johnson", "given" : "RB", "non-dropping-particle" : "", "parse-names" : false, "suffix" : "" }, { "dropping-particle" : "", "family" : "Onwuegbuzie", "given" : "AJ", "non-dropping-particle" : "", "parse-names" : false, "suffix" : "" } ], "container-title" : "Educational researcher", "id" : "ITEM-1", "issue" : "7", "issued" : { "date-parts" : [ [ "2004" ] ] }, "page" : "14-26", "title" : "Mixed methods research: A research paradigm whose time has come", "type" : "article-journal", "volume" : "33" }, "uris" : [ "http://www.mendeley.com/documents/?uuid=1e7f2872-93d9-4b8d-89fd-c60a1166dd44" ] } ], "mendeley" : { "formattedCitation" : "(Johnson and Onwuegbuzie, 2004)", "plainTextFormattedCitation" : "(Johnson and Onwuegbuzie, 2004)", "previouslyFormattedCitation" : "(Johnson and Onwuegbuzie, 2004)" }, "properties" : { "noteIndex" : 0 }, "schema" : "https://github.com/citation-style-language/schema/raw/master/csl-citation.json" }</w:instrText>
      </w:r>
      <w:r w:rsidR="00690D3B" w:rsidRPr="009B3747">
        <w:rPr>
          <w:rFonts w:eastAsia="Times New Roman" w:cstheme="minorHAnsi"/>
          <w:color w:val="000000"/>
          <w:lang w:eastAsia="en-GB"/>
        </w:rPr>
        <w:fldChar w:fldCharType="separate"/>
      </w:r>
      <w:r w:rsidR="00690D3B" w:rsidRPr="009B3747">
        <w:rPr>
          <w:rFonts w:eastAsia="Times New Roman" w:cstheme="minorHAnsi"/>
          <w:noProof/>
          <w:color w:val="000000"/>
          <w:lang w:eastAsia="en-GB"/>
        </w:rPr>
        <w:t>(Johnson and Onwuegbuzie, 2004)</w:t>
      </w:r>
      <w:r w:rsidR="00690D3B"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Quantitative research approaches were viewed as dominant across scientific disciplines up until the </w:t>
      </w:r>
      <w:r w:rsidR="00690D3B" w:rsidRPr="009B3747">
        <w:rPr>
          <w:rFonts w:eastAsia="Times New Roman" w:cstheme="minorHAnsi"/>
          <w:color w:val="000000"/>
          <w:lang w:eastAsia="en-GB"/>
        </w:rPr>
        <w:t>mid-2</w:t>
      </w:r>
      <w:r w:rsidR="00690D3B" w:rsidRPr="009B3747">
        <w:rPr>
          <w:rFonts w:eastAsia="Times New Roman" w:cstheme="minorHAnsi"/>
          <w:color w:val="000000" w:themeColor="text1"/>
          <w:lang w:eastAsia="en-GB"/>
        </w:rPr>
        <w:t>0</w:t>
      </w:r>
      <w:r w:rsidR="00690D3B" w:rsidRPr="009B3747">
        <w:rPr>
          <w:rFonts w:eastAsia="Times New Roman" w:cstheme="minorHAnsi"/>
          <w:color w:val="000000" w:themeColor="text1"/>
          <w:vertAlign w:val="superscript"/>
          <w:lang w:eastAsia="en-GB"/>
        </w:rPr>
        <w:t>th</w:t>
      </w:r>
      <w:r w:rsidRPr="009B3747">
        <w:rPr>
          <w:rFonts w:eastAsia="Times New Roman" w:cstheme="minorHAnsi"/>
          <w:color w:val="000000" w:themeColor="text1"/>
          <w:lang w:eastAsia="en-GB"/>
        </w:rPr>
        <w:t xml:space="preserve"> </w:t>
      </w:r>
      <w:r w:rsidRPr="009B3747">
        <w:rPr>
          <w:rFonts w:eastAsia="Times New Roman" w:cstheme="minorHAnsi"/>
          <w:color w:val="000000"/>
          <w:lang w:eastAsia="en-GB"/>
        </w:rPr>
        <w:t>century.  Since that point, both qualitative and more recently mixed methods research approaches have gained increasing interest and legitimacy across human and social sciences</w:t>
      </w:r>
      <w:r w:rsidR="00690D3B" w:rsidRPr="009B3747">
        <w:rPr>
          <w:rFonts w:eastAsia="Times New Roman" w:cstheme="minorHAnsi"/>
          <w:color w:val="000000"/>
          <w:lang w:eastAsia="en-GB"/>
        </w:rPr>
        <w:t xml:space="preserve"> </w:t>
      </w:r>
      <w:r w:rsidR="00690D3B"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"ISBN" : "9781412975179", "abstract" : "2nd ed. \"Combining the latest thinking about mixed methods research designs with practical, step-by-step guidance, the Second Edition of Designing and Conducting Mixed Methods Research now covers six major mixed methods designs. Authors John W. Creswell and Vicki L. Plano Clark walk readers through the entire research process, from formulating questions to designing, collecting data, and interpreting results and include updated examples from published mixed methods studies drawn from the social, behavioral, health, and education disciplines.\"--Pub. desc. The nature of mixed methods research -- The foundations of mixed methods research -- Choosing a mixed methods design -- Examples of mixed methods designs -- Introducing a mixed methods study -- Collecting data in mixed methods research -- Analyzing and interpreting data in mixed methods research -- Writing and evaluating mixed methods research -- Summary and recommendations.", "author" : [ { "dropping-particle" : "", "family" : "Creswell", "given" : "John W.", "non-dropping-particle" : "", "parse-names" : false, "suffix" : "" }, { "dropping-particle" : "", "family" : "Plano Clark", "given" : "Vicki L.", "non-dropping-particle" : "", "parse-names" : false, "suffix" : "" } ], "edition" : "2nd", "id" : "ITEM-1", "issued" : { "date-parts" : [ [ "2011" ] ] }, "number-of-pages" : "457", "publisher" : "SAGE Publications", "publisher-place" : "Thousand Oaks", "title" : "Designing and conducting mixed methods research", "type" : "book" }, "uris" : [ "http://www.mendeley.com/documents/?uuid=7cf67537-d009-3386-be02-c159c4f6ff80" ] } ], "mendeley" : { "formattedCitation" : "(Creswell and Plano Clark, 2011)", "plainTextFormattedCitation" : "(Creswell and Plano Clark, 2011)", "previouslyFormattedCitation" : "(Creswell and Plano Clark, 2011)" }, "properties" : { "noteIndex" : 0 }, "schema" : "https://github.com/citation-style-language/schema/raw/master/csl-citation.json" }</w:instrText>
      </w:r>
      <w:r w:rsidR="00690D3B" w:rsidRPr="009B3747">
        <w:rPr>
          <w:rFonts w:eastAsia="Times New Roman" w:cstheme="minorHAnsi"/>
          <w:color w:val="000000"/>
          <w:lang w:eastAsia="en-GB"/>
        </w:rPr>
        <w:fldChar w:fldCharType="separate"/>
      </w:r>
      <w:r w:rsidR="00A12CF2" w:rsidRPr="009B3747">
        <w:rPr>
          <w:rFonts w:eastAsia="Times New Roman" w:cstheme="minorHAnsi"/>
          <w:noProof/>
          <w:color w:val="000000"/>
          <w:lang w:eastAsia="en-GB"/>
        </w:rPr>
        <w:t>(Creswell and Plano Clark, 2011)</w:t>
      </w:r>
      <w:r w:rsidR="00690D3B" w:rsidRPr="009B3747">
        <w:rPr>
          <w:rFonts w:eastAsia="Times New Roman" w:cstheme="minorHAnsi"/>
          <w:color w:val="000000"/>
          <w:lang w:eastAsia="en-GB"/>
        </w:rPr>
        <w:fldChar w:fldCharType="end"/>
      </w:r>
      <w:r w:rsidRPr="009B3747">
        <w:rPr>
          <w:rFonts w:eastAsia="Times New Roman" w:cstheme="minorHAnsi"/>
          <w:color w:val="000000"/>
          <w:lang w:eastAsia="en-GB"/>
        </w:rPr>
        <w:t>.</w:t>
      </w:r>
    </w:p>
    <w:p w:rsidR="003F1507" w:rsidRPr="009B3747" w:rsidRDefault="003F1507" w:rsidP="003F1507">
      <w:pPr>
        <w:rPr>
          <w:rFonts w:eastAsia="Times New Roman" w:cstheme="minorHAnsi"/>
          <w:b/>
          <w:bCs/>
          <w:color w:val="000000"/>
          <w:lang w:eastAsia="en-GB"/>
        </w:rPr>
      </w:pPr>
    </w:p>
    <w:p w:rsidR="003F1507" w:rsidRPr="009B3747" w:rsidRDefault="00665616" w:rsidP="003F1507">
      <w:pPr>
        <w:rPr>
          <w:rFonts w:eastAsia="Times New Roman" w:cstheme="minorHAnsi"/>
          <w:sz w:val="24"/>
          <w:szCs w:val="24"/>
          <w:u w:val="single"/>
          <w:lang w:eastAsia="en-GB"/>
        </w:rPr>
      </w:pPr>
      <w:r w:rsidRPr="009B3747">
        <w:rPr>
          <w:rFonts w:eastAsia="Times New Roman" w:cstheme="minorHAnsi"/>
          <w:bCs/>
          <w:color w:val="000000"/>
          <w:u w:val="single"/>
          <w:lang w:eastAsia="en-GB"/>
        </w:rPr>
        <w:t xml:space="preserve">4.2.1 </w:t>
      </w:r>
      <w:r w:rsidR="003F1507" w:rsidRPr="009B3747">
        <w:rPr>
          <w:rFonts w:eastAsia="Times New Roman" w:cstheme="minorHAnsi"/>
          <w:bCs/>
          <w:color w:val="000000"/>
          <w:u w:val="single"/>
          <w:lang w:eastAsia="en-GB"/>
        </w:rPr>
        <w:t>Quantitative and qualitative</w:t>
      </w:r>
    </w:p>
    <w:p w:rsidR="003F1507" w:rsidRPr="009B3747" w:rsidRDefault="003F1507" w:rsidP="003F1507">
      <w:pPr>
        <w:rPr>
          <w:rFonts w:eastAsia="Times New Roman" w:cstheme="minorHAnsi"/>
          <w:color w:val="000000"/>
          <w:lang w:eastAsia="en-GB"/>
        </w:rPr>
      </w:pPr>
    </w:p>
    <w:p w:rsidR="003F1507" w:rsidRPr="009B3747" w:rsidRDefault="003F1507" w:rsidP="003F1507">
      <w:pPr>
        <w:rPr>
          <w:rFonts w:eastAsia="Times New Roman" w:cstheme="minorHAnsi"/>
          <w:color w:val="000000"/>
          <w:lang w:eastAsia="en-GB"/>
        </w:rPr>
      </w:pPr>
      <w:r w:rsidRPr="009B3747">
        <w:rPr>
          <w:rFonts w:eastAsia="Times New Roman" w:cstheme="minorHAnsi"/>
          <w:color w:val="000000"/>
          <w:lang w:eastAsia="en-GB"/>
        </w:rPr>
        <w:t xml:space="preserve">Typically and simplistically, quantitative research approaches are a form of inquiry that aim to quantify the ‘objective world’, whereas in contrast, qualitative research seeks to explore the ‘experienced world’ </w:t>
      </w:r>
      <w:r w:rsidR="00690D3B"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"ISBN" : "0335239986", "abstract" : "4th ed. May examines the research process in general and aspects of its practice in particular, in order to bridge the gap between theory and methods. This expanded edition incorporates the latest developments in social research. This fully revised and updated popular text successfully bridges the gap between theory and methods in social research, clearly illuminating these essential components for understanding the dynamics of social relations. The book is divided into two parts, with part one examining the issues and perspectives in social research and part two setting out the methods and processes. Updates to this edition include: A new chapter on case study research A new concluding chapter Links to additional websites and IT applications that are integrated throughout the book Updated experiential examples and scenarios More international examples The clear writing style, chapter summaries, questions for reflection and signposts to further readings continue to make this book the ideal companion to social research for students across the social sciences. In addition, it will be recognised as an invaluable source of reference for those practising and teaching social research who wish to keep abreast of key developments in the field. With contributions from Beth Perry (University of Salford) and Carole Sutton (University of Plymouth). This fully revised and updated popular text successfully bridges the gap between theory and methods in social research, clearly illuminating these essential components for understanding the dynamics of social relations. The book is divided into two parts, with part one examining the issues and perspectives in social research and part two setting out the methods and processes. Updates to this edition include: A new chapter on case study research A new concluding chapter Links to additional websites and IT applications that are integrated throughout the book Updated experiential examples and scenarios More international examples The clear writing style, chapter summaries, questions for reflection and signposts to further readings continue to make this book the ideal companion to social research for students across the social sciences. In addition, it will be recognised as an invaluable source of reference for those practising and teaching social research who wish to keep abreast of key developments in the field. With contributions from Beth Perry (University of Salford) and Carole Sutton (University of Plymouth). pt. 1. Is\u2026", "author" : [ { "dropping-particle" : "", "family" : "May", "given" : "Tim", "non-dropping-particle" : "", "parse-names" : false, "suffix" : "" } ], "id" : "ITEM-1", "issued" : { "date-parts" : [ [ "2011" ] ] }, "number-of-pages" : "332", "publisher" : "McGraw Hill, Open University Press", "publisher-place" : "Maidenhead", "title" : "Social research : issues, methods and process", "type" : "book" }, "uris" : [ "http://www.mendeley.com/documents/?uuid=bf78ce3f-f6a5-3bfd-a409-4b05a611bb87" ] }, { "id" : "ITEM-2", "itemData" : { "DOI" : "10.1007/s13398-014-0173-7.2", "ISBN" : "9781452274614", "ISSN" : "13514180", "PMID" : "15991970", "author" : [ { "dropping-particle" : "", "family" : "Creswell", "given" : "J W", "non-dropping-particle" : "", "parse-names" : false, "suffix" : "" } ], "container-title" : "SAGE Publications", "edition" : "4th", "id" : "ITEM-2", "issued" : { "date-parts" : [ [ "2014" ] ] }, "number-of-pages" : "398", "publisher" : "SAGE Publications Inc.", "publisher-place" : "Los Angeles", "title" : "Research Design: Qualitative, Quantitative, and Mixed Methods Approaches", "type" : "book" }, "uris" : [ "http://www.mendeley.com/documents/?uuid=e78417b4-b5b5-4ebf-9e1d-3894864dbccd" ] } ], "mendeley" : { "formattedCitation" : "(May, 2011; Creswell, 2014)", "plainTextFormattedCitation" : "(May, 2011; Creswell, 2014)", "previouslyFormattedCitation" : "(May, 2011; Creswell, 2014)" }, "properties" : { "noteIndex" : 0 }, "schema" : "https://github.com/citation-style-language/schema/raw/master/csl-citation.json" }</w:instrText>
      </w:r>
      <w:r w:rsidR="00690D3B" w:rsidRPr="009B3747">
        <w:rPr>
          <w:rFonts w:eastAsia="Times New Roman" w:cstheme="minorHAnsi"/>
          <w:color w:val="000000"/>
          <w:lang w:eastAsia="en-GB"/>
        </w:rPr>
        <w:fldChar w:fldCharType="separate"/>
      </w:r>
      <w:r w:rsidR="00690D3B" w:rsidRPr="009B3747">
        <w:rPr>
          <w:rFonts w:eastAsia="Times New Roman" w:cstheme="minorHAnsi"/>
          <w:noProof/>
          <w:color w:val="000000"/>
          <w:lang w:eastAsia="en-GB"/>
        </w:rPr>
        <w:t>(May, 2011; Creswell, 2014)</w:t>
      </w:r>
      <w:r w:rsidR="00690D3B" w:rsidRPr="009B3747">
        <w:rPr>
          <w:rFonts w:eastAsia="Times New Roman" w:cstheme="minorHAnsi"/>
          <w:color w:val="000000"/>
          <w:lang w:eastAsia="en-GB"/>
        </w:rPr>
        <w:fldChar w:fldCharType="end"/>
      </w:r>
      <w:r w:rsidRPr="009B3747">
        <w:rPr>
          <w:rFonts w:eastAsia="Times New Roman" w:cstheme="minorHAnsi"/>
          <w:color w:val="000000"/>
          <w:lang w:eastAsia="en-GB"/>
        </w:rPr>
        <w:t>.  Utilising deduction quantitative research approaches collect and analyse data objectively, test hypotheses and theories, in order to generalize and replicate findings</w:t>
      </w:r>
      <w:r w:rsidR="00690D3B" w:rsidRPr="009B3747">
        <w:rPr>
          <w:rFonts w:eastAsia="Times New Roman" w:cstheme="minorHAnsi"/>
          <w:color w:val="000000"/>
          <w:lang w:eastAsia="en-GB"/>
        </w:rPr>
        <w:t xml:space="preserve"> </w:t>
      </w:r>
      <w:r w:rsidR="00690D3B"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"Bryman", "given" : "Alan", "non-dropping-particle" : "", "parse-names" : false, "suffix" : "" } ], "edition" : "5th", "id" : "ITEM-1", "issued" : { "date-parts" : [ [ "2016" ] ] }, "publisher" : "Open University Press", "publisher-place" : "Oxford", "title" : "Social research methods Bryman", "type" : "book" }, "uris" : [ "http://www.mendeley.com/documents/?uuid=0692fe00-046b-4dd5-8926-ccb7f7ef6057" ] } ], "mendeley" : { "formattedCitation" : "(Bryman, 2016)", "plainTextFormattedCitation" : "(Bryman, 2016)", "previouslyFormattedCitation" : "(Bryman, 2016)" }, "properties" : { "noteIndex" : 0 }, "schema" : "https://github.com/citation-style-language/schema/raw/master/csl-citation.json" }</w:instrText>
      </w:r>
      <w:r w:rsidR="00690D3B" w:rsidRPr="009B3747">
        <w:rPr>
          <w:rFonts w:eastAsia="Times New Roman" w:cstheme="minorHAnsi"/>
          <w:color w:val="000000"/>
          <w:lang w:eastAsia="en-GB"/>
        </w:rPr>
        <w:fldChar w:fldCharType="separate"/>
      </w:r>
      <w:r w:rsidR="00690D3B" w:rsidRPr="009B3747">
        <w:rPr>
          <w:rFonts w:eastAsia="Times New Roman" w:cstheme="minorHAnsi"/>
          <w:noProof/>
          <w:color w:val="000000"/>
          <w:lang w:eastAsia="en-GB"/>
        </w:rPr>
        <w:t>(Bryman, 2016)</w:t>
      </w:r>
      <w:r w:rsidR="00690D3B"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Qualitative research in comparison, emphasises subjectivity </w:t>
      </w:r>
      <w:r w:rsidRPr="009B3747">
        <w:rPr>
          <w:rFonts w:eastAsia="Times New Roman" w:cstheme="minorHAnsi"/>
          <w:color w:val="000000"/>
          <w:lang w:eastAsia="en-GB"/>
        </w:rPr>
        <w:lastRenderedPageBreak/>
        <w:t xml:space="preserve">and induction enabling individual experiences, interpretations and meanings to be sought and </w:t>
      </w:r>
      <w:r w:rsidR="006B3384" w:rsidRPr="009B3747">
        <w:rPr>
          <w:rFonts w:eastAsia="Times New Roman" w:cstheme="minorHAnsi"/>
          <w:color w:val="000000"/>
          <w:lang w:eastAsia="en-GB"/>
        </w:rPr>
        <w:t>u</w:t>
      </w:r>
      <w:r w:rsidRPr="009B3747">
        <w:rPr>
          <w:rFonts w:eastAsia="Times New Roman" w:cstheme="minorHAnsi"/>
          <w:color w:val="000000"/>
          <w:lang w:eastAsia="en-GB"/>
        </w:rPr>
        <w:t>nderstood in detail and in depth</w:t>
      </w:r>
      <w:r w:rsidR="00690D3B" w:rsidRPr="009B3747">
        <w:rPr>
          <w:rFonts w:eastAsia="Times New Roman" w:cstheme="minorHAnsi"/>
          <w:color w:val="000000"/>
          <w:lang w:eastAsia="en-GB"/>
        </w:rPr>
        <w:t xml:space="preserve"> </w:t>
      </w:r>
      <w:r w:rsidR="00690D3B"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"ISBN" : "0335239986", "abstract" : "4th ed. May examines the research process in general and aspects of its practice in particular, in order to bridge the gap between theory and methods. This expanded edition incorporates the latest developments in social research. This fully revised and updated popular text successfully bridges the gap between theory and methods in social research, clearly illuminating these essential components for understanding the dynamics of social relations. The book is divided into two parts, with part one examining the issues and perspectives in social research and part two setting out the methods and processes. Updates to this edition include: A new chapter on case study research A new concluding chapter Links to additional websites and IT applications that are integrated throughout the book Updated experiential examples and scenarios More international examples The clear writing style, chapter summaries, questions for reflection and signposts to further readings continue to make this book the ideal companion to social research for students across the social sciences. In addition, it will be recognised as an invaluable source of reference for those practising and teaching social research who wish to keep abreast of key developments in the field. With contributions from Beth Perry (University of Salford) and Carole Sutton (University of Plymouth). This fully revised and updated popular text successfully bridges the gap between theory and methods in social research, clearly illuminating these essential components for understanding the dynamics of social relations. The book is divided into two parts, with part one examining the issues and perspectives in social research and part two setting out the methods and processes. Updates to this edition include: A new chapter on case study research A new concluding chapter Links to additional websites and IT applications that are integrated throughout the book Updated experiential examples and scenarios More international examples The clear writing style, chapter summaries, questions for reflection and signposts to further readings continue to make this book the ideal companion to social research for students across the social sciences. In addition, it will be recognised as an invaluable source of reference for those practising and teaching social research who wish to keep abreast of key developments in the field. With contributions from Beth Perry (University of Salford) and Carole Sutton (University of Plymouth). pt. 1. Is\u2026", "author" : [ { "dropping-particle" : "", "family" : "May", "given" : "Tim", "non-dropping-particle" : "", "parse-names" : false, "suffix" : "" } ], "id" : "ITEM-1", "issued" : { "date-parts" : [ [ "2011" ] ] }, "number-of-pages" : "332", "publisher" : "McGraw Hill, Open University Press", "publisher-place" : "Maidenhead", "title" : "Social research : issues, methods and process", "type" : "book" }, "uris" : [ "http://www.mendeley.com/documents/?uuid=bf78ce3f-f6a5-3bfd-a409-4b05a611bb87" ] }, { "id" : "ITEM-2",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"Bryman", "given" : "Alan", "non-dropping-particle" : "", "parse-names" : false, "suffix" : "" } ], "edition" : "5th", "id" : "ITEM-2", "issued" : { "date-parts" : [ [ "2016" ] ] }, "publisher" : "Open University Press", "publisher-place" : "Oxford", "title" : "Social research methods Bryman", "type" : "book" }, "uris" : [ "http://www.mendeley.com/documents/?uuid=0692fe00-046b-4dd5-8926-ccb7f7ef6057" ] } ], "mendeley" : { "formattedCitation" : "(May, 2011; Bryman, 2016)", "plainTextFormattedCitation" : "(May, 2011; Bryman, 2016)", "previouslyFormattedCitation" : "(May, 2011; Bryman, 2016)" }, "properties" : { "noteIndex" : 0 }, "schema" : "https://github.com/citation-style-language/schema/raw/master/csl-citation.json" }</w:instrText>
      </w:r>
      <w:r w:rsidR="00690D3B" w:rsidRPr="009B3747">
        <w:rPr>
          <w:rFonts w:eastAsia="Times New Roman" w:cstheme="minorHAnsi"/>
          <w:color w:val="000000"/>
          <w:lang w:eastAsia="en-GB"/>
        </w:rPr>
        <w:fldChar w:fldCharType="separate"/>
      </w:r>
      <w:r w:rsidR="00690D3B" w:rsidRPr="009B3747">
        <w:rPr>
          <w:rFonts w:eastAsia="Times New Roman" w:cstheme="minorHAnsi"/>
          <w:noProof/>
          <w:color w:val="000000"/>
          <w:lang w:eastAsia="en-GB"/>
        </w:rPr>
        <w:t>(May, 2011; Bryman, 2016)</w:t>
      </w:r>
      <w:r w:rsidR="00690D3B" w:rsidRPr="009B3747">
        <w:rPr>
          <w:rFonts w:eastAsia="Times New Roman" w:cstheme="minorHAnsi"/>
          <w:color w:val="000000"/>
          <w:lang w:eastAsia="en-GB"/>
        </w:rPr>
        <w:fldChar w:fldCharType="end"/>
      </w:r>
      <w:r w:rsidRPr="009B3747">
        <w:rPr>
          <w:rFonts w:eastAsia="Times New Roman" w:cstheme="minorHAnsi"/>
          <w:color w:val="000000"/>
          <w:lang w:eastAsia="en-GB"/>
        </w:rPr>
        <w:t>.  Tak</w:t>
      </w:r>
      <w:r w:rsidR="00690D3B" w:rsidRPr="009B3747">
        <w:rPr>
          <w:rFonts w:eastAsia="Times New Roman" w:cstheme="minorHAnsi"/>
          <w:color w:val="000000"/>
          <w:lang w:eastAsia="en-GB"/>
        </w:rPr>
        <w:t xml:space="preserve">en from </w:t>
      </w:r>
      <w:r w:rsidR="00690D3B" w:rsidRPr="009B3747">
        <w:rPr>
          <w:rFonts w:eastAsia="Times New Roman" w:cstheme="minorHAnsi"/>
          <w:color w:val="000000"/>
          <w:lang w:eastAsia="en-GB"/>
        </w:rPr>
        <w:fldChar w:fldCharType="begin" w:fldLock="1"/>
      </w:r>
      <w:r w:rsidR="00A84723" w:rsidRPr="009B3747">
        <w:rPr>
          <w:rFonts w:eastAsia="Times New Roman" w:cstheme="minorHAnsi"/>
          <w:color w:val="000000"/>
          <w:lang w:eastAsia="en-GB"/>
        </w:rPr>
        <w:instrText>ADDIN CSL_CITATION { "citationItems" : [ { "id" : "ITEM-1", "itemData" : { "ISBN" : "9780761915232", "abstract" : "\"This is a book about research design. In particular, it is about research designs for projects that collect both qualitative and quantitative data, so that their combined strengths will accomplish more than would have been possible with any one method. The approach presented here is broadly interdisciplinary, because Mixed Methods Research has interested social scientists from a great many fields, including: Anthropology, Communication, Criminal Justice, Education, Evaluation, Nursing, Organizational Behavior, Psychology, Political Science, Public Administration, Public Health, Sociology, Social Work, and Urban Studies. Because this book emphasizes practical research designs, it will be most useful to practicing researchers -- including both students who intend to pursue such a career and those who already devote their energy to collecting and analyzing data. Whether you are a student or a more experienced researcher, you will learn how Mixed Methods Research gets done in the real world.\"--Publisher's website. Part 1: The Logic of Mixed Methods Research. An Introduction and Overview ; Pragmatism as a Paradigm for Mixed Methods Research ; Research Design and Research Methods ; Motivations for Using Mixed Methods Research ; The Sequential Priorities Model -- Part 2: Four Basic Designs. Preliminary Qualitative Inputs to Core Quantitative Research Projects ; Preliminary Quantitative inputs to Core Qualitative Research Projects ; Follow-up Qualitative Extensions to Core Quantitative Research Projects ; Follow-up Quantitative Extensions to Core Qualitative Research Projects -- Part 3: Additional issues. Multipart Sequential Designs ; Finding the Expertise to Combine Multiple Methods ; Conclusions: Further Thoughts About Research Design.", "author" : [ { "dropping-particle" : "", "family" : "Morgan", "given" : "D", "non-dropping-particle" : "", "parse-names" : false, "suffix" : "" } ], "container-title" : "Integrating Qualitative and Quantitative Methods: a pragmatic approach", "id" : "ITEM-1", "issued" : { "date-parts" : [ [ "2013" ] ] }, "number-of-pages" : "269", "publisher" : "SAGE Publications Inc.", "publisher-place" : "Thousand Oaks", "title" : "Integrating qualitative and quantitative methods : a pragmatic approach", "type" : "book" }, "uris" : [ "http://www.mendeley.com/documents/?uuid=62b9d9ab-42af-4799-bcae-203e0dd4cff3" ] } ], "mendeley" : { "formattedCitation" : "(Morgan, 2013)", "manualFormatting" : "Morgan (2014)", "plainTextFormattedCitation" : "(Morgan, 2013)", "previouslyFormattedCitation" : "(Morgan, 2013)" }, "properties" : { "noteIndex" : 0 }, "schema" : "https://github.com/citation-style-language/schema/raw/master/csl-citation.json" }</w:instrText>
      </w:r>
      <w:r w:rsidR="00690D3B" w:rsidRPr="009B3747">
        <w:rPr>
          <w:rFonts w:eastAsia="Times New Roman" w:cstheme="minorHAnsi"/>
          <w:color w:val="000000"/>
          <w:lang w:eastAsia="en-GB"/>
        </w:rPr>
        <w:fldChar w:fldCharType="separate"/>
      </w:r>
      <w:r w:rsidR="00690D3B" w:rsidRPr="009B3747">
        <w:rPr>
          <w:rFonts w:eastAsia="Times New Roman" w:cstheme="minorHAnsi"/>
          <w:noProof/>
          <w:color w:val="000000"/>
          <w:lang w:eastAsia="en-GB"/>
        </w:rPr>
        <w:t>Morgan (2014)</w:t>
      </w:r>
      <w:r w:rsidR="00690D3B" w:rsidRPr="009B3747">
        <w:rPr>
          <w:rFonts w:eastAsia="Times New Roman" w:cstheme="minorHAnsi"/>
          <w:color w:val="000000"/>
          <w:lang w:eastAsia="en-GB"/>
        </w:rPr>
        <w:fldChar w:fldCharType="end"/>
      </w:r>
      <w:r w:rsidR="00690D3B" w:rsidRPr="009B3747">
        <w:rPr>
          <w:rFonts w:eastAsia="Times New Roman" w:cstheme="minorHAnsi"/>
          <w:color w:val="000000"/>
          <w:lang w:eastAsia="en-GB"/>
        </w:rPr>
        <w:t xml:space="preserve">, Table 4.1 </w:t>
      </w:r>
      <w:r w:rsidRPr="009B3747">
        <w:rPr>
          <w:rFonts w:eastAsia="Times New Roman" w:cstheme="minorHAnsi"/>
          <w:color w:val="000000"/>
          <w:lang w:eastAsia="en-GB"/>
        </w:rPr>
        <w:t>presents a comparison of the key features of qualitative and quantitative research approaches.</w:t>
      </w:r>
    </w:p>
    <w:p w:rsidR="003F1507" w:rsidRPr="009B3747" w:rsidRDefault="003F1507" w:rsidP="003F1507">
      <w:pPr>
        <w:rPr>
          <w:rFonts w:eastAsia="Times New Roman" w:cstheme="minorHAnsi"/>
          <w:color w:val="000000"/>
          <w:lang w:eastAsia="en-GB"/>
        </w:rPr>
      </w:pPr>
    </w:p>
    <w:p w:rsidR="003F1507" w:rsidRPr="009B3747" w:rsidRDefault="00690D3B" w:rsidP="003F1507">
      <w:pPr>
        <w:spacing w:line="276" w:lineRule="auto"/>
        <w:rPr>
          <w:rFonts w:eastAsia="Times New Roman" w:cstheme="minorHAnsi"/>
          <w:u w:val="single"/>
          <w:lang w:eastAsia="en-GB"/>
        </w:rPr>
      </w:pPr>
      <w:r w:rsidRPr="009B3747">
        <w:rPr>
          <w:rFonts w:eastAsia="Times New Roman" w:cstheme="minorHAnsi"/>
          <w:color w:val="000000"/>
          <w:u w:val="single"/>
          <w:lang w:eastAsia="en-GB"/>
        </w:rPr>
        <w:t>Table 4.1</w:t>
      </w:r>
      <w:r w:rsidR="003F1507" w:rsidRPr="009B3747">
        <w:rPr>
          <w:rFonts w:eastAsia="Times New Roman" w:cstheme="minorHAnsi"/>
          <w:color w:val="000000"/>
          <w:u w:val="single"/>
          <w:lang w:eastAsia="en-GB"/>
        </w:rPr>
        <w:t xml:space="preserve"> - </w:t>
      </w:r>
      <w:r w:rsidR="000F73E5" w:rsidRPr="009B3747">
        <w:rPr>
          <w:rFonts w:eastAsia="Times New Roman" w:cstheme="minorHAnsi"/>
          <w:u w:val="single"/>
          <w:lang w:eastAsia="en-GB"/>
        </w:rPr>
        <w:t>Key features of qualitative and quantitative research approaches</w:t>
      </w:r>
    </w:p>
    <w:p w:rsidR="000F73E5" w:rsidRPr="009B3747" w:rsidRDefault="000F73E5" w:rsidP="003F1507">
      <w:pPr>
        <w:spacing w:line="276" w:lineRule="auto"/>
        <w:rPr>
          <w:rFonts w:eastAsia="Times New Roman" w:cstheme="minorHAnsi"/>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4234"/>
        <w:gridCol w:w="4633"/>
      </w:tblGrid>
      <w:tr w:rsidR="003F1507" w:rsidRPr="009B3747" w:rsidTr="003F15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3F1507">
            <w:pPr>
              <w:spacing w:line="276"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Qualitative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3F1507">
            <w:pPr>
              <w:spacing w:line="276"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Quantitative</w:t>
            </w:r>
          </w:p>
        </w:tc>
      </w:tr>
      <w:tr w:rsidR="003F1507" w:rsidRPr="009B3747" w:rsidTr="003F15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3F1507">
            <w:pPr>
              <w:spacing w:line="276" w:lineRule="auto"/>
              <w:rPr>
                <w:rFonts w:eastAsia="Times New Roman" w:cstheme="minorHAnsi"/>
                <w:sz w:val="24"/>
                <w:szCs w:val="24"/>
                <w:lang w:eastAsia="en-GB"/>
              </w:rPr>
            </w:pPr>
            <w:r w:rsidRPr="009B3747">
              <w:rPr>
                <w:rFonts w:eastAsia="Times New Roman" w:cstheme="minorHAnsi"/>
                <w:color w:val="000000"/>
                <w:sz w:val="20"/>
                <w:szCs w:val="20"/>
                <w:u w:val="single"/>
                <w:lang w:eastAsia="en-GB"/>
              </w:rPr>
              <w:t>Induction</w:t>
            </w:r>
          </w:p>
          <w:p w:rsidR="003F1507" w:rsidRPr="009B3747" w:rsidRDefault="003F1507" w:rsidP="003F1507">
            <w:pPr>
              <w:spacing w:line="276" w:lineRule="auto"/>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spacing w:line="276" w:lineRule="auto"/>
              <w:rPr>
                <w:rFonts w:eastAsia="Times New Roman" w:cstheme="minorHAnsi"/>
                <w:sz w:val="24"/>
                <w:szCs w:val="24"/>
                <w:lang w:eastAsia="en-GB"/>
              </w:rPr>
            </w:pPr>
            <w:r w:rsidRPr="009B3747">
              <w:rPr>
                <w:rFonts w:eastAsia="Times New Roman" w:cstheme="minorHAnsi"/>
                <w:color w:val="000000"/>
                <w:sz w:val="20"/>
                <w:szCs w:val="20"/>
                <w:lang w:eastAsia="en-GB"/>
              </w:rPr>
              <w:t>Purposes</w:t>
            </w:r>
          </w:p>
          <w:p w:rsidR="003F1507" w:rsidRPr="009B3747" w:rsidRDefault="003F1507" w:rsidP="00C27072">
            <w:pPr>
              <w:numPr>
                <w:ilvl w:val="0"/>
                <w:numId w:val="20"/>
              </w:numPr>
              <w:spacing w:line="276"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Generates theory from observations</w:t>
            </w:r>
          </w:p>
          <w:p w:rsidR="003F1507" w:rsidRPr="009B3747" w:rsidRDefault="003F1507" w:rsidP="00C27072">
            <w:pPr>
              <w:numPr>
                <w:ilvl w:val="0"/>
                <w:numId w:val="20"/>
              </w:numPr>
              <w:spacing w:line="276"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Orientated to discovery, exploration</w:t>
            </w:r>
          </w:p>
          <w:p w:rsidR="003F1507" w:rsidRPr="009B3747" w:rsidRDefault="003F1507" w:rsidP="003F1507">
            <w:pPr>
              <w:spacing w:line="276" w:lineRule="auto"/>
              <w:rPr>
                <w:rFonts w:eastAsia="Times New Roman" w:cstheme="minorHAnsi"/>
                <w:sz w:val="24"/>
                <w:szCs w:val="24"/>
                <w:lang w:eastAsia="en-GB"/>
              </w:rPr>
            </w:pPr>
            <w:r w:rsidRPr="009B3747">
              <w:rPr>
                <w:rFonts w:eastAsia="Times New Roman" w:cstheme="minorHAnsi"/>
                <w:color w:val="000000"/>
                <w:sz w:val="20"/>
                <w:szCs w:val="20"/>
                <w:lang w:eastAsia="en-GB"/>
              </w:rPr>
              <w:t>Procedures</w:t>
            </w:r>
          </w:p>
          <w:p w:rsidR="003F1507" w:rsidRPr="009B3747" w:rsidRDefault="003F1507" w:rsidP="00C27072">
            <w:pPr>
              <w:numPr>
                <w:ilvl w:val="0"/>
                <w:numId w:val="21"/>
              </w:numPr>
              <w:spacing w:line="276"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Emergent design</w:t>
            </w:r>
          </w:p>
          <w:p w:rsidR="003F1507" w:rsidRPr="009B3747" w:rsidRDefault="003F1507" w:rsidP="00C27072">
            <w:pPr>
              <w:numPr>
                <w:ilvl w:val="0"/>
                <w:numId w:val="21"/>
              </w:numPr>
              <w:spacing w:line="276"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Merges data collection and analysis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3F1507">
            <w:pPr>
              <w:spacing w:line="276" w:lineRule="auto"/>
              <w:rPr>
                <w:rFonts w:eastAsia="Times New Roman" w:cstheme="minorHAnsi"/>
                <w:sz w:val="24"/>
                <w:szCs w:val="24"/>
                <w:lang w:eastAsia="en-GB"/>
              </w:rPr>
            </w:pPr>
            <w:r w:rsidRPr="009B3747">
              <w:rPr>
                <w:rFonts w:eastAsia="Times New Roman" w:cstheme="minorHAnsi"/>
                <w:color w:val="000000"/>
                <w:sz w:val="20"/>
                <w:szCs w:val="20"/>
                <w:u w:val="single"/>
                <w:lang w:eastAsia="en-GB"/>
              </w:rPr>
              <w:t>Deduction</w:t>
            </w:r>
          </w:p>
          <w:p w:rsidR="003F1507" w:rsidRPr="009B3747" w:rsidRDefault="003F1507" w:rsidP="003F1507">
            <w:pPr>
              <w:spacing w:line="276" w:lineRule="auto"/>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spacing w:line="276" w:lineRule="auto"/>
              <w:rPr>
                <w:rFonts w:eastAsia="Times New Roman" w:cstheme="minorHAnsi"/>
                <w:sz w:val="24"/>
                <w:szCs w:val="24"/>
                <w:lang w:eastAsia="en-GB"/>
              </w:rPr>
            </w:pPr>
            <w:r w:rsidRPr="009B3747">
              <w:rPr>
                <w:rFonts w:eastAsia="Times New Roman" w:cstheme="minorHAnsi"/>
                <w:color w:val="000000"/>
                <w:sz w:val="20"/>
                <w:szCs w:val="20"/>
                <w:lang w:eastAsia="en-GB"/>
              </w:rPr>
              <w:t>Purposes</w:t>
            </w:r>
          </w:p>
          <w:p w:rsidR="003F1507" w:rsidRPr="009B3747" w:rsidRDefault="003F1507" w:rsidP="00C27072">
            <w:pPr>
              <w:numPr>
                <w:ilvl w:val="0"/>
                <w:numId w:val="22"/>
              </w:numPr>
              <w:spacing w:line="276"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Tests theory through observations</w:t>
            </w:r>
          </w:p>
          <w:p w:rsidR="003F1507" w:rsidRPr="009B3747" w:rsidRDefault="003F1507" w:rsidP="00C27072">
            <w:pPr>
              <w:numPr>
                <w:ilvl w:val="0"/>
                <w:numId w:val="22"/>
              </w:numPr>
              <w:spacing w:line="276"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Oriented to cause and effect</w:t>
            </w:r>
          </w:p>
          <w:p w:rsidR="003F1507" w:rsidRPr="009B3747" w:rsidRDefault="003F1507" w:rsidP="003F1507">
            <w:pPr>
              <w:spacing w:line="276" w:lineRule="auto"/>
              <w:rPr>
                <w:rFonts w:eastAsia="Times New Roman" w:cstheme="minorHAnsi"/>
                <w:sz w:val="24"/>
                <w:szCs w:val="24"/>
                <w:lang w:eastAsia="en-GB"/>
              </w:rPr>
            </w:pPr>
            <w:r w:rsidRPr="009B3747">
              <w:rPr>
                <w:rFonts w:eastAsia="Times New Roman" w:cstheme="minorHAnsi"/>
                <w:color w:val="000000"/>
                <w:sz w:val="20"/>
                <w:szCs w:val="20"/>
                <w:lang w:eastAsia="en-GB"/>
              </w:rPr>
              <w:t>Procedures</w:t>
            </w:r>
          </w:p>
          <w:p w:rsidR="003F1507" w:rsidRPr="009B3747" w:rsidRDefault="003F1507" w:rsidP="00C27072">
            <w:pPr>
              <w:numPr>
                <w:ilvl w:val="0"/>
                <w:numId w:val="23"/>
              </w:numPr>
              <w:spacing w:line="276"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Predetermined design</w:t>
            </w:r>
          </w:p>
          <w:p w:rsidR="003F1507" w:rsidRPr="009B3747" w:rsidRDefault="003F1507" w:rsidP="00C27072">
            <w:pPr>
              <w:numPr>
                <w:ilvl w:val="0"/>
                <w:numId w:val="23"/>
              </w:numPr>
              <w:spacing w:line="276"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Separates data collection and analysis</w:t>
            </w:r>
          </w:p>
        </w:tc>
      </w:tr>
      <w:tr w:rsidR="003F1507" w:rsidRPr="009B3747" w:rsidTr="003F15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3F1507">
            <w:pPr>
              <w:spacing w:line="276" w:lineRule="auto"/>
              <w:rPr>
                <w:rFonts w:eastAsia="Times New Roman" w:cstheme="minorHAnsi"/>
                <w:sz w:val="24"/>
                <w:szCs w:val="24"/>
                <w:lang w:eastAsia="en-GB"/>
              </w:rPr>
            </w:pPr>
            <w:r w:rsidRPr="009B3747">
              <w:rPr>
                <w:rFonts w:eastAsia="Times New Roman" w:cstheme="minorHAnsi"/>
                <w:color w:val="000000"/>
                <w:sz w:val="20"/>
                <w:szCs w:val="20"/>
                <w:u w:val="single"/>
                <w:lang w:eastAsia="en-GB"/>
              </w:rPr>
              <w:t>Subjectivity</w:t>
            </w:r>
          </w:p>
          <w:p w:rsidR="003F1507" w:rsidRPr="009B3747" w:rsidRDefault="003F1507" w:rsidP="003F1507">
            <w:pPr>
              <w:spacing w:line="276" w:lineRule="auto"/>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spacing w:line="276" w:lineRule="auto"/>
              <w:rPr>
                <w:rFonts w:eastAsia="Times New Roman" w:cstheme="minorHAnsi"/>
                <w:sz w:val="24"/>
                <w:szCs w:val="24"/>
                <w:lang w:eastAsia="en-GB"/>
              </w:rPr>
            </w:pPr>
            <w:r w:rsidRPr="009B3747">
              <w:rPr>
                <w:rFonts w:eastAsia="Times New Roman" w:cstheme="minorHAnsi"/>
                <w:color w:val="000000"/>
                <w:sz w:val="20"/>
                <w:szCs w:val="20"/>
                <w:lang w:eastAsia="en-GB"/>
              </w:rPr>
              <w:t>Purposes</w:t>
            </w:r>
          </w:p>
          <w:p w:rsidR="003F1507" w:rsidRPr="009B3747" w:rsidRDefault="003F1507" w:rsidP="00C27072">
            <w:pPr>
              <w:numPr>
                <w:ilvl w:val="0"/>
                <w:numId w:val="24"/>
              </w:numPr>
              <w:spacing w:line="276"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Emphasizes meanings, interpretation</w:t>
            </w:r>
          </w:p>
          <w:p w:rsidR="003F1507" w:rsidRPr="009B3747" w:rsidRDefault="003F1507" w:rsidP="00C27072">
            <w:pPr>
              <w:numPr>
                <w:ilvl w:val="0"/>
                <w:numId w:val="24"/>
              </w:numPr>
              <w:spacing w:line="276"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Tries to understand others’ perspectives</w:t>
            </w:r>
          </w:p>
          <w:p w:rsidR="003F1507" w:rsidRPr="009B3747" w:rsidRDefault="003F1507" w:rsidP="003F1507">
            <w:pPr>
              <w:spacing w:line="276" w:lineRule="auto"/>
              <w:rPr>
                <w:rFonts w:eastAsia="Times New Roman" w:cstheme="minorHAnsi"/>
                <w:sz w:val="24"/>
                <w:szCs w:val="24"/>
                <w:lang w:eastAsia="en-GB"/>
              </w:rPr>
            </w:pPr>
            <w:r w:rsidRPr="009B3747">
              <w:rPr>
                <w:rFonts w:eastAsia="Times New Roman" w:cstheme="minorHAnsi"/>
                <w:color w:val="000000"/>
                <w:sz w:val="20"/>
                <w:szCs w:val="20"/>
                <w:lang w:eastAsia="en-GB"/>
              </w:rPr>
              <w:t>Procedures</w:t>
            </w:r>
          </w:p>
          <w:p w:rsidR="003F1507" w:rsidRPr="009B3747" w:rsidRDefault="003F1507" w:rsidP="00C27072">
            <w:pPr>
              <w:numPr>
                <w:ilvl w:val="0"/>
                <w:numId w:val="25"/>
              </w:numPr>
              <w:spacing w:line="276"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Researcher is involved, close to the data</w:t>
            </w:r>
          </w:p>
          <w:p w:rsidR="003F1507" w:rsidRPr="009B3747" w:rsidRDefault="003F1507" w:rsidP="00C27072">
            <w:pPr>
              <w:numPr>
                <w:ilvl w:val="0"/>
                <w:numId w:val="25"/>
              </w:numPr>
              <w:spacing w:line="276"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Research is the ‘research instrument’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3F1507">
            <w:pPr>
              <w:spacing w:line="276" w:lineRule="auto"/>
              <w:rPr>
                <w:rFonts w:eastAsia="Times New Roman" w:cstheme="minorHAnsi"/>
                <w:sz w:val="24"/>
                <w:szCs w:val="24"/>
                <w:lang w:eastAsia="en-GB"/>
              </w:rPr>
            </w:pPr>
            <w:r w:rsidRPr="009B3747">
              <w:rPr>
                <w:rFonts w:eastAsia="Times New Roman" w:cstheme="minorHAnsi"/>
                <w:color w:val="000000"/>
                <w:sz w:val="20"/>
                <w:szCs w:val="20"/>
                <w:u w:val="single"/>
                <w:lang w:eastAsia="en-GB"/>
              </w:rPr>
              <w:t>Objectivity</w:t>
            </w:r>
          </w:p>
          <w:p w:rsidR="003F1507" w:rsidRPr="009B3747" w:rsidRDefault="003F1507" w:rsidP="003F1507">
            <w:pPr>
              <w:spacing w:line="276" w:lineRule="auto"/>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spacing w:line="276" w:lineRule="auto"/>
              <w:rPr>
                <w:rFonts w:eastAsia="Times New Roman" w:cstheme="minorHAnsi"/>
                <w:sz w:val="24"/>
                <w:szCs w:val="24"/>
                <w:lang w:eastAsia="en-GB"/>
              </w:rPr>
            </w:pPr>
            <w:r w:rsidRPr="009B3747">
              <w:rPr>
                <w:rFonts w:eastAsia="Times New Roman" w:cstheme="minorHAnsi"/>
                <w:color w:val="000000"/>
                <w:sz w:val="20"/>
                <w:szCs w:val="20"/>
                <w:lang w:eastAsia="en-GB"/>
              </w:rPr>
              <w:t>Purposes</w:t>
            </w:r>
          </w:p>
          <w:p w:rsidR="003F1507" w:rsidRPr="009B3747" w:rsidRDefault="003F1507" w:rsidP="00C27072">
            <w:pPr>
              <w:numPr>
                <w:ilvl w:val="0"/>
                <w:numId w:val="26"/>
              </w:numPr>
              <w:spacing w:line="276"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Emphasizes things that can be measured</w:t>
            </w:r>
          </w:p>
          <w:p w:rsidR="003F1507" w:rsidRPr="009B3747" w:rsidRDefault="003F1507" w:rsidP="00C27072">
            <w:pPr>
              <w:numPr>
                <w:ilvl w:val="0"/>
                <w:numId w:val="26"/>
              </w:numPr>
              <w:spacing w:line="276"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Results do not depend on beliefs</w:t>
            </w:r>
          </w:p>
          <w:p w:rsidR="003F1507" w:rsidRPr="009B3747" w:rsidRDefault="003F1507" w:rsidP="003F1507">
            <w:pPr>
              <w:spacing w:line="276" w:lineRule="auto"/>
              <w:rPr>
                <w:rFonts w:eastAsia="Times New Roman" w:cstheme="minorHAnsi"/>
                <w:sz w:val="24"/>
                <w:szCs w:val="24"/>
                <w:lang w:eastAsia="en-GB"/>
              </w:rPr>
            </w:pPr>
            <w:r w:rsidRPr="009B3747">
              <w:rPr>
                <w:rFonts w:eastAsia="Times New Roman" w:cstheme="minorHAnsi"/>
                <w:color w:val="000000"/>
                <w:sz w:val="20"/>
                <w:szCs w:val="20"/>
                <w:lang w:eastAsia="en-GB"/>
              </w:rPr>
              <w:t>Procedures</w:t>
            </w:r>
          </w:p>
          <w:p w:rsidR="003F1507" w:rsidRPr="009B3747" w:rsidRDefault="003F1507" w:rsidP="00C27072">
            <w:pPr>
              <w:numPr>
                <w:ilvl w:val="0"/>
                <w:numId w:val="27"/>
              </w:numPr>
              <w:spacing w:line="276"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Researcher is detached, distant from the data</w:t>
            </w:r>
          </w:p>
          <w:p w:rsidR="003F1507" w:rsidRPr="009B3747" w:rsidRDefault="003F1507" w:rsidP="00C27072">
            <w:pPr>
              <w:numPr>
                <w:ilvl w:val="0"/>
                <w:numId w:val="27"/>
              </w:numPr>
              <w:spacing w:line="276"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Relies on standardized protocols</w:t>
            </w:r>
          </w:p>
        </w:tc>
      </w:tr>
      <w:tr w:rsidR="003F1507" w:rsidRPr="009B3747" w:rsidTr="003F15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3F1507">
            <w:pPr>
              <w:spacing w:line="276" w:lineRule="auto"/>
              <w:rPr>
                <w:rFonts w:eastAsia="Times New Roman" w:cstheme="minorHAnsi"/>
                <w:sz w:val="24"/>
                <w:szCs w:val="24"/>
                <w:lang w:eastAsia="en-GB"/>
              </w:rPr>
            </w:pPr>
            <w:r w:rsidRPr="009B3747">
              <w:rPr>
                <w:rFonts w:eastAsia="Times New Roman" w:cstheme="minorHAnsi"/>
                <w:color w:val="000000"/>
                <w:sz w:val="20"/>
                <w:szCs w:val="20"/>
                <w:u w:val="single"/>
                <w:lang w:eastAsia="en-GB"/>
              </w:rPr>
              <w:t>Context</w:t>
            </w:r>
          </w:p>
          <w:p w:rsidR="003F1507" w:rsidRPr="009B3747" w:rsidRDefault="003F1507" w:rsidP="003F1507">
            <w:pPr>
              <w:spacing w:line="276" w:lineRule="auto"/>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spacing w:line="276" w:lineRule="auto"/>
              <w:rPr>
                <w:rFonts w:eastAsia="Times New Roman" w:cstheme="minorHAnsi"/>
                <w:sz w:val="24"/>
                <w:szCs w:val="24"/>
                <w:lang w:eastAsia="en-GB"/>
              </w:rPr>
            </w:pPr>
            <w:r w:rsidRPr="009B3747">
              <w:rPr>
                <w:rFonts w:eastAsia="Times New Roman" w:cstheme="minorHAnsi"/>
                <w:color w:val="000000"/>
                <w:sz w:val="20"/>
                <w:szCs w:val="20"/>
                <w:lang w:eastAsia="en-GB"/>
              </w:rPr>
              <w:t>Purposes</w:t>
            </w:r>
          </w:p>
          <w:p w:rsidR="003F1507" w:rsidRPr="009B3747" w:rsidRDefault="003F1507" w:rsidP="00C27072">
            <w:pPr>
              <w:numPr>
                <w:ilvl w:val="0"/>
                <w:numId w:val="28"/>
              </w:numPr>
              <w:spacing w:line="276"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Emphasizes specific depth and detail</w:t>
            </w:r>
          </w:p>
          <w:p w:rsidR="003F1507" w:rsidRPr="009B3747" w:rsidRDefault="003F1507" w:rsidP="00C27072">
            <w:pPr>
              <w:numPr>
                <w:ilvl w:val="0"/>
                <w:numId w:val="28"/>
              </w:numPr>
              <w:spacing w:line="276"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Analyses holistic systems</w:t>
            </w:r>
          </w:p>
          <w:p w:rsidR="003F1507" w:rsidRPr="009B3747" w:rsidRDefault="003F1507" w:rsidP="003F1507">
            <w:pPr>
              <w:spacing w:line="276" w:lineRule="auto"/>
              <w:rPr>
                <w:rFonts w:eastAsia="Times New Roman" w:cstheme="minorHAnsi"/>
                <w:sz w:val="24"/>
                <w:szCs w:val="24"/>
                <w:lang w:eastAsia="en-GB"/>
              </w:rPr>
            </w:pPr>
            <w:r w:rsidRPr="009B3747">
              <w:rPr>
                <w:rFonts w:eastAsia="Times New Roman" w:cstheme="minorHAnsi"/>
                <w:color w:val="000000"/>
                <w:sz w:val="20"/>
                <w:szCs w:val="20"/>
                <w:lang w:eastAsia="en-GB"/>
              </w:rPr>
              <w:t>Procedures</w:t>
            </w:r>
          </w:p>
          <w:p w:rsidR="003F1507" w:rsidRPr="009B3747" w:rsidRDefault="003F1507" w:rsidP="00C27072">
            <w:pPr>
              <w:numPr>
                <w:ilvl w:val="0"/>
                <w:numId w:val="29"/>
              </w:numPr>
              <w:spacing w:line="276"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Uses a naturalistic approach</w:t>
            </w:r>
          </w:p>
          <w:p w:rsidR="003F1507" w:rsidRPr="009B3747" w:rsidRDefault="003F1507" w:rsidP="00C27072">
            <w:pPr>
              <w:numPr>
                <w:ilvl w:val="0"/>
                <w:numId w:val="29"/>
              </w:numPr>
              <w:spacing w:line="276"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Relies on a few purposively chosen cases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3F1507">
            <w:pPr>
              <w:spacing w:line="276" w:lineRule="auto"/>
              <w:rPr>
                <w:rFonts w:eastAsia="Times New Roman" w:cstheme="minorHAnsi"/>
                <w:sz w:val="24"/>
                <w:szCs w:val="24"/>
                <w:lang w:eastAsia="en-GB"/>
              </w:rPr>
            </w:pPr>
            <w:r w:rsidRPr="009B3747">
              <w:rPr>
                <w:rFonts w:eastAsia="Times New Roman" w:cstheme="minorHAnsi"/>
                <w:color w:val="000000"/>
                <w:sz w:val="20"/>
                <w:szCs w:val="20"/>
                <w:u w:val="single"/>
                <w:lang w:eastAsia="en-GB"/>
              </w:rPr>
              <w:t>Generality</w:t>
            </w:r>
          </w:p>
          <w:p w:rsidR="003F1507" w:rsidRPr="009B3747" w:rsidRDefault="003F1507" w:rsidP="003F1507">
            <w:pPr>
              <w:spacing w:line="276" w:lineRule="auto"/>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spacing w:line="276" w:lineRule="auto"/>
              <w:rPr>
                <w:rFonts w:eastAsia="Times New Roman" w:cstheme="minorHAnsi"/>
                <w:sz w:val="24"/>
                <w:szCs w:val="24"/>
                <w:lang w:eastAsia="en-GB"/>
              </w:rPr>
            </w:pPr>
            <w:r w:rsidRPr="009B3747">
              <w:rPr>
                <w:rFonts w:eastAsia="Times New Roman" w:cstheme="minorHAnsi"/>
                <w:color w:val="000000"/>
                <w:sz w:val="20"/>
                <w:szCs w:val="20"/>
                <w:lang w:eastAsia="en-GB"/>
              </w:rPr>
              <w:t>Purposes</w:t>
            </w:r>
          </w:p>
          <w:p w:rsidR="003F1507" w:rsidRPr="009B3747" w:rsidRDefault="003F1507" w:rsidP="00C27072">
            <w:pPr>
              <w:numPr>
                <w:ilvl w:val="0"/>
                <w:numId w:val="30"/>
              </w:numPr>
              <w:spacing w:line="276"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Emphasizes generalisability and replication</w:t>
            </w:r>
          </w:p>
          <w:p w:rsidR="003F1507" w:rsidRPr="009B3747" w:rsidRDefault="003F1507" w:rsidP="00C27072">
            <w:pPr>
              <w:numPr>
                <w:ilvl w:val="0"/>
                <w:numId w:val="30"/>
              </w:numPr>
              <w:spacing w:line="276"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Analyses variables</w:t>
            </w:r>
          </w:p>
          <w:p w:rsidR="003F1507" w:rsidRPr="009B3747" w:rsidRDefault="003F1507" w:rsidP="003F1507">
            <w:pPr>
              <w:spacing w:line="276" w:lineRule="auto"/>
              <w:rPr>
                <w:rFonts w:eastAsia="Times New Roman" w:cstheme="minorHAnsi"/>
                <w:sz w:val="24"/>
                <w:szCs w:val="24"/>
                <w:lang w:eastAsia="en-GB"/>
              </w:rPr>
            </w:pPr>
            <w:r w:rsidRPr="009B3747">
              <w:rPr>
                <w:rFonts w:eastAsia="Times New Roman" w:cstheme="minorHAnsi"/>
                <w:color w:val="000000"/>
                <w:sz w:val="20"/>
                <w:szCs w:val="20"/>
                <w:lang w:eastAsia="en-GB"/>
              </w:rPr>
              <w:t>Procedures</w:t>
            </w:r>
          </w:p>
          <w:p w:rsidR="003F1507" w:rsidRPr="009B3747" w:rsidRDefault="003F1507" w:rsidP="00C27072">
            <w:pPr>
              <w:numPr>
                <w:ilvl w:val="0"/>
                <w:numId w:val="31"/>
              </w:numPr>
              <w:spacing w:line="276"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Uses experimental and statistical controls</w:t>
            </w:r>
          </w:p>
          <w:p w:rsidR="003F1507" w:rsidRPr="009B3747" w:rsidRDefault="003F1507" w:rsidP="00C27072">
            <w:pPr>
              <w:numPr>
                <w:ilvl w:val="0"/>
                <w:numId w:val="31"/>
              </w:numPr>
              <w:spacing w:line="276"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Works across a larger number of cases</w:t>
            </w:r>
          </w:p>
        </w:tc>
      </w:tr>
    </w:tbl>
    <w:p w:rsidR="003F1507" w:rsidRPr="009B3747" w:rsidRDefault="0083682E" w:rsidP="0083682E">
      <w:pPr>
        <w:spacing w:line="276" w:lineRule="auto"/>
        <w:ind w:left="6480"/>
        <w:rPr>
          <w:rFonts w:eastAsia="Times New Roman" w:cstheme="minorHAnsi"/>
          <w:sz w:val="20"/>
          <w:szCs w:val="20"/>
          <w:lang w:eastAsia="en-GB"/>
        </w:rPr>
      </w:pPr>
      <w:r w:rsidRPr="009B3747">
        <w:rPr>
          <w:rFonts w:eastAsia="Times New Roman" w:cstheme="minorHAnsi"/>
          <w:color w:val="000000"/>
          <w:sz w:val="20"/>
          <w:szCs w:val="20"/>
          <w:lang w:eastAsia="en-GB"/>
        </w:rPr>
        <w:t xml:space="preserve">       (Source - </w:t>
      </w:r>
      <w:r w:rsidR="003F1507" w:rsidRPr="009B3747">
        <w:rPr>
          <w:rFonts w:eastAsia="Times New Roman" w:cstheme="minorHAnsi"/>
          <w:color w:val="000000"/>
          <w:sz w:val="20"/>
          <w:szCs w:val="20"/>
          <w:lang w:eastAsia="en-GB"/>
        </w:rPr>
        <w:t>Morgan (2014)</w:t>
      </w:r>
    </w:p>
    <w:p w:rsidR="003F1507" w:rsidRPr="009B3747" w:rsidRDefault="003F1507" w:rsidP="003F1507">
      <w:pPr>
        <w:rPr>
          <w:rFonts w:eastAsia="Times New Roman" w:cstheme="minorHAnsi"/>
          <w:b/>
          <w:bCs/>
          <w:color w:val="000000"/>
          <w:lang w:eastAsia="en-GB"/>
        </w:rPr>
      </w:pPr>
    </w:p>
    <w:p w:rsidR="003F1507" w:rsidRPr="009B3747" w:rsidRDefault="00690D3B" w:rsidP="003F1507">
      <w:pPr>
        <w:rPr>
          <w:rFonts w:eastAsia="Times New Roman" w:cstheme="minorHAnsi"/>
          <w:sz w:val="24"/>
          <w:szCs w:val="24"/>
          <w:u w:val="single"/>
          <w:lang w:eastAsia="en-GB"/>
        </w:rPr>
      </w:pPr>
      <w:r w:rsidRPr="009B3747">
        <w:rPr>
          <w:rFonts w:eastAsia="Times New Roman" w:cstheme="minorHAnsi"/>
          <w:bCs/>
          <w:color w:val="000000"/>
          <w:u w:val="single"/>
          <w:lang w:eastAsia="en-GB"/>
        </w:rPr>
        <w:t xml:space="preserve">4.2.2 </w:t>
      </w:r>
      <w:r w:rsidR="003F1507" w:rsidRPr="009B3747">
        <w:rPr>
          <w:rFonts w:eastAsia="Times New Roman" w:cstheme="minorHAnsi"/>
          <w:bCs/>
          <w:color w:val="000000"/>
          <w:u w:val="single"/>
          <w:lang w:eastAsia="en-GB"/>
        </w:rPr>
        <w:t>Mixed methods</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Mixed methods research approaches</w:t>
      </w:r>
      <w:r w:rsidR="00690D3B" w:rsidRPr="009B3747">
        <w:rPr>
          <w:rFonts w:eastAsia="Times New Roman" w:cstheme="minorHAnsi"/>
          <w:color w:val="000000"/>
          <w:lang w:eastAsia="en-GB"/>
        </w:rPr>
        <w:t xml:space="preserve"> previously referred to as the </w:t>
      </w:r>
      <w:r w:rsidR="00690D3B" w:rsidRPr="009B3747">
        <w:rPr>
          <w:rFonts w:eastAsia="Times New Roman" w:cstheme="minorHAnsi"/>
          <w:i/>
          <w:color w:val="000000"/>
          <w:lang w:eastAsia="en-GB"/>
        </w:rPr>
        <w:t>“third methodological movement”</w:t>
      </w:r>
      <w:r w:rsidRPr="009B3747">
        <w:rPr>
          <w:rFonts w:eastAsia="Times New Roman" w:cstheme="minorHAnsi"/>
          <w:color w:val="000000"/>
          <w:lang w:eastAsia="en-GB"/>
        </w:rPr>
        <w:t xml:space="preserve"> </w:t>
      </w:r>
      <w:r w:rsidR="00690D3B" w:rsidRPr="009B3747">
        <w:rPr>
          <w:rFonts w:eastAsia="Times New Roman" w:cstheme="minorHAnsi"/>
          <w:color w:val="000000"/>
          <w:lang w:eastAsia="en-GB"/>
        </w:rPr>
        <w:fldChar w:fldCharType="begin" w:fldLock="1"/>
      </w:r>
      <w:r w:rsidR="00224C9C" w:rsidRPr="009B3747">
        <w:rPr>
          <w:rFonts w:eastAsia="Times New Roman" w:cstheme="minorHAnsi"/>
          <w:color w:val="000000"/>
          <w:lang w:eastAsia="en-GB"/>
        </w:rPr>
        <w:instrText>ADDIN CSL_CITATION { "citationItems" : [ { "id" : "ITEM-1", "itemData" : { "DOI" : "10.17051/io.2015.07705", "ISBN" : "1412972663", "abstract" : "Surveying the differing viewpoints and disciplinary approaches to using mixed methods, this volume helps readers explore the answers to a wide range of key questions in the field, including \u201cCan using mixed methods offset the disadvantages that certain methods have by themselves?\u201d \u201cWhat criteria can a researcher use to select the best mixed methods design for his or her project?\u201d and \u201cWhat are the points of agreement and controversy regarding design issues in mixed methods research?\u201d This breakthrough Second Edition, containing all new chapters, examines all aspects of mixed methods research across a variety of disciplines.Key Features\u2022 Covers all aspects of inquiry from conceptualizing research to selecting methods, analyzing and interpreting data, and reporting findings\u2022 Draws on the work of a mix of internationally recognized researchers as well as new and emerging researchers to provide a diversity of perspectives\u2022 Gives specific examples from a wide range of disciplines to help readers understand the issues and controversies in this evolving area\u2022 Presents rich material for discussion and new ideas for implementing mixed methods research to provide readers with a cutting-edge resource\u2022 Provides pedagogical tools such as learning objectives, discussion questions and exercises, and extensive cross referencing", "author" : [ { "dropping-particle" : "", "family" : "Tashakkori", "given" : "A", "non-dropping-particle" : "", "parse-names" : false, "suffix" : "" }, { "dropping-particle" : "", "family" : "Teddlie", "given" : "C", "non-dropping-particle" : "", "parse-names" : false, "suffix" : "" } ], "container-title" : "Sage Publication", "id" : "ITEM-1", "issue" : "1", "issued" : { "date-parts" : [ [ "2003" ] ] }, "page" : "893", "title" : "Handbook of Mixed Methods in Social &amp; Behavioral Research", "type" : "article-journal", "volume" : "14" }, "uris" : [ "http://www.mendeley.com/documents/?uuid=8a15ab74-6da5-4667-9b0d-be788bfee1a5" ] } ], "mendeley" : { "formattedCitation" : "(A Tashakkori and Teddlie, 2003)", "manualFormatting" : "(Tashakkori and Teddlie, 2003, p.5)", "plainTextFormattedCitation" : "(A Tashakkori and Teddlie, 2003)", "previouslyFormattedCitation" : "(A Tashakkori and Teddlie, 2003)" }, "properties" : { "noteIndex" : 0 }, "schema" : "https://github.com/citation-style-language/schema/raw/master/csl-citation.json" }</w:instrText>
      </w:r>
      <w:r w:rsidR="00690D3B" w:rsidRPr="009B3747">
        <w:rPr>
          <w:rFonts w:eastAsia="Times New Roman" w:cstheme="minorHAnsi"/>
          <w:color w:val="000000"/>
          <w:lang w:eastAsia="en-GB"/>
        </w:rPr>
        <w:fldChar w:fldCharType="separate"/>
      </w:r>
      <w:r w:rsidR="00690D3B" w:rsidRPr="009B3747">
        <w:rPr>
          <w:rFonts w:eastAsia="Times New Roman" w:cstheme="minorHAnsi"/>
          <w:noProof/>
          <w:color w:val="000000"/>
          <w:lang w:eastAsia="en-GB"/>
        </w:rPr>
        <w:t>(Tashakkori and Teddlie, 2003</w:t>
      </w:r>
      <w:r w:rsidR="00FB5B00" w:rsidRPr="009B3747">
        <w:rPr>
          <w:rFonts w:eastAsia="Times New Roman" w:cstheme="minorHAnsi"/>
          <w:noProof/>
          <w:color w:val="000000"/>
          <w:lang w:eastAsia="en-GB"/>
        </w:rPr>
        <w:t>, p.</w:t>
      </w:r>
      <w:r w:rsidR="00690D3B" w:rsidRPr="009B3747">
        <w:rPr>
          <w:rFonts w:eastAsia="Times New Roman" w:cstheme="minorHAnsi"/>
          <w:noProof/>
          <w:color w:val="000000"/>
          <w:lang w:eastAsia="en-GB"/>
        </w:rPr>
        <w:t>5)</w:t>
      </w:r>
      <w:r w:rsidR="00690D3B" w:rsidRPr="009B3747">
        <w:rPr>
          <w:rFonts w:eastAsia="Times New Roman" w:cstheme="minorHAnsi"/>
          <w:color w:val="000000"/>
          <w:lang w:eastAsia="en-GB"/>
        </w:rPr>
        <w:fldChar w:fldCharType="end"/>
      </w:r>
      <w:r w:rsidR="00FF0FA0">
        <w:rPr>
          <w:rFonts w:eastAsia="Times New Roman" w:cstheme="minorHAnsi"/>
          <w:color w:val="000000"/>
          <w:lang w:eastAsia="en-GB"/>
        </w:rPr>
        <w:t xml:space="preserve">, </w:t>
      </w:r>
      <w:r w:rsidRPr="009B3747">
        <w:rPr>
          <w:rFonts w:eastAsia="Times New Roman" w:cstheme="minorHAnsi"/>
          <w:color w:val="000000"/>
          <w:lang w:eastAsia="en-GB"/>
        </w:rPr>
        <w:t>have gained increasing status and impetus over the last two decades especially within health sciences</w:t>
      </w:r>
      <w:r w:rsidR="00690D3B" w:rsidRPr="009B3747">
        <w:rPr>
          <w:rFonts w:eastAsia="Times New Roman" w:cstheme="minorHAnsi"/>
          <w:color w:val="000000"/>
          <w:lang w:eastAsia="en-GB"/>
        </w:rPr>
        <w:t xml:space="preserve"> </w:t>
      </w:r>
      <w:r w:rsidR="00690D3B" w:rsidRPr="009B3747">
        <w:rPr>
          <w:rFonts w:eastAsia="Times New Roman" w:cstheme="minorHAnsi"/>
          <w:color w:val="000000"/>
          <w:lang w:eastAsia="en-GB"/>
        </w:rPr>
        <w:fldChar w:fldCharType="begin" w:fldLock="1"/>
      </w:r>
      <w:r w:rsidR="00690D3B" w:rsidRPr="009B3747">
        <w:rPr>
          <w:rFonts w:eastAsia="Times New Roman" w:cstheme="minorHAnsi"/>
          <w:color w:val="000000"/>
          <w:lang w:eastAsia="en-GB"/>
        </w:rPr>
        <w:instrText>ADDIN CSL_CITATION { "citationItems" : [ { "id" : "ITEM-1", "itemData" : { "DOI" : "10.1186/1471-2288-9-82", "ISSN" : "1471-2288", "author" : [ { "dropping-particle" : "", "family" : "O'Cathain", "given" : "Alicia", "non-dropping-particle" : "", "parse-names" : false, "suffix" : "" }, { "dropping-particle" : "", "family" : "Nicholl", "given" : "Jon", "non-dropping-particle" : "", "parse-names" : false, "suffix" : "" }, { "dropping-particle" : "", "family" : "Murphy", "given" : "Elizabeth", "non-dropping-particle" : "", "parse-names" : false, "suffix" : "" } ], "container-title" : "BMC Medical Research Methodology", "id" : "ITEM-1", "issue" : "1", "issued" : { "date-parts" : [ [ "2009", "12", "9" ] ] }, "page" : "82", "title" : "Structural issues affecting mixed methods studies in health research: a qualitative study", "type" : "article-journal", "volume" : "9" }, "uris" : [ "http://www.mendeley.com/documents/?uuid=c4bcd401-c014-337d-a97b-1dec86e12106" ] } ], "mendeley" : { "formattedCitation" : "(O\u2019Cathain et al., 2009)", "plainTextFormattedCitation" : "(O\u2019Cathain et al., 2009)", "previouslyFormattedCitation" : "(O\u2019Cathain et al., 2009)" }, "properties" : { "noteIndex" : 0 }, "schema" : "https://github.com/citation-style-language/schema/raw/master/csl-citation.json" }</w:instrText>
      </w:r>
      <w:r w:rsidR="00690D3B" w:rsidRPr="009B3747">
        <w:rPr>
          <w:rFonts w:eastAsia="Times New Roman" w:cstheme="minorHAnsi"/>
          <w:color w:val="000000"/>
          <w:lang w:eastAsia="en-GB"/>
        </w:rPr>
        <w:fldChar w:fldCharType="separate"/>
      </w:r>
      <w:r w:rsidR="00690D3B" w:rsidRPr="009B3747">
        <w:rPr>
          <w:rFonts w:eastAsia="Times New Roman" w:cstheme="minorHAnsi"/>
          <w:noProof/>
          <w:color w:val="000000"/>
          <w:lang w:eastAsia="en-GB"/>
        </w:rPr>
        <w:t>(O’Cathain et al., 2009)</w:t>
      </w:r>
      <w:r w:rsidR="00690D3B" w:rsidRPr="009B3747">
        <w:rPr>
          <w:rFonts w:eastAsia="Times New Roman" w:cstheme="minorHAnsi"/>
          <w:color w:val="000000"/>
          <w:lang w:eastAsia="en-GB"/>
        </w:rPr>
        <w:fldChar w:fldCharType="end"/>
      </w:r>
      <w:r w:rsidR="00690D3B" w:rsidRPr="009B3747">
        <w:rPr>
          <w:rFonts w:eastAsia="Times New Roman" w:cstheme="minorHAnsi"/>
          <w:color w:val="000000"/>
          <w:lang w:eastAsia="en-GB"/>
        </w:rPr>
        <w:t xml:space="preserve">.  Defined as a procedure of </w:t>
      </w:r>
      <w:r w:rsidR="00690D3B" w:rsidRPr="009B3747">
        <w:rPr>
          <w:rFonts w:eastAsia="Times New Roman" w:cstheme="minorHAnsi"/>
          <w:i/>
          <w:color w:val="000000"/>
          <w:lang w:eastAsia="en-GB"/>
        </w:rPr>
        <w:t>“</w:t>
      </w:r>
      <w:r w:rsidRPr="009B3747">
        <w:rPr>
          <w:rFonts w:eastAsia="Times New Roman" w:cstheme="minorHAnsi"/>
          <w:i/>
          <w:color w:val="000000"/>
          <w:lang w:eastAsia="en-GB"/>
        </w:rPr>
        <w:t>collecting, analysing and mixing both quantitative and qualitative data within a sin</w:t>
      </w:r>
      <w:r w:rsidR="00690D3B" w:rsidRPr="009B3747">
        <w:rPr>
          <w:rFonts w:eastAsia="Times New Roman" w:cstheme="minorHAnsi"/>
          <w:i/>
          <w:color w:val="000000"/>
          <w:lang w:eastAsia="en-GB"/>
        </w:rPr>
        <w:t>gle study or series of studies”</w:t>
      </w:r>
      <w:r w:rsidR="00690D3B" w:rsidRPr="009B3747">
        <w:rPr>
          <w:rFonts w:eastAsia="Times New Roman" w:cstheme="minorHAnsi"/>
          <w:color w:val="000000"/>
          <w:lang w:eastAsia="en-GB"/>
        </w:rPr>
        <w:t xml:space="preserve"> </w:t>
      </w:r>
      <w:r w:rsidR="00690D3B"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"Creswell", "given" : "JW", "non-dropping-particle" : "", "parse-names" : false, "suffix" : "" }, { "dropping-particle" : "", "family" : "Clark", "given" : "VLP", "non-dropping-particle" : "", "parse-names" : false, "suffix" : "" } ], "edition" : "1st", "id" : "ITEM-1", "issued" : { "date-parts" : [ [ "2007" ] ] }, "publisher" : "SAGE Publications Inc.", "publisher-place" : "Thousand Oaks", "title" : "Designing and conducting mixed methods research", "type" : "book" }, "uris" : [ "http://www.mendeley.com/documents/?uuid=450730c4-cfe7-4ef3-acc5-a7ca4306febf" ] } ], "mendeley" : { "formattedCitation" : "(Creswell and Clark, 2007)", "manualFormatting" : "(Creswell and Clark, 2007, p.5)", "plainTextFormattedCitation" : "(Creswell and Clark, 2007)", "previouslyFormattedCitation" : "(Creswell and Clark, 2007)" }, "properties" : { "noteIndex" : 0 }, "schema" : "https://github.com/citation-style-language/schema/raw/master/csl-citation.json" }</w:instrText>
      </w:r>
      <w:r w:rsidR="00690D3B" w:rsidRPr="009B3747">
        <w:rPr>
          <w:rFonts w:eastAsia="Times New Roman" w:cstheme="minorHAnsi"/>
          <w:color w:val="000000"/>
          <w:lang w:eastAsia="en-GB"/>
        </w:rPr>
        <w:fldChar w:fldCharType="separate"/>
      </w:r>
      <w:r w:rsidR="00690D3B" w:rsidRPr="009B3747">
        <w:rPr>
          <w:rFonts w:eastAsia="Times New Roman" w:cstheme="minorHAnsi"/>
          <w:noProof/>
          <w:color w:val="000000"/>
          <w:lang w:eastAsia="en-GB"/>
        </w:rPr>
        <w:t>(Creswell and Clark, 2007</w:t>
      </w:r>
      <w:r w:rsidR="00FB5B00" w:rsidRPr="009B3747">
        <w:rPr>
          <w:rFonts w:eastAsia="Times New Roman" w:cstheme="minorHAnsi"/>
          <w:noProof/>
          <w:color w:val="000000"/>
          <w:lang w:eastAsia="en-GB"/>
        </w:rPr>
        <w:t>, p.</w:t>
      </w:r>
      <w:r w:rsidR="00690D3B" w:rsidRPr="009B3747">
        <w:rPr>
          <w:rFonts w:eastAsia="Times New Roman" w:cstheme="minorHAnsi"/>
          <w:noProof/>
          <w:color w:val="000000"/>
          <w:lang w:eastAsia="en-GB"/>
        </w:rPr>
        <w:t>5)</w:t>
      </w:r>
      <w:r w:rsidR="00690D3B" w:rsidRPr="009B3747">
        <w:rPr>
          <w:rFonts w:eastAsia="Times New Roman" w:cstheme="minorHAnsi"/>
          <w:color w:val="000000"/>
          <w:lang w:eastAsia="en-GB"/>
        </w:rPr>
        <w:fldChar w:fldCharType="end"/>
      </w:r>
      <w:r w:rsidR="00690D3B" w:rsidRPr="009B3747">
        <w:rPr>
          <w:rFonts w:eastAsia="Times New Roman" w:cstheme="minorHAnsi"/>
          <w:color w:val="000000"/>
          <w:lang w:eastAsia="en-GB"/>
        </w:rPr>
        <w:t>,</w:t>
      </w:r>
      <w:r w:rsidRPr="009B3747">
        <w:rPr>
          <w:rFonts w:eastAsia="Times New Roman" w:cstheme="minorHAnsi"/>
          <w:color w:val="000000"/>
          <w:lang w:eastAsia="en-GB"/>
        </w:rPr>
        <w:t xml:space="preserve"> mixed methods approaches are promoted as being </w:t>
      </w:r>
      <w:r w:rsidRPr="009B3747">
        <w:rPr>
          <w:rFonts w:eastAsia="Times New Roman" w:cstheme="minorHAnsi"/>
          <w:color w:val="000000"/>
          <w:lang w:eastAsia="en-GB"/>
        </w:rPr>
        <w:lastRenderedPageBreak/>
        <w:t>appropriate for answering complex research questions</w:t>
      </w:r>
      <w:r w:rsidR="00FF0FA0">
        <w:rPr>
          <w:rFonts w:eastAsia="Times New Roman" w:cstheme="minorHAnsi"/>
          <w:color w:val="000000"/>
          <w:lang w:eastAsia="en-GB"/>
        </w:rPr>
        <w:t>,</w:t>
      </w:r>
      <w:r w:rsidRPr="009B3747">
        <w:rPr>
          <w:rFonts w:eastAsia="Times New Roman" w:cstheme="minorHAnsi"/>
          <w:color w:val="000000"/>
          <w:lang w:eastAsia="en-GB"/>
        </w:rPr>
        <w:t xml:space="preserve"> that single researches approaches may not</w:t>
      </w:r>
      <w:r w:rsidR="00690D3B" w:rsidRPr="009B3747">
        <w:rPr>
          <w:rFonts w:eastAsia="Times New Roman" w:cstheme="minorHAnsi"/>
          <w:color w:val="000000"/>
          <w:lang w:eastAsia="en-GB"/>
        </w:rPr>
        <w:t xml:space="preserve"> </w:t>
      </w:r>
      <w:r w:rsidR="00690D3B" w:rsidRPr="009B3747">
        <w:rPr>
          <w:rFonts w:eastAsia="Times New Roman" w:cstheme="minorHAnsi"/>
          <w:color w:val="000000"/>
          <w:lang w:eastAsia="en-GB"/>
        </w:rPr>
        <w:fldChar w:fldCharType="begin" w:fldLock="1"/>
      </w:r>
      <w:r w:rsidR="000F2429" w:rsidRPr="009B3747">
        <w:rPr>
          <w:rFonts w:eastAsia="Times New Roman" w:cstheme="minorHAnsi"/>
          <w:color w:val="000000"/>
          <w:lang w:eastAsia="en-GB"/>
        </w:rPr>
        <w:instrText>ADDIN CSL_CITATION { "citationItems" : [ { "id" : "ITEM-1", "itemData" : { "author" : [ { "dropping-particle" : "", "family" : "Bowling", "given" : "A", "non-dropping-particle" : "", "parse-names" : false, "suffix" : "" } ], "edition" : "4th", "id" : "ITEM-1", "issued" : { "date-parts" : [ [ "2014" ] ] }, "publisher" : "Open University Press", "publisher-place" : "Maidenhead, UK", "title" : "Research methods in health: investigating health and health services", "type" : "book" }, "uris" : [ "http://www.mendeley.com/documents/?uuid=50092966-af1d-4766-bf38-8a55db776f74" ] } ], "mendeley" : { "formattedCitation" : "(Bowling, 2014)", "plainTextFormattedCitation" : "(Bowling, 2014)", "previouslyFormattedCitation" : "(Bowling, 2014)" }, "properties" : { "noteIndex" : 0 }, "schema" : "https://github.com/citation-style-language/schema/raw/master/csl-citation.json" }</w:instrText>
      </w:r>
      <w:r w:rsidR="00690D3B" w:rsidRPr="009B3747">
        <w:rPr>
          <w:rFonts w:eastAsia="Times New Roman" w:cstheme="minorHAnsi"/>
          <w:color w:val="000000"/>
          <w:lang w:eastAsia="en-GB"/>
        </w:rPr>
        <w:fldChar w:fldCharType="separate"/>
      </w:r>
      <w:r w:rsidR="00690D3B" w:rsidRPr="009B3747">
        <w:rPr>
          <w:rFonts w:eastAsia="Times New Roman" w:cstheme="minorHAnsi"/>
          <w:noProof/>
          <w:color w:val="000000"/>
          <w:lang w:eastAsia="en-GB"/>
        </w:rPr>
        <w:t>(Bowling, 2014)</w:t>
      </w:r>
      <w:r w:rsidR="00690D3B" w:rsidRPr="009B3747">
        <w:rPr>
          <w:rFonts w:eastAsia="Times New Roman" w:cstheme="minorHAnsi"/>
          <w:color w:val="000000"/>
          <w:lang w:eastAsia="en-GB"/>
        </w:rPr>
        <w:fldChar w:fldCharType="end"/>
      </w:r>
      <w:r w:rsidR="00690D3B" w:rsidRPr="009B3747">
        <w:rPr>
          <w:rFonts w:eastAsia="Times New Roman" w:cstheme="minorHAnsi"/>
          <w:color w:val="000000"/>
          <w:lang w:eastAsia="en-GB"/>
        </w:rPr>
        <w:t xml:space="preserve">.  </w:t>
      </w:r>
      <w:r w:rsidRPr="009B3747">
        <w:rPr>
          <w:rFonts w:eastAsia="Times New Roman" w:cstheme="minorHAnsi"/>
          <w:color w:val="000000"/>
          <w:lang w:eastAsia="en-GB"/>
        </w:rPr>
        <w:t>Distingui</w:t>
      </w:r>
      <w:r w:rsidR="0071085A">
        <w:rPr>
          <w:rFonts w:eastAsia="Times New Roman" w:cstheme="minorHAnsi"/>
          <w:color w:val="000000"/>
          <w:lang w:eastAsia="en-GB"/>
        </w:rPr>
        <w:t xml:space="preserve">shed from multi-method research, </w:t>
      </w:r>
      <w:r w:rsidRPr="009B3747">
        <w:rPr>
          <w:rFonts w:eastAsia="Times New Roman" w:cstheme="minorHAnsi"/>
          <w:color w:val="000000"/>
          <w:lang w:eastAsia="en-GB"/>
        </w:rPr>
        <w:t>which uses a combination of methods to yield data of the same kind</w:t>
      </w:r>
      <w:r w:rsidR="00690D3B" w:rsidRPr="009B3747">
        <w:rPr>
          <w:rFonts w:eastAsia="Times New Roman" w:cstheme="minorHAnsi"/>
          <w:color w:val="000000"/>
          <w:lang w:eastAsia="en-GB"/>
        </w:rPr>
        <w:t xml:space="preserve"> </w:t>
      </w:r>
      <w:r w:rsidR="00690D3B" w:rsidRPr="009B3747">
        <w:rPr>
          <w:rFonts w:eastAsia="Times New Roman" w:cstheme="minorHAnsi"/>
          <w:color w:val="000000"/>
          <w:lang w:eastAsia="en-GB"/>
        </w:rPr>
        <w:fldChar w:fldCharType="begin" w:fldLock="1"/>
      </w:r>
      <w:r w:rsidR="00C83875" w:rsidRPr="009B3747">
        <w:rPr>
          <w:rFonts w:eastAsia="Times New Roman" w:cstheme="minorHAnsi"/>
          <w:color w:val="000000"/>
          <w:lang w:eastAsia="en-GB"/>
        </w:rPr>
        <w:instrText>ADDIN CSL_CITATION { "citationItems" : [ { "id" : "ITEM-1", "itemData" : { "author" : [ { "dropping-particle" : "", "family" : "Teddlie", "given" : "C", "non-dropping-particle" : "", "parse-names" : false, "suffix" : "" }, { "dropping-particle" : "", "family" : "Tashakkori", "given" : "A", "non-dropping-particle" : "", "parse-names" : false, "suffix" : "" } ], "id" : "ITEM-1", "issued" : { "date-parts" : [ [ "2009" ] ] }, "publisher" : "SAGE Publications Inc.", "publisher-place" : "Thousand Oaks", "title" : "Foundations of mixed methods research: Integrating quantitative and qualitative approaches in the social and behavioral sciences", "type" : "book" }, "uris" : [ "http://www.mendeley.com/documents/?uuid=bbf94a8b-67b4-494f-92ca-828dd65fa45c" ] } ], "mendeley" : { "formattedCitation" : "(Teddlie and Tashakkori, 2009)", "plainTextFormattedCitation" : "(Teddlie and Tashakkori, 2009)", "previouslyFormattedCitation" : "(Teddlie and Tashakkori, 2009)" }, "properties" : { "noteIndex" : 0 }, "schema" : "https://github.com/citation-style-language/schema/raw/master/csl-citation.json" }</w:instrText>
      </w:r>
      <w:r w:rsidR="00690D3B" w:rsidRPr="009B3747">
        <w:rPr>
          <w:rFonts w:eastAsia="Times New Roman" w:cstheme="minorHAnsi"/>
          <w:color w:val="000000"/>
          <w:lang w:eastAsia="en-GB"/>
        </w:rPr>
        <w:fldChar w:fldCharType="separate"/>
      </w:r>
      <w:r w:rsidR="006F2F83" w:rsidRPr="009B3747">
        <w:rPr>
          <w:rFonts w:eastAsia="Times New Roman" w:cstheme="minorHAnsi"/>
          <w:noProof/>
          <w:color w:val="000000"/>
          <w:lang w:eastAsia="en-GB"/>
        </w:rPr>
        <w:t>(Teddlie and Tashakkori, 2009)</w:t>
      </w:r>
      <w:r w:rsidR="00690D3B"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proponents of mixed method research advocate its ability to </w:t>
      </w:r>
      <w:r w:rsidR="00690D3B" w:rsidRPr="009B3747">
        <w:rPr>
          <w:rFonts w:eastAsia="Times New Roman" w:cstheme="minorHAnsi"/>
          <w:i/>
          <w:color w:val="000000"/>
          <w:lang w:eastAsia="en-GB"/>
        </w:rPr>
        <w:t>“</w:t>
      </w:r>
      <w:r w:rsidRPr="009B3747">
        <w:rPr>
          <w:rFonts w:eastAsia="Times New Roman" w:cstheme="minorHAnsi"/>
          <w:i/>
          <w:iCs/>
          <w:color w:val="000000"/>
          <w:lang w:eastAsia="en-GB"/>
        </w:rPr>
        <w:t>draw from the streng</w:t>
      </w:r>
      <w:r w:rsidR="00FB5B00" w:rsidRPr="009B3747">
        <w:rPr>
          <w:rFonts w:eastAsia="Times New Roman" w:cstheme="minorHAnsi"/>
          <w:i/>
          <w:iCs/>
          <w:color w:val="000000"/>
          <w:lang w:eastAsia="en-GB"/>
        </w:rPr>
        <w:t>ths and minimise the weaknesses”</w:t>
      </w:r>
      <w:r w:rsidRPr="009B3747">
        <w:rPr>
          <w:rFonts w:eastAsia="Times New Roman" w:cstheme="minorHAnsi"/>
          <w:i/>
          <w:iCs/>
          <w:color w:val="000000"/>
          <w:lang w:eastAsia="en-GB"/>
        </w:rPr>
        <w:t xml:space="preserve"> </w:t>
      </w:r>
      <w:r w:rsidRPr="009B3747">
        <w:rPr>
          <w:rFonts w:eastAsia="Times New Roman" w:cstheme="minorHAnsi"/>
          <w:color w:val="000000"/>
          <w:lang w:eastAsia="en-GB"/>
        </w:rPr>
        <w:t>of single quantitative or qualitative research studies</w:t>
      </w:r>
      <w:r w:rsidR="00666676" w:rsidRPr="009B3747">
        <w:rPr>
          <w:rFonts w:eastAsia="Times New Roman" w:cstheme="minorHAnsi"/>
          <w:color w:val="000000"/>
          <w:lang w:eastAsia="en-GB"/>
        </w:rPr>
        <w:t xml:space="preserve"> </w:t>
      </w:r>
      <w:r w:rsidR="00666676"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"Johnson", "given" : "RB", "non-dropping-particle" : "", "parse-names" : false, "suffix" : "" }, { "dropping-particle" : "", "family" : "Onwuegbuzie", "given" : "AJ", "non-dropping-particle" : "", "parse-names" : false, "suffix" : "" } ], "container-title" : "Educational researcher", "id" : "ITEM-1", "issue" : "7", "issued" : { "date-parts" : [ [ "2004" ] ] }, "page" : "14-26", "title" : "Mixed methods research: A research paradigm whose time has come", "type" : "article-journal", "volume" : "33" }, "uris" : [ "http://www.mendeley.com/documents/?uuid=1e7f2872-93d9-4b8d-89fd-c60a1166dd44" ] } ], "mendeley" : { "formattedCitation" : "(Johnson and Onwuegbuzie, 2004)", "manualFormatting" : "(Johnson and Onwuegbuzie, 2004, p.14-15)", "plainTextFormattedCitation" : "(Johnson and Onwuegbuzie, 2004)", "previouslyFormattedCitation" : "(Johnson and Onwuegbuzie, 2004)" }, "properties" : { "noteIndex" : 0 }, "schema" : "https://github.com/citation-style-language/schema/raw/master/csl-citation.json" }</w:instrText>
      </w:r>
      <w:r w:rsidR="00666676" w:rsidRPr="009B3747">
        <w:rPr>
          <w:rFonts w:eastAsia="Times New Roman" w:cstheme="minorHAnsi"/>
          <w:color w:val="000000"/>
          <w:lang w:eastAsia="en-GB"/>
        </w:rPr>
        <w:fldChar w:fldCharType="separate"/>
      </w:r>
      <w:r w:rsidR="00666676" w:rsidRPr="009B3747">
        <w:rPr>
          <w:rFonts w:eastAsia="Times New Roman" w:cstheme="minorHAnsi"/>
          <w:noProof/>
          <w:color w:val="000000"/>
          <w:lang w:eastAsia="en-GB"/>
        </w:rPr>
        <w:t>(Johnson and Onwuegbuzie, 2004</w:t>
      </w:r>
      <w:r w:rsidR="00FB5B00" w:rsidRPr="009B3747">
        <w:rPr>
          <w:rFonts w:eastAsia="Times New Roman" w:cstheme="minorHAnsi"/>
          <w:noProof/>
          <w:color w:val="000000"/>
          <w:lang w:eastAsia="en-GB"/>
        </w:rPr>
        <w:t>, p.</w:t>
      </w:r>
      <w:r w:rsidR="00666676" w:rsidRPr="009B3747">
        <w:rPr>
          <w:rFonts w:eastAsia="Times New Roman" w:cstheme="minorHAnsi"/>
          <w:noProof/>
          <w:color w:val="000000"/>
          <w:lang w:eastAsia="en-GB"/>
        </w:rPr>
        <w:t>14-15)</w:t>
      </w:r>
      <w:r w:rsidR="00666676" w:rsidRPr="009B3747">
        <w:rPr>
          <w:rFonts w:eastAsia="Times New Roman" w:cstheme="minorHAnsi"/>
          <w:color w:val="000000"/>
          <w:lang w:eastAsia="en-GB"/>
        </w:rPr>
        <w:fldChar w:fldCharType="end"/>
      </w:r>
      <w:r w:rsidR="00666676" w:rsidRPr="009B3747">
        <w:rPr>
          <w:rFonts w:eastAsia="Times New Roman" w:cstheme="minorHAnsi"/>
          <w:color w:val="000000"/>
          <w:lang w:eastAsia="en-GB"/>
        </w:rPr>
        <w:t>.</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Depending on the research aims and the researcher’s beliefs and values, the rationale for adopting a mixed-methods research approach may differ</w:t>
      </w:r>
      <w:r w:rsidR="00666676" w:rsidRPr="009B3747">
        <w:rPr>
          <w:rFonts w:eastAsia="Times New Roman" w:cstheme="minorHAnsi"/>
          <w:color w:val="000000"/>
          <w:lang w:eastAsia="en-GB"/>
        </w:rPr>
        <w:t xml:space="preserve"> </w:t>
      </w:r>
      <w:r w:rsidR="00666676" w:rsidRPr="009B3747">
        <w:rPr>
          <w:rFonts w:eastAsia="Times New Roman" w:cstheme="minorHAnsi"/>
          <w:color w:val="000000"/>
          <w:lang w:eastAsia="en-GB"/>
        </w:rPr>
        <w:fldChar w:fldCharType="begin" w:fldLock="1"/>
      </w:r>
      <w:r w:rsidR="000623D3" w:rsidRPr="009B3747">
        <w:rPr>
          <w:rFonts w:eastAsia="Times New Roman" w:cstheme="minorHAnsi"/>
          <w:color w:val="000000"/>
          <w:lang w:eastAsia="en-GB"/>
        </w:rPr>
        <w:instrText>ADDIN CSL_CITATION { "citationItems" : [ { "id" : "ITEM-1", "itemData" : { "author" : [ { "dropping-particle" : "", "family" : "Greene", "given" : "JC", "non-dropping-particle" : "", "parse-names" : false, "suffix" : "" } ], "container-title" : "Educational evaluation and \u2026", "id" : "ITEM-1", "issued" : { "date-parts" : [ [ "1989" ] ] }, "title" : "Toward a conceptual framework for mixed-method evaluation designs", "type" : "article-journal" }, "uris" : [ "http://www.mendeley.com/documents/?uuid=ea00d3e4-b94c-4da5-829e-0462926783c9" ] } ], "mendeley" : { "formattedCitation" : "(Greene, 1989)", "plainTextFormattedCitation" : "(Greene, 1989)", "previouslyFormattedCitation" : "(Greene, 1989)" }, "properties" : { "noteIndex" : 0 }, "schema" : "https://github.com/citation-style-language/schema/raw/master/csl-citation.json" }</w:instrText>
      </w:r>
      <w:r w:rsidR="00666676" w:rsidRPr="009B3747">
        <w:rPr>
          <w:rFonts w:eastAsia="Times New Roman" w:cstheme="minorHAnsi"/>
          <w:color w:val="000000"/>
          <w:lang w:eastAsia="en-GB"/>
        </w:rPr>
        <w:fldChar w:fldCharType="separate"/>
      </w:r>
      <w:r w:rsidR="00666676" w:rsidRPr="009B3747">
        <w:rPr>
          <w:rFonts w:eastAsia="Times New Roman" w:cstheme="minorHAnsi"/>
          <w:noProof/>
          <w:color w:val="000000"/>
          <w:lang w:eastAsia="en-GB"/>
        </w:rPr>
        <w:t>(Greene, 1989)</w:t>
      </w:r>
      <w:r w:rsidR="00666676" w:rsidRPr="009B3747">
        <w:rPr>
          <w:rFonts w:eastAsia="Times New Roman" w:cstheme="minorHAnsi"/>
          <w:color w:val="000000"/>
          <w:lang w:eastAsia="en-GB"/>
        </w:rPr>
        <w:fldChar w:fldCharType="end"/>
      </w:r>
      <w:r w:rsidR="00A942FB">
        <w:rPr>
          <w:rFonts w:eastAsia="Times New Roman" w:cstheme="minorHAnsi"/>
          <w:color w:val="000000"/>
          <w:lang w:eastAsia="en-GB"/>
        </w:rPr>
        <w:t>.  In addition, v</w:t>
      </w:r>
      <w:r w:rsidRPr="009B3747">
        <w:rPr>
          <w:rFonts w:eastAsia="Times New Roman" w:cstheme="minorHAnsi"/>
          <w:color w:val="000000"/>
          <w:lang w:eastAsia="en-GB"/>
        </w:rPr>
        <w:t>ariations exist in how res</w:t>
      </w:r>
      <w:r w:rsidR="00666676" w:rsidRPr="009B3747">
        <w:rPr>
          <w:rFonts w:eastAsia="Times New Roman" w:cstheme="minorHAnsi"/>
          <w:color w:val="000000"/>
          <w:lang w:eastAsia="en-GB"/>
        </w:rPr>
        <w:t xml:space="preserve">earchers choose to design mixed </w:t>
      </w:r>
      <w:r w:rsidRPr="009B3747">
        <w:rPr>
          <w:rFonts w:eastAsia="Times New Roman" w:cstheme="minorHAnsi"/>
          <w:color w:val="000000"/>
          <w:lang w:eastAsia="en-GB"/>
        </w:rPr>
        <w:t>methods research, relating to the timing, weighting and connection of quantitative and qualitative parts</w:t>
      </w:r>
      <w:r w:rsidR="000623D3" w:rsidRPr="009B3747">
        <w:rPr>
          <w:rFonts w:eastAsia="Times New Roman" w:cstheme="minorHAnsi"/>
          <w:color w:val="000000"/>
          <w:lang w:eastAsia="en-GB"/>
        </w:rPr>
        <w:t xml:space="preserve"> </w:t>
      </w:r>
      <w:r w:rsidR="000623D3" w:rsidRPr="009B3747">
        <w:rPr>
          <w:rFonts w:eastAsia="Times New Roman" w:cstheme="minorHAnsi"/>
          <w:color w:val="000000"/>
          <w:lang w:eastAsia="en-GB"/>
        </w:rPr>
        <w:fldChar w:fldCharType="begin" w:fldLock="1"/>
      </w:r>
      <w:r w:rsidR="00A84723" w:rsidRPr="009B3747">
        <w:rPr>
          <w:rFonts w:eastAsia="Times New Roman" w:cstheme="minorHAnsi"/>
          <w:color w:val="000000"/>
          <w:lang w:eastAsia="en-GB"/>
        </w:rPr>
        <w:instrText>ADDIN CSL_CITATION { "citationItems" : [ { "id" : "ITEM-1", "itemData" : { "author" : [ { "dropping-particle" : "", "family" : "Creswell", "given" : "JW", "non-dropping-particle" : "", "parse-names" : false, "suffix" : "" }, { "dropping-particle" : "", "family" : "Clark", "given" : "VLP", "non-dropping-particle" : "", "parse-names" : false, "suffix" : "" } ], "edition" : "1st", "id" : "ITEM-1", "issued" : { "date-parts" : [ [ "2007" ] ] }, "publisher" : "SAGE Publications Inc.", "publisher-place" : "Thousand Oaks", "title" : "Designing and conducting mixed methods research", "type" : "book" }, "uris" : [ "http://www.mendeley.com/documents/?uuid=450730c4-cfe7-4ef3-acc5-a7ca4306febf" ] }, { "id" : "ITEM-2", "itemData" : { "author" : [ { "dropping-particle" : "", "family" : "Tashakkori", "given" : "A", "non-dropping-particle" : "", "parse-names" : false, "suffix" : "" }, { "dropping-particle" : "", "family" : "Teddlie", "given" : "C", "non-dropping-particle" : "", "parse-names" : false, "suffix" : "" } ], "edition" : "2nd", "id" : "ITEM-2", "issued" : { "date-parts" : [ [ "2010" ] ] }, "publisher" : "SAGE Publications Inc.", "title" : "Sage handbook of mixed methods in social &amp; behavioral research", "type" : "book" }, "uris" : [ "http://www.mendeley.com/documents/?uuid=d6e96658-2f45-4792-b4dd-a27099e07048" ] } ], "mendeley" : { "formattedCitation" : "(Creswell and Clark, 2007; Tashakkori and Teddlie, 2010)", "plainTextFormattedCitation" : "(Creswell and Clark, 2007; Tashakkori and Teddlie, 2010)", "previouslyFormattedCitation" : "(Creswell and Clark, 2007; Tashakkori and Teddlie, 2010)" }, "properties" : { "noteIndex" : 0 }, "schema" : "https://github.com/citation-style-language/schema/raw/master/csl-citation.json" }</w:instrText>
      </w:r>
      <w:r w:rsidR="000623D3" w:rsidRPr="009B3747">
        <w:rPr>
          <w:rFonts w:eastAsia="Times New Roman" w:cstheme="minorHAnsi"/>
          <w:color w:val="000000"/>
          <w:lang w:eastAsia="en-GB"/>
        </w:rPr>
        <w:fldChar w:fldCharType="separate"/>
      </w:r>
      <w:r w:rsidR="00395650" w:rsidRPr="009B3747">
        <w:rPr>
          <w:rFonts w:eastAsia="Times New Roman" w:cstheme="minorHAnsi"/>
          <w:noProof/>
          <w:color w:val="000000"/>
          <w:lang w:eastAsia="en-GB"/>
        </w:rPr>
        <w:t>(Creswell and Clark, 2007; Tashakkori and Teddlie, 2010)</w:t>
      </w:r>
      <w:r w:rsidR="000623D3" w:rsidRPr="009B3747">
        <w:rPr>
          <w:rFonts w:eastAsia="Times New Roman" w:cstheme="minorHAnsi"/>
          <w:color w:val="000000"/>
          <w:lang w:eastAsia="en-GB"/>
        </w:rPr>
        <w:fldChar w:fldCharType="end"/>
      </w:r>
      <w:r w:rsidR="000623D3" w:rsidRPr="009B3747">
        <w:rPr>
          <w:rFonts w:eastAsia="Times New Roman" w:cstheme="minorHAnsi"/>
          <w:color w:val="000000"/>
          <w:lang w:eastAsia="en-GB"/>
        </w:rPr>
        <w:t>.</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Despite the increasing interest and application of mixed methods research approaches, the collection, analysis and integration of qualitative and quantitative research has been greatly debated</w:t>
      </w:r>
      <w:r w:rsidR="000623D3" w:rsidRPr="009B3747">
        <w:rPr>
          <w:rFonts w:eastAsia="Times New Roman" w:cstheme="minorHAnsi"/>
          <w:color w:val="000000"/>
          <w:lang w:eastAsia="en-GB"/>
        </w:rPr>
        <w:t xml:space="preserve"> </w:t>
      </w:r>
      <w:r w:rsidR="000623D3"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"Morgan", "given" : "DL", "non-dropping-particle" : "", "parse-names" : false, "suffix" : "" } ], "container-title" : "Journal of mixed methods research", "id" : "ITEM-1", "issue" : "1", "issued" : { "date-parts" : [ [ "2007" ] ] }, "page" : "48-76", "title" : "Paradigms lost and pragmatism regained methodological implications of combining qualitative and quantitative methods", "type" : "article-journal", "volume" : "1" }, "uris" : [ "http://www.mendeley.com/documents/?uuid=4b71a81c-d3ac-44e0-a5a3-7b86b2d9eeec" ] } ], "mendeley" : { "formattedCitation" : "(Morgan, 2007)", "plainTextFormattedCitation" : "(Morgan, 2007)", "previouslyFormattedCitation" : "(Morgan, 2007)" }, "properties" : { "noteIndex" : 0 }, "schema" : "https://github.com/citation-style-language/schema/raw/master/csl-citation.json" }</w:instrText>
      </w:r>
      <w:r w:rsidR="000623D3" w:rsidRPr="009B3747">
        <w:rPr>
          <w:rFonts w:eastAsia="Times New Roman" w:cstheme="minorHAnsi"/>
          <w:color w:val="000000"/>
          <w:lang w:eastAsia="en-GB"/>
        </w:rPr>
        <w:fldChar w:fldCharType="separate"/>
      </w:r>
      <w:r w:rsidR="000623D3" w:rsidRPr="009B3747">
        <w:rPr>
          <w:rFonts w:eastAsia="Times New Roman" w:cstheme="minorHAnsi"/>
          <w:noProof/>
          <w:color w:val="000000"/>
          <w:lang w:eastAsia="en-GB"/>
        </w:rPr>
        <w:t>(Morgan, 2007)</w:t>
      </w:r>
      <w:r w:rsidR="000623D3" w:rsidRPr="009B3747">
        <w:rPr>
          <w:rFonts w:eastAsia="Times New Roman" w:cstheme="minorHAnsi"/>
          <w:color w:val="000000"/>
          <w:lang w:eastAsia="en-GB"/>
        </w:rPr>
        <w:fldChar w:fldCharType="end"/>
      </w:r>
      <w:r w:rsidRPr="009B3747">
        <w:rPr>
          <w:rFonts w:eastAsia="Times New Roman" w:cstheme="minorHAnsi"/>
          <w:color w:val="000000"/>
          <w:lang w:eastAsia="en-GB"/>
        </w:rPr>
        <w:t>.  Single method purists argue that fundamental differences in the philosophical worldviews, designs and methods of quantitative and qualitative research approaches</w:t>
      </w:r>
      <w:r w:rsidR="00A942FB">
        <w:rPr>
          <w:rFonts w:eastAsia="Times New Roman" w:cstheme="minorHAnsi"/>
          <w:color w:val="000000"/>
          <w:lang w:eastAsia="en-GB"/>
        </w:rPr>
        <w:t>,</w:t>
      </w:r>
      <w:r w:rsidRPr="009B3747">
        <w:rPr>
          <w:rFonts w:eastAsia="Times New Roman" w:cstheme="minorHAnsi"/>
          <w:color w:val="000000"/>
          <w:lang w:eastAsia="en-GB"/>
        </w:rPr>
        <w:t xml:space="preserve"> mean it is inappropriate to mix them, a concept at times referred to as the incompatibility thesis</w:t>
      </w:r>
      <w:r w:rsidR="000623D3" w:rsidRPr="009B3747">
        <w:rPr>
          <w:rFonts w:eastAsia="Times New Roman" w:cstheme="minorHAnsi"/>
          <w:color w:val="000000"/>
          <w:lang w:eastAsia="en-GB"/>
        </w:rPr>
        <w:t xml:space="preserve"> </w:t>
      </w:r>
      <w:r w:rsidR="000623D3" w:rsidRPr="009B3747">
        <w:rPr>
          <w:rFonts w:eastAsia="Times New Roman" w:cstheme="minorHAnsi"/>
          <w:color w:val="000000"/>
          <w:lang w:eastAsia="en-GB"/>
        </w:rPr>
        <w:fldChar w:fldCharType="begin" w:fldLock="1"/>
      </w:r>
      <w:r w:rsidR="00C83875" w:rsidRPr="009B3747">
        <w:rPr>
          <w:rFonts w:eastAsia="Times New Roman" w:cstheme="minorHAnsi"/>
          <w:color w:val="000000"/>
          <w:lang w:eastAsia="en-GB"/>
        </w:rPr>
        <w:instrText>ADDIN CSL_CITATION { "citationItems" : [ { "id" : "ITEM-1", "itemData" : { "author" : [ { "dropping-particle" : "", "family" : "Teddlie", "given" : "C", "non-dropping-particle" : "", "parse-names" : false, "suffix" : "" }, { "dropping-particle" : "", "family" : "Tashakkori", "given" : "A", "non-dropping-particle" : "", "parse-names" : false, "suffix" : "" } ], "id" : "ITEM-1", "issued" : { "date-parts" : [ [ "2009" ] ] }, "publisher" : "SAGE Publications Inc.", "publisher-place" : "Thousand Oaks", "title" : "Foundations of mixed methods research: Integrating quantitative and qualitative approaches in the social and behavioral sciences", "type" : "book" }, "uris" : [ "http://www.mendeley.com/documents/?uuid=bbf94a8b-67b4-494f-92ca-828dd65fa45c" ] } ], "mendeley" : { "formattedCitation" : "(Teddlie and Tashakkori, 2009)", "plainTextFormattedCitation" : "(Teddlie and Tashakkori, 2009)", "previouslyFormattedCitation" : "(Teddlie and Tashakkori, 2009)" }, "properties" : { "noteIndex" : 0 }, "schema" : "https://github.com/citation-style-language/schema/raw/master/csl-citation.json" }</w:instrText>
      </w:r>
      <w:r w:rsidR="000623D3" w:rsidRPr="009B3747">
        <w:rPr>
          <w:rFonts w:eastAsia="Times New Roman" w:cstheme="minorHAnsi"/>
          <w:color w:val="000000"/>
          <w:lang w:eastAsia="en-GB"/>
        </w:rPr>
        <w:fldChar w:fldCharType="separate"/>
      </w:r>
      <w:r w:rsidR="006F2F83" w:rsidRPr="009B3747">
        <w:rPr>
          <w:rFonts w:eastAsia="Times New Roman" w:cstheme="minorHAnsi"/>
          <w:noProof/>
          <w:color w:val="000000"/>
          <w:lang w:eastAsia="en-GB"/>
        </w:rPr>
        <w:t>(Teddlie and Tashakkori, 2009)</w:t>
      </w:r>
      <w:r w:rsidR="000623D3" w:rsidRPr="009B3747">
        <w:rPr>
          <w:rFonts w:eastAsia="Times New Roman" w:cstheme="minorHAnsi"/>
          <w:color w:val="000000"/>
          <w:lang w:eastAsia="en-GB"/>
        </w:rPr>
        <w:fldChar w:fldCharType="end"/>
      </w:r>
      <w:r w:rsidR="000623D3"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Despite this, proponents of ‘mixing’ argue that as knowledge is both constructed and based on the reality of the world we experience, mixed methods research can offer a holistic </w:t>
      </w:r>
      <w:r w:rsidR="00A942FB">
        <w:rPr>
          <w:rFonts w:eastAsia="Times New Roman" w:cstheme="minorHAnsi"/>
          <w:color w:val="000000"/>
          <w:lang w:eastAsia="en-GB"/>
        </w:rPr>
        <w:t>approach, which</w:t>
      </w:r>
      <w:r w:rsidRPr="009B3747">
        <w:rPr>
          <w:rFonts w:eastAsia="Times New Roman" w:cstheme="minorHAnsi"/>
          <w:color w:val="000000"/>
          <w:lang w:eastAsia="en-GB"/>
        </w:rPr>
        <w:t xml:space="preserve"> bridges the gap between quantitative and qualitative research and their respective philosophical positions</w:t>
      </w:r>
      <w:r w:rsidR="000623D3" w:rsidRPr="009B3747">
        <w:rPr>
          <w:rFonts w:eastAsia="Times New Roman" w:cstheme="minorHAnsi"/>
          <w:color w:val="000000"/>
          <w:lang w:eastAsia="en-GB"/>
        </w:rPr>
        <w:t xml:space="preserve"> </w:t>
      </w:r>
      <w:r w:rsidR="000623D3" w:rsidRPr="009B3747">
        <w:rPr>
          <w:rFonts w:eastAsia="Times New Roman" w:cstheme="minorHAnsi"/>
          <w:color w:val="000000"/>
          <w:lang w:eastAsia="en-GB"/>
        </w:rPr>
        <w:fldChar w:fldCharType="begin" w:fldLock="1"/>
      </w:r>
      <w:r w:rsidR="00C83875" w:rsidRPr="009B3747">
        <w:rPr>
          <w:rFonts w:eastAsia="Times New Roman" w:cstheme="minorHAnsi"/>
          <w:color w:val="000000"/>
          <w:lang w:eastAsia="en-GB"/>
        </w:rPr>
        <w:instrText>ADDIN CSL_CITATION { "citationItems" : [ { "id" : "ITEM-1", "itemData" : { "DOI" : "10.3102/0013189X017008010", "ISSN" : "0013-189X", "abstract" : "Over approximately the last 20 years, the use of qualitative methods in educational research has evolved from being scoffed at to being viewed as useful for provisional exploration, to being accepted as a valuable alternative approach in its own right, to being embraced as capable of thoroughgoing integration with quantitative methods. Progress has been halting, and it is not surprising that certain thinkers are now balking at the latest stage of development. The chief worry is that the capitulation to \"what works\" ignores the incompatibility of the competing positivistic and interpretivist epistemological paradigms that purportedly undergird quantitative and qualitative methods, respectively. Appealing to a pragmatic philosophical perspective, this paper argues that no incompatibility between quantitative and qualitative methods exists at either the level of practice or that of epistemology and that there are thus no good reasons for educational researchers to fear forging ahead with \"what works.\"", "author" : [ { "dropping-particle" : "", "family" : "Howe", "given" : "K. R.", "non-dropping-particle" : "", "parse-names" : false, "suffix" : "" } ], "container-title" : "Educational Researcher", "id" : "ITEM-1", "issue" : "8", "issued" : { "date-parts" : [ [ "1988", "11", "1" ] ] }, "page" : "10-16", "publisher" : "Sage PublicationsSage CA: Thousand Oaks, CA", "title" : "Against the Quantitative-Qualitative Incompatibility Thesis or Dogmas Die Hard", "type" : "article-journal", "volume" : "17" }, "uris" : [ "http://www.mendeley.com/documents/?uuid=d041d0d3-aa05-3a49-90eb-51f8c8efe2e4" ] }, { "id" : "ITEM-2", "itemData" : { "author" : [ { "dropping-particle" : "", "family" : "Morgan", "given" : "DL", "non-dropping-particle" : "", "parse-names" : false, "suffix" : "" } ], "container-title" : "Qualitative health research", "id" : "ITEM-2", "issue" : "3", "issued" : { "date-parts" : [ [ "1998" ] ] }, "page" : "362-376", "title" : "Practical strategies for combining qualitative and quantitative methods: Applications to health research", "type" : "article-journal", "volume" : "8" }, "uris" : [ "http://www.mendeley.com/documents/?uuid=6cd2c4d3-10b6-4c76-83fc-e951da3499bc" ] }, { "id" : "ITEM-3", "itemData" : { "author" : [ { "dropping-particle" : "", "family" : "Morgan", "given" : "DL", "non-dropping-particle" : "", "parse-names" : false, "suffix" : "" } ], "container-title" : "Journal of mixed methods research", "id" : "ITEM-3", "issue" : "1", "issued" : { "date-parts" : [ [ "2007" ] ] }, "page" : "48-76", "title" : "Paradigms lost and pragmatism regained methodological implications of combining qualitative and quantitative methods", "type" : "article-journal", "volume" : "1" }, "uris" : [ "http://www.mendeley.com/documents/?uuid=4b71a81c-d3ac-44e0-a5a3-7b86b2d9eeec" ] }, { "id" : "ITEM-4", "itemData" : { "author" : [ { "dropping-particle" : "", "family" : "Leech", "given" : "NL", "non-dropping-particle" : "", "parse-names" : false, "suffix" : "" }, { "dropping-particle" : "", "family" : "Onwuegbuzie", "given" : "AJ", "non-dropping-particle" : "", "parse-names" : false, "suffix" : "" } ], "container-title" : "Quality &amp; quantity", "id" : "ITEM-4", "issue" : "2", "issued" : { "date-parts" : [ [ "2009" ] ] }, "page" : "265-275", "title" : "A typology of mixed methods research designs", "type" : "article-journal", "volume" : "42" }, "uris" : [ "http://www.mendeley.com/documents/?uuid=a8008fa0-050f-4470-8ed7-865c6a4bc6a0" ] }, { "id" : "ITEM-5", "itemData" : { "author" : [ { "dropping-particle" : "", "family" : "Teddlie", "given" : "C", "non-dropping-particle" : "", "parse-names" : false, "suffix" : "" }, { "dropping-particle" : "", "family" : "Tashakkori", "given" : "A", "non-dropping-particle" : "", "parse-names" : false, "suffix" : "" } ], "id" : "ITEM-5", "issued" : { "date-parts" : [ [ "2009" ] ] }, "publisher" : "SAGE Publications Inc.", "publisher-place" : "Thousand Oaks", "title" : "Foundations of mixed methods research: Integrating quantitative and qualitative approaches in the social and behavioral sciences", "type" : "book" }, "uris" : [ "http://www.mendeley.com/documents/?uuid=bbf94a8b-67b4-494f-92ca-828dd65fa45c" ] } ], "mendeley" : { "formattedCitation" : "(Howe, 1988; Morgan, 1998, 2007; Leech and Onwuegbuzie, 2009; Teddlie and Tashakkori, 2009)", "manualFormatting" : "(Howe, 1988; Morgan, 1998, 2007; Leech and Onwuegbuzie, 2009; Teddlie and Tashakkori, 2009)", "plainTextFormattedCitation" : "(Howe, 1988; Morgan, 1998, 2007; Leech and Onwuegbuzie, 2009; Teddlie and Tashakkori, 2009)", "previouslyFormattedCitation" : "(Howe, 1988; Morgan, 1998, 2007; Leech and Onwuegbuzie, 2009; Teddlie and Tashakkori, 2009)" }, "properties" : { "noteIndex" : 0 }, "schema" : "https://github.com/citation-style-language/schema/raw/master/csl-citation.json" }</w:instrText>
      </w:r>
      <w:r w:rsidR="000623D3" w:rsidRPr="009B3747">
        <w:rPr>
          <w:rFonts w:eastAsia="Times New Roman" w:cstheme="minorHAnsi"/>
          <w:color w:val="000000"/>
          <w:lang w:eastAsia="en-GB"/>
        </w:rPr>
        <w:fldChar w:fldCharType="separate"/>
      </w:r>
      <w:r w:rsidR="006F2F83" w:rsidRPr="009B3747">
        <w:rPr>
          <w:rFonts w:eastAsia="Times New Roman" w:cstheme="minorHAnsi"/>
          <w:noProof/>
          <w:color w:val="000000"/>
          <w:lang w:eastAsia="en-GB"/>
        </w:rPr>
        <w:t>(Howe, 1988; Morgan, 1998, 2007; Leech and Onwuegbuzie, 2009; Teddlie and Tashakkori, 2009)</w:t>
      </w:r>
      <w:r w:rsidR="000623D3" w:rsidRPr="009B3747">
        <w:rPr>
          <w:rFonts w:eastAsia="Times New Roman" w:cstheme="minorHAnsi"/>
          <w:color w:val="000000"/>
          <w:lang w:eastAsia="en-GB"/>
        </w:rPr>
        <w:fldChar w:fldCharType="end"/>
      </w:r>
      <w:r w:rsidR="000623D3" w:rsidRPr="009B3747">
        <w:rPr>
          <w:rFonts w:eastAsia="Times New Roman" w:cstheme="minorHAnsi"/>
          <w:color w:val="000000"/>
          <w:lang w:eastAsia="en-GB"/>
        </w:rPr>
        <w:t xml:space="preserve">.  </w:t>
      </w:r>
      <w:r w:rsidRPr="009B3747">
        <w:rPr>
          <w:rFonts w:eastAsia="Times New Roman" w:cstheme="minorHAnsi"/>
          <w:color w:val="000000"/>
          <w:lang w:eastAsia="en-GB"/>
        </w:rPr>
        <w:t>Furthermore, mixing methods is argued to be able to accomplish things that would be challenging i</w:t>
      </w:r>
      <w:r w:rsidR="000623D3" w:rsidRPr="009B3747">
        <w:rPr>
          <w:rFonts w:eastAsia="Times New Roman" w:cstheme="minorHAnsi"/>
          <w:color w:val="000000"/>
          <w:lang w:eastAsia="en-GB"/>
        </w:rPr>
        <w:t>f not impossible</w:t>
      </w:r>
      <w:r w:rsidR="00A942FB">
        <w:rPr>
          <w:rFonts w:eastAsia="Times New Roman" w:cstheme="minorHAnsi"/>
          <w:color w:val="000000"/>
          <w:lang w:eastAsia="en-GB"/>
        </w:rPr>
        <w:t>,</w:t>
      </w:r>
      <w:r w:rsidR="000623D3" w:rsidRPr="009B3747">
        <w:rPr>
          <w:rFonts w:eastAsia="Times New Roman" w:cstheme="minorHAnsi"/>
          <w:color w:val="000000"/>
          <w:lang w:eastAsia="en-GB"/>
        </w:rPr>
        <w:t xml:space="preserve"> </w:t>
      </w:r>
      <w:r w:rsidR="000623D3" w:rsidRPr="009B3747">
        <w:rPr>
          <w:rFonts w:eastAsia="Times New Roman" w:cstheme="minorHAnsi"/>
          <w:i/>
          <w:color w:val="000000"/>
          <w:lang w:eastAsia="en-GB"/>
        </w:rPr>
        <w:t>“</w:t>
      </w:r>
      <w:r w:rsidRPr="009B3747">
        <w:rPr>
          <w:rFonts w:eastAsia="Times New Roman" w:cstheme="minorHAnsi"/>
          <w:i/>
          <w:color w:val="000000"/>
          <w:lang w:eastAsia="en-GB"/>
        </w:rPr>
        <w:t xml:space="preserve">by operating solely within either inductive-subjective-contextual or the deductive-objective-general packages that characterise the </w:t>
      </w:r>
      <w:r w:rsidR="000623D3" w:rsidRPr="009B3747">
        <w:rPr>
          <w:rFonts w:eastAsia="Times New Roman" w:cstheme="minorHAnsi"/>
          <w:i/>
          <w:color w:val="000000"/>
          <w:lang w:eastAsia="en-GB"/>
        </w:rPr>
        <w:t xml:space="preserve">two more traditional approaches” </w:t>
      </w:r>
      <w:r w:rsidR="000623D3" w:rsidRPr="009B3747">
        <w:rPr>
          <w:rFonts w:eastAsia="Times New Roman" w:cstheme="minorHAnsi"/>
          <w:color w:val="000000"/>
          <w:lang w:eastAsia="en-GB"/>
        </w:rPr>
        <w:fldChar w:fldCharType="begin" w:fldLock="1"/>
      </w:r>
      <w:r w:rsidR="00A84723" w:rsidRPr="009B3747">
        <w:rPr>
          <w:rFonts w:eastAsia="Times New Roman" w:cstheme="minorHAnsi"/>
          <w:color w:val="000000"/>
          <w:lang w:eastAsia="en-GB"/>
        </w:rPr>
        <w:instrText>ADDIN CSL_CITATION { "citationItems" : [ { "id" : "ITEM-1", "itemData" : { "ISBN" : "9780761915232", "abstract" : "\"This is a book about research design. In particular, it is about research designs for projects that collect both qualitative and quantitative data, so that their combined strengths will accomplish more than would have been possible with any one method. The approach presented here is broadly interdisciplinary, because Mixed Methods Research has interested social scientists from a great many fields, including: Anthropology, Communication, Criminal Justice, Education, Evaluation, Nursing, Organizational Behavior, Psychology, Political Science, Public Administration, Public Health, Sociology, Social Work, and Urban Studies. Because this book emphasizes practical research designs, it will be most useful to practicing researchers -- including both students who intend to pursue such a career and those who already devote their energy to collecting and analyzing data. Whether you are a student or a more experienced researcher, you will learn how Mixed Methods Research gets done in the real world.\"--Publisher's website. Part 1: The Logic of Mixed Methods Research. An Introduction and Overview ; Pragmatism as a Paradigm for Mixed Methods Research ; Research Design and Research Methods ; Motivations for Using Mixed Methods Research ; The Sequential Priorities Model -- Part 2: Four Basic Designs. Preliminary Qualitative Inputs to Core Quantitative Research Projects ; Preliminary Quantitative inputs to Core Qualitative Research Projects ; Follow-up Qualitative Extensions to Core Quantitative Research Projects ; Follow-up Quantitative Extensions to Core Qualitative Research Projects -- Part 3: Additional issues. Multipart Sequential Designs ; Finding the Expertise to Combine Multiple Methods ; Conclusions: Further Thoughts About Research Design.", "author" : [ { "dropping-particle" : "", "family" : "Morgan", "given" : "D", "non-dropping-particle" : "", "parse-names" : false, "suffix" : "" } ], "container-title" : "Integrating Qualitative and Quantitative Methods: a pragmatic approach", "id" : "ITEM-1", "issued" : { "date-parts" : [ [ "2013" ] ] }, "number-of-pages" : "269", "publisher" : "SAGE Publications Inc.", "publisher-place" : "Thousand Oaks", "title" : "Integrating qualitative and quantitative methods : a pragmatic approach", "type" : "book" }, "uris" : [ "http://www.mendeley.com/documents/?uuid=62b9d9ab-42af-4799-bcae-203e0dd4cff3" ] } ], "mendeley" : { "formattedCitation" : "(Morgan, 2013)", "manualFormatting" : "(Morgan, 2014, p.58)", "plainTextFormattedCitation" : "(Morgan, 2013)", "previouslyFormattedCitation" : "(Morgan, 2013)" }, "properties" : { "noteIndex" : 0 }, "schema" : "https://github.com/citation-style-language/schema/raw/master/csl-citation.json" }</w:instrText>
      </w:r>
      <w:r w:rsidR="000623D3" w:rsidRPr="009B3747">
        <w:rPr>
          <w:rFonts w:eastAsia="Times New Roman" w:cstheme="minorHAnsi"/>
          <w:color w:val="000000"/>
          <w:lang w:eastAsia="en-GB"/>
        </w:rPr>
        <w:fldChar w:fldCharType="separate"/>
      </w:r>
      <w:r w:rsidR="000623D3" w:rsidRPr="009B3747">
        <w:rPr>
          <w:rFonts w:eastAsia="Times New Roman" w:cstheme="minorHAnsi"/>
          <w:noProof/>
          <w:color w:val="000000"/>
          <w:lang w:eastAsia="en-GB"/>
        </w:rPr>
        <w:t>(Morgan, 2014</w:t>
      </w:r>
      <w:r w:rsidR="00FB5B00" w:rsidRPr="009B3747">
        <w:rPr>
          <w:rFonts w:eastAsia="Times New Roman" w:cstheme="minorHAnsi"/>
          <w:noProof/>
          <w:color w:val="000000"/>
          <w:lang w:eastAsia="en-GB"/>
        </w:rPr>
        <w:t>, p.</w:t>
      </w:r>
      <w:r w:rsidR="000623D3" w:rsidRPr="009B3747">
        <w:rPr>
          <w:rFonts w:eastAsia="Times New Roman" w:cstheme="minorHAnsi"/>
          <w:noProof/>
          <w:color w:val="000000"/>
          <w:lang w:eastAsia="en-GB"/>
        </w:rPr>
        <w:t>58)</w:t>
      </w:r>
      <w:r w:rsidR="000623D3" w:rsidRPr="009B3747">
        <w:rPr>
          <w:rFonts w:eastAsia="Times New Roman" w:cstheme="minorHAnsi"/>
          <w:color w:val="000000"/>
          <w:lang w:eastAsia="en-GB"/>
        </w:rPr>
        <w:fldChar w:fldCharType="end"/>
      </w:r>
      <w:r w:rsidRPr="009B3747">
        <w:rPr>
          <w:rFonts w:eastAsia="Times New Roman" w:cstheme="minorHAnsi"/>
          <w:color w:val="000000"/>
          <w:lang w:eastAsia="en-GB"/>
        </w:rPr>
        <w:t>.</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i/>
          <w:sz w:val="24"/>
          <w:szCs w:val="24"/>
          <w:lang w:eastAsia="en-GB"/>
        </w:rPr>
      </w:pPr>
      <w:r w:rsidRPr="009B3747">
        <w:rPr>
          <w:rFonts w:eastAsia="Times New Roman" w:cstheme="minorHAnsi"/>
          <w:i/>
          <w:color w:val="000000"/>
          <w:lang w:eastAsia="en-GB"/>
        </w:rPr>
        <w:t>Chosen research approach - mixed methods</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color w:val="000000"/>
          <w:lang w:eastAsia="en-GB"/>
        </w:rPr>
      </w:pPr>
      <w:r w:rsidRPr="009B3747">
        <w:rPr>
          <w:rFonts w:eastAsia="Times New Roman" w:cstheme="minorHAnsi"/>
          <w:color w:val="000000"/>
          <w:lang w:eastAsia="en-GB"/>
        </w:rPr>
        <w:t xml:space="preserve">Upon carefully considering the proposed research question and available research approaches, it was </w:t>
      </w:r>
      <w:r w:rsidR="00133672" w:rsidRPr="009B3747">
        <w:rPr>
          <w:rFonts w:eastAsia="Times New Roman" w:cstheme="minorHAnsi"/>
          <w:color w:val="000000"/>
          <w:lang w:eastAsia="en-GB"/>
        </w:rPr>
        <w:t>decided</w:t>
      </w:r>
      <w:r w:rsidRPr="009B3747">
        <w:rPr>
          <w:rFonts w:eastAsia="Times New Roman" w:cstheme="minorHAnsi"/>
          <w:color w:val="000000"/>
          <w:lang w:eastAsia="en-GB"/>
        </w:rPr>
        <w:t xml:space="preserve"> that utilising a mixed methods approach would be the most appropriate for this study.  The decision to employ a mixed-methods approach was firstly based on the recognition by both the rese</w:t>
      </w:r>
      <w:r w:rsidR="00A942FB">
        <w:rPr>
          <w:rFonts w:eastAsia="Times New Roman" w:cstheme="minorHAnsi"/>
          <w:color w:val="000000"/>
          <w:lang w:eastAsia="en-GB"/>
        </w:rPr>
        <w:t xml:space="preserve">archer and academic supervision, </w:t>
      </w:r>
      <w:r w:rsidRPr="009B3747">
        <w:rPr>
          <w:rFonts w:eastAsia="Times New Roman" w:cstheme="minorHAnsi"/>
          <w:color w:val="000000"/>
          <w:lang w:eastAsia="en-GB"/>
        </w:rPr>
        <w:t>that employing either a quantitative or a qualitative approach would not provide the depth and breadth required to answer the proposed</w:t>
      </w:r>
      <w:r w:rsidR="00A942FB">
        <w:rPr>
          <w:rFonts w:eastAsia="Times New Roman" w:cstheme="minorHAnsi"/>
          <w:color w:val="000000"/>
          <w:lang w:eastAsia="en-GB"/>
        </w:rPr>
        <w:t xml:space="preserve"> doctoral</w:t>
      </w:r>
      <w:r w:rsidRPr="009B3747">
        <w:rPr>
          <w:rFonts w:eastAsia="Times New Roman" w:cstheme="minorHAnsi"/>
          <w:color w:val="000000"/>
          <w:lang w:eastAsia="en-GB"/>
        </w:rPr>
        <w:t xml:space="preserve"> research ques</w:t>
      </w:r>
      <w:r w:rsidR="0083682E" w:rsidRPr="009B3747">
        <w:rPr>
          <w:rFonts w:eastAsia="Times New Roman" w:cstheme="minorHAnsi"/>
          <w:color w:val="000000"/>
          <w:lang w:eastAsia="en-GB"/>
        </w:rPr>
        <w:t>tion:</w:t>
      </w:r>
      <w:r w:rsidRPr="009B3747">
        <w:rPr>
          <w:rFonts w:eastAsia="Times New Roman" w:cstheme="minorHAnsi"/>
          <w:color w:val="000000"/>
          <w:lang w:eastAsia="en-GB"/>
        </w:rPr>
        <w:t xml:space="preserve"> </w:t>
      </w:r>
    </w:p>
    <w:p w:rsidR="00AD02BD" w:rsidRPr="009B3747" w:rsidRDefault="00AD02BD" w:rsidP="003F1507">
      <w:pPr>
        <w:rPr>
          <w:rFonts w:eastAsia="Times New Roman" w:cstheme="minorHAnsi"/>
          <w:sz w:val="24"/>
          <w:szCs w:val="24"/>
          <w:lang w:eastAsia="en-GB"/>
        </w:rPr>
      </w:pP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83682E" w:rsidP="003F1507">
      <w:pPr>
        <w:rPr>
          <w:rFonts w:eastAsia="Times New Roman" w:cstheme="minorHAnsi"/>
          <w:sz w:val="24"/>
          <w:szCs w:val="24"/>
          <w:lang w:eastAsia="en-GB"/>
        </w:rPr>
      </w:pPr>
      <w:r w:rsidRPr="009B3747">
        <w:rPr>
          <w:rFonts w:eastAsia="Times New Roman" w:cstheme="minorHAnsi"/>
          <w:i/>
          <w:iCs/>
          <w:color w:val="000000"/>
          <w:lang w:eastAsia="en-GB"/>
        </w:rPr>
        <w:t>‘</w:t>
      </w:r>
      <w:r w:rsidR="00577A7B" w:rsidRPr="009B3747">
        <w:rPr>
          <w:rFonts w:eastAsia="Times New Roman" w:cstheme="minorHAnsi"/>
          <w:i/>
          <w:iCs/>
          <w:color w:val="000000"/>
          <w:lang w:eastAsia="en-GB"/>
        </w:rPr>
        <w:t xml:space="preserve">What are </w:t>
      </w:r>
      <w:r w:rsidR="003F1507" w:rsidRPr="009B3747">
        <w:rPr>
          <w:rFonts w:eastAsia="Times New Roman" w:cstheme="minorHAnsi"/>
          <w:i/>
          <w:iCs/>
          <w:color w:val="000000"/>
          <w:lang w:eastAsia="en-GB"/>
        </w:rPr>
        <w:t>headteachers</w:t>
      </w:r>
      <w:r w:rsidR="00AD02BD" w:rsidRPr="009B3747">
        <w:rPr>
          <w:rFonts w:eastAsia="Times New Roman" w:cstheme="minorHAnsi"/>
          <w:i/>
          <w:iCs/>
          <w:color w:val="000000"/>
          <w:lang w:eastAsia="en-GB"/>
        </w:rPr>
        <w:t>’</w:t>
      </w:r>
      <w:r w:rsidR="003F1507" w:rsidRPr="009B3747">
        <w:rPr>
          <w:rFonts w:eastAsia="Times New Roman" w:cstheme="minorHAnsi"/>
          <w:i/>
          <w:iCs/>
          <w:color w:val="000000"/>
          <w:lang w:eastAsia="en-GB"/>
        </w:rPr>
        <w:t xml:space="preserve"> and chairs of governors</w:t>
      </w:r>
      <w:r w:rsidR="00AD02BD" w:rsidRPr="009B3747">
        <w:rPr>
          <w:rFonts w:eastAsia="Times New Roman" w:cstheme="minorHAnsi"/>
          <w:i/>
          <w:iCs/>
          <w:color w:val="000000"/>
          <w:lang w:eastAsia="en-GB"/>
        </w:rPr>
        <w:t>’</w:t>
      </w:r>
      <w:r w:rsidR="003F1507" w:rsidRPr="009B3747">
        <w:rPr>
          <w:rFonts w:eastAsia="Times New Roman" w:cstheme="minorHAnsi"/>
          <w:i/>
          <w:iCs/>
          <w:color w:val="000000"/>
          <w:lang w:eastAsia="en-GB"/>
        </w:rPr>
        <w:t xml:space="preserve"> perspectives on adolescent obesity and its prevention in </w:t>
      </w:r>
      <w:r w:rsidR="00577A7B" w:rsidRPr="009B3747">
        <w:rPr>
          <w:rFonts w:eastAsia="Times New Roman" w:cstheme="minorHAnsi"/>
          <w:i/>
          <w:iCs/>
          <w:color w:val="000000"/>
          <w:lang w:eastAsia="en-GB"/>
        </w:rPr>
        <w:t xml:space="preserve">English </w:t>
      </w:r>
      <w:r w:rsidR="003F1507" w:rsidRPr="009B3747">
        <w:rPr>
          <w:rFonts w:eastAsia="Times New Roman" w:cstheme="minorHAnsi"/>
          <w:i/>
          <w:iCs/>
          <w:color w:val="000000"/>
          <w:lang w:eastAsia="en-GB"/>
        </w:rPr>
        <w:t>secondary school settings?</w:t>
      </w:r>
      <w:r w:rsidRPr="009B3747">
        <w:rPr>
          <w:rFonts w:eastAsia="Times New Roman" w:cstheme="minorHAnsi"/>
          <w:i/>
          <w:iCs/>
          <w:color w:val="000000"/>
          <w:lang w:eastAsia="en-GB"/>
        </w:rPr>
        <w:t>’</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Therefore, it was</w:t>
      </w:r>
      <w:r w:rsidR="00133672" w:rsidRPr="009B3747">
        <w:rPr>
          <w:rFonts w:eastAsia="Times New Roman" w:cstheme="minorHAnsi"/>
          <w:color w:val="000000"/>
          <w:lang w:eastAsia="en-GB"/>
        </w:rPr>
        <w:t xml:space="preserve"> deemed</w:t>
      </w:r>
      <w:r w:rsidRPr="009B3747">
        <w:rPr>
          <w:rFonts w:eastAsia="Times New Roman" w:cstheme="minorHAnsi"/>
          <w:color w:val="000000"/>
          <w:lang w:eastAsia="en-GB"/>
        </w:rPr>
        <w:t xml:space="preserve"> that utilising a mixed methods approach would greater facilitate the researcher’s ability to answer the 'how', 'why', what', who', when' and 'how many' aspects of the </w:t>
      </w:r>
      <w:r w:rsidR="00A942FB">
        <w:rPr>
          <w:rFonts w:eastAsia="Times New Roman" w:cstheme="minorHAnsi"/>
          <w:color w:val="000000"/>
          <w:lang w:eastAsia="en-GB"/>
        </w:rPr>
        <w:t>overarching research</w:t>
      </w:r>
      <w:r w:rsidRPr="009B3747">
        <w:rPr>
          <w:rFonts w:eastAsia="Times New Roman" w:cstheme="minorHAnsi"/>
          <w:color w:val="000000"/>
          <w:lang w:eastAsia="en-GB"/>
        </w:rPr>
        <w:t xml:space="preserve"> question</w:t>
      </w:r>
      <w:r w:rsidR="000623D3" w:rsidRPr="009B3747">
        <w:rPr>
          <w:rFonts w:eastAsia="Times New Roman" w:cstheme="minorHAnsi"/>
          <w:color w:val="000000"/>
          <w:lang w:eastAsia="en-GB"/>
        </w:rPr>
        <w:t xml:space="preserve"> </w:t>
      </w:r>
      <w:r w:rsidR="000623D3"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"Denscombe", "given" : "M", "non-dropping-particle" : "", "parse-names" : false, "suffix" : "" } ], "container-title" : "Journal of mixed methods research", "id" : "ITEM-1", "issue" : "3", "issued" : { "date-parts" : [ [ "2008" ] ] }, "page" : "270-283", "title" : "Communities of practice a research paradigm for the mixed methods approach", "type" : "article-journal", "volume" : "2" }, "uris" : [ "http://www.mendeley.com/documents/?uuid=0360fef7-1658-4310-94bf-80b3061e8fd4" ] }, { "id" : "ITEM-2", "itemData" : { "author" : [ { "dropping-particle" : "", "family" : "Denscombe", "given" : "M", "non-dropping-particle" : "", "parse-names" : false, "suffix" : "" } ], "edition" : "2nd", "id" : "ITEM-2", "issued" : { "date-parts" : [ [ "2009" ] ] }, "publisher" : "Open University Press/McGraw-Hill", "publisher-place" : "Maidenhead", "title" : "Ground rules for social research: Guidelines for good practice", "type" : "book" }, "uris" : [ "http://www.mendeley.com/documents/?uuid=42049e6a-8949-4a99-b693-506876c43564" ] } ], "mendeley" : { "formattedCitation" : "(Denscombe, 2008, 2009)", "plainTextFormattedCitation" : "(Denscombe, 2008, 2009)", "previouslyFormattedCitation" : "(Denscombe, 2008, 2009)" }, "properties" : { "noteIndex" : 0 }, "schema" : "https://github.com/citation-style-language/schema/raw/master/csl-citation.json" }</w:instrText>
      </w:r>
      <w:r w:rsidR="000623D3" w:rsidRPr="009B3747">
        <w:rPr>
          <w:rFonts w:eastAsia="Times New Roman" w:cstheme="minorHAnsi"/>
          <w:color w:val="000000"/>
          <w:lang w:eastAsia="en-GB"/>
        </w:rPr>
        <w:fldChar w:fldCharType="separate"/>
      </w:r>
      <w:r w:rsidR="000623D3" w:rsidRPr="009B3747">
        <w:rPr>
          <w:rFonts w:eastAsia="Times New Roman" w:cstheme="minorHAnsi"/>
          <w:noProof/>
          <w:color w:val="000000"/>
          <w:lang w:eastAsia="en-GB"/>
        </w:rPr>
        <w:t>(Denscombe, 2008, 2009)</w:t>
      </w:r>
      <w:r w:rsidR="000623D3" w:rsidRPr="009B3747">
        <w:rPr>
          <w:rFonts w:eastAsia="Times New Roman" w:cstheme="minorHAnsi"/>
          <w:color w:val="000000"/>
          <w:lang w:eastAsia="en-GB"/>
        </w:rPr>
        <w:fldChar w:fldCharType="end"/>
      </w:r>
      <w:r w:rsidRPr="009B3747">
        <w:rPr>
          <w:rFonts w:eastAsia="Times New Roman" w:cstheme="minorHAnsi"/>
          <w:color w:val="000000"/>
          <w:lang w:eastAsia="en-GB"/>
        </w:rPr>
        <w:t>.</w:t>
      </w:r>
      <w:r w:rsidR="005C21BF" w:rsidRPr="009B3747">
        <w:rPr>
          <w:rFonts w:eastAsia="Times New Roman" w:cstheme="minorHAnsi"/>
          <w:color w:val="000000"/>
          <w:lang w:eastAsia="en-GB"/>
        </w:rPr>
        <w:t xml:space="preserve">  </w:t>
      </w:r>
      <w:r w:rsidRPr="009B3747">
        <w:rPr>
          <w:rFonts w:eastAsia="Times New Roman" w:cstheme="minorHAnsi"/>
          <w:color w:val="000000"/>
          <w:lang w:eastAsia="en-GB"/>
        </w:rPr>
        <w:t>Furthermore, the second and highly significant factor determining the selection of a mixed methods approach centred on an identified methodological need to employ both a qualitative and quantitative strand.  As discussed in t</w:t>
      </w:r>
      <w:r w:rsidR="00577A7B" w:rsidRPr="009B3747">
        <w:rPr>
          <w:rFonts w:eastAsia="Times New Roman" w:cstheme="minorHAnsi"/>
          <w:color w:val="000000"/>
          <w:lang w:eastAsia="en-GB"/>
        </w:rPr>
        <w:t>he literature review (chapter three</w:t>
      </w:r>
      <w:r w:rsidRPr="009B3747">
        <w:rPr>
          <w:rFonts w:eastAsia="Times New Roman" w:cstheme="minorHAnsi"/>
          <w:color w:val="000000"/>
          <w:lang w:eastAsia="en-GB"/>
        </w:rPr>
        <w:t xml:space="preserve">), a paucity of literature </w:t>
      </w:r>
      <w:r w:rsidR="00C86DA7" w:rsidRPr="009B3747">
        <w:rPr>
          <w:rFonts w:eastAsia="Times New Roman" w:cstheme="minorHAnsi"/>
          <w:color w:val="000000"/>
          <w:lang w:eastAsia="en-GB"/>
        </w:rPr>
        <w:t xml:space="preserve">existed related to headteachers’ </w:t>
      </w:r>
      <w:r w:rsidRPr="009B3747">
        <w:rPr>
          <w:rFonts w:eastAsia="Times New Roman" w:cstheme="minorHAnsi"/>
          <w:color w:val="000000"/>
          <w:lang w:eastAsia="en-GB"/>
        </w:rPr>
        <w:t>and chairs of governors</w:t>
      </w:r>
      <w:r w:rsidR="00C86DA7" w:rsidRPr="009B3747">
        <w:rPr>
          <w:rFonts w:eastAsia="Times New Roman" w:cstheme="minorHAnsi"/>
          <w:color w:val="000000"/>
          <w:lang w:eastAsia="en-GB"/>
        </w:rPr>
        <w:t>’</w:t>
      </w:r>
      <w:r w:rsidRPr="009B3747">
        <w:rPr>
          <w:rFonts w:eastAsia="Times New Roman" w:cstheme="minorHAnsi"/>
          <w:color w:val="000000"/>
          <w:lang w:eastAsia="en-GB"/>
        </w:rPr>
        <w:t xml:space="preserve"> perspectives on adolescent obesity and its prevention in schools.  Consequently, attempting to use a quantitative approach to address the research ques</w:t>
      </w:r>
      <w:r w:rsidR="00A942FB">
        <w:rPr>
          <w:rFonts w:eastAsia="Times New Roman" w:cstheme="minorHAnsi"/>
          <w:color w:val="000000"/>
          <w:lang w:eastAsia="en-GB"/>
        </w:rPr>
        <w:t>tion would’ve been inappropriate.  This is due to a</w:t>
      </w:r>
      <w:r w:rsidRPr="009B3747">
        <w:rPr>
          <w:rFonts w:eastAsia="Times New Roman" w:cstheme="minorHAnsi"/>
          <w:color w:val="000000"/>
          <w:lang w:eastAsia="en-GB"/>
        </w:rPr>
        <w:t xml:space="preserve"> lack of a pre-existing quantitative instrument</w:t>
      </w:r>
      <w:r w:rsidR="00273991">
        <w:rPr>
          <w:rFonts w:eastAsia="Times New Roman" w:cstheme="minorHAnsi"/>
          <w:color w:val="000000"/>
          <w:lang w:eastAsia="en-GB"/>
        </w:rPr>
        <w:t>,</w:t>
      </w:r>
      <w:r w:rsidRPr="009B3747">
        <w:rPr>
          <w:rFonts w:eastAsia="Times New Roman" w:cstheme="minorHAnsi"/>
          <w:color w:val="000000"/>
          <w:lang w:eastAsia="en-GB"/>
        </w:rPr>
        <w:t xml:space="preserve"> i.e. a survey or even sufficient literature to be able to develop an effective and meaningful quantitative data collection tool.  Similarly, whilst adopting a qualitative approach alone was considered, it was felt the resultant findings would only partially address the researc</w:t>
      </w:r>
      <w:r w:rsidR="00A942FB">
        <w:rPr>
          <w:rFonts w:eastAsia="Times New Roman" w:cstheme="minorHAnsi"/>
          <w:color w:val="000000"/>
          <w:lang w:eastAsia="en-GB"/>
        </w:rPr>
        <w:t xml:space="preserve">h question, aims and objectives.  Furthermore, a qualitative mono-method wouldn’t have been able to </w:t>
      </w:r>
      <w:r w:rsidRPr="009B3747">
        <w:rPr>
          <w:rFonts w:eastAsia="Times New Roman" w:cstheme="minorHAnsi"/>
          <w:color w:val="000000"/>
          <w:lang w:eastAsia="en-GB"/>
        </w:rPr>
        <w:t>confirm whether any perspectives obtained were context specific or indeed relevant across a wider cohort.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The ability and indeed necessity to therefore draw on both qualitative and quantitative approaches led to the selection of a mixed methods approach for this study.  A detailed overview of the overarching components for this mixed methods approach, i.e. the chosen philosophical worldview, research design and methodology</w:t>
      </w:r>
      <w:r w:rsidR="00A942FB">
        <w:rPr>
          <w:rFonts w:eastAsia="Times New Roman" w:cstheme="minorHAnsi"/>
          <w:color w:val="000000"/>
          <w:lang w:eastAsia="en-GB"/>
        </w:rPr>
        <w:t>,</w:t>
      </w:r>
      <w:r w:rsidRPr="009B3747">
        <w:rPr>
          <w:rFonts w:eastAsia="Times New Roman" w:cstheme="minorHAnsi"/>
          <w:color w:val="000000"/>
          <w:lang w:eastAsia="en-GB"/>
        </w:rPr>
        <w:t xml:space="preserve"> is presented in the remainder of this ch</w:t>
      </w:r>
      <w:r w:rsidR="00577A7B" w:rsidRPr="009B3747">
        <w:rPr>
          <w:rFonts w:eastAsia="Times New Roman" w:cstheme="minorHAnsi"/>
          <w:color w:val="000000"/>
          <w:lang w:eastAsia="en-GB"/>
        </w:rPr>
        <w:t xml:space="preserve">apter and subsequent chapters </w:t>
      </w:r>
      <w:r w:rsidR="00E7387C" w:rsidRPr="009B3747">
        <w:rPr>
          <w:rFonts w:eastAsia="Times New Roman" w:cstheme="minorHAnsi"/>
          <w:color w:val="000000"/>
          <w:lang w:eastAsia="en-GB"/>
        </w:rPr>
        <w:t>five and seven</w:t>
      </w:r>
      <w:r w:rsidRPr="009B3747">
        <w:rPr>
          <w:rFonts w:eastAsia="Times New Roman" w:cstheme="minorHAnsi"/>
          <w:color w:val="000000"/>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5C21BF" w:rsidRPr="009B3747" w:rsidRDefault="00983506" w:rsidP="003F1507">
      <w:pPr>
        <w:rPr>
          <w:rFonts w:eastAsia="Times New Roman" w:cstheme="minorHAnsi"/>
          <w:b/>
          <w:bCs/>
          <w:color w:val="000000"/>
          <w:u w:val="single"/>
          <w:lang w:eastAsia="en-GB"/>
        </w:rPr>
      </w:pPr>
      <w:r w:rsidRPr="009B3747">
        <w:rPr>
          <w:rFonts w:eastAsia="Times New Roman" w:cstheme="minorHAnsi"/>
          <w:b/>
          <w:bCs/>
          <w:color w:val="000000"/>
          <w:u w:val="single"/>
          <w:lang w:eastAsia="en-GB"/>
        </w:rPr>
        <w:t>4</w:t>
      </w:r>
      <w:r w:rsidR="001C57AA" w:rsidRPr="009B3747">
        <w:rPr>
          <w:rFonts w:eastAsia="Times New Roman" w:cstheme="minorHAnsi"/>
          <w:b/>
          <w:bCs/>
          <w:color w:val="000000"/>
          <w:u w:val="single"/>
          <w:lang w:eastAsia="en-GB"/>
        </w:rPr>
        <w:t>.3</w:t>
      </w:r>
      <w:r w:rsidR="005C21BF" w:rsidRPr="009B3747">
        <w:rPr>
          <w:rFonts w:eastAsia="Times New Roman" w:cstheme="minorHAnsi"/>
          <w:b/>
          <w:bCs/>
          <w:color w:val="000000"/>
          <w:u w:val="single"/>
          <w:lang w:eastAsia="en-GB"/>
        </w:rPr>
        <w:t xml:space="preserve"> </w:t>
      </w:r>
      <w:r w:rsidR="003F1507" w:rsidRPr="009B3747">
        <w:rPr>
          <w:rFonts w:eastAsia="Times New Roman" w:cstheme="minorHAnsi"/>
          <w:b/>
          <w:bCs/>
          <w:color w:val="000000"/>
          <w:u w:val="single"/>
          <w:lang w:eastAsia="en-GB"/>
        </w:rPr>
        <w:t>Com</w:t>
      </w:r>
      <w:r w:rsidR="005C21BF" w:rsidRPr="009B3747">
        <w:rPr>
          <w:rFonts w:eastAsia="Times New Roman" w:cstheme="minorHAnsi"/>
          <w:b/>
          <w:bCs/>
          <w:color w:val="000000"/>
          <w:u w:val="single"/>
          <w:lang w:eastAsia="en-GB"/>
        </w:rPr>
        <w:t xml:space="preserve">ponents of a research approach </w:t>
      </w:r>
    </w:p>
    <w:p w:rsidR="005C21BF" w:rsidRPr="009B3747" w:rsidRDefault="005C21BF" w:rsidP="003F1507">
      <w:pPr>
        <w:rPr>
          <w:rFonts w:eastAsia="Times New Roman" w:cstheme="minorHAnsi"/>
          <w:b/>
          <w:bCs/>
          <w:color w:val="000000"/>
          <w:sz w:val="28"/>
          <w:szCs w:val="28"/>
          <w:u w:val="single"/>
          <w:lang w:eastAsia="en-GB"/>
        </w:rPr>
      </w:pP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A research approach whether quantitative, qualitative or mixed methods, is comprised of three overarching components; philosophical worldviews (or paradigms), research designs and research methods</w:t>
      </w:r>
      <w:r w:rsidR="000623D3" w:rsidRPr="009B3747">
        <w:rPr>
          <w:rFonts w:eastAsia="Times New Roman" w:cstheme="minorHAnsi"/>
          <w:color w:val="000000"/>
          <w:lang w:eastAsia="en-GB"/>
        </w:rPr>
        <w:t xml:space="preserve"> </w:t>
      </w:r>
      <w:r w:rsidR="000623D3"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"ISBN" : "9781412975179", "abstract" : "2nd ed. \"Combining the latest thinking about mixed methods research designs with practical, step-by-step guidance, the Second Edition of Designing and Conducting Mixed Methods Research now covers six major mixed methods designs. Authors John W. Creswell and Vicki L. Plano Clark walk readers through the entire research process, from formulating questions to designing, collecting data, and interpreting results and include updated examples from published mixed methods studies drawn from the social, behavioral, health, and education disciplines.\"--Pub. desc. The nature of mixed methods research -- The foundations of mixed methods research -- Choosing a mixed methods design -- Examples of mixed methods designs -- Introducing a mixed methods study -- Collecting data in mixed methods research -- Analyzing and interpreting data in mixed methods research -- Writing and evaluating mixed methods research -- Summary and recommendations.", "author" : [ { "dropping-particle" : "", "family" : "Creswell", "given" : "John W.", "non-dropping-particle" : "", "parse-names" : false, "suffix" : "" }, { "dropping-particle" : "", "family" : "Plano Clark", "given" : "Vicki L.", "non-dropping-particle" : "", "parse-names" : false, "suffix" : "" } ], "edition" : "2nd", "id" : "ITEM-1", "issued" : { "date-parts" : [ [ "2011" ] ] }, "number-of-pages" : "457", "publisher" : "SAGE Publications", "publisher-place" : "Thousand Oaks", "title" : "Designing and conducting mixed methods research", "type" : "book" }, "uris" : [ "http://www.mendeley.com/documents/?uuid=7cf67537-d009-3386-be02-c159c4f6ff80" ] }, { "id" : "ITEM-2", "itemData" : { "DOI" : "10.1007/s13398-014-0173-7.2", "ISBN" : "9781452274614", "ISSN" : "13514180", "PMID" : "15991970", "author" : [ { "dropping-particle" : "", "family" : "Creswell", "given" : "J W", "non-dropping-particle" : "", "parse-names" : false, "suffix" : "" } ], "container-title" : "SAGE Publications", "edition" : "4th", "id" : "ITEM-2", "issued" : { "date-parts" : [ [ "2014" ] ] }, "number-of-pages" : "398", "publisher" : "SAGE Publications Inc.", "publisher-place" : "Los Angeles", "title" : "Research Design: Qualitative, Quantitative, and Mixed Methods Approaches", "type" : "book" }, "uris" : [ "http://www.mendeley.com/documents/?uuid=e78417b4-b5b5-4ebf-9e1d-3894864dbccd" ] } ], "mendeley" : { "formattedCitation" : "(Creswell and Plano Clark, 2011; Creswell, 2014)", "plainTextFormattedCitation" : "(Creswell and Plano Clark, 2011; Creswell, 2014)", "previouslyFormattedCitation" : "(Creswell and Plano Clark, 2011; Creswell, 2014)" }, "properties" : { "noteIndex" : 0 }, "schema" : "https://github.com/citation-style-language/schema/raw/master/csl-citation.json" }</w:instrText>
      </w:r>
      <w:r w:rsidR="000623D3" w:rsidRPr="009B3747">
        <w:rPr>
          <w:rFonts w:eastAsia="Times New Roman" w:cstheme="minorHAnsi"/>
          <w:color w:val="000000"/>
          <w:lang w:eastAsia="en-GB"/>
        </w:rPr>
        <w:fldChar w:fldCharType="separate"/>
      </w:r>
      <w:r w:rsidR="00A12CF2" w:rsidRPr="009B3747">
        <w:rPr>
          <w:rFonts w:eastAsia="Times New Roman" w:cstheme="minorHAnsi"/>
          <w:noProof/>
          <w:color w:val="000000"/>
          <w:lang w:eastAsia="en-GB"/>
        </w:rPr>
        <w:t>(Creswell and Plano Clark, 2011; Creswell, 2014)</w:t>
      </w:r>
      <w:r w:rsidR="000623D3" w:rsidRPr="009B3747">
        <w:rPr>
          <w:rFonts w:eastAsia="Times New Roman" w:cstheme="minorHAnsi"/>
          <w:color w:val="000000"/>
          <w:lang w:eastAsia="en-GB"/>
        </w:rPr>
        <w:fldChar w:fldCharType="end"/>
      </w:r>
      <w:r w:rsidR="000623D3" w:rsidRPr="009B3747">
        <w:rPr>
          <w:rFonts w:eastAsia="Times New Roman" w:cstheme="minorHAnsi"/>
          <w:color w:val="000000"/>
          <w:lang w:eastAsia="en-GB"/>
        </w:rPr>
        <w:t>.  Figure 4.1</w:t>
      </w:r>
      <w:r w:rsidRPr="009B3747">
        <w:rPr>
          <w:rFonts w:eastAsia="Times New Roman" w:cstheme="minorHAnsi"/>
          <w:color w:val="000000"/>
          <w:lang w:eastAsia="en-GB"/>
        </w:rPr>
        <w:t xml:space="preserve"> displays the ‘framework for research’</w:t>
      </w:r>
      <w:r w:rsidR="000623D3" w:rsidRPr="009B3747">
        <w:rPr>
          <w:rFonts w:eastAsia="Times New Roman" w:cstheme="minorHAnsi"/>
          <w:color w:val="000000"/>
          <w:lang w:eastAsia="en-GB"/>
        </w:rPr>
        <w:t xml:space="preserve"> </w:t>
      </w:r>
      <w:r w:rsidR="000623D3"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"DOI" : "10.1007/s13398-014-0173-7.2", "ISBN" : "9781452274614", "ISSN" : "13514180", "PMID" : "15991970", "author" : [ { "dropping-particle" : "", "family" : "Creswell", "given" : "J W", "non-dropping-particle" : "", "parse-names" : false, "suffix" : "" } ], "container-title" : "SAGE Publications", "edition" : "4th", "id" : "ITEM-1", "issued" : { "date-parts" : [ [ "2014" ] ] }, "number-of-pages" : "398", "publisher" : "SAGE Publications Inc.", "publisher-place" : "Los Angeles", "title" : "Research Design: Qualitative, Quantitative, and Mixed Methods Approaches", "type" : "book" }, "uris" : [ "http://www.mendeley.com/documents/?uuid=e78417b4-b5b5-4ebf-9e1d-3894864dbccd" ] } ], "mendeley" : { "formattedCitation" : "(Creswell, 2014)", "plainTextFormattedCitation" : "(Creswell, 2014)", "previouslyFormattedCitation" : "(Creswell, 2014)" }, "properties" : { "noteIndex" : 0 }, "schema" : "https://github.com/citation-style-language/schema/raw/master/csl-citation.json" }</w:instrText>
      </w:r>
      <w:r w:rsidR="000623D3" w:rsidRPr="009B3747">
        <w:rPr>
          <w:rFonts w:eastAsia="Times New Roman" w:cstheme="minorHAnsi"/>
          <w:color w:val="000000"/>
          <w:lang w:eastAsia="en-GB"/>
        </w:rPr>
        <w:fldChar w:fldCharType="separate"/>
      </w:r>
      <w:r w:rsidR="000623D3" w:rsidRPr="009B3747">
        <w:rPr>
          <w:rFonts w:eastAsia="Times New Roman" w:cstheme="minorHAnsi"/>
          <w:noProof/>
          <w:color w:val="000000"/>
          <w:lang w:eastAsia="en-GB"/>
        </w:rPr>
        <w:t>(Creswell, 2014)</w:t>
      </w:r>
      <w:r w:rsidR="000623D3" w:rsidRPr="009B3747">
        <w:rPr>
          <w:rFonts w:eastAsia="Times New Roman" w:cstheme="minorHAnsi"/>
          <w:color w:val="000000"/>
          <w:lang w:eastAsia="en-GB"/>
        </w:rPr>
        <w:fldChar w:fldCharType="end"/>
      </w:r>
      <w:r w:rsidR="000623D3" w:rsidRPr="009B3747">
        <w:rPr>
          <w:rFonts w:eastAsia="Times New Roman" w:cstheme="minorHAnsi"/>
          <w:color w:val="000000"/>
          <w:lang w:eastAsia="en-GB"/>
        </w:rPr>
        <w:t xml:space="preserve">, </w:t>
      </w:r>
      <w:r w:rsidRPr="009B3747">
        <w:rPr>
          <w:rFonts w:eastAsia="Times New Roman" w:cstheme="minorHAnsi"/>
          <w:color w:val="000000"/>
          <w:lang w:eastAsia="en-GB"/>
        </w:rPr>
        <w:t>which details the three components and the interconnection and interaction between each.</w:t>
      </w:r>
    </w:p>
    <w:p w:rsidR="001E407C" w:rsidRPr="009B3747" w:rsidRDefault="001E407C" w:rsidP="001E407C">
      <w:pPr>
        <w:rPr>
          <w:rFonts w:eastAsia="Times New Roman" w:cstheme="minorHAnsi"/>
          <w:sz w:val="24"/>
          <w:szCs w:val="24"/>
          <w:lang w:eastAsia="en-GB"/>
        </w:rPr>
      </w:pPr>
    </w:p>
    <w:p w:rsidR="003F1507" w:rsidRPr="009B3747" w:rsidRDefault="000623D3" w:rsidP="001E407C">
      <w:pPr>
        <w:rPr>
          <w:rFonts w:eastAsia="Times New Roman" w:cstheme="minorHAnsi"/>
          <w:color w:val="000000"/>
          <w:lang w:eastAsia="en-GB"/>
        </w:rPr>
      </w:pPr>
      <w:r w:rsidRPr="009B3747">
        <w:rPr>
          <w:rFonts w:cstheme="minorHAnsi"/>
          <w:noProof/>
          <w:lang w:eastAsia="en-GB"/>
        </w:rPr>
        <w:lastRenderedPageBreak/>
        <w:drawing>
          <wp:anchor distT="0" distB="0" distL="114300" distR="114300" simplePos="0" relativeHeight="251658240" behindDoc="1" locked="0" layoutInCell="1" allowOverlap="1">
            <wp:simplePos x="0" y="0"/>
            <wp:positionH relativeFrom="column">
              <wp:posOffset>464185</wp:posOffset>
            </wp:positionH>
            <wp:positionV relativeFrom="paragraph">
              <wp:posOffset>28575</wp:posOffset>
            </wp:positionV>
            <wp:extent cx="4423410" cy="3457575"/>
            <wp:effectExtent l="0" t="0" r="0" b="9525"/>
            <wp:wrapTight wrapText="bothSides">
              <wp:wrapPolygon edited="0">
                <wp:start x="0" y="0"/>
                <wp:lineTo x="0" y="21540"/>
                <wp:lineTo x="21488" y="21540"/>
                <wp:lineTo x="2148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6756" t="22517" r="24551" b="6848"/>
                    <a:stretch/>
                  </pic:blipFill>
                  <pic:spPr bwMode="auto">
                    <a:xfrm>
                      <a:off x="0" y="0"/>
                      <a:ext cx="4423410" cy="3457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1507" w:rsidRPr="009B3747">
        <w:rPr>
          <w:rFonts w:eastAsia="Times New Roman" w:cstheme="minorHAnsi"/>
          <w:sz w:val="24"/>
          <w:szCs w:val="24"/>
          <w:lang w:eastAsia="en-GB"/>
        </w:rPr>
        <w:t> </w:t>
      </w:r>
    </w:p>
    <w:p w:rsidR="001E407C" w:rsidRPr="009B3747" w:rsidRDefault="001E407C" w:rsidP="001E407C">
      <w:pPr>
        <w:ind w:left="3600"/>
        <w:rPr>
          <w:rFonts w:eastAsia="Times New Roman" w:cstheme="minorHAnsi"/>
          <w:sz w:val="20"/>
          <w:szCs w:val="20"/>
          <w:lang w:eastAsia="en-GB"/>
        </w:rPr>
      </w:pPr>
      <w:r w:rsidRPr="009B3747">
        <w:rPr>
          <w:rFonts w:eastAsia="Times New Roman" w:cstheme="minorHAnsi"/>
          <w:sz w:val="20"/>
          <w:szCs w:val="20"/>
          <w:lang w:eastAsia="en-GB"/>
        </w:rPr>
        <w:t xml:space="preserve">     </w:t>
      </w:r>
    </w:p>
    <w:p w:rsidR="001E407C" w:rsidRPr="009B3747" w:rsidRDefault="001E407C" w:rsidP="001E407C">
      <w:pPr>
        <w:ind w:left="3600"/>
        <w:rPr>
          <w:rFonts w:eastAsia="Times New Roman" w:cstheme="minorHAnsi"/>
          <w:sz w:val="20"/>
          <w:szCs w:val="20"/>
          <w:lang w:eastAsia="en-GB"/>
        </w:rPr>
      </w:pPr>
    </w:p>
    <w:p w:rsidR="001E407C" w:rsidRPr="009B3747" w:rsidRDefault="001E407C" w:rsidP="001E407C">
      <w:pPr>
        <w:ind w:left="3600"/>
        <w:rPr>
          <w:rFonts w:eastAsia="Times New Roman" w:cstheme="minorHAnsi"/>
          <w:sz w:val="20"/>
          <w:szCs w:val="20"/>
          <w:lang w:eastAsia="en-GB"/>
        </w:rPr>
      </w:pPr>
    </w:p>
    <w:p w:rsidR="001E407C" w:rsidRPr="009B3747" w:rsidRDefault="001E407C" w:rsidP="001E407C">
      <w:pPr>
        <w:ind w:left="3600"/>
        <w:rPr>
          <w:rFonts w:eastAsia="Times New Roman" w:cstheme="minorHAnsi"/>
          <w:sz w:val="20"/>
          <w:szCs w:val="20"/>
          <w:lang w:eastAsia="en-GB"/>
        </w:rPr>
      </w:pPr>
    </w:p>
    <w:p w:rsidR="001E407C" w:rsidRPr="009B3747" w:rsidRDefault="001E407C" w:rsidP="001E407C">
      <w:pPr>
        <w:ind w:left="3600"/>
        <w:rPr>
          <w:rFonts w:eastAsia="Times New Roman" w:cstheme="minorHAnsi"/>
          <w:sz w:val="20"/>
          <w:szCs w:val="20"/>
          <w:lang w:eastAsia="en-GB"/>
        </w:rPr>
      </w:pPr>
    </w:p>
    <w:p w:rsidR="001E407C" w:rsidRPr="009B3747" w:rsidRDefault="001E407C" w:rsidP="001E407C">
      <w:pPr>
        <w:ind w:left="3600"/>
        <w:rPr>
          <w:rFonts w:eastAsia="Times New Roman" w:cstheme="minorHAnsi"/>
          <w:sz w:val="20"/>
          <w:szCs w:val="20"/>
          <w:lang w:eastAsia="en-GB"/>
        </w:rPr>
      </w:pPr>
    </w:p>
    <w:p w:rsidR="001E407C" w:rsidRPr="009B3747" w:rsidRDefault="001E407C" w:rsidP="001E407C">
      <w:pPr>
        <w:ind w:left="3600"/>
        <w:rPr>
          <w:rFonts w:eastAsia="Times New Roman" w:cstheme="minorHAnsi"/>
          <w:sz w:val="20"/>
          <w:szCs w:val="20"/>
          <w:lang w:eastAsia="en-GB"/>
        </w:rPr>
      </w:pPr>
    </w:p>
    <w:p w:rsidR="001E407C" w:rsidRPr="009B3747" w:rsidRDefault="001E407C" w:rsidP="001E407C">
      <w:pPr>
        <w:ind w:left="3600"/>
        <w:rPr>
          <w:rFonts w:eastAsia="Times New Roman" w:cstheme="minorHAnsi"/>
          <w:sz w:val="20"/>
          <w:szCs w:val="20"/>
          <w:lang w:eastAsia="en-GB"/>
        </w:rPr>
      </w:pPr>
    </w:p>
    <w:p w:rsidR="001E407C" w:rsidRPr="009B3747" w:rsidRDefault="001E407C" w:rsidP="001E407C">
      <w:pPr>
        <w:ind w:left="3600"/>
        <w:rPr>
          <w:rFonts w:eastAsia="Times New Roman" w:cstheme="minorHAnsi"/>
          <w:sz w:val="20"/>
          <w:szCs w:val="20"/>
          <w:lang w:eastAsia="en-GB"/>
        </w:rPr>
      </w:pPr>
    </w:p>
    <w:p w:rsidR="001E407C" w:rsidRPr="009B3747" w:rsidRDefault="001E407C" w:rsidP="001E407C">
      <w:pPr>
        <w:ind w:left="3600"/>
        <w:rPr>
          <w:rFonts w:eastAsia="Times New Roman" w:cstheme="minorHAnsi"/>
          <w:sz w:val="20"/>
          <w:szCs w:val="20"/>
          <w:lang w:eastAsia="en-GB"/>
        </w:rPr>
      </w:pPr>
    </w:p>
    <w:p w:rsidR="001E407C" w:rsidRPr="009B3747" w:rsidRDefault="001E407C" w:rsidP="001E407C">
      <w:pPr>
        <w:ind w:left="3600"/>
        <w:rPr>
          <w:rFonts w:eastAsia="Times New Roman" w:cstheme="minorHAnsi"/>
          <w:sz w:val="20"/>
          <w:szCs w:val="20"/>
          <w:lang w:eastAsia="en-GB"/>
        </w:rPr>
      </w:pPr>
    </w:p>
    <w:p w:rsidR="001E407C" w:rsidRPr="009B3747" w:rsidRDefault="001E407C" w:rsidP="001E407C">
      <w:pPr>
        <w:ind w:left="3600"/>
        <w:rPr>
          <w:rFonts w:eastAsia="Times New Roman" w:cstheme="minorHAnsi"/>
          <w:sz w:val="20"/>
          <w:szCs w:val="20"/>
          <w:lang w:eastAsia="en-GB"/>
        </w:rPr>
      </w:pPr>
    </w:p>
    <w:p w:rsidR="001E407C" w:rsidRPr="009B3747" w:rsidRDefault="001E407C" w:rsidP="001E407C">
      <w:pPr>
        <w:ind w:left="3600"/>
        <w:rPr>
          <w:rFonts w:eastAsia="Times New Roman" w:cstheme="minorHAnsi"/>
          <w:sz w:val="20"/>
          <w:szCs w:val="20"/>
          <w:lang w:eastAsia="en-GB"/>
        </w:rPr>
      </w:pPr>
    </w:p>
    <w:p w:rsidR="001C57AA" w:rsidRPr="009B3747" w:rsidRDefault="001C57AA" w:rsidP="001E407C">
      <w:pPr>
        <w:rPr>
          <w:rFonts w:eastAsia="Times New Roman" w:cstheme="minorHAnsi"/>
          <w:sz w:val="20"/>
          <w:szCs w:val="20"/>
          <w:lang w:eastAsia="en-GB"/>
        </w:rPr>
      </w:pPr>
    </w:p>
    <w:p w:rsidR="00AD02BD" w:rsidRPr="009B3747" w:rsidRDefault="00AD02BD" w:rsidP="001E407C">
      <w:pPr>
        <w:rPr>
          <w:rFonts w:cstheme="minorHAnsi"/>
          <w:u w:val="single"/>
        </w:rPr>
      </w:pPr>
    </w:p>
    <w:p w:rsidR="003F1507" w:rsidRPr="009B3747" w:rsidRDefault="001C57AA" w:rsidP="001E407C">
      <w:pPr>
        <w:rPr>
          <w:rFonts w:eastAsia="Times New Roman" w:cstheme="minorHAnsi"/>
          <w:sz w:val="20"/>
          <w:szCs w:val="20"/>
          <w:u w:val="single"/>
          <w:lang w:eastAsia="en-GB"/>
        </w:rPr>
      </w:pPr>
      <w:r w:rsidRPr="009B3747">
        <w:rPr>
          <w:rFonts w:cstheme="minorHAnsi"/>
          <w:sz w:val="20"/>
          <w:szCs w:val="20"/>
          <w:u w:val="single"/>
        </w:rPr>
        <w:t xml:space="preserve">Figure 4.1 - Framework for research – the interconnection of worldviews, design and research methods </w:t>
      </w:r>
      <w:r w:rsidRPr="009B3747">
        <w:rPr>
          <w:rFonts w:cstheme="minorHAnsi"/>
          <w:sz w:val="20"/>
          <w:szCs w:val="20"/>
          <w:u w:val="single"/>
        </w:rPr>
        <w:fldChar w:fldCharType="begin" w:fldLock="1"/>
      </w:r>
      <w:r w:rsidR="0047189B" w:rsidRPr="009B3747">
        <w:rPr>
          <w:rFonts w:cstheme="minorHAnsi"/>
          <w:sz w:val="20"/>
          <w:szCs w:val="20"/>
          <w:u w:val="single"/>
        </w:rPr>
        <w:instrText>ADDIN CSL_CITATION { "citationItems" : [ { "id" : "ITEM-1", "itemData" : { "DOI" : "10.1007/s13398-014-0173-7.2", "ISBN" : "9781452274614", "ISSN" : "13514180", "PMID" : "15991970", "author" : [ { "dropping-particle" : "", "family" : "Creswell", "given" : "J W", "non-dropping-particle" : "", "parse-names" : false, "suffix" : "" } ], "container-title" : "SAGE Publications", "edition" : "4th", "id" : "ITEM-1", "issued" : { "date-parts" : [ [ "2014" ] ] }, "number-of-pages" : "398", "publisher" : "SAGE Publications Inc.", "publisher-place" : "Los Angeles", "title" : "Research Design: Qualitative, Quantitative, and Mixed Methods Approaches", "type" : "book" }, "uris" : [ "http://www.mendeley.com/documents/?uuid=e78417b4-b5b5-4ebf-9e1d-3894864dbccd" ] } ], "mendeley" : { "formattedCitation" : "(Creswell, 2014)", "plainTextFormattedCitation" : "(Creswell, 2014)", "previouslyFormattedCitation" : "(Creswell, 2014)" }, "properties" : { "noteIndex" : 0 }, "schema" : "https://github.com/citation-style-language/schema/raw/master/csl-citation.json" }</w:instrText>
      </w:r>
      <w:r w:rsidRPr="009B3747">
        <w:rPr>
          <w:rFonts w:cstheme="minorHAnsi"/>
          <w:sz w:val="20"/>
          <w:szCs w:val="20"/>
          <w:u w:val="single"/>
        </w:rPr>
        <w:fldChar w:fldCharType="separate"/>
      </w:r>
      <w:r w:rsidRPr="009B3747">
        <w:rPr>
          <w:rFonts w:cstheme="minorHAnsi"/>
          <w:noProof/>
          <w:sz w:val="20"/>
          <w:szCs w:val="20"/>
          <w:u w:val="single"/>
        </w:rPr>
        <w:t>(Creswell, 2014)</w:t>
      </w:r>
      <w:r w:rsidRPr="009B3747">
        <w:rPr>
          <w:rFonts w:cstheme="minorHAnsi"/>
          <w:sz w:val="20"/>
          <w:szCs w:val="20"/>
          <w:u w:val="single"/>
        </w:rPr>
        <w:fldChar w:fldCharType="end"/>
      </w:r>
    </w:p>
    <w:p w:rsidR="001E407C" w:rsidRPr="009B3747" w:rsidRDefault="001E407C" w:rsidP="001E407C">
      <w:pPr>
        <w:rPr>
          <w:rFonts w:eastAsia="Times New Roman" w:cstheme="minorHAnsi"/>
          <w:sz w:val="20"/>
          <w:szCs w:val="20"/>
          <w:lang w:eastAsia="en-GB"/>
        </w:rPr>
      </w:pPr>
    </w:p>
    <w:p w:rsidR="003F1507" w:rsidRPr="009B3747" w:rsidRDefault="001C57AA" w:rsidP="00F74CA0">
      <w:pPr>
        <w:textAlignment w:val="baseline"/>
        <w:rPr>
          <w:rFonts w:eastAsia="Times New Roman" w:cstheme="minorHAnsi"/>
          <w:bCs/>
          <w:color w:val="000000"/>
          <w:u w:val="single"/>
          <w:lang w:eastAsia="en-GB"/>
        </w:rPr>
      </w:pPr>
      <w:r w:rsidRPr="009B3747">
        <w:rPr>
          <w:rFonts w:eastAsia="Times New Roman" w:cstheme="minorHAnsi"/>
          <w:bCs/>
          <w:color w:val="000000"/>
          <w:u w:val="single"/>
          <w:lang w:eastAsia="en-GB"/>
        </w:rPr>
        <w:t>4.3</w:t>
      </w:r>
      <w:r w:rsidR="00F74CA0" w:rsidRPr="009B3747">
        <w:rPr>
          <w:rFonts w:eastAsia="Times New Roman" w:cstheme="minorHAnsi"/>
          <w:bCs/>
          <w:color w:val="000000"/>
          <w:u w:val="single"/>
          <w:lang w:eastAsia="en-GB"/>
        </w:rPr>
        <w:t xml:space="preserve">.1 </w:t>
      </w:r>
      <w:r w:rsidR="003F1507" w:rsidRPr="009B3747">
        <w:rPr>
          <w:rFonts w:eastAsia="Times New Roman" w:cstheme="minorHAnsi"/>
          <w:bCs/>
          <w:color w:val="000000"/>
          <w:u w:val="single"/>
          <w:lang w:eastAsia="en-GB"/>
        </w:rPr>
        <w:t>Philosophical worldview</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color w:val="000000"/>
          <w:lang w:eastAsia="en-GB"/>
        </w:rPr>
      </w:pPr>
      <w:r w:rsidRPr="009B3747">
        <w:rPr>
          <w:rFonts w:eastAsia="Times New Roman" w:cstheme="minorHAnsi"/>
          <w:color w:val="000000"/>
          <w:lang w:eastAsia="en-GB"/>
        </w:rPr>
        <w:t>Despite being often hidden or missing in research texts</w:t>
      </w:r>
      <w:r w:rsidR="001C57AA" w:rsidRPr="009B3747">
        <w:rPr>
          <w:rFonts w:eastAsia="Times New Roman" w:cstheme="minorHAnsi"/>
          <w:color w:val="000000"/>
          <w:lang w:eastAsia="en-GB"/>
        </w:rPr>
        <w:t xml:space="preserve"> </w:t>
      </w:r>
      <w:r w:rsidR="001C57AA"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"Slife", "given" : "BD", "non-dropping-particle" : "", "parse-names" : false, "suffix" : "" }, { "dropping-particle" : "", "family" : "Williams", "given" : "RN", "non-dropping-particle" : "", "parse-names" : false, "suffix" : "" } ], "id" : "ITEM-1", "issued" : { "date-parts" : [ [ "1995" ] ] }, "publisher" : "SAGE Publications Inc.", "publisher-place" : "Thousand Oaks", "title" : "What's behind the research?: Discovering hidden assumptions in the behavioral sciences", "type" : "book" }, "uris" : [ "http://www.mendeley.com/documents/?uuid=b0edf477-464e-4fbd-b82a-670f64d1bb1e" ] }, { "id" : "ITEM-2", "itemData" : { "DOI" : "Retrieved from ERIC", "ISBN" : "0313-7155", "ISSN" : "03137155", "abstract" : "In this article the authors discuss issues faced by early career researchers, including the dichotomy, which many research textbooks and journal articles create and perpetuate between qualitative and quantitative research methodology despite considerable literature to support the use of mixed methods. The authors review current research literature and discuss some of the language, which can prove confusing to the early career researcher and problematic for post-graduate supervisors and teachers of research. The authors argue that discussions of research methods in research texts and university courses should include mixed methods and should address the perceived dichotomy between qualitative and quantitative research methodology. (Contains 1 figure and 2 tables.)", "author" : [ { "dropping-particle" : "", "family" : "Mackenzie", "given" : "Noella", "non-dropping-particle" : "", "parse-names" : false, "suffix" : "" }, { "dropping-particle" : "", "family" : "Knipe", "given" : "Sally", "non-dropping-particle" : "", "parse-names" : false, "suffix" : "" } ], "container-title" : "Issues in Educational Research", "id" : "ITEM-2", "issue" : "2", "issued" : { "date-parts" : [ [ "2006" ] ] }, "page" : "p193-205", "title" : "Research dilemmas: Paradigms, methods and methodology", "type" : "article-journal", "volume" : "16" }, "uris" : [ "http://www.mendeley.com/documents/?uuid=b9f00f9d-273d-4e90-bcc2-9dbe6dbc99b1" ] } ], "mendeley" : { "formattedCitation" : "(Slife and Williams, 1995; Mackenzie and Knipe, 2006)", "plainTextFormattedCitation" : "(Slife and Williams, 1995; Mackenzie and Knipe, 2006)", "previouslyFormattedCitation" : "(Slife and Williams, 1995; Mackenzie and Knipe, 2006)" }, "properties" : { "noteIndex" : 0 }, "schema" : "https://github.com/citation-style-language/schema/raw/master/csl-citation.json" }</w:instrText>
      </w:r>
      <w:r w:rsidR="001C57AA" w:rsidRPr="009B3747">
        <w:rPr>
          <w:rFonts w:eastAsia="Times New Roman" w:cstheme="minorHAnsi"/>
          <w:color w:val="000000"/>
          <w:lang w:eastAsia="en-GB"/>
        </w:rPr>
        <w:fldChar w:fldCharType="separate"/>
      </w:r>
      <w:r w:rsidR="001C57AA" w:rsidRPr="009B3747">
        <w:rPr>
          <w:rFonts w:eastAsia="Times New Roman" w:cstheme="minorHAnsi"/>
          <w:noProof/>
          <w:color w:val="000000"/>
          <w:lang w:eastAsia="en-GB"/>
        </w:rPr>
        <w:t>(Slife and Williams, 1995; Mackenzie and Knipe, 2006)</w:t>
      </w:r>
      <w:r w:rsidR="001C57AA" w:rsidRPr="009B3747">
        <w:rPr>
          <w:rFonts w:eastAsia="Times New Roman" w:cstheme="minorHAnsi"/>
          <w:color w:val="000000"/>
          <w:lang w:eastAsia="en-GB"/>
        </w:rPr>
        <w:fldChar w:fldCharType="end"/>
      </w:r>
      <w:r w:rsidR="00A942FB">
        <w:rPr>
          <w:rFonts w:eastAsia="Times New Roman" w:cstheme="minorHAnsi"/>
          <w:color w:val="000000"/>
          <w:lang w:eastAsia="en-GB"/>
        </w:rPr>
        <w:t xml:space="preserve">, </w:t>
      </w:r>
      <w:r w:rsidRPr="009B3747">
        <w:rPr>
          <w:rFonts w:eastAsia="Times New Roman" w:cstheme="minorHAnsi"/>
          <w:color w:val="000000"/>
          <w:lang w:eastAsia="en-GB"/>
        </w:rPr>
        <w:t>a fundamental component of a research approach is the philosophical assumptions or worldviews</w:t>
      </w:r>
      <w:r w:rsidR="009025E2">
        <w:rPr>
          <w:rFonts w:eastAsia="Times New Roman" w:cstheme="minorHAnsi"/>
          <w:color w:val="000000"/>
          <w:lang w:eastAsia="en-GB"/>
        </w:rPr>
        <w:t>,</w:t>
      </w:r>
      <w:r w:rsidRPr="009B3747">
        <w:rPr>
          <w:rFonts w:eastAsia="Times New Roman" w:cstheme="minorHAnsi"/>
          <w:color w:val="000000"/>
          <w:lang w:eastAsia="en-GB"/>
        </w:rPr>
        <w:t xml:space="preserve"> which form the foundation of research</w:t>
      </w:r>
      <w:r w:rsidR="001C57AA" w:rsidRPr="009B3747">
        <w:rPr>
          <w:rFonts w:eastAsia="Times New Roman" w:cstheme="minorHAnsi"/>
          <w:color w:val="000000"/>
          <w:lang w:eastAsia="en-GB"/>
        </w:rPr>
        <w:t xml:space="preserve"> </w:t>
      </w:r>
      <w:r w:rsidR="001C57AA"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"ISBN" : "9781412975179", "abstract" : "2nd ed. \"Combining the latest thinking about mixed methods research designs with practical, step-by-step guidance, the Second Edition of Designing and Conducting Mixed Methods Research now covers six major mixed methods designs. Authors John W. Creswell and Vicki L. Plano Clark walk readers through the entire research process, from formulating questions to designing, collecting data, and interpreting results and include updated examples from published mixed methods studies drawn from the social, behavioral, health, and education disciplines.\"--Pub. desc. The nature of mixed methods research -- The foundations of mixed methods research -- Choosing a mixed methods design -- Examples of mixed methods designs -- Introducing a mixed methods study -- Collecting data in mixed methods research -- Analyzing and interpreting data in mixed methods research -- Writing and evaluating mixed methods research -- Summary and recommendations.", "author" : [ { "dropping-particle" : "", "family" : "Creswell", "given" : "John W.", "non-dropping-particle" : "", "parse-names" : false, "suffix" : "" }, { "dropping-particle" : "", "family" : "Plano Clark", "given" : "Vicki L.", "non-dropping-particle" : "", "parse-names" : false, "suffix" : "" } ], "edition" : "2nd", "id" : "ITEM-1", "issued" : { "date-parts" : [ [ "2011" ] ] }, "number-of-pages" : "457", "publisher" : "SAGE Publications", "publisher-place" : "Thousand Oaks", "title" : "Designing and conducting mixed methods research", "type" : "book" }, "uris" : [ "http://www.mendeley.com/documents/?uuid=7cf67537-d009-3386-be02-c159c4f6ff80" ] } ], "mendeley" : { "formattedCitation" : "(Creswell and Plano Clark, 2011)", "plainTextFormattedCitation" : "(Creswell and Plano Clark, 2011)", "previouslyFormattedCitation" : "(Creswell and Plano Clark, 2011)" }, "properties" : { "noteIndex" : 0 }, "schema" : "https://github.com/citation-style-language/schema/raw/master/csl-citation.json" }</w:instrText>
      </w:r>
      <w:r w:rsidR="001C57AA" w:rsidRPr="009B3747">
        <w:rPr>
          <w:rFonts w:eastAsia="Times New Roman" w:cstheme="minorHAnsi"/>
          <w:color w:val="000000"/>
          <w:lang w:eastAsia="en-GB"/>
        </w:rPr>
        <w:fldChar w:fldCharType="separate"/>
      </w:r>
      <w:r w:rsidR="001D6EEB" w:rsidRPr="009B3747">
        <w:rPr>
          <w:rFonts w:eastAsia="Times New Roman" w:cstheme="minorHAnsi"/>
          <w:noProof/>
          <w:color w:val="000000"/>
          <w:lang w:eastAsia="en-GB"/>
        </w:rPr>
        <w:t>(Creswell and Plano Clark, 2011)</w:t>
      </w:r>
      <w:r w:rsidR="001C57AA" w:rsidRPr="009B3747">
        <w:rPr>
          <w:rFonts w:eastAsia="Times New Roman" w:cstheme="minorHAnsi"/>
          <w:color w:val="000000"/>
          <w:lang w:eastAsia="en-GB"/>
        </w:rPr>
        <w:fldChar w:fldCharType="end"/>
      </w:r>
      <w:r w:rsidR="001C57AA"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Proposed as a basic set of beliefs or assumptions (Creswell, 1998, Guba </w:t>
      </w:r>
      <w:r w:rsidR="00A942FB">
        <w:rPr>
          <w:rFonts w:eastAsia="Times New Roman" w:cstheme="minorHAnsi"/>
          <w:color w:val="000000"/>
          <w:lang w:eastAsia="en-GB"/>
        </w:rPr>
        <w:t xml:space="preserve">and Lincoln, 2005; Morgan 2007), </w:t>
      </w:r>
      <w:r w:rsidRPr="009B3747">
        <w:rPr>
          <w:rFonts w:eastAsia="Times New Roman" w:cstheme="minorHAnsi"/>
          <w:color w:val="000000"/>
          <w:lang w:eastAsia="en-GB"/>
        </w:rPr>
        <w:t>and typically referred to as ‘paradigms’, a researcher’s philosophical worldview is perceived to be inseparable from how and why a research approach, design and methods are chosen and conducted</w:t>
      </w:r>
      <w:r w:rsidR="001C57AA" w:rsidRPr="009B3747">
        <w:rPr>
          <w:rFonts w:eastAsia="Times New Roman" w:cstheme="minorHAnsi"/>
          <w:color w:val="000000"/>
          <w:lang w:eastAsia="en-GB"/>
        </w:rPr>
        <w:t xml:space="preserve"> </w:t>
      </w:r>
      <w:r w:rsidR="001C57AA"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"ISBN" : "9781412975179", "abstract" : "2nd ed. \"Combining the latest thinking about mixed methods research designs with practical, step-by-step guidance, the Second Edition of Designing and Conducting Mixed Methods Research now covers six major mixed methods designs. Authors John W. Creswell and Vicki L. Plano Clark walk readers through the entire research process, from formulating questions to designing, collecting data, and interpreting results and include updated examples from published mixed methods studies drawn from the social, behavioral, health, and education disciplines.\"--Pub. desc. The nature of mixed methods research -- The foundations of mixed methods research -- Choosing a mixed methods design -- Examples of mixed methods designs -- Introducing a mixed methods study -- Collecting data in mixed methods research -- Analyzing and interpreting data in mixed methods research -- Writing and evaluating mixed methods research -- Summary and recommendations.", "author" : [ { "dropping-particle" : "", "family" : "Creswell", "given" : "John W.", "non-dropping-particle" : "", "parse-names" : false, "suffix" : "" }, { "dropping-particle" : "", "family" : "Plano Clark", "given" : "Vicki L.", "non-dropping-particle" : "", "parse-names" : false, "suffix" : "" } ], "edition" : "2nd", "id" : "ITEM-1", "issued" : { "date-parts" : [ [ "2011" ] ] }, "number-of-pages" : "457", "publisher" : "SAGE Publications", "publisher-place" : "Thousand Oaks", "title" : "Designing and conducting mixed methods research", "type" : "book" }, "uris" : [ "http://www.mendeley.com/documents/?uuid=7cf67537-d009-3386-be02-c159c4f6ff80" ] } ], "mendeley" : { "formattedCitation" : "(Creswell and Plano Clark, 2011)", "plainTextFormattedCitation" : "(Creswell and Plano Clark, 2011)", "previouslyFormattedCitation" : "(Creswell and Plano Clark, 2011)" }, "properties" : { "noteIndex" : 0 }, "schema" : "https://github.com/citation-style-language/schema/raw/master/csl-citation.json" }</w:instrText>
      </w:r>
      <w:r w:rsidR="001C57AA" w:rsidRPr="009B3747">
        <w:rPr>
          <w:rFonts w:eastAsia="Times New Roman" w:cstheme="minorHAnsi"/>
          <w:color w:val="000000"/>
          <w:lang w:eastAsia="en-GB"/>
        </w:rPr>
        <w:fldChar w:fldCharType="separate"/>
      </w:r>
      <w:r w:rsidR="001D6EEB" w:rsidRPr="009B3747">
        <w:rPr>
          <w:rFonts w:eastAsia="Times New Roman" w:cstheme="minorHAnsi"/>
          <w:noProof/>
          <w:color w:val="000000"/>
          <w:lang w:eastAsia="en-GB"/>
        </w:rPr>
        <w:t>(Creswell and Plano Clark, 2011)</w:t>
      </w:r>
      <w:r w:rsidR="001C57AA" w:rsidRPr="009B3747">
        <w:rPr>
          <w:rFonts w:eastAsia="Times New Roman" w:cstheme="minorHAnsi"/>
          <w:color w:val="000000"/>
          <w:lang w:eastAsia="en-GB"/>
        </w:rPr>
        <w:fldChar w:fldCharType="end"/>
      </w:r>
      <w:r w:rsidRPr="009B3747">
        <w:rPr>
          <w:rFonts w:eastAsia="Times New Roman" w:cstheme="minorHAnsi"/>
          <w:color w:val="000000"/>
          <w:lang w:eastAsia="en-GB"/>
        </w:rPr>
        <w:t>.  Therefore as each resea</w:t>
      </w:r>
      <w:r w:rsidR="001C57AA" w:rsidRPr="009B3747">
        <w:rPr>
          <w:rFonts w:eastAsia="Times New Roman" w:cstheme="minorHAnsi"/>
          <w:color w:val="000000"/>
          <w:lang w:eastAsia="en-GB"/>
        </w:rPr>
        <w:t xml:space="preserve">rcher brings a </w:t>
      </w:r>
      <w:r w:rsidR="001C57AA" w:rsidRPr="009B3747">
        <w:rPr>
          <w:rFonts w:eastAsia="Times New Roman" w:cstheme="minorHAnsi"/>
          <w:i/>
          <w:color w:val="000000"/>
          <w:lang w:eastAsia="en-GB"/>
        </w:rPr>
        <w:t>“</w:t>
      </w:r>
      <w:r w:rsidRPr="009B3747">
        <w:rPr>
          <w:rFonts w:eastAsia="Times New Roman" w:cstheme="minorHAnsi"/>
          <w:i/>
          <w:color w:val="000000"/>
          <w:lang w:eastAsia="en-GB"/>
        </w:rPr>
        <w:t>set of interlocking philosophical assumptions and stances</w:t>
      </w:r>
      <w:r w:rsidR="001C57AA" w:rsidRPr="009B3747">
        <w:rPr>
          <w:rFonts w:eastAsia="Times New Roman" w:cstheme="minorHAnsi"/>
          <w:i/>
          <w:color w:val="000000"/>
          <w:lang w:eastAsia="en-GB"/>
        </w:rPr>
        <w:t xml:space="preserve">” </w:t>
      </w:r>
      <w:r w:rsidR="001C57AA"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"Caracelli", "given" : "VJ", "non-dropping-particle" : "", "parse-names" : false, "suffix" : "" }, { "dropping-particle" : "", "family" : "Greene", "given" : "JC", "non-dropping-particle" : "", "parse-names" : false, "suffix" : "" } ], "container-title" : "New directions for evaluation", "id" : "ITEM-1", "issue" : "74", "issued" : { "date-parts" : [ [ "1997" ] ] }, "page" : "19-32", "title" : "Crafting mixed\u2010method evaluation designs", "type" : "article-journal", "volume" : "1997" }, "uris" : [ "http://www.mendeley.com/documents/?uuid=72fb7c8a-ea40-4037-8410-5e58d4669bc2" ] } ], "mendeley" : { "formattedCitation" : "(Caracelli and Greene, 1997)", "manualFormatting" : "(Caracelli and Greene, 1997, p.6)", "plainTextFormattedCitation" : "(Caracelli and Greene, 1997)", "previouslyFormattedCitation" : "(Caracelli and Greene, 1997)" }, "properties" : { "noteIndex" : 0 }, "schema" : "https://github.com/citation-style-language/schema/raw/master/csl-citation.json" }</w:instrText>
      </w:r>
      <w:r w:rsidR="001C57AA" w:rsidRPr="009B3747">
        <w:rPr>
          <w:rFonts w:eastAsia="Times New Roman" w:cstheme="minorHAnsi"/>
          <w:color w:val="000000"/>
          <w:lang w:eastAsia="en-GB"/>
        </w:rPr>
        <w:fldChar w:fldCharType="separate"/>
      </w:r>
      <w:r w:rsidR="001C57AA" w:rsidRPr="009B3747">
        <w:rPr>
          <w:rFonts w:eastAsia="Times New Roman" w:cstheme="minorHAnsi"/>
          <w:noProof/>
          <w:color w:val="000000"/>
          <w:lang w:eastAsia="en-GB"/>
        </w:rPr>
        <w:t>(Caracelli and Greene, 1997</w:t>
      </w:r>
      <w:r w:rsidR="00FB5B00" w:rsidRPr="009B3747">
        <w:rPr>
          <w:rFonts w:eastAsia="Times New Roman" w:cstheme="minorHAnsi"/>
          <w:noProof/>
          <w:color w:val="000000"/>
          <w:lang w:eastAsia="en-GB"/>
        </w:rPr>
        <w:t>, p.</w:t>
      </w:r>
      <w:r w:rsidR="001C57AA" w:rsidRPr="009B3747">
        <w:rPr>
          <w:rFonts w:eastAsia="Times New Roman" w:cstheme="minorHAnsi"/>
          <w:noProof/>
          <w:color w:val="000000"/>
          <w:lang w:eastAsia="en-GB"/>
        </w:rPr>
        <w:t>6)</w:t>
      </w:r>
      <w:r w:rsidR="001C57AA"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to their research, it is argued that researchers should reflect upon and carefully consider how their philosophical worldview shapes their research practice </w:t>
      </w:r>
      <w:r w:rsidR="001C57AA" w:rsidRPr="009B3747">
        <w:rPr>
          <w:rFonts w:eastAsia="Times New Roman" w:cstheme="minorHAnsi"/>
          <w:color w:val="000000"/>
          <w:lang w:eastAsia="en-GB"/>
        </w:rPr>
        <w:fldChar w:fldCharType="begin" w:fldLock="1"/>
      </w:r>
      <w:r w:rsidR="00C83875" w:rsidRPr="009B3747">
        <w:rPr>
          <w:rFonts w:eastAsia="Times New Roman" w:cstheme="minorHAnsi"/>
          <w:color w:val="000000"/>
          <w:lang w:eastAsia="en-GB"/>
        </w:rPr>
        <w:instrText>ADDIN CSL_CITATION { "citationItems" : [ { "id" : "ITEM-1", "itemData" : { "author" : [ { "dropping-particle" : "", "family" : "Kuhn", "given" : "TS", "non-dropping-particle" : "", "parse-names" : false, "suffix" : "" } ], "id" : "ITEM-1", "issued" : { "date-parts" : [ [ "1962" ] ] }, "publisher" : "University of Chicago Press", "publisher-place" : "Chicago", "title" : "The Structure of Scientific Revolutions Vol.", "type" : "book" }, "uris" : [ "http://www.mendeley.com/documents/?uuid=733d1600-c9e7-4964-ad29-d1dcd3e37490" ] }, { "id" : "ITEM-2", "itemData" : { "author" : [ { "dropping-particle" : "", "family" : "Guba", "given" : "EG", "non-dropping-particle" : "", "parse-names" : false, "suffix" : "" }, { "dropping-particle" : "", "family" : "Lincoln", "given" : "YS", "non-dropping-particle" : "", "parse-names" : false, "suffix" : "" } ], "container-title" : "Handbook of qualitative research", "id" : "ITEM-2", "issued" : { "date-parts" : [ [ "1994" ] ] }, "title" : "Competing paradigms in qualitative research", "type" : "article-journal" }, "uris" : [ "http://www.mendeley.com/documents/?uuid=001542db-eb13-43aa-b1f9-a6e475ab17bc" ] }, { "id" : "ITEM-3", "itemData" : { "DOI" : "10.1002/ev.1068", "ISSN" : "10976736", "author" : [ { "dropping-particle" : "", "family" : "Greene", "given" : "Jennifer C.", "non-dropping-particle" : "", "parse-names" : false, "suffix" : "" }, { "dropping-particle" : "", "family" : "Caracelli", "given" : "Valerie J.", "non-dropping-particle" : "", "parse-names" : false, "suffix" : "" } ], "container-title" : "New Directions for Evaluation", "id" : "ITEM-3", "issue" : "74", "issued" : { "date-parts" : [ [ "1997", "3" ] ] }, "page" : "5-17", "title" : "Defining and describing the paradigm issue in mixed-method evaluation", "type" : "article-journal", "volume" : "1997" }, "uris" : [ "http://www.mendeley.com/documents/?uuid=6eded78c-e002-47eb-ad65-68243b01d83b" ] }, { "id" : "ITEM-4", "itemData" : { "author" : [ { "dropping-particle" : "", "family" : "Morgan", "given" : "DL", "non-dropping-particle" : "", "parse-names" : false, "suffix" : "" } ], "container-title" : "Journal of mixed methods research", "id" : "ITEM-4", "issue" : "1", "issued" : { "date-parts" : [ [ "2007" ] ] }, "page" : "48-76", "title" : "Paradigms lost and pragmatism regained methodological implications of combining qualitative and quantitative methods", "type" : "article-journal", "volume" : "1" }, "uris" : [ "http://www.mendeley.com/documents/?uuid=4b71a81c-d3ac-44e0-a5a3-7b86b2d9eeec" ] }, { "id" : "ITEM-5", "itemData" : { "author" : [ { "dropping-particle" : "", "family" : "Clark", "given" : "VLP", "non-dropping-particle" : "", "parse-names" : false, "suffix" : "" }, { "dropping-particle" : "", "family" : "Creswell", "given" : "JW", "non-dropping-particle" : "", "parse-names" : false, "suffix" : "" }, { "dropping-particle" : "", "family" : "Green", "given" : "D", "non-dropping-particle" : "", "parse-names" : false, "suffix" : "" }, { "dropping-particle" : "", "family" : "Shope", "given" : "R", "non-dropping-particle" : "", "parse-names" : false, "suffix" : "" } ], "chapter-number" : "18", "container-title" : "Handbook of emergent methodos", "editor" : [ { "dropping-particle" : "", "family" : "Hessey-Biber", "given" : "S.N", "non-dropping-particle" : "", "parse-names" : false, "suffix" : "" }, { "dropping-particle" : "", "family" : "Leavy", "given" : "P", "non-dropping-particle" : "", "parse-names" : false, "suffix" : "" } ], "id" : "ITEM-5", "issued" : { "date-parts" : [ [ "2008" ] ] }, "page" : "363-387", "publisher" : "The Guildford Press", "publisher-place" : "New York", "title" : "Mixing quantitative and qualitative approaches", "type" : "chapter" }, "uris" : [ "http://www.mendeley.com/documents/?uuid=6cc7068c-8e84-45d5-836c-5316ce7b8307" ] }, { "id" : "ITEM-6", "itemData" : { "author" : [ { "dropping-particle" : "", "family" : "Teddlie", "given" : "C", "non-dropping-particle" : "", "parse-names" : false, "suffix" : "" }, { "dropping-particle" : "", "family" : "Tashakkori", "given" : "A", "non-dropping-particle" : "", "parse-names" : false, "suffix" : "" } ], "id" : "ITEM-6", "issued" : { "date-parts" : [ [ "2009" ] ] }, "publisher" : "SAGE Publications Inc.", "publisher-place" : "Thousand Oaks", "title" : "Foundations of mixed methods research: Integrating quantitative and qualitative approaches in the social and behavioral sciences", "type" : "book" }, "uris" : [ "http://www.mendeley.com/documents/?uuid=bbf94a8b-67b4-494f-92ca-828dd65fa45c" ] } ], "mendeley" : { "formattedCitation" : "(Kuhn, 1962; Guba and Lincoln, 1994; Greene and Caracelli, 1997; Morgan, 2007; Clark et al., 2008; Teddlie and Tashakkori, 2009)", "plainTextFormattedCitation" : "(Kuhn, 1962; Guba and Lincoln, 1994; Greene and Caracelli, 1997; Morgan, 2007; Clark et al., 2008; Teddlie and Tashakkori, 2009)", "previouslyFormattedCitation" : "(Kuhn, 1962; Guba and Lincoln, 1994; Greene and Caracelli, 1997; Morgan, 2007; Clark et al., 2008; Teddlie and Tashakkori, 2009)" }, "properties" : { "noteIndex" : 0 }, "schema" : "https://github.com/citation-style-language/schema/raw/master/csl-citation.json" }</w:instrText>
      </w:r>
      <w:r w:rsidR="001C57AA" w:rsidRPr="009B3747">
        <w:rPr>
          <w:rFonts w:eastAsia="Times New Roman" w:cstheme="minorHAnsi"/>
          <w:color w:val="000000"/>
          <w:lang w:eastAsia="en-GB"/>
        </w:rPr>
        <w:fldChar w:fldCharType="separate"/>
      </w:r>
      <w:r w:rsidR="0047189B" w:rsidRPr="009B3747">
        <w:rPr>
          <w:rFonts w:eastAsia="Times New Roman" w:cstheme="minorHAnsi"/>
          <w:noProof/>
          <w:color w:val="000000"/>
          <w:lang w:eastAsia="en-GB"/>
        </w:rPr>
        <w:t>(Kuhn, 1962; Guba and Lincoln, 1994; Greene and Caracelli, 1997; Morgan, 2007; Clark et al., 2008; Teddlie and Tashakkori, 2009)</w:t>
      </w:r>
      <w:r w:rsidR="001C57AA" w:rsidRPr="009B3747">
        <w:rPr>
          <w:rFonts w:eastAsia="Times New Roman" w:cstheme="minorHAnsi"/>
          <w:color w:val="000000"/>
          <w:lang w:eastAsia="en-GB"/>
        </w:rPr>
        <w:fldChar w:fldCharType="end"/>
      </w:r>
      <w:r w:rsidR="001C57AA" w:rsidRPr="009B3747">
        <w:rPr>
          <w:rFonts w:eastAsia="Times New Roman" w:cstheme="minorHAnsi"/>
          <w:color w:val="000000"/>
          <w:lang w:eastAsia="en-GB"/>
        </w:rPr>
        <w:t>.</w:t>
      </w:r>
    </w:p>
    <w:p w:rsidR="005C21BF" w:rsidRPr="009B3747" w:rsidRDefault="005C21BF" w:rsidP="003F1507">
      <w:pPr>
        <w:rPr>
          <w:rFonts w:eastAsia="Times New Roman" w:cstheme="minorHAnsi"/>
          <w:sz w:val="24"/>
          <w:szCs w:val="24"/>
          <w:lang w:eastAsia="en-GB"/>
        </w:rPr>
      </w:pP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A researcher’s philosophical worldviews or paradigm is informed by their ontological, epistemological and methodological assumptions</w:t>
      </w:r>
      <w:r w:rsidR="001C57AA" w:rsidRPr="009B3747">
        <w:rPr>
          <w:rFonts w:eastAsia="Times New Roman" w:cstheme="minorHAnsi"/>
          <w:color w:val="000000"/>
          <w:lang w:eastAsia="en-GB"/>
        </w:rPr>
        <w:t xml:space="preserve"> </w:t>
      </w:r>
      <w:r w:rsidR="001C57AA" w:rsidRPr="009B3747">
        <w:rPr>
          <w:rFonts w:eastAsia="Times New Roman" w:cstheme="minorHAnsi"/>
          <w:color w:val="000000"/>
          <w:lang w:eastAsia="en-GB"/>
        </w:rPr>
        <w:fldChar w:fldCharType="begin" w:fldLock="1"/>
      </w:r>
      <w:r w:rsidR="001C57AA" w:rsidRPr="009B3747">
        <w:rPr>
          <w:rFonts w:eastAsia="Times New Roman" w:cstheme="minorHAnsi"/>
          <w:color w:val="000000"/>
          <w:lang w:eastAsia="en-GB"/>
        </w:rPr>
        <w:instrText>ADDIN CSL_CITATION { "citationItems" : [ { "id" : "ITEM-1", "itemData" : { "author" : [ { "dropping-particle" : "", "family" : "Guba", "given" : "EG", "non-dropping-particle" : "", "parse-names" : false, "suffix" : "" }, { "dropping-particle" : "", "family" : "Lincoln", "given" : "YS", "non-dropping-particle" : "", "parse-names" : false, "suffix" : "" } ], "container-title" : "Handbook of qualitative research", "id" : "ITEM-1", "issued" : { "date-parts" : [ [ "1994" ] ] }, "title" : "Competing paradigms in qualitative research", "type" : "article-journal" }, "uris" : [ "http://www.mendeley.com/documents/?uuid=001542db-eb13-43aa-b1f9-a6e475ab17bc" ] } ], "mendeley" : { "formattedCitation" : "(Guba and Lincoln, 1994)", "plainTextFormattedCitation" : "(Guba and Lincoln, 1994)", "previouslyFormattedCitation" : "(Guba and Lincoln, 1994)" }, "properties" : { "noteIndex" : 0 }, "schema" : "https://github.com/citation-style-language/schema/raw/master/csl-citation.json" }</w:instrText>
      </w:r>
      <w:r w:rsidR="001C57AA" w:rsidRPr="009B3747">
        <w:rPr>
          <w:rFonts w:eastAsia="Times New Roman" w:cstheme="minorHAnsi"/>
          <w:color w:val="000000"/>
          <w:lang w:eastAsia="en-GB"/>
        </w:rPr>
        <w:fldChar w:fldCharType="separate"/>
      </w:r>
      <w:r w:rsidR="001C57AA" w:rsidRPr="009B3747">
        <w:rPr>
          <w:rFonts w:eastAsia="Times New Roman" w:cstheme="minorHAnsi"/>
          <w:noProof/>
          <w:color w:val="000000"/>
          <w:lang w:eastAsia="en-GB"/>
        </w:rPr>
        <w:t>(Guba and Lincoln, 1994)</w:t>
      </w:r>
      <w:r w:rsidR="001C57AA" w:rsidRPr="009B3747">
        <w:rPr>
          <w:rFonts w:eastAsia="Times New Roman" w:cstheme="minorHAnsi"/>
          <w:color w:val="000000"/>
          <w:lang w:eastAsia="en-GB"/>
        </w:rPr>
        <w:fldChar w:fldCharType="end"/>
      </w:r>
      <w:r w:rsidR="00A942FB">
        <w:rPr>
          <w:rFonts w:eastAsia="Times New Roman" w:cstheme="minorHAnsi"/>
          <w:color w:val="000000"/>
          <w:lang w:eastAsia="en-GB"/>
        </w:rPr>
        <w:t>.  T</w:t>
      </w:r>
      <w:r w:rsidRPr="009B3747">
        <w:rPr>
          <w:rFonts w:eastAsia="Times New Roman" w:cstheme="minorHAnsi"/>
          <w:color w:val="000000"/>
          <w:lang w:eastAsia="en-GB"/>
        </w:rPr>
        <w:t>hese assumptions will guide how a researcher thinks and acts during the research process</w:t>
      </w:r>
      <w:r w:rsidR="001C57AA" w:rsidRPr="009B3747">
        <w:rPr>
          <w:rFonts w:eastAsia="Times New Roman" w:cstheme="minorHAnsi"/>
          <w:color w:val="000000"/>
          <w:lang w:eastAsia="en-GB"/>
        </w:rPr>
        <w:t xml:space="preserve"> </w:t>
      </w:r>
      <w:r w:rsidR="001C57AA" w:rsidRPr="009B3747">
        <w:rPr>
          <w:rFonts w:eastAsia="Times New Roman" w:cstheme="minorHAnsi"/>
          <w:color w:val="000000"/>
          <w:lang w:eastAsia="en-GB"/>
        </w:rPr>
        <w:fldChar w:fldCharType="begin" w:fldLock="1"/>
      </w:r>
      <w:r w:rsidR="001C57AA" w:rsidRPr="009B3747">
        <w:rPr>
          <w:rFonts w:eastAsia="Times New Roman" w:cstheme="minorHAnsi"/>
          <w:color w:val="000000"/>
          <w:lang w:eastAsia="en-GB"/>
        </w:rPr>
        <w:instrText>ADDIN CSL_CITATION { "citationItems" : [ { "id" : "ITEM-1", "itemData" : { "DOI" : "10.7748/nr1999.10.7.1.31.c6102", "ISSN" : "1351-5578", "author" : [ { "dropping-particle" : "", "family" : "Norton", "given" : "Liz", "non-dropping-particle" : "", "parse-names" : false, "suffix" : "" } ], "container-title" : "Nurse Researcher", "id" : "ITEM-1", "issue" : "1", "issued" : { "date-parts" : [ [ "1999", "10" ] ] }, "page" : "31-43", "title" : "The philosophical bases of grounded theory and their implications for research practice", "type" : "article-journal", "volume" : "7" }, "uris" : [ "http://www.mendeley.com/documents/?uuid=fd1c3d17-b43a-337d-a150-b88ba8beced4" ] } ], "mendeley" : { "formattedCitation" : "(Norton, 1999)", "plainTextFormattedCitation" : "(Norton, 1999)", "previouslyFormattedCitation" : "(Norton, 1999)" }, "properties" : { "noteIndex" : 0 }, "schema" : "https://github.com/citation-style-language/schema/raw/master/csl-citation.json" }</w:instrText>
      </w:r>
      <w:r w:rsidR="001C57AA" w:rsidRPr="009B3747">
        <w:rPr>
          <w:rFonts w:eastAsia="Times New Roman" w:cstheme="minorHAnsi"/>
          <w:color w:val="000000"/>
          <w:lang w:eastAsia="en-GB"/>
        </w:rPr>
        <w:fldChar w:fldCharType="separate"/>
      </w:r>
      <w:r w:rsidR="001C57AA" w:rsidRPr="009B3747">
        <w:rPr>
          <w:rFonts w:eastAsia="Times New Roman" w:cstheme="minorHAnsi"/>
          <w:noProof/>
          <w:color w:val="000000"/>
          <w:lang w:eastAsia="en-GB"/>
        </w:rPr>
        <w:t>(Norton, 1999)</w:t>
      </w:r>
      <w:r w:rsidR="001C57AA" w:rsidRPr="009B3747">
        <w:rPr>
          <w:rFonts w:eastAsia="Times New Roman" w:cstheme="minorHAnsi"/>
          <w:color w:val="000000"/>
          <w:lang w:eastAsia="en-GB"/>
        </w:rPr>
        <w:fldChar w:fldCharType="end"/>
      </w:r>
      <w:r w:rsidR="001C57AA"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It is important </w:t>
      </w:r>
      <w:r w:rsidRPr="009B3747">
        <w:rPr>
          <w:rFonts w:eastAsia="Times New Roman" w:cstheme="minorHAnsi"/>
          <w:color w:val="000000"/>
          <w:lang w:eastAsia="en-GB"/>
        </w:rPr>
        <w:lastRenderedPageBreak/>
        <w:t xml:space="preserve">therefore, for a researcher to address a number of important questions related to these assumptions individually and collectively.  Firstly in respect to ontology, it is important to reflect upon </w:t>
      </w:r>
      <w:r w:rsidR="00FB5B00" w:rsidRPr="009B3747">
        <w:rPr>
          <w:rFonts w:eastAsia="Times New Roman" w:cstheme="minorHAnsi"/>
          <w:i/>
          <w:color w:val="000000"/>
          <w:lang w:eastAsia="en-GB"/>
        </w:rPr>
        <w:t>“</w:t>
      </w:r>
      <w:r w:rsidRPr="009B3747">
        <w:rPr>
          <w:rFonts w:eastAsia="Times New Roman" w:cstheme="minorHAnsi"/>
          <w:i/>
          <w:color w:val="000000"/>
          <w:lang w:eastAsia="en-GB"/>
        </w:rPr>
        <w:t xml:space="preserve">what is </w:t>
      </w:r>
      <w:r w:rsidR="00FB5B00" w:rsidRPr="009B3747">
        <w:rPr>
          <w:rFonts w:eastAsia="Times New Roman" w:cstheme="minorHAnsi"/>
          <w:i/>
          <w:color w:val="000000"/>
          <w:lang w:eastAsia="en-GB"/>
        </w:rPr>
        <w:t>the form and nature of reality?”</w:t>
      </w:r>
      <w:r w:rsidR="00E2105D" w:rsidRPr="009B3747">
        <w:rPr>
          <w:rFonts w:eastAsia="Times New Roman" w:cstheme="minorHAnsi"/>
          <w:color w:val="000000"/>
          <w:lang w:eastAsia="en-GB"/>
        </w:rPr>
        <w:t xml:space="preserve">, in addition to </w:t>
      </w:r>
      <w:r w:rsidR="00E2105D" w:rsidRPr="009B3747">
        <w:rPr>
          <w:rFonts w:eastAsia="Times New Roman" w:cstheme="minorHAnsi"/>
          <w:i/>
          <w:color w:val="000000"/>
          <w:lang w:eastAsia="en-GB"/>
        </w:rPr>
        <w:t>“</w:t>
      </w:r>
      <w:r w:rsidRPr="009B3747">
        <w:rPr>
          <w:rFonts w:eastAsia="Times New Roman" w:cstheme="minorHAnsi"/>
          <w:i/>
          <w:color w:val="000000"/>
          <w:lang w:eastAsia="en-GB"/>
        </w:rPr>
        <w:t>what is</w:t>
      </w:r>
      <w:r w:rsidR="00E2105D" w:rsidRPr="009B3747">
        <w:rPr>
          <w:rFonts w:eastAsia="Times New Roman" w:cstheme="minorHAnsi"/>
          <w:i/>
          <w:color w:val="000000"/>
          <w:lang w:eastAsia="en-GB"/>
        </w:rPr>
        <w:t xml:space="preserve"> there that can be known about?”</w:t>
      </w:r>
      <w:r w:rsidRPr="009B3747">
        <w:rPr>
          <w:rFonts w:eastAsia="Times New Roman" w:cstheme="minorHAnsi"/>
          <w:color w:val="000000"/>
          <w:lang w:eastAsia="en-GB"/>
        </w:rPr>
        <w:t>.  Secondly, regard</w:t>
      </w:r>
      <w:r w:rsidR="00FB5B00" w:rsidRPr="009B3747">
        <w:rPr>
          <w:rFonts w:eastAsia="Times New Roman" w:cstheme="minorHAnsi"/>
          <w:color w:val="000000"/>
          <w:lang w:eastAsia="en-GB"/>
        </w:rPr>
        <w:t xml:space="preserve">ing epistemology, </w:t>
      </w:r>
      <w:r w:rsidR="00FB5B00" w:rsidRPr="009B3747">
        <w:rPr>
          <w:rFonts w:eastAsia="Times New Roman" w:cstheme="minorHAnsi"/>
          <w:i/>
          <w:color w:val="000000"/>
          <w:lang w:eastAsia="en-GB"/>
        </w:rPr>
        <w:t>“</w:t>
      </w:r>
      <w:r w:rsidRPr="009B3747">
        <w:rPr>
          <w:rFonts w:eastAsia="Times New Roman" w:cstheme="minorHAnsi"/>
          <w:i/>
          <w:color w:val="000000"/>
          <w:lang w:eastAsia="en-GB"/>
        </w:rPr>
        <w:t>What is the nature of the relationship between the knower, or would-be knower, and what can be known?</w:t>
      </w:r>
      <w:r w:rsidR="00FB5B00" w:rsidRPr="009B3747">
        <w:rPr>
          <w:rFonts w:eastAsia="Times New Roman" w:cstheme="minorHAnsi"/>
          <w:i/>
          <w:color w:val="000000"/>
          <w:lang w:eastAsia="en-GB"/>
        </w:rPr>
        <w:t>”</w:t>
      </w:r>
      <w:r w:rsidRPr="009B3747">
        <w:rPr>
          <w:rFonts w:eastAsia="Times New Roman" w:cstheme="minorHAnsi"/>
          <w:color w:val="000000"/>
          <w:lang w:eastAsia="en-GB"/>
        </w:rPr>
        <w:t>.  Finally, the met</w:t>
      </w:r>
      <w:r w:rsidR="00FB5B00" w:rsidRPr="009B3747">
        <w:rPr>
          <w:rFonts w:eastAsia="Times New Roman" w:cstheme="minorHAnsi"/>
          <w:color w:val="000000"/>
          <w:lang w:eastAsia="en-GB"/>
        </w:rPr>
        <w:t xml:space="preserve">hodological question considers </w:t>
      </w:r>
      <w:r w:rsidR="00FB5B00" w:rsidRPr="009B3747">
        <w:rPr>
          <w:rFonts w:eastAsia="Times New Roman" w:cstheme="minorHAnsi"/>
          <w:i/>
          <w:color w:val="000000"/>
          <w:lang w:eastAsia="en-GB"/>
        </w:rPr>
        <w:t>“</w:t>
      </w:r>
      <w:r w:rsidRPr="009B3747">
        <w:rPr>
          <w:rFonts w:eastAsia="Times New Roman" w:cstheme="minorHAnsi"/>
          <w:i/>
          <w:color w:val="000000"/>
          <w:lang w:eastAsia="en-GB"/>
        </w:rPr>
        <w:t>How can the inquirer go about finding out whatever h</w:t>
      </w:r>
      <w:r w:rsidR="00FB5B00" w:rsidRPr="009B3747">
        <w:rPr>
          <w:rFonts w:eastAsia="Times New Roman" w:cstheme="minorHAnsi"/>
          <w:i/>
          <w:color w:val="000000"/>
          <w:lang w:eastAsia="en-GB"/>
        </w:rPr>
        <w:t>e or she believes can be known?”</w:t>
      </w:r>
      <w:r w:rsidR="001C57AA" w:rsidRPr="009B3747">
        <w:rPr>
          <w:rFonts w:eastAsia="Times New Roman" w:cstheme="minorHAnsi"/>
          <w:color w:val="000000"/>
          <w:lang w:eastAsia="en-GB"/>
        </w:rPr>
        <w:t xml:space="preserve"> </w:t>
      </w:r>
      <w:r w:rsidR="001C57AA" w:rsidRPr="009B3747">
        <w:rPr>
          <w:rFonts w:eastAsia="Times New Roman" w:cstheme="minorHAnsi"/>
          <w:color w:val="000000"/>
          <w:lang w:eastAsia="en-GB"/>
        </w:rPr>
        <w:fldChar w:fldCharType="begin" w:fldLock="1"/>
      </w:r>
      <w:r w:rsidR="00224C9C" w:rsidRPr="009B3747">
        <w:rPr>
          <w:rFonts w:eastAsia="Times New Roman" w:cstheme="minorHAnsi"/>
          <w:color w:val="000000"/>
          <w:lang w:eastAsia="en-GB"/>
        </w:rPr>
        <w:instrText>ADDIN CSL_CITATION { "citationItems" : [ { "id" : "ITEM-1", "itemData" : { "author" : [ { "dropping-particle" : "", "family" : "Guba", "given" : "EG", "non-dropping-particle" : "", "parse-names" : false, "suffix" : "" }, { "dropping-particle" : "", "family" : "Lincoln", "given" : "YS", "non-dropping-particle" : "", "parse-names" : false, "suffix" : "" } ], "container-title" : "Handbook of qualitative research", "id" : "ITEM-1", "issued" : { "date-parts" : [ [ "1994" ] ] }, "title" : "Competing paradigms in qualitative research", "type" : "article-journal" }, "uris" : [ "http://www.mendeley.com/documents/?uuid=001542db-eb13-43aa-b1f9-a6e475ab17bc" ] } ], "mendeley" : { "formattedCitation" : "(Guba and Lincoln, 1994)", "manualFormatting" : "(Guba and Lincoln, 1994, p.108)", "plainTextFormattedCitation" : "(Guba and Lincoln, 1994)", "previouslyFormattedCitation" : "(Guba and Lincoln, 1994)" }, "properties" : { "noteIndex" : 0 }, "schema" : "https://github.com/citation-style-language/schema/raw/master/csl-citation.json" }</w:instrText>
      </w:r>
      <w:r w:rsidR="001C57AA" w:rsidRPr="009B3747">
        <w:rPr>
          <w:rFonts w:eastAsia="Times New Roman" w:cstheme="minorHAnsi"/>
          <w:color w:val="000000"/>
          <w:lang w:eastAsia="en-GB"/>
        </w:rPr>
        <w:fldChar w:fldCharType="separate"/>
      </w:r>
      <w:r w:rsidR="001C57AA" w:rsidRPr="009B3747">
        <w:rPr>
          <w:rFonts w:eastAsia="Times New Roman" w:cstheme="minorHAnsi"/>
          <w:noProof/>
          <w:color w:val="000000"/>
          <w:lang w:eastAsia="en-GB"/>
        </w:rPr>
        <w:t>(Guba and Lincoln, 1994</w:t>
      </w:r>
      <w:r w:rsidR="00FB5B00" w:rsidRPr="009B3747">
        <w:rPr>
          <w:rFonts w:eastAsia="Times New Roman" w:cstheme="minorHAnsi"/>
          <w:noProof/>
          <w:color w:val="000000"/>
          <w:lang w:eastAsia="en-GB"/>
        </w:rPr>
        <w:t>, p.</w:t>
      </w:r>
      <w:r w:rsidR="001C57AA" w:rsidRPr="009B3747">
        <w:rPr>
          <w:rFonts w:eastAsia="Times New Roman" w:cstheme="minorHAnsi"/>
          <w:noProof/>
          <w:color w:val="000000"/>
          <w:lang w:eastAsia="en-GB"/>
        </w:rPr>
        <w:t>108)</w:t>
      </w:r>
      <w:r w:rsidR="001C57AA" w:rsidRPr="009B3747">
        <w:rPr>
          <w:rFonts w:eastAsia="Times New Roman" w:cstheme="minorHAnsi"/>
          <w:color w:val="000000"/>
          <w:lang w:eastAsia="en-GB"/>
        </w:rPr>
        <w:fldChar w:fldCharType="end"/>
      </w:r>
      <w:r w:rsidR="001C57AA" w:rsidRPr="009B3747">
        <w:rPr>
          <w:rFonts w:eastAsia="Times New Roman" w:cstheme="minorHAnsi"/>
          <w:color w:val="000000"/>
          <w:lang w:eastAsia="en-GB"/>
        </w:rPr>
        <w:t xml:space="preserve">.  </w:t>
      </w:r>
      <w:r w:rsidRPr="009B3747">
        <w:rPr>
          <w:rFonts w:eastAsia="Times New Roman" w:cstheme="minorHAnsi"/>
          <w:color w:val="000000"/>
          <w:lang w:eastAsia="en-GB"/>
        </w:rPr>
        <w:t>All questions and resultant answers are viewed as interconnected, with ontological and epistemological questions identifying a researcher’s fundamental beliefs and methodological questions ascertaining the proposed methods of inquiry in order to gain knowledge</w:t>
      </w:r>
      <w:r w:rsidR="001C57AA" w:rsidRPr="009B3747">
        <w:rPr>
          <w:rFonts w:eastAsia="Times New Roman" w:cstheme="minorHAnsi"/>
          <w:color w:val="000000"/>
          <w:lang w:eastAsia="en-GB"/>
        </w:rPr>
        <w:t xml:space="preserve"> </w:t>
      </w:r>
      <w:r w:rsidR="001C57AA" w:rsidRPr="009B3747">
        <w:rPr>
          <w:rFonts w:eastAsia="Times New Roman" w:cstheme="minorHAnsi"/>
          <w:color w:val="000000"/>
          <w:lang w:eastAsia="en-GB"/>
        </w:rPr>
        <w:fldChar w:fldCharType="begin" w:fldLock="1"/>
      </w:r>
      <w:r w:rsidR="001C57AA" w:rsidRPr="009B3747">
        <w:rPr>
          <w:rFonts w:eastAsia="Times New Roman" w:cstheme="minorHAnsi"/>
          <w:color w:val="000000"/>
          <w:lang w:eastAsia="en-GB"/>
        </w:rPr>
        <w:instrText>ADDIN CSL_CITATION { "citationItems" : [ { "id" : "ITEM-1", "itemData" : { "author" : [ { "dropping-particle" : "", "family" : "Guba", "given" : "EG", "non-dropping-particle" : "", "parse-names" : false, "suffix" : "" }, { "dropping-particle" : "", "family" : "Lincoln", "given" : "YS", "non-dropping-particle" : "", "parse-names" : false, "suffix" : "" } ], "container-title" : "Handbook of qualitative research", "id" : "ITEM-1", "issued" : { "date-parts" : [ [ "1994" ] ] }, "title" : "Competing paradigms in qualitative research", "type" : "article-journal" }, "uris" : [ "http://www.mendeley.com/documents/?uuid=001542db-eb13-43aa-b1f9-a6e475ab17bc" ] } ], "mendeley" : { "formattedCitation" : "(Guba and Lincoln, 1994)", "plainTextFormattedCitation" : "(Guba and Lincoln, 1994)", "previouslyFormattedCitation" : "(Guba and Lincoln, 1994)" }, "properties" : { "noteIndex" : 0 }, "schema" : "https://github.com/citation-style-language/schema/raw/master/csl-citation.json" }</w:instrText>
      </w:r>
      <w:r w:rsidR="001C57AA" w:rsidRPr="009B3747">
        <w:rPr>
          <w:rFonts w:eastAsia="Times New Roman" w:cstheme="minorHAnsi"/>
          <w:color w:val="000000"/>
          <w:lang w:eastAsia="en-GB"/>
        </w:rPr>
        <w:fldChar w:fldCharType="separate"/>
      </w:r>
      <w:r w:rsidR="001C57AA" w:rsidRPr="009B3747">
        <w:rPr>
          <w:rFonts w:eastAsia="Times New Roman" w:cstheme="minorHAnsi"/>
          <w:noProof/>
          <w:color w:val="000000"/>
          <w:lang w:eastAsia="en-GB"/>
        </w:rPr>
        <w:t>(Guba and Lincoln, 1994)</w:t>
      </w:r>
      <w:r w:rsidR="001C57AA"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w:t>
      </w:r>
    </w:p>
    <w:p w:rsidR="005C21BF" w:rsidRPr="009B3747" w:rsidRDefault="005C21BF" w:rsidP="003F1507">
      <w:pPr>
        <w:rPr>
          <w:rFonts w:eastAsia="Times New Roman" w:cstheme="minorHAnsi"/>
          <w:color w:val="000000"/>
          <w:lang w:eastAsia="en-GB"/>
        </w:rPr>
      </w:pP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Despite the argument that a researcher’s basic set of beliefs or assumptions should be reflected upon,</w:t>
      </w:r>
      <w:r w:rsidR="001C57AA" w:rsidRPr="009B3747">
        <w:rPr>
          <w:rFonts w:eastAsia="Times New Roman" w:cstheme="minorHAnsi"/>
          <w:color w:val="000000"/>
          <w:lang w:eastAsia="en-GB"/>
        </w:rPr>
        <w:t xml:space="preserve"> </w:t>
      </w:r>
      <w:r w:rsidR="001C57AA"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"DOI" : "Retrieved from ERIC", "ISBN" : "0313-7155", "ISSN" : "03137155", "abstract" : "In this article the authors discuss issues faced by early career researchers, including the dichotomy, which many research textbooks and journal articles create and perpetuate between qualitative and quantitative research methodology despite considerable literature to support the use of mixed methods. The authors review current research literature and discuss some of the language, which can prove confusing to the early career researcher and problematic for post-graduate supervisors and teachers of research. The authors argue that discussions of research methods in research texts and university courses should include mixed methods and should address the perceived dichotomy between qualitative and quantitative research methodology. (Contains 1 figure and 2 tables.)", "author" : [ { "dropping-particle" : "", "family" : "Mackenzie", "given" : "Noella", "non-dropping-particle" : "", "parse-names" : false, "suffix" : "" }, { "dropping-particle" : "", "family" : "Knipe", "given" : "Sally", "non-dropping-particle" : "", "parse-names" : false, "suffix" : "" } ], "container-title" : "Issues in Educational Research", "id" : "ITEM-1", "issue" : "2", "issued" : { "date-parts" : [ [ "2006" ] ] }, "page" : "p193-205", "title" : "Research dilemmas: Paradigms, methods and methodology", "type" : "article-journal", "volume" : "16" }, "uris" : [ "http://www.mendeley.com/documents/?uuid=b9f00f9d-273d-4e90-bcc2-9dbe6dbc99b1" ] } ], "mendeley" : { "formattedCitation" : "(Mackenzie and Knipe, 2006)", "manualFormatting" : "Mackenzie and Knipe (2006)", "plainTextFormattedCitation" : "(Mackenzie and Knipe, 2006)", "previouslyFormattedCitation" : "(Mackenzie and Knipe, 2006)" }, "properties" : { "noteIndex" : 0 }, "schema" : "https://github.com/citation-style-language/schema/raw/master/csl-citation.json" }</w:instrText>
      </w:r>
      <w:r w:rsidR="001C57AA" w:rsidRPr="009B3747">
        <w:rPr>
          <w:rFonts w:eastAsia="Times New Roman" w:cstheme="minorHAnsi"/>
          <w:color w:val="000000"/>
          <w:lang w:eastAsia="en-GB"/>
        </w:rPr>
        <w:fldChar w:fldCharType="separate"/>
      </w:r>
      <w:r w:rsidR="001C57AA" w:rsidRPr="009B3747">
        <w:rPr>
          <w:rFonts w:eastAsia="Times New Roman" w:cstheme="minorHAnsi"/>
          <w:noProof/>
          <w:color w:val="000000"/>
          <w:lang w:eastAsia="en-GB"/>
        </w:rPr>
        <w:t>Mackenzie and Knipe (2006)</w:t>
      </w:r>
      <w:r w:rsidR="001C57AA"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claim that a significant variation exists in the research literature related to how or even whether philosophical worldviews are referenced or discussed.  This may lead novice researchers </w:t>
      </w:r>
      <w:r w:rsidR="001C57AA" w:rsidRPr="009B3747">
        <w:rPr>
          <w:rFonts w:eastAsia="Times New Roman" w:cstheme="minorHAnsi"/>
          <w:i/>
          <w:color w:val="000000"/>
          <w:lang w:eastAsia="en-GB"/>
        </w:rPr>
        <w:t>“</w:t>
      </w:r>
      <w:r w:rsidRPr="009B3747">
        <w:rPr>
          <w:rFonts w:eastAsia="Times New Roman" w:cstheme="minorHAnsi"/>
          <w:i/>
          <w:color w:val="000000"/>
          <w:lang w:eastAsia="en-GB"/>
        </w:rPr>
        <w:t>to wonder where the notion of paradigm fits into the research course of actio</w:t>
      </w:r>
      <w:r w:rsidR="001C57AA" w:rsidRPr="009B3747">
        <w:rPr>
          <w:rFonts w:eastAsia="Times New Roman" w:cstheme="minorHAnsi"/>
          <w:i/>
          <w:color w:val="000000"/>
          <w:lang w:eastAsia="en-GB"/>
        </w:rPr>
        <w:t>n and to question its relevance”</w:t>
      </w:r>
      <w:r w:rsidR="001C57AA" w:rsidRPr="009B3747">
        <w:rPr>
          <w:rFonts w:eastAsia="Times New Roman" w:cstheme="minorHAnsi"/>
          <w:color w:val="000000"/>
          <w:lang w:eastAsia="en-GB"/>
        </w:rPr>
        <w:t xml:space="preserve"> </w:t>
      </w:r>
      <w:r w:rsidR="001C57AA"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"DOI" : "Retrieved from ERIC", "ISBN" : "0313-7155", "ISSN" : "03137155", "abstract" : "In this article the authors discuss issues faced by early career researchers, including the dichotomy, which many research textbooks and journal articles create and perpetuate between qualitative and quantitative research methodology despite considerable literature to support the use of mixed methods. The authors review current research literature and discuss some of the language, which can prove confusing to the early career researcher and problematic for post-graduate supervisors and teachers of research. The authors argue that discussions of research methods in research texts and university courses should include mixed methods and should address the perceived dichotomy between qualitative and quantitative research methodology. (Contains 1 figure and 2 tables.)", "author" : [ { "dropping-particle" : "", "family" : "Mackenzie", "given" : "Noella", "non-dropping-particle" : "", "parse-names" : false, "suffix" : "" }, { "dropping-particle" : "", "family" : "Knipe", "given" : "Sally", "non-dropping-particle" : "", "parse-names" : false, "suffix" : "" } ], "container-title" : "Issues in Educational Research", "id" : "ITEM-1", "issue" : "2", "issued" : { "date-parts" : [ [ "2006" ] ] }, "page" : "p193-205", "title" : "Research dilemmas: Paradigms, methods and methodology", "type" : "article-journal", "volume" : "16" }, "uris" : [ "http://www.mendeley.com/documents/?uuid=b9f00f9d-273d-4e90-bcc2-9dbe6dbc99b1" ] } ], "mendeley" : { "formattedCitation" : "(Mackenzie and Knipe, 2006)", "manualFormatting" : "(Mackenzie and Knipe, 2006, p.194)", "plainTextFormattedCitation" : "(Mackenzie and Knipe, 2006)", "previouslyFormattedCitation" : "(Mackenzie and Knipe, 2006)" }, "properties" : { "noteIndex" : 0 }, "schema" : "https://github.com/citation-style-language/schema/raw/master/csl-citation.json" }</w:instrText>
      </w:r>
      <w:r w:rsidR="001C57AA" w:rsidRPr="009B3747">
        <w:rPr>
          <w:rFonts w:eastAsia="Times New Roman" w:cstheme="minorHAnsi"/>
          <w:color w:val="000000"/>
          <w:lang w:eastAsia="en-GB"/>
        </w:rPr>
        <w:fldChar w:fldCharType="separate"/>
      </w:r>
      <w:r w:rsidR="001C57AA" w:rsidRPr="009B3747">
        <w:rPr>
          <w:rFonts w:eastAsia="Times New Roman" w:cstheme="minorHAnsi"/>
          <w:noProof/>
          <w:color w:val="000000"/>
          <w:lang w:eastAsia="en-GB"/>
        </w:rPr>
        <w:t>(Mackenzie and Knipe, 2006</w:t>
      </w:r>
      <w:r w:rsidR="00FB5B00" w:rsidRPr="009B3747">
        <w:rPr>
          <w:rFonts w:eastAsia="Times New Roman" w:cstheme="minorHAnsi"/>
          <w:noProof/>
          <w:color w:val="000000"/>
          <w:lang w:eastAsia="en-GB"/>
        </w:rPr>
        <w:t>, p.</w:t>
      </w:r>
      <w:r w:rsidR="001A2F63" w:rsidRPr="009B3747">
        <w:rPr>
          <w:rFonts w:eastAsia="Times New Roman" w:cstheme="minorHAnsi"/>
          <w:noProof/>
          <w:color w:val="000000"/>
          <w:lang w:eastAsia="en-GB"/>
        </w:rPr>
        <w:t>194</w:t>
      </w:r>
      <w:r w:rsidR="001C57AA" w:rsidRPr="009B3747">
        <w:rPr>
          <w:rFonts w:eastAsia="Times New Roman" w:cstheme="minorHAnsi"/>
          <w:noProof/>
          <w:color w:val="000000"/>
          <w:lang w:eastAsia="en-GB"/>
        </w:rPr>
        <w:t>)</w:t>
      </w:r>
      <w:r w:rsidR="001C57AA" w:rsidRPr="009B3747">
        <w:rPr>
          <w:rFonts w:eastAsia="Times New Roman" w:cstheme="minorHAnsi"/>
          <w:color w:val="000000"/>
          <w:lang w:eastAsia="en-GB"/>
        </w:rPr>
        <w:fldChar w:fldCharType="end"/>
      </w:r>
      <w:r w:rsidR="001A2F63" w:rsidRPr="009B3747">
        <w:rPr>
          <w:rFonts w:eastAsia="Times New Roman" w:cstheme="minorHAnsi"/>
          <w:color w:val="000000"/>
          <w:lang w:eastAsia="en-GB"/>
        </w:rPr>
        <w:t xml:space="preserve">.  </w:t>
      </w:r>
      <w:r w:rsidRPr="009B3747">
        <w:rPr>
          <w:rFonts w:eastAsia="Times New Roman" w:cstheme="minorHAnsi"/>
          <w:color w:val="000000"/>
          <w:lang w:eastAsia="en-GB"/>
        </w:rPr>
        <w:t>Furthermore, whilst research has traditionally been defined as a dichotomous division between either a positivist or constructivist paradigm</w:t>
      </w:r>
      <w:r w:rsidR="001A2F63" w:rsidRPr="009B3747">
        <w:rPr>
          <w:rFonts w:eastAsia="Times New Roman" w:cstheme="minorHAnsi"/>
          <w:color w:val="000000"/>
          <w:lang w:eastAsia="en-GB"/>
        </w:rPr>
        <w:t xml:space="preserve"> </w:t>
      </w:r>
      <w:r w:rsidR="001A2F63"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"Tashakkori", "given" : "A", "non-dropping-particle" : "", "parse-names" : false, "suffix" : "" }, { "dropping-particle" : "", "family" : "Teddlie", "given" : "C", "non-dropping-particle" : "", "parse-names" : false, "suffix" : "" } ], "id" : "ITEM-1", "issued" : { "date-parts" : [ [ "1998" ] ] }, "publisher" : "SAGE Publications Inc.", "publisher-place" : "Thousand Oaks", "title" : "Mixed methodology: Combining qualitative and quantitative approaches", "type" : "book" }, "uris" : [ "http://www.mendeley.com/documents/?uuid=ae2c4064-a6e2-43d5-99fe-d61ae7ac43f4" ] } ], "mendeley" : { "formattedCitation" : "(Tashakkori and Teddlie, 1998)", "plainTextFormattedCitation" : "(Tashakkori and Teddlie, 1998)", "previouslyFormattedCitation" : "(Tashakkori and Teddlie, 1998)" }, "properties" : { "noteIndex" : 0 }, "schema" : "https://github.com/citation-style-language/schema/raw/master/csl-citation.json" }</w:instrText>
      </w:r>
      <w:r w:rsidR="001A2F63" w:rsidRPr="009B3747">
        <w:rPr>
          <w:rFonts w:eastAsia="Times New Roman" w:cstheme="minorHAnsi"/>
          <w:color w:val="000000"/>
          <w:lang w:eastAsia="en-GB"/>
        </w:rPr>
        <w:fldChar w:fldCharType="separate"/>
      </w:r>
      <w:r w:rsidR="001A2F63" w:rsidRPr="009B3747">
        <w:rPr>
          <w:rFonts w:eastAsia="Times New Roman" w:cstheme="minorHAnsi"/>
          <w:noProof/>
          <w:color w:val="000000"/>
          <w:lang w:eastAsia="en-GB"/>
        </w:rPr>
        <w:t>(Tashakkori and Teddlie, 1998)</w:t>
      </w:r>
      <w:r w:rsidR="001A2F63" w:rsidRPr="009B3747">
        <w:rPr>
          <w:rFonts w:eastAsia="Times New Roman" w:cstheme="minorHAnsi"/>
          <w:color w:val="000000"/>
          <w:lang w:eastAsia="en-GB"/>
        </w:rPr>
        <w:fldChar w:fldCharType="end"/>
      </w:r>
      <w:r w:rsidR="00A942FB">
        <w:rPr>
          <w:rFonts w:eastAsia="Times New Roman" w:cstheme="minorHAnsi"/>
          <w:color w:val="000000"/>
          <w:lang w:eastAsia="en-GB"/>
        </w:rPr>
        <w:t xml:space="preserve">, </w:t>
      </w:r>
      <w:r w:rsidRPr="009B3747">
        <w:rPr>
          <w:rFonts w:eastAsia="Times New Roman" w:cstheme="minorHAnsi"/>
          <w:color w:val="000000"/>
          <w:lang w:eastAsia="en-GB"/>
        </w:rPr>
        <w:t>an extensive list of philosophical worldviews exists presenting additional challenges for first time or early researcher’s seeking to gain a comprehensive, meaningful and relevant understanding</w:t>
      </w:r>
      <w:r w:rsidR="001A2F63" w:rsidRPr="009B3747">
        <w:rPr>
          <w:rFonts w:eastAsia="Times New Roman" w:cstheme="minorHAnsi"/>
          <w:color w:val="000000"/>
          <w:lang w:eastAsia="en-GB"/>
        </w:rPr>
        <w:t xml:space="preserve"> </w:t>
      </w:r>
      <w:r w:rsidR="001A2F63"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"DOI" : "Retrieved from ERIC", "ISBN" : "0313-7155", "ISSN" : "03137155", "abstract" : "In this article the authors discuss issues faced by early career researchers, including the dichotomy, which many research textbooks and journal articles create and perpetuate between qualitative and quantitative research methodology despite considerable literature to support the use of mixed methods. The authors review current research literature and discuss some of the language, which can prove confusing to the early career researcher and problematic for post-graduate supervisors and teachers of research. The authors argue that discussions of research methods in research texts and university courses should include mixed methods and should address the perceived dichotomy between qualitative and quantitative research methodology. (Contains 1 figure and 2 tables.)", "author" : [ { "dropping-particle" : "", "family" : "Mackenzie", "given" : "Noella", "non-dropping-particle" : "", "parse-names" : false, "suffix" : "" }, { "dropping-particle" : "", "family" : "Knipe", "given" : "Sally", "non-dropping-particle" : "", "parse-names" : false, "suffix" : "" } ], "container-title" : "Issues in Educational Research", "id" : "ITEM-1", "issue" : "2", "issued" : { "date-parts" : [ [ "2006" ] ] }, "page" : "p193-205", "title" : "Research dilemmas: Paradigms, methods and methodology", "type" : "article-journal", "volume" : "16" }, "uris" : [ "http://www.mendeley.com/documents/?uuid=b9f00f9d-273d-4e90-bcc2-9dbe6dbc99b1" ] } ], "mendeley" : { "formattedCitation" : "(Mackenzie and Knipe, 2006)", "plainTextFormattedCitation" : "(Mackenzie and Knipe, 2006)", "previouslyFormattedCitation" : "(Mackenzie and Knipe, 2006)" }, "properties" : { "noteIndex" : 0 }, "schema" : "https://github.com/citation-style-language/schema/raw/master/csl-citation.json" }</w:instrText>
      </w:r>
      <w:r w:rsidR="001A2F63" w:rsidRPr="009B3747">
        <w:rPr>
          <w:rFonts w:eastAsia="Times New Roman" w:cstheme="minorHAnsi"/>
          <w:color w:val="000000"/>
          <w:lang w:eastAsia="en-GB"/>
        </w:rPr>
        <w:fldChar w:fldCharType="separate"/>
      </w:r>
      <w:r w:rsidR="001A2F63" w:rsidRPr="009B3747">
        <w:rPr>
          <w:rFonts w:eastAsia="Times New Roman" w:cstheme="minorHAnsi"/>
          <w:noProof/>
          <w:color w:val="000000"/>
          <w:lang w:eastAsia="en-GB"/>
        </w:rPr>
        <w:t>(Mackenzie and Knipe, 2006)</w:t>
      </w:r>
      <w:r w:rsidR="001A2F63" w:rsidRPr="009B3747">
        <w:rPr>
          <w:rFonts w:eastAsia="Times New Roman" w:cstheme="minorHAnsi"/>
          <w:color w:val="000000"/>
          <w:lang w:eastAsia="en-GB"/>
        </w:rPr>
        <w:fldChar w:fldCharType="end"/>
      </w:r>
      <w:r w:rsidR="001A2F63" w:rsidRPr="009B3747">
        <w:rPr>
          <w:rFonts w:eastAsia="Times New Roman" w:cstheme="minorHAnsi"/>
          <w:color w:val="000000"/>
          <w:lang w:eastAsia="en-GB"/>
        </w:rPr>
        <w:t>.</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 xml:space="preserve">For the purpose of this research and given their prominence in research texts, four worldviews or paradigms were selected for reflection and discussion, these include postpositivist, constructivist, transformative and pragmatist.  All four paradigms take different stances to common elements such as ontology and </w:t>
      </w:r>
      <w:r w:rsidR="00D33B3D" w:rsidRPr="009B3747">
        <w:rPr>
          <w:rFonts w:eastAsia="Times New Roman" w:cstheme="minorHAnsi"/>
          <w:color w:val="000000"/>
          <w:lang w:eastAsia="en-GB"/>
        </w:rPr>
        <w:t xml:space="preserve">epistemology and these stances </w:t>
      </w:r>
      <w:r w:rsidR="00D33B3D" w:rsidRPr="009B3747">
        <w:rPr>
          <w:rFonts w:eastAsia="Times New Roman" w:cstheme="minorHAnsi"/>
          <w:i/>
          <w:color w:val="000000"/>
          <w:lang w:eastAsia="en-GB"/>
        </w:rPr>
        <w:t>“</w:t>
      </w:r>
      <w:r w:rsidRPr="009B3747">
        <w:rPr>
          <w:rFonts w:eastAsia="Times New Roman" w:cstheme="minorHAnsi"/>
          <w:i/>
          <w:color w:val="000000"/>
          <w:lang w:eastAsia="en-GB"/>
        </w:rPr>
        <w:t>influence how researchers con</w:t>
      </w:r>
      <w:r w:rsidR="00D33B3D" w:rsidRPr="009B3747">
        <w:rPr>
          <w:rFonts w:eastAsia="Times New Roman" w:cstheme="minorHAnsi"/>
          <w:i/>
          <w:color w:val="000000"/>
          <w:lang w:eastAsia="en-GB"/>
        </w:rPr>
        <w:t>duct and report their inquiries”</w:t>
      </w:r>
      <w:r w:rsidR="001A2F63" w:rsidRPr="009B3747">
        <w:rPr>
          <w:rFonts w:eastAsia="Times New Roman" w:cstheme="minorHAnsi"/>
          <w:color w:val="000000"/>
          <w:lang w:eastAsia="en-GB"/>
        </w:rPr>
        <w:t xml:space="preserve"> </w:t>
      </w:r>
      <w:r w:rsidR="00D33B3D"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"ISBN" : "9781412975179", "abstract" : "2nd ed. \"Combining the latest thinking about mixed methods research designs with practical, step-by-step guidance, the Second Edition of Designing and Conducting Mixed Methods Research now covers six major mixed methods designs. Authors John W. Creswell and Vicki L. Plano Clark walk readers through the entire research process, from formulating questions to designing, collecting data, and interpreting results and include updated examples from published mixed methods studies drawn from the social, behavioral, health, and education disciplines.\"--Pub. desc. The nature of mixed methods research -- The foundations of mixed methods research -- Choosing a mixed methods design -- Examples of mixed methods designs -- Introducing a mixed methods study -- Collecting data in mixed methods research -- Analyzing and interpreting data in mixed methods research -- Writing and evaluating mixed methods research -- Summary and recommendations.", "author" : [ { "dropping-particle" : "", "family" : "Creswell", "given" : "John W.", "non-dropping-particle" : "", "parse-names" : false, "suffix" : "" }, { "dropping-particle" : "", "family" : "Plano Clark", "given" : "Vicki L.", "non-dropping-particle" : "", "parse-names" : false, "suffix" : "" } ], "edition" : "2nd", "id" : "ITEM-1", "issued" : { "date-parts" : [ [ "2011" ] ] }, "number-of-pages" : "457", "publisher" : "SAGE Publications", "publisher-place" : "Thousand Oaks", "title" : "Designing and conducting mixed methods research", "type" : "book" }, "uris" : [ "http://www.mendeley.com/documents/?uuid=7cf67537-d009-3386-be02-c159c4f6ff80" ] } ], "mendeley" : { "formattedCitation" : "(Creswell and Plano Clark, 2011)", "manualFormatting" : "(Creswell and Plano Clark, 2011, p.41)", "plainTextFormattedCitation" : "(Creswell and Plano Clark, 2011)", "previouslyFormattedCitation" : "(Creswell and Plano Clark, 2011)" }, "properties" : { "noteIndex" : 0 }, "schema" : "https://github.com/citation-style-language/schema/raw/master/csl-citation.json" }</w:instrText>
      </w:r>
      <w:r w:rsidR="00D33B3D" w:rsidRPr="009B3747">
        <w:rPr>
          <w:rFonts w:eastAsia="Times New Roman" w:cstheme="minorHAnsi"/>
          <w:color w:val="000000"/>
          <w:lang w:eastAsia="en-GB"/>
        </w:rPr>
        <w:fldChar w:fldCharType="separate"/>
      </w:r>
      <w:r w:rsidR="00D33B3D" w:rsidRPr="009B3747">
        <w:rPr>
          <w:rFonts w:eastAsia="Times New Roman" w:cstheme="minorHAnsi"/>
          <w:noProof/>
          <w:color w:val="000000"/>
          <w:lang w:eastAsia="en-GB"/>
        </w:rPr>
        <w:t>(</w:t>
      </w:r>
      <w:r w:rsidR="001D6EEB" w:rsidRPr="009B3747">
        <w:rPr>
          <w:rFonts w:eastAsia="Times New Roman" w:cstheme="minorHAnsi"/>
          <w:noProof/>
          <w:color w:val="000000"/>
          <w:lang w:eastAsia="en-GB"/>
        </w:rPr>
        <w:t>Creswell and Plano Clark,</w:t>
      </w:r>
      <w:r w:rsidR="00D33B3D" w:rsidRPr="009B3747">
        <w:rPr>
          <w:rFonts w:eastAsia="Times New Roman" w:cstheme="minorHAnsi"/>
          <w:noProof/>
          <w:color w:val="000000"/>
          <w:lang w:eastAsia="en-GB"/>
        </w:rPr>
        <w:t xml:space="preserve"> 2011</w:t>
      </w:r>
      <w:r w:rsidR="00FB5B00" w:rsidRPr="009B3747">
        <w:rPr>
          <w:rFonts w:eastAsia="Times New Roman" w:cstheme="minorHAnsi"/>
          <w:noProof/>
          <w:color w:val="000000"/>
          <w:lang w:eastAsia="en-GB"/>
        </w:rPr>
        <w:t>, p.</w:t>
      </w:r>
      <w:r w:rsidR="00D33B3D" w:rsidRPr="009B3747">
        <w:rPr>
          <w:rFonts w:eastAsia="Times New Roman" w:cstheme="minorHAnsi"/>
          <w:noProof/>
          <w:color w:val="000000"/>
          <w:lang w:eastAsia="en-GB"/>
        </w:rPr>
        <w:t>41)</w:t>
      </w:r>
      <w:r w:rsidR="00D33B3D" w:rsidRPr="009B3747">
        <w:rPr>
          <w:rFonts w:eastAsia="Times New Roman" w:cstheme="minorHAnsi"/>
          <w:color w:val="000000"/>
          <w:lang w:eastAsia="en-GB"/>
        </w:rPr>
        <w:fldChar w:fldCharType="end"/>
      </w:r>
      <w:r w:rsidRPr="009B3747">
        <w:rPr>
          <w:rFonts w:eastAsia="Times New Roman" w:cstheme="minorHAnsi"/>
          <w:color w:val="000000"/>
          <w:lang w:eastAsia="en-GB"/>
        </w:rPr>
        <w:t>.</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1A2F63" w:rsidP="003F1507">
      <w:pPr>
        <w:rPr>
          <w:rFonts w:eastAsia="Times New Roman" w:cstheme="minorHAnsi"/>
          <w:sz w:val="24"/>
          <w:szCs w:val="24"/>
          <w:lang w:eastAsia="en-GB"/>
        </w:rPr>
      </w:pPr>
      <w:r w:rsidRPr="009B3747">
        <w:rPr>
          <w:rFonts w:eastAsia="Times New Roman" w:cstheme="minorHAnsi"/>
          <w:iCs/>
          <w:color w:val="000000"/>
          <w:lang w:eastAsia="en-GB"/>
        </w:rPr>
        <w:t xml:space="preserve">4.3.1.1 </w:t>
      </w:r>
      <w:r w:rsidR="003F1507" w:rsidRPr="009B3747">
        <w:rPr>
          <w:rFonts w:eastAsia="Times New Roman" w:cstheme="minorHAnsi"/>
          <w:iCs/>
          <w:color w:val="000000"/>
          <w:lang w:eastAsia="en-GB"/>
        </w:rPr>
        <w:t>Postpositivism</w:t>
      </w:r>
    </w:p>
    <w:p w:rsidR="001A2F63" w:rsidRPr="009B3747" w:rsidRDefault="001A2F63" w:rsidP="003F1507">
      <w:pPr>
        <w:rPr>
          <w:rFonts w:eastAsia="Times New Roman" w:cstheme="minorHAnsi"/>
          <w:color w:val="000000"/>
          <w:lang w:eastAsia="en-GB"/>
        </w:rPr>
      </w:pP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The postpositivist paradigm, typically underlying quantitative research and stemming from positivism, aims to test hypotheses using scientific methodologies of observation and deductive reasoning, reducing ph</w:t>
      </w:r>
      <w:r w:rsidR="009025E2">
        <w:rPr>
          <w:rFonts w:eastAsia="Times New Roman" w:cstheme="minorHAnsi"/>
          <w:color w:val="000000"/>
          <w:lang w:eastAsia="en-GB"/>
        </w:rPr>
        <w:t xml:space="preserve">enomena to empirical indicators, </w:t>
      </w:r>
      <w:r w:rsidRPr="009B3747">
        <w:rPr>
          <w:rFonts w:eastAsia="Times New Roman" w:cstheme="minorHAnsi"/>
          <w:color w:val="000000"/>
          <w:lang w:eastAsia="en-GB"/>
        </w:rPr>
        <w:t>which represent and discover truth</w:t>
      </w:r>
      <w:r w:rsidR="00D33B3D" w:rsidRPr="009B3747">
        <w:rPr>
          <w:rFonts w:eastAsia="Times New Roman" w:cstheme="minorHAnsi"/>
          <w:color w:val="000000"/>
          <w:lang w:eastAsia="en-GB"/>
        </w:rPr>
        <w:t xml:space="preserve"> </w:t>
      </w:r>
      <w:r w:rsidR="00D33B3D"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"Sale", "given" : "JEM", "non-dropping-particle" : "", "parse-names" : false, "suffix" : "" }, { "dropping-particle" : "", "family" : "Lohfeld", "given" : "LH", "non-dropping-particle" : "", "parse-names" : false, "suffix" : "" }, { "dropping-particle" : "", "family" : "Brazil", "given" : "K", "non-dropping-particle" : "", "parse-names" : false, "suffix" : "" } ], "container-title" : "Quality and quantity", "id" : "ITEM-1", "issue" : "1", "issued" : { "date-parts" : [ [ "2002" ] ] }, "page" : "43-53", "title" : "Revisiting the quantitative-qualitative debate: Implications for mixed-methods research", "type" : "article-journal", "volume" : "36" }, "uris" : [ "http://www.mendeley.com/documents/?uuid=3baac2d7-0287-4bcc-9026-26ae0f93a3a7" ] }, { "id" : "ITEM-2", "itemData" : { "author" : [ { "dropping-particle" : "", "family" : "Punch", "given" : "KF", "non-dropping-particle" : "", "parse-names" : false, "suffix" : "" } ], "id" : "ITEM-2", "issued" : { "date-parts" : [ [ "2009" ] ] }, "publisher" : "SAGE Publications Ltd", "publisher-place" : "London", "title" : "Introduction to research methods in education", "type" : "book" }, "uris" : [ "http://www.mendeley.com/documents/?uuid=4df05209-53da-4d48-a3bd-6918091d8b82" ] }, { "id" : "ITEM-3", "itemData" : { "author" : [ { "dropping-particle" : "", "family" : "Bowling", "given" : "A", "non-dropping-particle" : "", "parse-names" : false, "suffix" : "" } ], "edition" : "4th", "id" : "ITEM-3", "issued" : { "date-parts" : [ [ "2014" ] ] }, "publisher" : "Open University Press", "publisher-place" : "Maidenhead, UK", "title" : "Research methods in health: investigating health and health services", "type" : "book" }, "uris" : [ "http://www.mendeley.com/documents/?uuid=50092966-af1d-4766-bf38-8a55db776f74" ] } ], "mendeley" : { "formattedCitation" : "(Sale et al., 2002; Punch, 2009; Bowling, 2014)", "plainTextFormattedCitation" : "(Sale et al., 2002; Punch, 2009; Bowling, 2014)", "previouslyFormattedCitation" : "(Sale et al., 2002; Punch, 2009; Bowling, 2014)" }, "properties" : { "noteIndex" : 0 }, "schema" : "https://github.com/citation-style-language/schema/raw/master/csl-citation.json" }</w:instrText>
      </w:r>
      <w:r w:rsidR="00D33B3D" w:rsidRPr="009B3747">
        <w:rPr>
          <w:rFonts w:eastAsia="Times New Roman" w:cstheme="minorHAnsi"/>
          <w:color w:val="000000"/>
          <w:lang w:eastAsia="en-GB"/>
        </w:rPr>
        <w:fldChar w:fldCharType="separate"/>
      </w:r>
      <w:r w:rsidR="00D33B3D" w:rsidRPr="009B3747">
        <w:rPr>
          <w:rFonts w:eastAsia="Times New Roman" w:cstheme="minorHAnsi"/>
          <w:noProof/>
          <w:color w:val="000000"/>
          <w:lang w:eastAsia="en-GB"/>
        </w:rPr>
        <w:t>(Sale et al., 2002; Punch, 2009; Bowling, 2014)</w:t>
      </w:r>
      <w:r w:rsidR="00D33B3D" w:rsidRPr="009B3747">
        <w:rPr>
          <w:rFonts w:eastAsia="Times New Roman" w:cstheme="minorHAnsi"/>
          <w:color w:val="000000"/>
          <w:lang w:eastAsia="en-GB"/>
        </w:rPr>
        <w:fldChar w:fldCharType="end"/>
      </w:r>
      <w:r w:rsidRPr="009B3747">
        <w:rPr>
          <w:rFonts w:eastAsia="Times New Roman" w:cstheme="minorHAnsi"/>
          <w:color w:val="000000"/>
          <w:lang w:eastAsia="en-GB"/>
        </w:rPr>
        <w:t>.  Hold</w:t>
      </w:r>
      <w:r w:rsidR="00D33B3D" w:rsidRPr="009B3747">
        <w:rPr>
          <w:rFonts w:eastAsia="Times New Roman" w:cstheme="minorHAnsi"/>
          <w:color w:val="000000"/>
          <w:lang w:eastAsia="en-GB"/>
        </w:rPr>
        <w:t xml:space="preserve">ing a deterministic philosophy </w:t>
      </w:r>
      <w:r w:rsidR="00D33B3D" w:rsidRPr="009B3747">
        <w:rPr>
          <w:rFonts w:eastAsia="Times New Roman" w:cstheme="minorHAnsi"/>
          <w:i/>
          <w:color w:val="000000"/>
          <w:lang w:eastAsia="en-GB"/>
        </w:rPr>
        <w:t>“</w:t>
      </w:r>
      <w:r w:rsidRPr="009B3747">
        <w:rPr>
          <w:rFonts w:eastAsia="Times New Roman" w:cstheme="minorHAnsi"/>
          <w:i/>
          <w:color w:val="000000"/>
          <w:lang w:eastAsia="en-GB"/>
        </w:rPr>
        <w:t>in which causes (probably</w:t>
      </w:r>
      <w:r w:rsidR="00D33B3D" w:rsidRPr="009B3747">
        <w:rPr>
          <w:rFonts w:eastAsia="Times New Roman" w:cstheme="minorHAnsi"/>
          <w:i/>
          <w:color w:val="000000"/>
          <w:lang w:eastAsia="en-GB"/>
        </w:rPr>
        <w:t>) determine effects of outcomes”</w:t>
      </w:r>
      <w:r w:rsidR="00D33B3D" w:rsidRPr="009B3747">
        <w:rPr>
          <w:rFonts w:eastAsia="Times New Roman" w:cstheme="minorHAnsi"/>
          <w:color w:val="000000"/>
          <w:lang w:eastAsia="en-GB"/>
        </w:rPr>
        <w:t xml:space="preserve"> </w:t>
      </w:r>
      <w:r w:rsidR="00D33B3D"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"DOI" : "10.1007/s13398-014-0173-7.2", "ISBN" : "9781452274614", "ISSN" : "13514180", "PMID" : "15991970", "author" : [ { "dropping-particle" : "", "family" : "Creswell", "given" : "J W", "non-dropping-particle" : "", "parse-names" : false, "suffix" : "" } ], "container-title" : "SAGE Publications", "edition" : "4th", "id" : "ITEM-1", "issued" : { "date-parts" : [ [ "2014" ] ] }, "number-of-pages" : "398", "publisher" : "SAGE Publications Inc.", "publisher-place" : "Los Angeles", "title" : "Research Design: Qualitative, Quantitative, and Mixed Methods Approaches", "type" : "book" }, "uris" : [ "http://www.mendeley.com/documents/?uuid=e78417b4-b5b5-4ebf-9e1d-3894864dbccd" ] } ], "mendeley" : { "formattedCitation" : "(Creswell, 2014)", "manualFormatting" : "(Creswell, 2014, p.7)", "plainTextFormattedCitation" : "(Creswell, 2014)", "previouslyFormattedCitation" : "(Creswell, 2014)" }, "properties" : { "noteIndex" : 0 }, "schema" : "https://github.com/citation-style-language/schema/raw/master/csl-citation.json" }</w:instrText>
      </w:r>
      <w:r w:rsidR="00D33B3D" w:rsidRPr="009B3747">
        <w:rPr>
          <w:rFonts w:eastAsia="Times New Roman" w:cstheme="minorHAnsi"/>
          <w:color w:val="000000"/>
          <w:lang w:eastAsia="en-GB"/>
        </w:rPr>
        <w:fldChar w:fldCharType="separate"/>
      </w:r>
      <w:r w:rsidR="00D33B3D" w:rsidRPr="009B3747">
        <w:rPr>
          <w:rFonts w:eastAsia="Times New Roman" w:cstheme="minorHAnsi"/>
          <w:noProof/>
          <w:color w:val="000000"/>
          <w:lang w:eastAsia="en-GB"/>
        </w:rPr>
        <w:t>(Creswell, 2014</w:t>
      </w:r>
      <w:r w:rsidR="00FB5B00" w:rsidRPr="009B3747">
        <w:rPr>
          <w:rFonts w:eastAsia="Times New Roman" w:cstheme="minorHAnsi"/>
          <w:noProof/>
          <w:color w:val="000000"/>
          <w:lang w:eastAsia="en-GB"/>
        </w:rPr>
        <w:t>, p.</w:t>
      </w:r>
      <w:r w:rsidR="00D33B3D" w:rsidRPr="009B3747">
        <w:rPr>
          <w:rFonts w:eastAsia="Times New Roman" w:cstheme="minorHAnsi"/>
          <w:noProof/>
          <w:color w:val="000000"/>
          <w:lang w:eastAsia="en-GB"/>
        </w:rPr>
        <w:t>7)</w:t>
      </w:r>
      <w:r w:rsidR="00D33B3D"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postpositivists assume an objective </w:t>
      </w:r>
      <w:r w:rsidRPr="009B3747">
        <w:rPr>
          <w:rFonts w:eastAsia="Times New Roman" w:cstheme="minorHAnsi"/>
          <w:color w:val="000000"/>
          <w:lang w:eastAsia="en-GB"/>
        </w:rPr>
        <w:lastRenderedPageBreak/>
        <w:t>reality exists that can be observed and measured in order to build verifiable and testable theories, independent of human perception and bias</w:t>
      </w:r>
      <w:r w:rsidR="00D33B3D" w:rsidRPr="009B3747">
        <w:rPr>
          <w:rFonts w:eastAsia="Times New Roman" w:cstheme="minorHAnsi"/>
          <w:color w:val="000000"/>
          <w:lang w:eastAsia="en-GB"/>
        </w:rPr>
        <w:t xml:space="preserve"> </w:t>
      </w:r>
      <w:r w:rsidR="00D33B3D"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"Bryman", "given" : "A", "non-dropping-particle" : "", "parse-names" : false, "suffix" : "" } ], "edition" : "4th", "id" : "ITEM-1", "issued" : { "date-parts" : [ [ "2012" ] ] }, "publisher" : "Oxford University Press", "publisher-place" : "Oxford", "title" : "Social research methods", "type" : "book" }, "uris" : [ "http://www.mendeley.com/documents/?uuid=ef60de35-20d0-4d5d-a2b8-9a4bfa9fdcf5" ] }, { "id" : "ITEM-2", "itemData" : { "author" : [ { "dropping-particle" : "", "family" : "Bowling", "given" : "A", "non-dropping-particle" : "", "parse-names" : false, "suffix" : "" } ], "edition" : "4th", "id" : "ITEM-2", "issued" : { "date-parts" : [ [ "2014" ] ] }, "publisher" : "Open University Press", "publisher-place" : "Maidenhead, UK", "title" : "Research methods in health: investigating health and health services", "type" : "book" }, "uris" : [ "http://www.mendeley.com/documents/?uuid=50092966-af1d-4766-bf38-8a55db776f74" ] } ], "mendeley" : { "formattedCitation" : "(Bryman, 2012; Bowling, 2014)", "plainTextFormattedCitation" : "(Bryman, 2012; Bowling, 2014)", "previouslyFormattedCitation" : "(Bryman, 2012; Bowling, 2014)" }, "properties" : { "noteIndex" : 0 }, "schema" : "https://github.com/citation-style-language/schema/raw/master/csl-citation.json" }</w:instrText>
      </w:r>
      <w:r w:rsidR="00D33B3D" w:rsidRPr="009B3747">
        <w:rPr>
          <w:rFonts w:eastAsia="Times New Roman" w:cstheme="minorHAnsi"/>
          <w:color w:val="000000"/>
          <w:lang w:eastAsia="en-GB"/>
        </w:rPr>
        <w:fldChar w:fldCharType="separate"/>
      </w:r>
      <w:r w:rsidR="00D33B3D" w:rsidRPr="009B3747">
        <w:rPr>
          <w:rFonts w:eastAsia="Times New Roman" w:cstheme="minorHAnsi"/>
          <w:noProof/>
          <w:color w:val="000000"/>
          <w:lang w:eastAsia="en-GB"/>
        </w:rPr>
        <w:t>(Bryman, 2012; Bowling, 2014)</w:t>
      </w:r>
      <w:r w:rsidR="00D33B3D" w:rsidRPr="009B3747">
        <w:rPr>
          <w:rFonts w:eastAsia="Times New Roman" w:cstheme="minorHAnsi"/>
          <w:color w:val="000000"/>
          <w:lang w:eastAsia="en-GB"/>
        </w:rPr>
        <w:fldChar w:fldCharType="end"/>
      </w:r>
      <w:r w:rsidR="00D33B3D" w:rsidRPr="009B3747">
        <w:rPr>
          <w:rFonts w:eastAsia="Times New Roman" w:cstheme="minorHAnsi"/>
          <w:color w:val="000000"/>
          <w:lang w:eastAsia="en-GB"/>
        </w:rPr>
        <w:t xml:space="preserve">.  </w:t>
      </w:r>
      <w:r w:rsidRPr="009B3747">
        <w:rPr>
          <w:rFonts w:eastAsia="Times New Roman" w:cstheme="minorHAnsi"/>
          <w:color w:val="000000"/>
          <w:lang w:eastAsia="en-GB"/>
        </w:rPr>
        <w:t>External influences are controlled and validity and reliability are emphasised in order that any other researcher who measures the same reality obtains the same results or findings</w:t>
      </w:r>
      <w:r w:rsidR="002F6890" w:rsidRPr="009B3747">
        <w:rPr>
          <w:rFonts w:eastAsia="Times New Roman" w:cstheme="minorHAnsi"/>
          <w:color w:val="000000"/>
          <w:lang w:eastAsia="en-GB"/>
        </w:rPr>
        <w:t xml:space="preserve"> </w:t>
      </w:r>
      <w:r w:rsidR="002F6890"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"ISBN" : "0335225500", "abstract" : "2nd ed. Previous edition: 2004. Offers an introduction to the concepts and theories in early childhood education. Drawing on research evidence from various countries and reviewing studies about children - including anthropology, economics, history, psychology and sociology - this title offers perspectives on the ways in which we understand and study young children.", "author" : [ { "dropping-particle" : "", "family" : "Penn", "given" : "Helen.", "non-dropping-particle" : "", "parse-names" : false, "suffix" : "" } ], "edition" : "2nd", "id" : "ITEM-1", "issued" : { "date-parts" : [ [ "2008" ] ] }, "number-of-pages" : "219", "publisher" : "McGraw Hill/Open University Press", "publisher-place" : "Maidenhead", "title" : "Understanding early childhood : issues and controversies", "type" : "book" }, "uris" : [ "http://www.mendeley.com/documents/?uuid=09c4d5ee-be1d-3510-8378-545923ad82e0" ] } ], "mendeley" : { "formattedCitation" : "(Penn, 2008)", "plainTextFormattedCitation" : "(Penn, 2008)", "previouslyFormattedCitation" : "(Penn, 2008)" }, "properties" : { "noteIndex" : 0 }, "schema" : "https://github.com/citation-style-language/schema/raw/master/csl-citation.json" }</w:instrText>
      </w:r>
      <w:r w:rsidR="002F6890" w:rsidRPr="009B3747">
        <w:rPr>
          <w:rFonts w:eastAsia="Times New Roman" w:cstheme="minorHAnsi"/>
          <w:color w:val="000000"/>
          <w:lang w:eastAsia="en-GB"/>
        </w:rPr>
        <w:fldChar w:fldCharType="separate"/>
      </w:r>
      <w:r w:rsidR="002F6890" w:rsidRPr="009B3747">
        <w:rPr>
          <w:rFonts w:eastAsia="Times New Roman" w:cstheme="minorHAnsi"/>
          <w:noProof/>
          <w:color w:val="000000"/>
          <w:lang w:eastAsia="en-GB"/>
        </w:rPr>
        <w:t>(Penn, 2008)</w:t>
      </w:r>
      <w:r w:rsidR="002F6890" w:rsidRPr="009B3747">
        <w:rPr>
          <w:rFonts w:eastAsia="Times New Roman" w:cstheme="minorHAnsi"/>
          <w:color w:val="000000"/>
          <w:lang w:eastAsia="en-GB"/>
        </w:rPr>
        <w:fldChar w:fldCharType="end"/>
      </w:r>
      <w:r w:rsidR="002F6890" w:rsidRPr="009B3747">
        <w:rPr>
          <w:rFonts w:eastAsia="Times New Roman" w:cstheme="minorHAnsi"/>
          <w:color w:val="000000"/>
          <w:lang w:eastAsia="en-GB"/>
        </w:rPr>
        <w:t xml:space="preserve">.  </w:t>
      </w:r>
      <w:r w:rsidRPr="009B3747">
        <w:rPr>
          <w:rFonts w:eastAsia="Times New Roman" w:cstheme="minorHAnsi"/>
          <w:color w:val="000000"/>
          <w:lang w:eastAsia="en-GB"/>
        </w:rPr>
        <w:t>Rejecting the central tenets of positivism, post-positivists believe that we cannot conduct research completely objectively and value free</w:t>
      </w:r>
      <w:r w:rsidR="002F6890" w:rsidRPr="009B3747">
        <w:rPr>
          <w:rFonts w:eastAsia="Times New Roman" w:cstheme="minorHAnsi"/>
          <w:color w:val="000000"/>
          <w:lang w:eastAsia="en-GB"/>
        </w:rPr>
        <w:t xml:space="preserve"> </w:t>
      </w:r>
      <w:r w:rsidR="002F6890" w:rsidRPr="009B3747">
        <w:rPr>
          <w:rFonts w:eastAsia="Times New Roman" w:cstheme="minorHAnsi"/>
          <w:color w:val="000000"/>
          <w:lang w:eastAsia="en-GB"/>
        </w:rPr>
        <w:fldChar w:fldCharType="begin" w:fldLock="1"/>
      </w:r>
      <w:r w:rsidR="00C83875" w:rsidRPr="009B3747">
        <w:rPr>
          <w:rFonts w:eastAsia="Times New Roman" w:cstheme="minorHAnsi"/>
          <w:color w:val="000000"/>
          <w:lang w:eastAsia="en-GB"/>
        </w:rPr>
        <w:instrText>ADDIN CSL_CITATION { "citationItems" : [ { "id" : "ITEM-1", "itemData" : { "author" : [ { "dropping-particle" : "", "family" : "Teddlie", "given" : "C", "non-dropping-particle" : "", "parse-names" : false, "suffix" : "" }, { "dropping-particle" : "", "family" : "Tashakkori", "given" : "A", "non-dropping-particle" : "", "parse-names" : false, "suffix" : "" } ], "id" : "ITEM-1", "issued" : { "date-parts" : [ [ "2009" ] ] }, "publisher" : "SAGE Publications Inc.", "publisher-place" : "Thousand Oaks", "title" : "Foundations of mixed methods research: Integrating quantitative and qualitative approaches in the social and behavioral sciences", "type" : "book" }, "uris" : [ "http://www.mendeley.com/documents/?uuid=bbf94a8b-67b4-494f-92ca-828dd65fa45c" ] } ], "mendeley" : { "formattedCitation" : "(Teddlie and Tashakkori, 2009)", "plainTextFormattedCitation" : "(Teddlie and Tashakkori, 2009)", "previouslyFormattedCitation" : "(Teddlie and Tashakkori, 2009)" }, "properties" : { "noteIndex" : 0 }, "schema" : "https://github.com/citation-style-language/schema/raw/master/csl-citation.json" }</w:instrText>
      </w:r>
      <w:r w:rsidR="002F6890" w:rsidRPr="009B3747">
        <w:rPr>
          <w:rFonts w:eastAsia="Times New Roman" w:cstheme="minorHAnsi"/>
          <w:color w:val="000000"/>
          <w:lang w:eastAsia="en-GB"/>
        </w:rPr>
        <w:fldChar w:fldCharType="separate"/>
      </w:r>
      <w:r w:rsidR="006F2F83" w:rsidRPr="009B3747">
        <w:rPr>
          <w:rFonts w:eastAsia="Times New Roman" w:cstheme="minorHAnsi"/>
          <w:noProof/>
          <w:color w:val="000000"/>
          <w:lang w:eastAsia="en-GB"/>
        </w:rPr>
        <w:t>(Teddlie and Tashakkori, 2009)</w:t>
      </w:r>
      <w:r w:rsidR="002F6890" w:rsidRPr="009B3747">
        <w:rPr>
          <w:rFonts w:eastAsia="Times New Roman" w:cstheme="minorHAnsi"/>
          <w:color w:val="000000"/>
          <w:lang w:eastAsia="en-GB"/>
        </w:rPr>
        <w:fldChar w:fldCharType="end"/>
      </w:r>
      <w:r w:rsidR="00A942FB">
        <w:rPr>
          <w:rFonts w:eastAsia="Times New Roman" w:cstheme="minorHAnsi"/>
          <w:color w:val="000000"/>
          <w:lang w:eastAsia="en-GB"/>
        </w:rPr>
        <w:t xml:space="preserve">.  In addition </w:t>
      </w:r>
      <w:r w:rsidRPr="009B3747">
        <w:rPr>
          <w:rFonts w:eastAsia="Times New Roman" w:cstheme="minorHAnsi"/>
          <w:color w:val="000000"/>
          <w:lang w:eastAsia="en-GB"/>
        </w:rPr>
        <w:t xml:space="preserve">when studying the behaviour and actions of humans </w:t>
      </w:r>
      <w:r w:rsidR="002F6890" w:rsidRPr="009B3747">
        <w:rPr>
          <w:rFonts w:eastAsia="Times New Roman" w:cstheme="minorHAnsi"/>
          <w:i/>
          <w:color w:val="000000"/>
          <w:lang w:eastAsia="en-GB"/>
        </w:rPr>
        <w:t>“</w:t>
      </w:r>
      <w:r w:rsidRPr="009B3747">
        <w:rPr>
          <w:rFonts w:eastAsia="Times New Roman" w:cstheme="minorHAnsi"/>
          <w:i/>
          <w:color w:val="000000"/>
          <w:lang w:eastAsia="en-GB"/>
        </w:rPr>
        <w:t>we cannot be positive about our claims of knowledge</w:t>
      </w:r>
      <w:r w:rsidR="002F6890" w:rsidRPr="009B3747">
        <w:rPr>
          <w:rFonts w:eastAsia="Times New Roman" w:cstheme="minorHAnsi"/>
          <w:i/>
          <w:color w:val="000000"/>
          <w:lang w:eastAsia="en-GB"/>
        </w:rPr>
        <w:t>”</w:t>
      </w:r>
      <w:r w:rsidRPr="009B3747">
        <w:rPr>
          <w:rFonts w:eastAsia="Times New Roman" w:cstheme="minorHAnsi"/>
          <w:color w:val="000000"/>
          <w:lang w:eastAsia="en-GB"/>
        </w:rPr>
        <w:t xml:space="preserve"> </w:t>
      </w:r>
      <w:r w:rsidR="002F6890"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"DOI" : "10.1007/s13398-014-0173-7.2", "ISBN" : "9781452274614", "ISSN" : "13514180", "PMID" : "15991970", "author" : [ { "dropping-particle" : "", "family" : "Creswell", "given" : "J W", "non-dropping-particle" : "", "parse-names" : false, "suffix" : "" } ], "container-title" : "SAGE Publications", "edition" : "4th", "id" : "ITEM-1", "issued" : { "date-parts" : [ [ "2014" ] ] }, "number-of-pages" : "398", "publisher" : "SAGE Publications Inc.", "publisher-place" : "Los Angeles", "title" : "Research Design: Qualitative, Quantitative, and Mixed Methods Approaches", "type" : "book" }, "uris" : [ "http://www.mendeley.com/documents/?uuid=e78417b4-b5b5-4ebf-9e1d-3894864dbccd" ] } ], "mendeley" : { "formattedCitation" : "(Creswell, 2014)", "manualFormatting" : "(Creswell, 2014, p.7)", "plainTextFormattedCitation" : "(Creswell, 2014)", "previouslyFormattedCitation" : "(Creswell, 2014)" }, "properties" : { "noteIndex" : 0 }, "schema" : "https://github.com/citation-style-language/schema/raw/master/csl-citation.json" }</w:instrText>
      </w:r>
      <w:r w:rsidR="002F6890" w:rsidRPr="009B3747">
        <w:rPr>
          <w:rFonts w:eastAsia="Times New Roman" w:cstheme="minorHAnsi"/>
          <w:color w:val="000000"/>
          <w:lang w:eastAsia="en-GB"/>
        </w:rPr>
        <w:fldChar w:fldCharType="separate"/>
      </w:r>
      <w:r w:rsidR="002F6890" w:rsidRPr="009B3747">
        <w:rPr>
          <w:rFonts w:eastAsia="Times New Roman" w:cstheme="minorHAnsi"/>
          <w:noProof/>
          <w:color w:val="000000"/>
          <w:lang w:eastAsia="en-GB"/>
        </w:rPr>
        <w:t>(Creswell, 2014</w:t>
      </w:r>
      <w:r w:rsidR="00FB5B00" w:rsidRPr="009B3747">
        <w:rPr>
          <w:rFonts w:eastAsia="Times New Roman" w:cstheme="minorHAnsi"/>
          <w:noProof/>
          <w:color w:val="000000"/>
          <w:lang w:eastAsia="en-GB"/>
        </w:rPr>
        <w:t>, p.</w:t>
      </w:r>
      <w:r w:rsidR="002F6890" w:rsidRPr="009B3747">
        <w:rPr>
          <w:rFonts w:eastAsia="Times New Roman" w:cstheme="minorHAnsi"/>
          <w:noProof/>
          <w:color w:val="000000"/>
          <w:lang w:eastAsia="en-GB"/>
        </w:rPr>
        <w:t>7)</w:t>
      </w:r>
      <w:r w:rsidR="002F6890" w:rsidRPr="009B3747">
        <w:rPr>
          <w:rFonts w:eastAsia="Times New Roman" w:cstheme="minorHAnsi"/>
          <w:color w:val="000000"/>
          <w:lang w:eastAsia="en-GB"/>
        </w:rPr>
        <w:fldChar w:fldCharType="end"/>
      </w:r>
      <w:r w:rsidR="002F6890" w:rsidRPr="009B3747">
        <w:rPr>
          <w:rFonts w:eastAsia="Times New Roman" w:cstheme="minorHAnsi"/>
          <w:color w:val="000000"/>
          <w:lang w:eastAsia="en-GB"/>
        </w:rPr>
        <w:t>.</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1A2F63" w:rsidP="003F1507">
      <w:pPr>
        <w:rPr>
          <w:rFonts w:eastAsia="Times New Roman" w:cstheme="minorHAnsi"/>
          <w:iCs/>
          <w:color w:val="000000"/>
          <w:lang w:eastAsia="en-GB"/>
        </w:rPr>
      </w:pPr>
      <w:r w:rsidRPr="009B3747">
        <w:rPr>
          <w:rFonts w:eastAsia="Times New Roman" w:cstheme="minorHAnsi"/>
          <w:iCs/>
          <w:color w:val="000000"/>
          <w:lang w:eastAsia="en-GB"/>
        </w:rPr>
        <w:t xml:space="preserve">4.3.1.2 </w:t>
      </w:r>
      <w:r w:rsidR="003F1507" w:rsidRPr="009B3747">
        <w:rPr>
          <w:rFonts w:eastAsia="Times New Roman" w:cstheme="minorHAnsi"/>
          <w:iCs/>
          <w:color w:val="000000"/>
          <w:lang w:eastAsia="en-GB"/>
        </w:rPr>
        <w:t>Constructivism</w:t>
      </w:r>
    </w:p>
    <w:p w:rsidR="001A2F63" w:rsidRPr="009B3747" w:rsidRDefault="001A2F63" w:rsidP="003F1507">
      <w:pPr>
        <w:rPr>
          <w:rFonts w:eastAsia="Times New Roman" w:cstheme="minorHAnsi"/>
          <w:sz w:val="24"/>
          <w:szCs w:val="24"/>
          <w:lang w:eastAsia="en-GB"/>
        </w:rPr>
      </w:pP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 xml:space="preserve">In contrast to the philosophical stance of the postpositivist paradigm, constructivism (often combined with interpretivism) is typically aligned with qualitative research.  The constructivist paradigm proposes that </w:t>
      </w:r>
      <w:r w:rsidR="002F6890" w:rsidRPr="009B3747">
        <w:rPr>
          <w:rFonts w:eastAsia="Times New Roman" w:cstheme="minorHAnsi"/>
          <w:i/>
          <w:color w:val="000000"/>
          <w:lang w:eastAsia="en-GB"/>
        </w:rPr>
        <w:t>“</w:t>
      </w:r>
      <w:r w:rsidRPr="009B3747">
        <w:rPr>
          <w:rFonts w:eastAsia="Times New Roman" w:cstheme="minorHAnsi"/>
          <w:i/>
          <w:color w:val="000000"/>
          <w:lang w:eastAsia="en-GB"/>
        </w:rPr>
        <w:t>individuals see understanding of the wo</w:t>
      </w:r>
      <w:r w:rsidR="002F6890" w:rsidRPr="009B3747">
        <w:rPr>
          <w:rFonts w:eastAsia="Times New Roman" w:cstheme="minorHAnsi"/>
          <w:i/>
          <w:color w:val="000000"/>
          <w:lang w:eastAsia="en-GB"/>
        </w:rPr>
        <w:t>rld in which they live and work”</w:t>
      </w:r>
      <w:r w:rsidR="002F6890" w:rsidRPr="009B3747">
        <w:rPr>
          <w:rFonts w:eastAsia="Times New Roman" w:cstheme="minorHAnsi"/>
          <w:color w:val="000000"/>
          <w:lang w:eastAsia="en-GB"/>
        </w:rPr>
        <w:t xml:space="preserve"> </w:t>
      </w:r>
      <w:r w:rsidR="002F6890"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"DOI" : "10.1007/s13398-014-0173-7.2", "ISBN" : "9781452274614", "ISSN" : "13514180", "PMID" : "15991970", "author" : [ { "dropping-particle" : "", "family" : "Creswell", "given" : "J W", "non-dropping-particle" : "", "parse-names" : false, "suffix" : "" } ], "container-title" : "SAGE Publications", "edition" : "4th", "id" : "ITEM-1", "issued" : { "date-parts" : [ [ "2014" ] ] }, "number-of-pages" : "398", "publisher" : "SAGE Publications Inc.", "publisher-place" : "Los Angeles", "title" : "Research Design: Qualitative, Quantitative, and Mixed Methods Approaches", "type" : "book" }, "uris" : [ "http://www.mendeley.com/documents/?uuid=e78417b4-b5b5-4ebf-9e1d-3894864dbccd" ] } ], "mendeley" : { "formattedCitation" : "(Creswell, 2014)", "manualFormatting" : "(Creswell, 2014, p.8)", "plainTextFormattedCitation" : "(Creswell, 2014)", "previouslyFormattedCitation" : "(Creswell, 2014)" }, "properties" : { "noteIndex" : 0 }, "schema" : "https://github.com/citation-style-language/schema/raw/master/csl-citation.json" }</w:instrText>
      </w:r>
      <w:r w:rsidR="002F6890" w:rsidRPr="009B3747">
        <w:rPr>
          <w:rFonts w:eastAsia="Times New Roman" w:cstheme="minorHAnsi"/>
          <w:color w:val="000000"/>
          <w:lang w:eastAsia="en-GB"/>
        </w:rPr>
        <w:fldChar w:fldCharType="separate"/>
      </w:r>
      <w:r w:rsidR="002F6890" w:rsidRPr="009B3747">
        <w:rPr>
          <w:rFonts w:eastAsia="Times New Roman" w:cstheme="minorHAnsi"/>
          <w:noProof/>
          <w:color w:val="000000"/>
          <w:lang w:eastAsia="en-GB"/>
        </w:rPr>
        <w:t>(Creswell, 2014</w:t>
      </w:r>
      <w:r w:rsidR="00FB5B00" w:rsidRPr="009B3747">
        <w:rPr>
          <w:rFonts w:eastAsia="Times New Roman" w:cstheme="minorHAnsi"/>
          <w:noProof/>
          <w:color w:val="000000"/>
          <w:lang w:eastAsia="en-GB"/>
        </w:rPr>
        <w:t>, p.</w:t>
      </w:r>
      <w:r w:rsidR="002F6890" w:rsidRPr="009B3747">
        <w:rPr>
          <w:rFonts w:eastAsia="Times New Roman" w:cstheme="minorHAnsi"/>
          <w:noProof/>
          <w:color w:val="000000"/>
          <w:lang w:eastAsia="en-GB"/>
        </w:rPr>
        <w:t>8)</w:t>
      </w:r>
      <w:r w:rsidR="002F6890" w:rsidRPr="009B3747">
        <w:rPr>
          <w:rFonts w:eastAsia="Times New Roman" w:cstheme="minorHAnsi"/>
          <w:color w:val="000000"/>
          <w:lang w:eastAsia="en-GB"/>
        </w:rPr>
        <w:fldChar w:fldCharType="end"/>
      </w:r>
      <w:r w:rsidR="002F6890" w:rsidRPr="009B3747">
        <w:rPr>
          <w:rFonts w:eastAsia="Times New Roman" w:cstheme="minorHAnsi"/>
          <w:color w:val="000000"/>
          <w:lang w:eastAsia="en-GB"/>
        </w:rPr>
        <w:t xml:space="preserve">.  </w:t>
      </w:r>
      <w:r w:rsidRPr="009B3747">
        <w:rPr>
          <w:rFonts w:eastAsia="Times New Roman" w:cstheme="minorHAnsi"/>
          <w:color w:val="000000"/>
          <w:lang w:eastAsia="en-GB"/>
        </w:rPr>
        <w:t>Central to this worldview is the belief that reality and knowledge is subjective, socially constructed and therefore multiple simultaneous realities and meanings exist</w:t>
      </w:r>
      <w:r w:rsidR="002F6890" w:rsidRPr="009B3747">
        <w:rPr>
          <w:rFonts w:eastAsia="Times New Roman" w:cstheme="minorHAnsi"/>
          <w:color w:val="000000"/>
          <w:lang w:eastAsia="en-GB"/>
        </w:rPr>
        <w:t xml:space="preserve"> </w:t>
      </w:r>
      <w:r w:rsidR="002F6890"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"Denzin", "given" : "NK", "non-dropping-particle" : "", "parse-names" : false, "suffix" : "" }, { "dropping-particle" : "", "family" : "Lincoln", "given" : "YS", "non-dropping-particle" : "", "parse-names" : false, "suffix" : "" } ], "edition" : "4th", "id" : "ITEM-1", "issued" : { "date-parts" : [ [ "2011" ] ] }, "publisher" : "SAGE Publications Inc.", "publisher-place" : "Los Angeles", "title" : "The SAGE handbook of qualitative research", "type" : "book" }, "uris" : [ "http://www.mendeley.com/documents/?uuid=889b9834-24be-41ec-989c-69790d2056e0" ] }, { "id" : "ITEM-2", "itemData" : { "author" : [ { "dropping-particle" : "", "family" : "Bowling", "given" : "A", "non-dropping-particle" : "", "parse-names" : false, "suffix" : "" } ], "edition" : "4th", "id" : "ITEM-2", "issued" : { "date-parts" : [ [ "2014" ] ] }, "publisher" : "Open University Press", "publisher-place" : "Maidenhead, UK", "title" : "Research methods in health: investigating health and health services", "type" : "book" }, "uris" : [ "http://www.mendeley.com/documents/?uuid=50092966-af1d-4766-bf38-8a55db776f74" ] } ], "mendeley" : { "formattedCitation" : "(Denzin and Lincoln, 2011; Bowling, 2014)", "plainTextFormattedCitation" : "(Denzin and Lincoln, 2011; Bowling, 2014)", "previouslyFormattedCitation" : "(Denzin and Lincoln, 2011; Bowling, 2014)" }, "properties" : { "noteIndex" : 0 }, "schema" : "https://github.com/citation-style-language/schema/raw/master/csl-citation.json" }</w:instrText>
      </w:r>
      <w:r w:rsidR="002F6890" w:rsidRPr="009B3747">
        <w:rPr>
          <w:rFonts w:eastAsia="Times New Roman" w:cstheme="minorHAnsi"/>
          <w:color w:val="000000"/>
          <w:lang w:eastAsia="en-GB"/>
        </w:rPr>
        <w:fldChar w:fldCharType="separate"/>
      </w:r>
      <w:r w:rsidR="002F6890" w:rsidRPr="009B3747">
        <w:rPr>
          <w:rFonts w:eastAsia="Times New Roman" w:cstheme="minorHAnsi"/>
          <w:noProof/>
          <w:color w:val="000000"/>
          <w:lang w:eastAsia="en-GB"/>
        </w:rPr>
        <w:t>(Denzin and Lincoln, 2011; Bowling, 2014)</w:t>
      </w:r>
      <w:r w:rsidR="002F6890" w:rsidRPr="009B3747">
        <w:rPr>
          <w:rFonts w:eastAsia="Times New Roman" w:cstheme="minorHAnsi"/>
          <w:color w:val="000000"/>
          <w:lang w:eastAsia="en-GB"/>
        </w:rPr>
        <w:fldChar w:fldCharType="end"/>
      </w:r>
      <w:r w:rsidRPr="009B3747">
        <w:rPr>
          <w:rFonts w:eastAsia="Times New Roman" w:cstheme="minorHAnsi"/>
          <w:color w:val="000000"/>
          <w:lang w:eastAsia="en-GB"/>
        </w:rPr>
        <w:t>.  Furthermore, constructivists propose that meanings are individually and collectively constructed from personal histories and the social interactions between individuals, the social environment and the researcher</w:t>
      </w:r>
      <w:r w:rsidR="001D6EEB" w:rsidRPr="009B3747">
        <w:rPr>
          <w:rFonts w:eastAsia="Times New Roman" w:cstheme="minorHAnsi"/>
          <w:color w:val="000000"/>
          <w:lang w:eastAsia="en-GB"/>
        </w:rPr>
        <w:t xml:space="preserve"> </w:t>
      </w:r>
      <w:r w:rsidR="001D6EEB" w:rsidRPr="009B3747">
        <w:rPr>
          <w:rFonts w:eastAsia="Times New Roman" w:cstheme="minorHAnsi"/>
          <w:color w:val="000000"/>
          <w:lang w:eastAsia="en-GB"/>
        </w:rPr>
        <w:fldChar w:fldCharType="begin" w:fldLock="1"/>
      </w:r>
      <w:r w:rsidR="002D0012">
        <w:rPr>
          <w:rFonts w:eastAsia="Times New Roman" w:cstheme="minorHAnsi"/>
          <w:color w:val="000000"/>
          <w:lang w:eastAsia="en-GB"/>
        </w:rPr>
        <w:instrText>ADDIN CSL_CITATION { "citationItems" : [ { "id" : "ITEM-1", "itemData" : { "ISBN" : "9781412975179", "abstract" : "2nd ed. \"Combining the latest thinking about mixed methods research designs with practical, step-by-step guidance, the Second Edition of Designing and Conducting Mixed Methods Research now covers six major mixed methods designs. Authors John W. Creswell and Vicki L. Plano Clark walk readers through the entire research process, from formulating questions to designing, collecting data, and interpreting results and include updated examples from published mixed methods studies drawn from the social, behavioral, health, and education disciplines.\"--Pub. desc. The nature of mixed methods research -- The foundations of mixed methods research -- Choosing a mixed methods design -- Examples of mixed methods designs -- Introducing a mixed methods study -- Collecting data in mixed methods research -- Analyzing and interpreting data in mixed methods research -- Writing and evaluating mixed methods research -- Summary and recommendations.", "author" : [ { "dropping-particle" : "", "family" : "Creswell", "given" : "John W.", "non-dropping-particle" : "", "parse-names" : false, "suffix" : "" }, { "dropping-particle" : "", "family" : "Plano Clark", "given" : "Vicki L.", "non-dropping-particle" : "", "parse-names" : false, "suffix" : "" } ], "edition" : "2nd", "id" : "ITEM-1", "issued" : { "date-parts" : [ [ "2011" ] ] }, "number-of-pages" : "457", "publisher" : "SAGE Publications", "publisher-place" : "Thousand Oaks", "title" : "Designing and conducting mixed methods research", "type" : "book" }, "uris" : [ "http://www.mendeley.com/documents/?uuid=7cf67537-d009-3386-be02-c159c4f6ff80" ] }, { "id" : "ITEM-2", "itemData" : { "ISBN" : "1446296164", "abstract" : "3rd ed. Previous edition: 2005. In the new edition of Introduction to Social Resarch, Keith Punch takes a fresh look at the entire research process, from formulating a research question to writing up your research. Introduction -- Theory and method in social science research -- Ethics in social science research -- Research questions -- From research questions to data -- Literature searching and reviewing -- Qualitative research design -- Collecting qualitative data -- Analysing qualitative data -- Quantitative research design -- Collecting quatitative data -- Analysing quantitative data -- The internet and research -- Mixed methods and evaluation -- Research writing.", "author" : [ { "dropping-particle" : "", "family" : "Punch", "given" : "K", "non-dropping-particle" : "", "parse-names" : false, "suffix" : "" } ], "edition" : "3rd", "id" : "ITEM-2", "issued" : { "date-parts" : [ [ "2014" ] ] }, "number-of-pages" : "386", "publisher" : "SAGE Publications Ltd", "publisher-place" : "London", "title" : "Introduction to social research : Quantitative and qualitative approaches", "type" : "book" }, "uris" : [ "http://www.mendeley.com/documents/?uuid=7e80c4f6-afa1-3067-9430-96a282ce3e85" ] } ], "mendeley" : { "formattedCitation" : "(Creswell and Plano Clark, 2011; Punch, 2014)", "plainTextFormattedCitation" : "(Creswell and Plano Clark, 2011; Punch, 2014)", "previouslyFormattedCitation" : "(Creswell and Plano Clark, 2011; Punch, 2014)" }, "properties" : { "noteIndex" : 0 }, "schema" : "https://github.com/citation-style-language/schema/raw/master/csl-citation.json" }</w:instrText>
      </w:r>
      <w:r w:rsidR="001D6EEB" w:rsidRPr="009B3747">
        <w:rPr>
          <w:rFonts w:eastAsia="Times New Roman" w:cstheme="minorHAnsi"/>
          <w:color w:val="000000"/>
          <w:lang w:eastAsia="en-GB"/>
        </w:rPr>
        <w:fldChar w:fldCharType="separate"/>
      </w:r>
      <w:r w:rsidR="00AB10E7" w:rsidRPr="00AB10E7">
        <w:rPr>
          <w:rFonts w:eastAsia="Times New Roman" w:cstheme="minorHAnsi"/>
          <w:noProof/>
          <w:color w:val="000000"/>
          <w:lang w:eastAsia="en-GB"/>
        </w:rPr>
        <w:t>(Creswell and Plano Clark, 2011; Punch, 2014)</w:t>
      </w:r>
      <w:r w:rsidR="001D6EEB" w:rsidRPr="009B3747">
        <w:rPr>
          <w:rFonts w:eastAsia="Times New Roman" w:cstheme="minorHAnsi"/>
          <w:color w:val="000000"/>
          <w:lang w:eastAsia="en-GB"/>
        </w:rPr>
        <w:fldChar w:fldCharType="end"/>
      </w:r>
      <w:r w:rsidR="002F6890" w:rsidRPr="009B3747">
        <w:rPr>
          <w:rFonts w:eastAsia="Times New Roman" w:cstheme="minorHAnsi"/>
          <w:color w:val="000000"/>
          <w:lang w:eastAsia="en-GB"/>
        </w:rPr>
        <w:t xml:space="preserve">.  </w:t>
      </w:r>
      <w:r w:rsidRPr="009B3747">
        <w:rPr>
          <w:rFonts w:eastAsia="Times New Roman" w:cstheme="minorHAnsi"/>
          <w:color w:val="000000"/>
          <w:lang w:eastAsia="en-GB"/>
        </w:rPr>
        <w:t>Rather than seeking to disprove a hypothesis, constructivism aims to understand this complex social phenomena and interpret human experience</w:t>
      </w:r>
      <w:r w:rsidR="002F6890" w:rsidRPr="009B3747">
        <w:rPr>
          <w:rFonts w:eastAsia="Times New Roman" w:cstheme="minorHAnsi"/>
          <w:color w:val="000000"/>
          <w:lang w:eastAsia="en-GB"/>
        </w:rPr>
        <w:t xml:space="preserve"> </w:t>
      </w:r>
      <w:r w:rsidR="002F6890" w:rsidRPr="009B3747">
        <w:rPr>
          <w:rFonts w:eastAsia="Times New Roman" w:cstheme="minorHAnsi"/>
          <w:color w:val="000000"/>
          <w:lang w:eastAsia="en-GB"/>
        </w:rPr>
        <w:fldChar w:fldCharType="begin" w:fldLock="1"/>
      </w:r>
      <w:r w:rsidR="002D0012">
        <w:rPr>
          <w:rFonts w:eastAsia="Times New Roman" w:cstheme="minorHAnsi"/>
          <w:color w:val="000000"/>
          <w:lang w:eastAsia="en-GB"/>
        </w:rPr>
        <w:instrText>ADDIN CSL_CITATION { "citationItems" : [ { "id" : "ITEM-1", "itemData" : { "author" : [ { "dropping-particle" : "", "family" : "Punch", "given" : "KF", "non-dropping-particle" : "", "parse-names" : false, "suffix" : "" } ], "id" : "ITEM-1", "issued" : { "date-parts" : [ [ "2009" ] ] }, "publisher" : "SAGE Publications Ltd", "publisher-place" : "London", "title" : "Introduction to research methods in education", "type" : "book" }, "uris" : [ "http://www.mendeley.com/documents/?uuid=4df05209-53da-4d48-a3bd-6918091d8b82" ] }, { "id" : "ITEM-2", "itemData" : { "ISBN" : "1446296164", "abstract" : "3rd ed. Previous edition: 2005. In the new edition of Introduction to Social Resarch, Keith Punch takes a fresh look at the entire research process, from formulating a research question to writing up your research. Introduction -- Theory and method in social science research -- Ethics in social science research -- Research questions -- From research questions to data -- Literature searching and reviewing -- Qualitative research design -- Collecting qualitative data -- Analysing qualitative data -- Quantitative research design -- Collecting quatitative data -- Analysing quantitative data -- The internet and research -- Mixed methods and evaluation -- Research writing.", "author" : [ { "dropping-particle" : "", "family" : "Punch", "given" : "K", "non-dropping-particle" : "", "parse-names" : false, "suffix" : "" } ], "edition" : "3rd", "id" : "ITEM-2", "issued" : { "date-parts" : [ [ "2014" ] ] }, "number-of-pages" : "386", "publisher" : "SAGE Publications Ltd", "publisher-place" : "London", "title" : "Introduction to social research : Quantitative and qualitative approaches", "type" : "book" }, "uris" : [ "http://www.mendeley.com/documents/?uuid=7e80c4f6-afa1-3067-9430-96a282ce3e85" ] } ], "mendeley" : { "formattedCitation" : "(Punch, 2009, 2014)", "plainTextFormattedCitation" : "(Punch, 2009, 2014)", "previouslyFormattedCitation" : "(Punch, 2009, 2014)" }, "properties" : { "noteIndex" : 0 }, "schema" : "https://github.com/citation-style-language/schema/raw/master/csl-citation.json" }</w:instrText>
      </w:r>
      <w:r w:rsidR="002F6890" w:rsidRPr="009B3747">
        <w:rPr>
          <w:rFonts w:eastAsia="Times New Roman" w:cstheme="minorHAnsi"/>
          <w:color w:val="000000"/>
          <w:lang w:eastAsia="en-GB"/>
        </w:rPr>
        <w:fldChar w:fldCharType="separate"/>
      </w:r>
      <w:r w:rsidR="00AB10E7" w:rsidRPr="00AB10E7">
        <w:rPr>
          <w:rFonts w:eastAsia="Times New Roman" w:cstheme="minorHAnsi"/>
          <w:noProof/>
          <w:color w:val="000000"/>
          <w:lang w:eastAsia="en-GB"/>
        </w:rPr>
        <w:t>(Punch, 2009, 2014)</w:t>
      </w:r>
      <w:r w:rsidR="002F6890" w:rsidRPr="009B3747">
        <w:rPr>
          <w:rFonts w:eastAsia="Times New Roman" w:cstheme="minorHAnsi"/>
          <w:color w:val="000000"/>
          <w:lang w:eastAsia="en-GB"/>
        </w:rPr>
        <w:fldChar w:fldCharType="end"/>
      </w:r>
      <w:r w:rsidRPr="009B3747">
        <w:rPr>
          <w:rFonts w:eastAsia="Times New Roman" w:cstheme="minorHAnsi"/>
          <w:color w:val="000000"/>
          <w:lang w:eastAsia="en-GB"/>
        </w:rPr>
        <w:t>, in order to inductively develop theory or patterns of meaning</w:t>
      </w:r>
      <w:r w:rsidR="002F6890" w:rsidRPr="009B3747">
        <w:rPr>
          <w:rFonts w:eastAsia="Times New Roman" w:cstheme="minorHAnsi"/>
          <w:color w:val="000000"/>
          <w:lang w:eastAsia="en-GB"/>
        </w:rPr>
        <w:t xml:space="preserve"> </w:t>
      </w:r>
      <w:r w:rsidR="002F6890"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"DOI" : "10.1007/s13398-014-0173-7.2", "ISBN" : "9781452274614", "ISSN" : "13514180", "PMID" : "15991970", "author" : [ { "dropping-particle" : "", "family" : "Creswell", "given" : "J W", "non-dropping-particle" : "", "parse-names" : false, "suffix" : "" } ], "container-title" : "SAGE Publications", "edition" : "4th", "id" : "ITEM-1", "issued" : { "date-parts" : [ [ "2014" ] ] }, "number-of-pages" : "398", "publisher" : "SAGE Publications Inc.", "publisher-place" : "Los Angeles", "title" : "Research Design: Qualitative, Quantitative, and Mixed Methods Approaches", "type" : "book" }, "uris" : [ "http://www.mendeley.com/documents/?uuid=e78417b4-b5b5-4ebf-9e1d-3894864dbccd" ] } ], "mendeley" : { "formattedCitation" : "(Creswell, 2014)", "plainTextFormattedCitation" : "(Creswell, 2014)", "previouslyFormattedCitation" : "(Creswell, 2014)" }, "properties" : { "noteIndex" : 0 }, "schema" : "https://github.com/citation-style-language/schema/raw/master/csl-citation.json" }</w:instrText>
      </w:r>
      <w:r w:rsidR="002F6890" w:rsidRPr="009B3747">
        <w:rPr>
          <w:rFonts w:eastAsia="Times New Roman" w:cstheme="minorHAnsi"/>
          <w:color w:val="000000"/>
          <w:lang w:eastAsia="en-GB"/>
        </w:rPr>
        <w:fldChar w:fldCharType="separate"/>
      </w:r>
      <w:r w:rsidR="002F6890" w:rsidRPr="009B3747">
        <w:rPr>
          <w:rFonts w:eastAsia="Times New Roman" w:cstheme="minorHAnsi"/>
          <w:noProof/>
          <w:color w:val="000000"/>
          <w:lang w:eastAsia="en-GB"/>
        </w:rPr>
        <w:t>(Creswell, 2014)</w:t>
      </w:r>
      <w:r w:rsidR="002F6890" w:rsidRPr="009B3747">
        <w:rPr>
          <w:rFonts w:eastAsia="Times New Roman" w:cstheme="minorHAnsi"/>
          <w:color w:val="000000"/>
          <w:lang w:eastAsia="en-GB"/>
        </w:rPr>
        <w:fldChar w:fldCharType="end"/>
      </w:r>
      <w:r w:rsidRPr="009B3747">
        <w:rPr>
          <w:rFonts w:eastAsia="Times New Roman" w:cstheme="minorHAnsi"/>
          <w:color w:val="000000"/>
          <w:lang w:eastAsia="en-GB"/>
        </w:rPr>
        <w:t>.</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1A2F63" w:rsidP="003F1507">
      <w:pPr>
        <w:rPr>
          <w:rFonts w:eastAsia="Times New Roman" w:cstheme="minorHAnsi"/>
          <w:iCs/>
          <w:color w:val="000000"/>
          <w:lang w:eastAsia="en-GB"/>
        </w:rPr>
      </w:pPr>
      <w:r w:rsidRPr="009B3747">
        <w:rPr>
          <w:rFonts w:eastAsia="Times New Roman" w:cstheme="minorHAnsi"/>
          <w:iCs/>
          <w:color w:val="000000"/>
          <w:lang w:eastAsia="en-GB"/>
        </w:rPr>
        <w:t xml:space="preserve">4.3.1.3 </w:t>
      </w:r>
      <w:r w:rsidR="003F1507" w:rsidRPr="009B3747">
        <w:rPr>
          <w:rFonts w:eastAsia="Times New Roman" w:cstheme="minorHAnsi"/>
          <w:iCs/>
          <w:color w:val="000000"/>
          <w:lang w:eastAsia="en-GB"/>
        </w:rPr>
        <w:t>Transformative</w:t>
      </w:r>
    </w:p>
    <w:p w:rsidR="001A2F63" w:rsidRPr="009B3747" w:rsidRDefault="001A2F63" w:rsidP="003F1507">
      <w:pPr>
        <w:rPr>
          <w:rFonts w:eastAsia="Times New Roman" w:cstheme="minorHAnsi"/>
          <w:sz w:val="24"/>
          <w:szCs w:val="24"/>
          <w:lang w:eastAsia="en-GB"/>
        </w:rPr>
      </w:pP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Interchangeably referred to as the ‘participatory worldview’, the transformative paradigm proposes that constructivism whilst exploring human meaning and experience, doesn’t go far enough in advocating political and social change for marginalised groups</w:t>
      </w:r>
      <w:r w:rsidR="004F372E" w:rsidRPr="009B3747">
        <w:rPr>
          <w:rFonts w:eastAsia="Times New Roman" w:cstheme="minorHAnsi"/>
          <w:color w:val="000000"/>
          <w:lang w:eastAsia="en-GB"/>
        </w:rPr>
        <w:t xml:space="preserve"> </w:t>
      </w:r>
      <w:r w:rsidR="004F372E"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"ISBN" : "9781412975179", "abstract" : "2nd ed. \"Combining the latest thinking about mixed methods research designs with practical, step-by-step guidance, the Second Edition of Designing and Conducting Mixed Methods Research now covers six major mixed methods designs. Authors John W. Creswell and Vicki L. Plano Clark walk readers through the entire research process, from formulating questions to designing, collecting data, and interpreting results and include updated examples from published mixed methods studies drawn from the social, behavioral, health, and education disciplines.\"--Pub. desc. The nature of mixed methods research -- The foundations of mixed methods research -- Choosing a mixed methods design -- Examples of mixed methods designs -- Introducing a mixed methods study -- Collecting data in mixed methods research -- Analyzing and interpreting data in mixed methods research -- Writing and evaluating mixed methods research -- Summary and recommendations.", "author" : [ { "dropping-particle" : "", "family" : "Creswell", "given" : "John W.", "non-dropping-particle" : "", "parse-names" : false, "suffix" : "" }, { "dropping-particle" : "", "family" : "Plano Clark", "given" : "Vicki L.", "non-dropping-particle" : "", "parse-names" : false, "suffix" : "" } ], "edition" : "2nd", "id" : "ITEM-1", "issued" : { "date-parts" : [ [ "2011" ] ] }, "number-of-pages" : "457", "publisher" : "SAGE Publications", "publisher-place" : "Thousand Oaks", "title" : "Designing and conducting mixed methods research", "type" : "book" }, "uris" : [ "http://www.mendeley.com/documents/?uuid=7cf67537-d009-3386-be02-c159c4f6ff80" ] } ], "mendeley" : { "formattedCitation" : "(Creswell and Plano Clark, 2011)", "plainTextFormattedCitation" : "(Creswell and Plano Clark, 2011)", "previouslyFormattedCitation" : "(Creswell and Plano Clark, 2011)" }, "properties" : { "noteIndex" : 0 }, "schema" : "https://github.com/citation-style-language/schema/raw/master/csl-citation.json" }</w:instrText>
      </w:r>
      <w:r w:rsidR="004F372E" w:rsidRPr="009B3747">
        <w:rPr>
          <w:rFonts w:eastAsia="Times New Roman" w:cstheme="minorHAnsi"/>
          <w:color w:val="000000"/>
          <w:lang w:eastAsia="en-GB"/>
        </w:rPr>
        <w:fldChar w:fldCharType="separate"/>
      </w:r>
      <w:r w:rsidR="001D6EEB" w:rsidRPr="009B3747">
        <w:rPr>
          <w:rFonts w:eastAsia="Times New Roman" w:cstheme="minorHAnsi"/>
          <w:noProof/>
          <w:color w:val="000000"/>
          <w:lang w:eastAsia="en-GB"/>
        </w:rPr>
        <w:t>(Creswell and Plano Clark, 2011)</w:t>
      </w:r>
      <w:r w:rsidR="004F372E" w:rsidRPr="009B3747">
        <w:rPr>
          <w:rFonts w:eastAsia="Times New Roman" w:cstheme="minorHAnsi"/>
          <w:color w:val="000000"/>
          <w:lang w:eastAsia="en-GB"/>
        </w:rPr>
        <w:fldChar w:fldCharType="end"/>
      </w:r>
      <w:r w:rsidR="004F372E" w:rsidRPr="009B3747">
        <w:rPr>
          <w:rFonts w:eastAsia="Times New Roman" w:cstheme="minorHAnsi"/>
          <w:color w:val="000000"/>
          <w:lang w:eastAsia="en-GB"/>
        </w:rPr>
        <w:t xml:space="preserve">.  </w:t>
      </w:r>
      <w:r w:rsidRPr="009B3747">
        <w:rPr>
          <w:rFonts w:eastAsia="Times New Roman" w:cstheme="minorHAnsi"/>
          <w:color w:val="000000"/>
          <w:lang w:eastAsia="en-GB"/>
        </w:rPr>
        <w:t>Influenced by political concerns, the transformative worldview</w:t>
      </w:r>
      <w:r w:rsidR="009025E2">
        <w:rPr>
          <w:rFonts w:eastAsia="Times New Roman" w:cstheme="minorHAnsi"/>
          <w:color w:val="000000"/>
          <w:lang w:eastAsia="en-GB"/>
        </w:rPr>
        <w:t>,</w:t>
      </w:r>
      <w:r w:rsidRPr="009B3747">
        <w:rPr>
          <w:rFonts w:eastAsia="Times New Roman" w:cstheme="minorHAnsi"/>
          <w:color w:val="000000"/>
          <w:lang w:eastAsia="en-GB"/>
        </w:rPr>
        <w:t xml:space="preserve"> which is more often than not associated with qualitative research approaches, focuses on the need to address issues such as marginalisation, inequality, power, social justice, discrimination and oppression</w:t>
      </w:r>
      <w:r w:rsidR="004F372E" w:rsidRPr="009B3747">
        <w:rPr>
          <w:rFonts w:eastAsia="Times New Roman" w:cstheme="minorHAnsi"/>
          <w:color w:val="000000"/>
          <w:lang w:eastAsia="en-GB"/>
        </w:rPr>
        <w:t xml:space="preserve"> </w:t>
      </w:r>
      <w:r w:rsidR="004F372E"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"DOI" : "10.1007/s13398-014-0173-7.2", "ISBN" : "9781452274614", "ISSN" : "13514180", "PMID" : "15991970", "author" : [ { "dropping-particle" : "", "family" : "Creswell", "given" : "J W", "non-dropping-particle" : "", "parse-names" : false, "suffix" : "" } ], "container-title" : "SAGE Publications", "edition" : "4th", "id" : "ITEM-1", "issued" : { "date-parts" : [ [ "2014" ] ] }, "number-of-pages" : "398", "publisher" : "SAGE Publications Inc.", "publisher-place" : "Los Angeles", "title" : "Research Design: Qualitative, Quantitative, and Mixed Methods Approaches", "type" : "book" }, "uris" : [ "http://www.mendeley.com/documents/?uuid=e78417b4-b5b5-4ebf-9e1d-3894864dbccd" ] } ], "mendeley" : { "formattedCitation" : "(Creswell, 2014)", "plainTextFormattedCitation" : "(Creswell, 2014)", "previouslyFormattedCitation" : "(Creswell, 2014)" }, "properties" : { "noteIndex" : 0 }, "schema" : "https://github.com/citation-style-language/schema/raw/master/csl-citation.json" }</w:instrText>
      </w:r>
      <w:r w:rsidR="004F372E" w:rsidRPr="009B3747">
        <w:rPr>
          <w:rFonts w:eastAsia="Times New Roman" w:cstheme="minorHAnsi"/>
          <w:color w:val="000000"/>
          <w:lang w:eastAsia="en-GB"/>
        </w:rPr>
        <w:fldChar w:fldCharType="separate"/>
      </w:r>
      <w:r w:rsidR="004F372E" w:rsidRPr="009B3747">
        <w:rPr>
          <w:rFonts w:eastAsia="Times New Roman" w:cstheme="minorHAnsi"/>
          <w:noProof/>
          <w:color w:val="000000"/>
          <w:lang w:eastAsia="en-GB"/>
        </w:rPr>
        <w:t>(Creswell, 2014)</w:t>
      </w:r>
      <w:r w:rsidR="004F372E" w:rsidRPr="009B3747">
        <w:rPr>
          <w:rFonts w:eastAsia="Times New Roman" w:cstheme="minorHAnsi"/>
          <w:color w:val="000000"/>
          <w:lang w:eastAsia="en-GB"/>
        </w:rPr>
        <w:fldChar w:fldCharType="end"/>
      </w:r>
      <w:r w:rsidRPr="009B3747">
        <w:rPr>
          <w:rFonts w:eastAsia="Times New Roman" w:cstheme="minorHAnsi"/>
          <w:color w:val="000000"/>
          <w:lang w:eastAsia="en-GB"/>
        </w:rPr>
        <w:t>.  In the transformative paradigm, these issues form the focal point of research along with the lives, experiences and needs of diverse groups who are deemed to have been underrepresented</w:t>
      </w:r>
      <w:r w:rsidR="00273991">
        <w:rPr>
          <w:rFonts w:eastAsia="Times New Roman" w:cstheme="minorHAnsi"/>
          <w:color w:val="000000"/>
          <w:lang w:eastAsia="en-GB"/>
        </w:rPr>
        <w:t>,</w:t>
      </w:r>
      <w:r w:rsidRPr="009B3747">
        <w:rPr>
          <w:rFonts w:eastAsia="Times New Roman" w:cstheme="minorHAnsi"/>
          <w:color w:val="000000"/>
          <w:lang w:eastAsia="en-GB"/>
        </w:rPr>
        <w:t xml:space="preserve"> i.e. based on gender, race, ethnicity, disability, sexual orientation and socioeconomic class</w:t>
      </w:r>
      <w:r w:rsidR="004F372E" w:rsidRPr="009B3747">
        <w:rPr>
          <w:rFonts w:eastAsia="Times New Roman" w:cstheme="minorHAnsi"/>
          <w:color w:val="000000"/>
          <w:lang w:eastAsia="en-GB"/>
        </w:rPr>
        <w:t xml:space="preserve"> </w:t>
      </w:r>
      <w:r w:rsidR="004F372E" w:rsidRPr="009B3747">
        <w:rPr>
          <w:rFonts w:eastAsia="Times New Roman" w:cstheme="minorHAnsi"/>
          <w:color w:val="000000"/>
          <w:lang w:eastAsia="en-GB"/>
        </w:rPr>
        <w:fldChar w:fldCharType="begin" w:fldLock="1"/>
      </w:r>
      <w:r w:rsidR="004F372E" w:rsidRPr="009B3747">
        <w:rPr>
          <w:rFonts w:eastAsia="Times New Roman" w:cstheme="minorHAnsi"/>
          <w:color w:val="000000"/>
          <w:lang w:eastAsia="en-GB"/>
        </w:rPr>
        <w:instrText>ADDIN CSL_CITATION { "citationItems" : [ { "id" : "ITEM-1", "itemData" : { "DOI" : "10.1177/1077800410364612", "ISSN" : "1077-8004", "abstract" : "Paradigms serve as metaphysical frameworks that guide researchers in the identification and clarification of their beliefs with regard to ethics, reality, knowledge, and methodology. The transformative paradigm is explained and illustrated as a framework for researchers who place a priority on social justice and the furtherance of human rights. The basic belief systems associated with this paradigm are explained and illustrated by examples of research that is commensurate with the transformative paradigm.", "author" : [ { "dropping-particle" : "", "family" : "Mertens", "given" : "Donna M.", "non-dropping-particle" : "", "parse-names" : false, "suffix" : "" } ], "container-title" : "Qualitative Inquiry", "id" : "ITEM-1", "issue" : "6", "issued" : { "date-parts" : [ [ "2010", "7", "23" ] ] }, "page" : "469-474", "publisher" : "SAGE PublicationsSage CA: Los Angeles, CA", "title" : "Transformative Mixed Methods Research", "type" : "article-journal", "volume" : "16" }, "uris" : [ "http://www.mendeley.com/documents/?uuid=c401dace-28b0-3a4c-8403-dd976b17a979" ] } ], "mendeley" : { "formattedCitation" : "(Mertens, 2010)", "plainTextFormattedCitation" : "(Mertens, 2010)", "previouslyFormattedCitation" : "(Mertens, 2010)" }, "properties" : { "noteIndex" : 0 }, "schema" : "https://github.com/citation-style-language/schema/raw/master/csl-citation.json" }</w:instrText>
      </w:r>
      <w:r w:rsidR="004F372E" w:rsidRPr="009B3747">
        <w:rPr>
          <w:rFonts w:eastAsia="Times New Roman" w:cstheme="minorHAnsi"/>
          <w:color w:val="000000"/>
          <w:lang w:eastAsia="en-GB"/>
        </w:rPr>
        <w:fldChar w:fldCharType="separate"/>
      </w:r>
      <w:r w:rsidR="004F372E" w:rsidRPr="009B3747">
        <w:rPr>
          <w:rFonts w:eastAsia="Times New Roman" w:cstheme="minorHAnsi"/>
          <w:noProof/>
          <w:color w:val="000000"/>
          <w:lang w:eastAsia="en-GB"/>
        </w:rPr>
        <w:t>(Mertens, 2010)</w:t>
      </w:r>
      <w:r w:rsidR="004F372E" w:rsidRPr="009B3747">
        <w:rPr>
          <w:rFonts w:eastAsia="Times New Roman" w:cstheme="minorHAnsi"/>
          <w:color w:val="000000"/>
          <w:lang w:eastAsia="en-GB"/>
        </w:rPr>
        <w:fldChar w:fldCharType="end"/>
      </w:r>
      <w:r w:rsidR="004F372E"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The concept of participatory and collaborative research is central in this worldview, where </w:t>
      </w:r>
      <w:r w:rsidRPr="009B3747">
        <w:rPr>
          <w:rFonts w:eastAsia="Times New Roman" w:cstheme="minorHAnsi"/>
          <w:color w:val="000000"/>
          <w:lang w:eastAsia="en-GB"/>
        </w:rPr>
        <w:lastRenderedPageBreak/>
        <w:t>participants are given a voice and may assist in the process of designing research methods and collection and analysing data</w:t>
      </w:r>
      <w:r w:rsidR="004F372E" w:rsidRPr="009B3747">
        <w:rPr>
          <w:rFonts w:eastAsia="Times New Roman" w:cstheme="minorHAnsi"/>
          <w:color w:val="000000"/>
          <w:lang w:eastAsia="en-GB"/>
        </w:rPr>
        <w:t xml:space="preserve"> </w:t>
      </w:r>
      <w:r w:rsidR="004F372E"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"DOI" : "10.1007/s13398-014-0173-7.2", "ISBN" : "9781452274614", "ISSN" : "13514180", "PMID" : "15991970", "author" : [ { "dropping-particle" : "", "family" : "Creswell", "given" : "J W", "non-dropping-particle" : "", "parse-names" : false, "suffix" : "" } ], "container-title" : "SAGE Publications", "edition" : "4th", "id" : "ITEM-1", "issued" : { "date-parts" : [ [ "2014" ] ] }, "number-of-pages" : "398", "publisher" : "SAGE Publications Inc.", "publisher-place" : "Los Angeles", "title" : "Research Design: Qualitative, Quantitative, and Mixed Methods Approaches", "type" : "book" }, "uris" : [ "http://www.mendeley.com/documents/?uuid=e78417b4-b5b5-4ebf-9e1d-3894864dbccd" ] } ], "mendeley" : { "formattedCitation" : "(Creswell, 2014)", "plainTextFormattedCitation" : "(Creswell, 2014)", "previouslyFormattedCitation" : "(Creswell, 2014)" }, "properties" : { "noteIndex" : 0 }, "schema" : "https://github.com/citation-style-language/schema/raw/master/csl-citation.json" }</w:instrText>
      </w:r>
      <w:r w:rsidR="004F372E" w:rsidRPr="009B3747">
        <w:rPr>
          <w:rFonts w:eastAsia="Times New Roman" w:cstheme="minorHAnsi"/>
          <w:color w:val="000000"/>
          <w:lang w:eastAsia="en-GB"/>
        </w:rPr>
        <w:fldChar w:fldCharType="separate"/>
      </w:r>
      <w:r w:rsidR="004F372E" w:rsidRPr="009B3747">
        <w:rPr>
          <w:rFonts w:eastAsia="Times New Roman" w:cstheme="minorHAnsi"/>
          <w:noProof/>
          <w:color w:val="000000"/>
          <w:lang w:eastAsia="en-GB"/>
        </w:rPr>
        <w:t>(Creswell, 2014)</w:t>
      </w:r>
      <w:r w:rsidR="004F372E" w:rsidRPr="009B3747">
        <w:rPr>
          <w:rFonts w:eastAsia="Times New Roman" w:cstheme="minorHAnsi"/>
          <w:color w:val="000000"/>
          <w:lang w:eastAsia="en-GB"/>
        </w:rPr>
        <w:fldChar w:fldCharType="end"/>
      </w:r>
      <w:r w:rsidR="004F372E" w:rsidRPr="009B3747">
        <w:rPr>
          <w:rFonts w:eastAsia="Times New Roman" w:cstheme="minorHAnsi"/>
          <w:color w:val="000000"/>
          <w:lang w:eastAsia="en-GB"/>
        </w:rPr>
        <w:t>.</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1A2F63" w:rsidP="003F1507">
      <w:pPr>
        <w:rPr>
          <w:rFonts w:eastAsia="Times New Roman" w:cstheme="minorHAnsi"/>
          <w:iCs/>
          <w:color w:val="000000"/>
          <w:lang w:eastAsia="en-GB"/>
        </w:rPr>
      </w:pPr>
      <w:r w:rsidRPr="009B3747">
        <w:rPr>
          <w:rFonts w:eastAsia="Times New Roman" w:cstheme="minorHAnsi"/>
          <w:iCs/>
          <w:color w:val="000000"/>
          <w:lang w:eastAsia="en-GB"/>
        </w:rPr>
        <w:t xml:space="preserve">4.3.1.4 </w:t>
      </w:r>
      <w:r w:rsidR="003F1507" w:rsidRPr="009B3747">
        <w:rPr>
          <w:rFonts w:eastAsia="Times New Roman" w:cstheme="minorHAnsi"/>
          <w:iCs/>
          <w:color w:val="000000"/>
          <w:lang w:eastAsia="en-GB"/>
        </w:rPr>
        <w:t xml:space="preserve">Pragmatism </w:t>
      </w:r>
    </w:p>
    <w:p w:rsidR="001A2F63" w:rsidRPr="009B3747" w:rsidRDefault="001A2F63" w:rsidP="003F1507">
      <w:pPr>
        <w:rPr>
          <w:rFonts w:eastAsia="Times New Roman" w:cstheme="minorHAnsi"/>
          <w:sz w:val="24"/>
          <w:szCs w:val="24"/>
          <w:lang w:eastAsia="en-GB"/>
        </w:rPr>
      </w:pP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The final worldview presented is that of pragmatism, which is commonly linked to mixed methods research approaches</w:t>
      </w:r>
      <w:r w:rsidR="004F372E" w:rsidRPr="009B3747">
        <w:rPr>
          <w:rFonts w:eastAsia="Times New Roman" w:cstheme="minorHAnsi"/>
          <w:color w:val="000000"/>
          <w:lang w:eastAsia="en-GB"/>
        </w:rPr>
        <w:t xml:space="preserve"> </w:t>
      </w:r>
      <w:r w:rsidR="004F372E" w:rsidRPr="009B3747">
        <w:rPr>
          <w:rFonts w:eastAsia="Times New Roman" w:cstheme="minorHAnsi"/>
          <w:color w:val="000000"/>
          <w:lang w:eastAsia="en-GB"/>
        </w:rPr>
        <w:fldChar w:fldCharType="begin" w:fldLock="1"/>
      </w:r>
      <w:r w:rsidR="004F372E" w:rsidRPr="009B3747">
        <w:rPr>
          <w:rFonts w:eastAsia="Times New Roman" w:cstheme="minorHAnsi"/>
          <w:color w:val="000000"/>
          <w:lang w:eastAsia="en-GB"/>
        </w:rPr>
        <w:instrText>ADDIN CSL_CITATION { "citationItems" : [ { "id" : "ITEM-1", "itemData" : { "DOI" : "10.3102/0013189X017008010", "ISSN" : "0013-189X", "abstract" : "Over approximately the last 20 years, the use of qualitative methods in educational research has evolved from being scoffed at to being viewed as useful for provisional exploration, to being accepted as a valuable alternative approach in its own right, to being embraced as capable of thoroughgoing integration with quantitative methods. Progress has been halting, and it is not surprising that certain thinkers are now balking at the latest stage of development. The chief worry is that the capitulation to \"what works\" ignores the incompatibility of the competing positivistic and interpretivist epistemological paradigms that purportedly undergird quantitative and qualitative methods, respectively. Appealing to a pragmatic philosophical perspective, this paper argues that no incompatibility between quantitative and qualitative methods exists at either the level of practice or that of epistemology and that there are thus no good reasons for educational researchers to fear forging ahead with \"what works.\"", "author" : [ { "dropping-particle" : "", "family" : "Howe", "given" : "K. R.", "non-dropping-particle" : "", "parse-names" : false, "suffix" : "" } ], "container-title" : "Educational Researcher", "id" : "ITEM-1", "issue" : "8", "issued" : { "date-parts" : [ [ "1988", "11", "1" ] ] }, "page" : "10-16", "publisher" : "Sage PublicationsSage CA: Thousand Oaks, CA", "title" : "Against the Quantitative-Qualitative Incompatibility Thesis or Dogmas Die Hard", "type" : "article-journal", "volume" : "17" }, "uris" : [ "http://www.mendeley.com/documents/?uuid=d041d0d3-aa05-3a49-90eb-51f8c8efe2e4" ] } ], "mendeley" : { "formattedCitation" : "(Howe, 1988)", "plainTextFormattedCitation" : "(Howe, 1988)", "previouslyFormattedCitation" : "(Howe, 1988)" }, "properties" : { "noteIndex" : 0 }, "schema" : "https://github.com/citation-style-language/schema/raw/master/csl-citation.json" }</w:instrText>
      </w:r>
      <w:r w:rsidR="004F372E" w:rsidRPr="009B3747">
        <w:rPr>
          <w:rFonts w:eastAsia="Times New Roman" w:cstheme="minorHAnsi"/>
          <w:color w:val="000000"/>
          <w:lang w:eastAsia="en-GB"/>
        </w:rPr>
        <w:fldChar w:fldCharType="separate"/>
      </w:r>
      <w:r w:rsidR="004F372E" w:rsidRPr="009B3747">
        <w:rPr>
          <w:rFonts w:eastAsia="Times New Roman" w:cstheme="minorHAnsi"/>
          <w:noProof/>
          <w:color w:val="000000"/>
          <w:lang w:eastAsia="en-GB"/>
        </w:rPr>
        <w:t>(Howe, 1988)</w:t>
      </w:r>
      <w:r w:rsidR="004F372E" w:rsidRPr="009B3747">
        <w:rPr>
          <w:rFonts w:eastAsia="Times New Roman" w:cstheme="minorHAnsi"/>
          <w:color w:val="000000"/>
          <w:lang w:eastAsia="en-GB"/>
        </w:rPr>
        <w:fldChar w:fldCharType="end"/>
      </w:r>
      <w:r w:rsidR="004F372E" w:rsidRPr="009B3747">
        <w:rPr>
          <w:rFonts w:eastAsia="Times New Roman" w:cstheme="minorHAnsi"/>
          <w:color w:val="000000"/>
          <w:lang w:eastAsia="en-GB"/>
        </w:rPr>
        <w:t xml:space="preserve"> </w:t>
      </w:r>
      <w:r w:rsidRPr="009B3747">
        <w:rPr>
          <w:rFonts w:eastAsia="Times New Roman" w:cstheme="minorHAnsi"/>
          <w:color w:val="000000"/>
          <w:lang w:eastAsia="en-GB"/>
        </w:rPr>
        <w:t>and previousl</w:t>
      </w:r>
      <w:r w:rsidR="00FB5B00" w:rsidRPr="009B3747">
        <w:rPr>
          <w:rFonts w:eastAsia="Times New Roman" w:cstheme="minorHAnsi"/>
          <w:color w:val="000000"/>
          <w:lang w:eastAsia="en-GB"/>
        </w:rPr>
        <w:t xml:space="preserve">y referred to as mixed methods </w:t>
      </w:r>
      <w:r w:rsidR="00FB5B00" w:rsidRPr="009B3747">
        <w:rPr>
          <w:rFonts w:eastAsia="Times New Roman" w:cstheme="minorHAnsi"/>
          <w:i/>
          <w:color w:val="000000"/>
          <w:lang w:eastAsia="en-GB"/>
        </w:rPr>
        <w:t>“philosophical partner”</w:t>
      </w:r>
      <w:r w:rsidR="004F372E" w:rsidRPr="009B3747">
        <w:rPr>
          <w:rFonts w:eastAsia="Times New Roman" w:cstheme="minorHAnsi"/>
          <w:color w:val="000000"/>
          <w:lang w:eastAsia="en-GB"/>
        </w:rPr>
        <w:t xml:space="preserve"> </w:t>
      </w:r>
      <w:r w:rsidR="004F372E"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"Johnson", "given" : "RB", "non-dropping-particle" : "", "parse-names" : false, "suffix" : "" }, { "dropping-particle" : "", "family" : "Onwuegbuzie", "given" : "AJ", "non-dropping-particle" : "", "parse-names" : false, "suffix" : "" } ], "container-title" : "Educational researcher", "id" : "ITEM-1", "issue" : "7", "issued" : { "date-parts" : [ [ "2004" ] ] }, "page" : "14-26", "title" : "Mixed methods research: A research paradigm whose time has come", "type" : "article-journal", "volume" : "33" }, "uris" : [ "http://www.mendeley.com/documents/?uuid=1e7f2872-93d9-4b8d-89fd-c60a1166dd44" ] } ], "mendeley" : { "formattedCitation" : "(Johnson and Onwuegbuzie, 2004)", "manualFormatting" : "(Johnson and Onwuegbuzie, 2004, p.16)", "plainTextFormattedCitation" : "(Johnson and Onwuegbuzie, 2004)", "previouslyFormattedCitation" : "(Johnson and Onwuegbuzie, 2004)" }, "properties" : { "noteIndex" : 0 }, "schema" : "https://github.com/citation-style-language/schema/raw/master/csl-citation.json" }</w:instrText>
      </w:r>
      <w:r w:rsidR="004F372E" w:rsidRPr="009B3747">
        <w:rPr>
          <w:rFonts w:eastAsia="Times New Roman" w:cstheme="minorHAnsi"/>
          <w:color w:val="000000"/>
          <w:lang w:eastAsia="en-GB"/>
        </w:rPr>
        <w:fldChar w:fldCharType="separate"/>
      </w:r>
      <w:r w:rsidR="004F372E" w:rsidRPr="009B3747">
        <w:rPr>
          <w:rFonts w:eastAsia="Times New Roman" w:cstheme="minorHAnsi"/>
          <w:noProof/>
          <w:color w:val="000000"/>
          <w:lang w:eastAsia="en-GB"/>
        </w:rPr>
        <w:t>(Johnson and Onwuegbuzie, 2004</w:t>
      </w:r>
      <w:r w:rsidR="00FB5B00" w:rsidRPr="009B3747">
        <w:rPr>
          <w:rFonts w:eastAsia="Times New Roman" w:cstheme="minorHAnsi"/>
          <w:noProof/>
          <w:color w:val="000000"/>
          <w:lang w:eastAsia="en-GB"/>
        </w:rPr>
        <w:t>, p.</w:t>
      </w:r>
      <w:r w:rsidR="004F372E" w:rsidRPr="009B3747">
        <w:rPr>
          <w:rFonts w:eastAsia="Times New Roman" w:cstheme="minorHAnsi"/>
          <w:noProof/>
          <w:color w:val="000000"/>
          <w:lang w:eastAsia="en-GB"/>
        </w:rPr>
        <w:t>16)</w:t>
      </w:r>
      <w:r w:rsidR="004F372E" w:rsidRPr="009B3747">
        <w:rPr>
          <w:rFonts w:eastAsia="Times New Roman" w:cstheme="minorHAnsi"/>
          <w:color w:val="000000"/>
          <w:lang w:eastAsia="en-GB"/>
        </w:rPr>
        <w:fldChar w:fldCharType="end"/>
      </w:r>
      <w:r w:rsidRPr="009B3747">
        <w:rPr>
          <w:rFonts w:eastAsia="Times New Roman" w:cstheme="minorHAnsi"/>
          <w:color w:val="000000"/>
          <w:lang w:eastAsia="en-GB"/>
        </w:rPr>
        <w:t>.  In the literature, an existence of ‘paradigms wars’ is evidenced, where philosophical worldviews and their ontological and epistemological assumptions are presented as opposing and dichotomous</w:t>
      </w:r>
      <w:r w:rsidR="004F372E" w:rsidRPr="009B3747">
        <w:rPr>
          <w:rFonts w:eastAsia="Times New Roman" w:cstheme="minorHAnsi"/>
          <w:color w:val="000000"/>
          <w:lang w:eastAsia="en-GB"/>
        </w:rPr>
        <w:t xml:space="preserve"> </w:t>
      </w:r>
      <w:r w:rsidR="004F372E"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"Howe", "given" : "K", "non-dropping-particle" : "", "parse-names" : false, "suffix" : "" }, { "dropping-particle" : "", "family" : "Eisenhart", "given" : "M", "non-dropping-particle" : "", "parse-names" : false, "suffix" : "" } ], "container-title" : "Educational researcher", "id" : "ITEM-1", "issue" : "4", "issued" : { "date-parts" : [ [ "1990" ] ] }, "page" : "2-9", "title" : "Standards for qualitative (and quantitative) research: A prolegomenon", "type" : "article-journal", "volume" : "19" }, "uris" : [ "http://www.mendeley.com/documents/?uuid=f46efb88-6118-46af-bab7-1f66a85bfb07" ] }, { "id" : "ITEM-2", "itemData" : { "author" : [ { "dropping-particle" : "", "family" : "Johnson", "given" : "RB", "non-dropping-particle" : "", "parse-names" : false, "suffix" : "" }, { "dropping-particle" : "", "family" : "Onwuegbuzie", "given" : "AJ", "non-dropping-particle" : "", "parse-names" : false, "suffix" : "" } ], "container-title" : "Educational researcher", "id" : "ITEM-2", "issue" : "7", "issued" : { "date-parts" : [ [ "2004" ] ] }, "page" : "14-26", "title" : "Mixed methods research: A research paradigm whose time has come", "type" : "article-journal", "volume" : "33" }, "uris" : [ "http://www.mendeley.com/documents/?uuid=1e7f2872-93d9-4b8d-89fd-c60a1166dd44" ] } ], "mendeley" : { "formattedCitation" : "(Howe and Eisenhart, 1990; Johnson and Onwuegbuzie, 2004)", "plainTextFormattedCitation" : "(Howe and Eisenhart, 1990; Johnson and Onwuegbuzie, 2004)", "previouslyFormattedCitation" : "(Howe and Eisenhart, 1990; Johnson and Onwuegbuzie, 2004)" }, "properties" : { "noteIndex" : 0 }, "schema" : "https://github.com/citation-style-language/schema/raw/master/csl-citation.json" }</w:instrText>
      </w:r>
      <w:r w:rsidR="004F372E" w:rsidRPr="009B3747">
        <w:rPr>
          <w:rFonts w:eastAsia="Times New Roman" w:cstheme="minorHAnsi"/>
          <w:color w:val="000000"/>
          <w:lang w:eastAsia="en-GB"/>
        </w:rPr>
        <w:fldChar w:fldCharType="separate"/>
      </w:r>
      <w:r w:rsidR="004F372E" w:rsidRPr="009B3747">
        <w:rPr>
          <w:rFonts w:eastAsia="Times New Roman" w:cstheme="minorHAnsi"/>
          <w:noProof/>
          <w:color w:val="000000"/>
          <w:lang w:eastAsia="en-GB"/>
        </w:rPr>
        <w:t>(Howe and Eisenhart, 1990; Johnson and Onwuegbuzie, 2004)</w:t>
      </w:r>
      <w:r w:rsidR="004F372E"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This has contributed to an entrenched polarisation of quantitative and </w:t>
      </w:r>
      <w:r w:rsidR="00A942FB">
        <w:rPr>
          <w:rFonts w:eastAsia="Times New Roman" w:cstheme="minorHAnsi"/>
          <w:color w:val="000000"/>
          <w:lang w:eastAsia="en-GB"/>
        </w:rPr>
        <w:t xml:space="preserve">qualitative research approaches, </w:t>
      </w:r>
      <w:r w:rsidRPr="009B3747">
        <w:rPr>
          <w:rFonts w:eastAsia="Times New Roman" w:cstheme="minorHAnsi"/>
          <w:color w:val="000000"/>
          <w:lang w:eastAsia="en-GB"/>
        </w:rPr>
        <w:t>and the accentuated perception regarding the inappropriateness of mixing them</w:t>
      </w:r>
      <w:r w:rsidR="00273991">
        <w:rPr>
          <w:rFonts w:eastAsia="Times New Roman" w:cstheme="minorHAnsi"/>
          <w:color w:val="000000"/>
          <w:lang w:eastAsia="en-GB"/>
        </w:rPr>
        <w:t>,</w:t>
      </w:r>
      <w:r w:rsidRPr="009B3747">
        <w:rPr>
          <w:rFonts w:eastAsia="Times New Roman" w:cstheme="minorHAnsi"/>
          <w:color w:val="000000"/>
          <w:lang w:eastAsia="en-GB"/>
        </w:rPr>
        <w:t xml:space="preserve"> i.e. the incompatibility thesis</w:t>
      </w:r>
      <w:r w:rsidR="004F372E" w:rsidRPr="009B3747">
        <w:rPr>
          <w:rFonts w:eastAsia="Times New Roman" w:cstheme="minorHAnsi"/>
          <w:color w:val="000000"/>
          <w:lang w:eastAsia="en-GB"/>
        </w:rPr>
        <w:t xml:space="preserve"> </w:t>
      </w:r>
      <w:r w:rsidR="004F372E" w:rsidRPr="009B3747">
        <w:rPr>
          <w:rFonts w:eastAsia="Times New Roman" w:cstheme="minorHAnsi"/>
          <w:color w:val="000000"/>
          <w:lang w:eastAsia="en-GB"/>
        </w:rPr>
        <w:fldChar w:fldCharType="begin" w:fldLock="1"/>
      </w:r>
      <w:r w:rsidR="00C83875" w:rsidRPr="009B3747">
        <w:rPr>
          <w:rFonts w:eastAsia="Times New Roman" w:cstheme="minorHAnsi"/>
          <w:color w:val="000000"/>
          <w:lang w:eastAsia="en-GB"/>
        </w:rPr>
        <w:instrText>ADDIN CSL_CITATION { "citationItems" : [ { "id" : "ITEM-1", "itemData" : { "author" : [ { "dropping-particle" : "", "family" : "Sale", "given" : "JEM", "non-dropping-particle" : "", "parse-names" : false, "suffix" : "" }, { "dropping-particle" : "", "family" : "Lohfeld", "given" : "LH", "non-dropping-particle" : "", "parse-names" : false, "suffix" : "" }, { "dropping-particle" : "", "family" : "Brazil", "given" : "K", "non-dropping-particle" : "", "parse-names" : false, "suffix" : "" } ], "container-title" : "Quality and quantity", "id" : "ITEM-1", "issue" : "1", "issued" : { "date-parts" : [ [ "2002" ] ] }, "page" : "43-53", "title" : "Revisiting the quantitative-qualitative debate: Implications for mixed-methods research", "type" : "article-journal", "volume" : "36" }, "uris" : [ "http://www.mendeley.com/documents/?uuid=3baac2d7-0287-4bcc-9026-26ae0f93a3a7" ] }, { "id" : "ITEM-2", "itemData" : { "author" : [ { "dropping-particle" : "", "family" : "Maxwell", "given" : "SE", "non-dropping-particle" : "", "parse-names" : false, "suffix" : "" }, { "dropping-particle" : "", "family" : "Delaney", "given" : "HD", "non-dropping-particle" : "", "parse-names" : false, "suffix" : "" } ], "id" : "ITEM-2", "issued" : { "date-parts" : [ [ "2004" ] ] }, "publisher" : "Psychology Press", "publisher-place" : "New York", "title" : "Designing experiments and analyzing data: A model comparison perspective", "type" : "book" }, "uris" : [ "http://www.mendeley.com/documents/?uuid=459ce926-e732-4894-b713-173432925efb" ] }, { "id" : "ITEM-3", "itemData" : { "author" : [ { "dropping-particle" : "", "family" : "Teddlie", "given" : "C", "non-dropping-particle" : "", "parse-names" : false, "suffix" : "" }, { "dropping-particle" : "", "family" : "Tashakkori", "given" : "A", "non-dropping-particle" : "", "parse-names" : false, "suffix" : "" } ], "id" : "ITEM-3", "issued" : { "date-parts" : [ [ "2009" ] ] }, "publisher" : "SAGE Publications Inc.", "publisher-place" : "Thousand Oaks", "title" : "Foundations of mixed methods research: Integrating quantitative and qualitative approaches in the social and behavioral sciences", "type" : "book" }, "uris" : [ "http://www.mendeley.com/documents/?uuid=bbf94a8b-67b4-494f-92ca-828dd65fa45c" ] } ], "mendeley" : { "formattedCitation" : "(Sale et al., 2002; Maxwell and Delaney, 2004; Teddlie and Tashakkori, 2009)", "plainTextFormattedCitation" : "(Sale et al., 2002; Maxwell and Delaney, 2004; Teddlie and Tashakkori, 2009)", "previouslyFormattedCitation" : "(Sale et al., 2002; Maxwell and Delaney, 2004; Teddlie and Tashakkori, 2009)" }, "properties" : { "noteIndex" : 0 }, "schema" : "https://github.com/citation-style-language/schema/raw/master/csl-citation.json" }</w:instrText>
      </w:r>
      <w:r w:rsidR="004F372E" w:rsidRPr="009B3747">
        <w:rPr>
          <w:rFonts w:eastAsia="Times New Roman" w:cstheme="minorHAnsi"/>
          <w:color w:val="000000"/>
          <w:lang w:eastAsia="en-GB"/>
        </w:rPr>
        <w:fldChar w:fldCharType="separate"/>
      </w:r>
      <w:r w:rsidR="006F2F83" w:rsidRPr="009B3747">
        <w:rPr>
          <w:rFonts w:eastAsia="Times New Roman" w:cstheme="minorHAnsi"/>
          <w:noProof/>
          <w:color w:val="000000"/>
          <w:lang w:eastAsia="en-GB"/>
        </w:rPr>
        <w:t>(Sale et al., 2002; Maxwell and Delaney, 2004; Teddlie and Tashakkori, 2009)</w:t>
      </w:r>
      <w:r w:rsidR="004F372E" w:rsidRPr="009B3747">
        <w:rPr>
          <w:rFonts w:eastAsia="Times New Roman" w:cstheme="minorHAnsi"/>
          <w:color w:val="000000"/>
          <w:lang w:eastAsia="en-GB"/>
        </w:rPr>
        <w:fldChar w:fldCharType="end"/>
      </w:r>
      <w:r w:rsidR="004F372E" w:rsidRPr="009B3747">
        <w:rPr>
          <w:rFonts w:eastAsia="Times New Roman" w:cstheme="minorHAnsi"/>
          <w:color w:val="000000"/>
          <w:lang w:eastAsia="en-GB"/>
        </w:rPr>
        <w:t>.</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Addressing this perceived incompatibility, pragmatism as a philosophical worldview has been argued as the most appropriate paradigm for mitigating the use of mixed-methods research</w:t>
      </w:r>
      <w:r w:rsidR="004F372E" w:rsidRPr="009B3747">
        <w:rPr>
          <w:rFonts w:eastAsia="Times New Roman" w:cstheme="minorHAnsi"/>
          <w:color w:val="000000"/>
          <w:lang w:eastAsia="en-GB"/>
        </w:rPr>
        <w:t xml:space="preserve"> </w:t>
      </w:r>
      <w:r w:rsidR="004F372E" w:rsidRPr="009B3747">
        <w:rPr>
          <w:rFonts w:eastAsia="Times New Roman" w:cstheme="minorHAnsi"/>
          <w:color w:val="000000"/>
          <w:lang w:eastAsia="en-GB"/>
        </w:rPr>
        <w:fldChar w:fldCharType="begin" w:fldLock="1"/>
      </w:r>
      <w:r w:rsidR="00C83875" w:rsidRPr="009B3747">
        <w:rPr>
          <w:rFonts w:eastAsia="Times New Roman" w:cstheme="minorHAnsi"/>
          <w:color w:val="000000"/>
          <w:lang w:eastAsia="en-GB"/>
        </w:rPr>
        <w:instrText>ADDIN CSL_CITATION { "citationItems" : [ { "id" : "ITEM-1", "itemData" : { "author" : [ { "dropping-particle" : "", "family" : "Howe", "given" : "K", "non-dropping-particle" : "", "parse-names" : false, "suffix" : "" }, { "dropping-particle" : "", "family" : "Eisenhart", "given" : "M", "non-dropping-particle" : "", "parse-names" : false, "suffix" : "" } ], "container-title" : "Educational researcher", "id" : "ITEM-1", "issue" : "4", "issued" : { "date-parts" : [ [ "1990" ] ] }, "page" : "2-9", "title" : "Standards for qualitative (and quantitative) research: A prolegomenon", "type" : "article-journal", "volume" : "19" }, "uris" : [ "http://www.mendeley.com/documents/?uuid=f46efb88-6118-46af-bab7-1f66a85bfb07" ] }, { "id" : "ITEM-2", "itemData" : { "DOI" : "10.17051/io.2015.07705", "ISBN" : "1412972663", "abstract" : "Surveying the differing viewpoints and disciplinary approaches to using mixed methods, this volume helps readers explore the answers to a wide range of key questions in the field, including \u201cCan using mixed methods offset the disadvantages that certain methods have by themselves?\u201d \u201cWhat criteria can a researcher use to select the best mixed methods design for his or her project?\u201d and \u201cWhat are the points of agreement and controversy regarding design issues in mixed methods research?\u201d This breakthrough Second Edition, containing all new chapters, examines all aspects of mixed methods research across a variety of disciplines.Key Features\u2022 Covers all aspects of inquiry from conceptualizing research to selecting methods, analyzing and interpreting data, and reporting findings\u2022 Draws on the work of a mix of internationally recognized researchers as well as new and emerging researchers to provide a diversity of perspectives\u2022 Gives specific examples from a wide range of disciplines to help readers understand the issues and controversies in this evolving area\u2022 Presents rich material for discussion and new ideas for implementing mixed methods research to provide readers with a cutting-edge resource\u2022 Provides pedagogical tools such as learning objectives, discussion questions and exercises, and extensive cross referencing", "author" : [ { "dropping-particle" : "", "family" : "Tashakkori", "given" : "A", "non-dropping-particle" : "", "parse-names" : false, "suffix" : "" }, { "dropping-particle" : "", "family" : "Teddlie", "given" : "C", "non-dropping-particle" : "", "parse-names" : false, "suffix" : "" } ], "container-title" : "Sage Publication", "id" : "ITEM-2", "issue" : "1", "issued" : { "date-parts" : [ [ "2003" ] ] }, "page" : "893", "title" : "Handbook of Mixed Methods in Social &amp; Behavioral Research", "type" : "article-journal", "volume" : "14" }, "uris" : [ "http://www.mendeley.com/documents/?uuid=8a15ab74-6da5-4667-9b0d-be788bfee1a5" ] }, { "id" : "ITEM-3", "itemData" : { "author" : [ { "dropping-particle" : "", "family" : "Teddlie", "given" : "C", "non-dropping-particle" : "", "parse-names" : false, "suffix" : "" }, { "dropping-particle" : "", "family" : "Tashakkori", "given" : "A", "non-dropping-particle" : "", "parse-names" : false, "suffix" : "" } ], "id" : "ITEM-3", "issued" : { "date-parts" : [ [ "2009" ] ] }, "publisher" : "SAGE Publications Inc.", "publisher-place" : "Thousand Oaks", "title" : "Foundations of mixed methods research: Integrating quantitative and qualitative approaches in the social and behavioral sciences", "type" : "book" }, "uris" : [ "http://www.mendeley.com/documents/?uuid=bbf94a8b-67b4-494f-92ca-828dd65fa45c" ] } ], "mendeley" : { "formattedCitation" : "(Howe and Eisenhart, 1990; A Tashakkori and Teddlie, 2003; Teddlie and Tashakkori, 2009)", "plainTextFormattedCitation" : "(Howe and Eisenhart, 1990; A Tashakkori and Teddlie, 2003; Teddlie and Tashakkori, 2009)", "previouslyFormattedCitation" : "(Howe and Eisenhart, 1990; A Tashakkori and Teddlie, 2003; Teddlie and Tashakkori, 2009)" }, "properties" : { "noteIndex" : 0 }, "schema" : "https://github.com/citation-style-language/schema/raw/master/csl-citation.json" }</w:instrText>
      </w:r>
      <w:r w:rsidR="004F372E" w:rsidRPr="009B3747">
        <w:rPr>
          <w:rFonts w:eastAsia="Times New Roman" w:cstheme="minorHAnsi"/>
          <w:color w:val="000000"/>
          <w:lang w:eastAsia="en-GB"/>
        </w:rPr>
        <w:fldChar w:fldCharType="separate"/>
      </w:r>
      <w:r w:rsidR="006F2F83" w:rsidRPr="009B3747">
        <w:rPr>
          <w:rFonts w:eastAsia="Times New Roman" w:cstheme="minorHAnsi"/>
          <w:noProof/>
          <w:color w:val="000000"/>
          <w:lang w:eastAsia="en-GB"/>
        </w:rPr>
        <w:t>(Howe and Eisenhart, 1990; A Tashakkori and Teddlie, 2003; Teddlie and Tashakkori, 2009)</w:t>
      </w:r>
      <w:r w:rsidR="004F372E" w:rsidRPr="009B3747">
        <w:rPr>
          <w:rFonts w:eastAsia="Times New Roman" w:cstheme="minorHAnsi"/>
          <w:color w:val="000000"/>
          <w:lang w:eastAsia="en-GB"/>
        </w:rPr>
        <w:fldChar w:fldCharType="end"/>
      </w:r>
      <w:r w:rsidR="004F372E" w:rsidRPr="009B3747">
        <w:rPr>
          <w:rFonts w:eastAsia="Times New Roman" w:cstheme="minorHAnsi"/>
          <w:color w:val="000000"/>
          <w:lang w:eastAsia="en-GB"/>
        </w:rPr>
        <w:t xml:space="preserve">.  </w:t>
      </w:r>
      <w:r w:rsidRPr="009B3747">
        <w:rPr>
          <w:rFonts w:eastAsia="Times New Roman" w:cstheme="minorHAnsi"/>
          <w:color w:val="000000"/>
          <w:lang w:eastAsia="en-GB"/>
        </w:rPr>
        <w:t>Pragma</w:t>
      </w:r>
      <w:r w:rsidR="004F372E" w:rsidRPr="009B3747">
        <w:rPr>
          <w:rFonts w:eastAsia="Times New Roman" w:cstheme="minorHAnsi"/>
          <w:color w:val="000000"/>
          <w:lang w:eastAsia="en-GB"/>
        </w:rPr>
        <w:t xml:space="preserve">tism is argued to arise out of </w:t>
      </w:r>
      <w:r w:rsidR="004F372E" w:rsidRPr="009B3747">
        <w:rPr>
          <w:rFonts w:eastAsia="Times New Roman" w:cstheme="minorHAnsi"/>
          <w:i/>
          <w:color w:val="000000"/>
          <w:lang w:eastAsia="en-GB"/>
        </w:rPr>
        <w:t>“</w:t>
      </w:r>
      <w:r w:rsidRPr="009B3747">
        <w:rPr>
          <w:rFonts w:eastAsia="Times New Roman" w:cstheme="minorHAnsi"/>
          <w:i/>
          <w:color w:val="000000"/>
          <w:lang w:eastAsia="en-GB"/>
        </w:rPr>
        <w:t>action</w:t>
      </w:r>
      <w:r w:rsidR="004F372E" w:rsidRPr="009B3747">
        <w:rPr>
          <w:rFonts w:eastAsia="Times New Roman" w:cstheme="minorHAnsi"/>
          <w:i/>
          <w:color w:val="000000"/>
          <w:lang w:eastAsia="en-GB"/>
        </w:rPr>
        <w:t>s, situations, and consequences”</w:t>
      </w:r>
      <w:r w:rsidR="004F372E" w:rsidRPr="009B3747">
        <w:rPr>
          <w:rFonts w:eastAsia="Times New Roman" w:cstheme="minorHAnsi"/>
          <w:color w:val="000000"/>
          <w:lang w:eastAsia="en-GB"/>
        </w:rPr>
        <w:t xml:space="preserve"> </w:t>
      </w:r>
      <w:r w:rsidR="004F372E"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"DOI" : "10.1007/s13398-014-0173-7.2", "ISBN" : "9781452274614", "ISSN" : "13514180", "PMID" : "15991970", "author" : [ { "dropping-particle" : "", "family" : "Creswell", "given" : "J W", "non-dropping-particle" : "", "parse-names" : false, "suffix" : "" } ], "container-title" : "SAGE Publications", "edition" : "4th", "id" : "ITEM-1", "issued" : { "date-parts" : [ [ "2014" ] ] }, "number-of-pages" : "398", "publisher" : "SAGE Publications Inc.", "publisher-place" : "Los Angeles", "title" : "Research Design: Qualitative, Quantitative, and Mixed Methods Approaches", "type" : "book" }, "uris" : [ "http://www.mendeley.com/documents/?uuid=e78417b4-b5b5-4ebf-9e1d-3894864dbccd" ] } ], "mendeley" : { "formattedCitation" : "(Creswell, 2014)", "manualFormatting" : "(Creswell, 2014, p.10)", "plainTextFormattedCitation" : "(Creswell, 2014)", "previouslyFormattedCitation" : "(Creswell, 2014)" }, "properties" : { "noteIndex" : 0 }, "schema" : "https://github.com/citation-style-language/schema/raw/master/csl-citation.json" }</w:instrText>
      </w:r>
      <w:r w:rsidR="004F372E" w:rsidRPr="009B3747">
        <w:rPr>
          <w:rFonts w:eastAsia="Times New Roman" w:cstheme="minorHAnsi"/>
          <w:color w:val="000000"/>
          <w:lang w:eastAsia="en-GB"/>
        </w:rPr>
        <w:fldChar w:fldCharType="separate"/>
      </w:r>
      <w:r w:rsidR="004F372E" w:rsidRPr="009B3747">
        <w:rPr>
          <w:rFonts w:eastAsia="Times New Roman" w:cstheme="minorHAnsi"/>
          <w:noProof/>
          <w:color w:val="000000"/>
          <w:lang w:eastAsia="en-GB"/>
        </w:rPr>
        <w:t>(Creswell, 2014</w:t>
      </w:r>
      <w:r w:rsidR="00FB5B00" w:rsidRPr="009B3747">
        <w:rPr>
          <w:rFonts w:eastAsia="Times New Roman" w:cstheme="minorHAnsi"/>
          <w:noProof/>
          <w:color w:val="000000"/>
          <w:lang w:eastAsia="en-GB"/>
        </w:rPr>
        <w:t>, p.</w:t>
      </w:r>
      <w:r w:rsidR="004F372E" w:rsidRPr="009B3747">
        <w:rPr>
          <w:rFonts w:eastAsia="Times New Roman" w:cstheme="minorHAnsi"/>
          <w:noProof/>
          <w:color w:val="000000"/>
          <w:lang w:eastAsia="en-GB"/>
        </w:rPr>
        <w:t>10)</w:t>
      </w:r>
      <w:r w:rsidR="004F372E" w:rsidRPr="009B3747">
        <w:rPr>
          <w:rFonts w:eastAsia="Times New Roman" w:cstheme="minorHAnsi"/>
          <w:color w:val="000000"/>
          <w:lang w:eastAsia="en-GB"/>
        </w:rPr>
        <w:fldChar w:fldCharType="end"/>
      </w:r>
      <w:r w:rsidR="004F372E" w:rsidRPr="009B3747">
        <w:rPr>
          <w:rFonts w:eastAsia="Times New Roman" w:cstheme="minorHAnsi"/>
          <w:color w:val="000000"/>
          <w:lang w:eastAsia="en-GB"/>
        </w:rPr>
        <w:t xml:space="preserve"> </w:t>
      </w:r>
      <w:r w:rsidRPr="009B3747">
        <w:rPr>
          <w:rFonts w:eastAsia="Times New Roman" w:cstheme="minorHAnsi"/>
          <w:color w:val="000000"/>
          <w:lang w:eastAsia="en-GB"/>
        </w:rPr>
        <w:t>where</w:t>
      </w:r>
      <w:r w:rsidR="004F372E" w:rsidRPr="009B3747">
        <w:rPr>
          <w:rFonts w:eastAsia="Times New Roman" w:cstheme="minorHAnsi"/>
          <w:color w:val="000000"/>
          <w:lang w:eastAsia="en-GB"/>
        </w:rPr>
        <w:t xml:space="preserve"> </w:t>
      </w:r>
      <w:r w:rsidR="004F372E" w:rsidRPr="009B3747">
        <w:rPr>
          <w:rFonts w:eastAsia="Times New Roman" w:cstheme="minorHAnsi"/>
          <w:i/>
          <w:color w:val="000000"/>
          <w:lang w:eastAsia="en-GB"/>
        </w:rPr>
        <w:t>“</w:t>
      </w:r>
      <w:r w:rsidRPr="009B3747">
        <w:rPr>
          <w:rFonts w:eastAsia="Times New Roman" w:cstheme="minorHAnsi"/>
          <w:i/>
          <w:color w:val="000000"/>
          <w:lang w:eastAsia="en-GB"/>
        </w:rPr>
        <w:t>instead of methods being important, the problem is most important, and researchers use all appro</w:t>
      </w:r>
      <w:r w:rsidR="004F372E" w:rsidRPr="009B3747">
        <w:rPr>
          <w:rFonts w:eastAsia="Times New Roman" w:cstheme="minorHAnsi"/>
          <w:i/>
          <w:color w:val="000000"/>
          <w:lang w:eastAsia="en-GB"/>
        </w:rPr>
        <w:t>aches to understand the problem”</w:t>
      </w:r>
      <w:r w:rsidRPr="009B3747">
        <w:rPr>
          <w:rFonts w:eastAsia="Times New Roman" w:cstheme="minorHAnsi"/>
          <w:color w:val="000000"/>
          <w:lang w:eastAsia="en-GB"/>
        </w:rPr>
        <w:t xml:space="preserve"> </w:t>
      </w:r>
      <w:r w:rsidR="004F372E" w:rsidRPr="009B3747">
        <w:rPr>
          <w:rFonts w:eastAsia="Times New Roman" w:cstheme="minorHAnsi"/>
          <w:color w:val="000000"/>
          <w:lang w:eastAsia="en-GB"/>
        </w:rPr>
        <w:fldChar w:fldCharType="begin" w:fldLock="1"/>
      </w:r>
      <w:r w:rsidR="00C83875" w:rsidRPr="009B3747">
        <w:rPr>
          <w:rFonts w:eastAsia="Times New Roman" w:cstheme="minorHAnsi"/>
          <w:color w:val="000000"/>
          <w:lang w:eastAsia="en-GB"/>
        </w:rPr>
        <w:instrText>ADDIN CSL_CITATION { "citationItems" : [ { "id" : "ITEM-1", "itemData" : { "ISBN" : "0761920730", "abstract" : "With applications in an extensive array of sub-disciplines ranging from psychology to nursing, this handbook discusses the strengths and weaknesses of mixed methods designs in social and behavioural research. Major issues and controversies in the use of mixed methods in the social and behavioral sciences / Charles Teddlie and Abbas Tashakkori -- Pragmatic threads in mixed methods research in the social sciences : the search for multiple modes of inquiry and the end of the philosophy of formalism / Spencer J. Maxcy -- Making paradigmatic sense of mixed methods practice / Jennifer C. Greene and Valerie J. Caracelli -- Cultural distance, levels of abstraction, and the advantages of mixed methods / Fathali M. Moghaddam, Benjamin R. Walker, and Rom Harre\u0301 -- Mixed methods and the politics of human research : the transformative-empancipatory perspective / Donna M. Mertens -- Typology of research purposes and its relationship to mixed methods / Isadore Newman [and others] -- Principles of mixed methods and multimethod research design / Janice M. Morse -- Advanced mixed methods research designs / John W. Creswell [and others] -- Mixed methods design : an alternative approach / Joseph A. Maxwell and Diane M. Loomis -- Mixed methods sampling strategies in social science research / Elizabeth A. Kemper, Sam Stringfield, and Charles Teddlie -- Data collection strategies in mixed methods research / Burke Johnson and Lisa A. Turner -- Tables or tableaux? : the challenges of writing and reading mixed methods studies / Margarete Sandelowski -- Framework for analyzing data in mixed methods research / Anthony J. Onwuegbuzie and Charles Teddlie -- Computerized data analysis for mixed methods research / Pat Bazeley -- Impact of mixed methods and design on inference quality / Steven Miller -- Making inferences in mixed methods : the rules of integration / Christian Erzberger and Udo Kelle -- Mixed methods in evaluation contexts : a pragmatic framework / Sharon F. Rallis and Gretchen B. Rossman -- Research methods in management and organizational research : toward integration of qualitative and quantitative techniques / Steven C. Currall and Annette J. Towler -- Status of mixed methods in the health sciences / Melinda S. Forthofer -- Status of mixed methods research in nursing / Sheila Twinn -- Mixed methods in psychological research / Cindy Waszak and Marylyn C. Sines -- Multimethod research in sociology / Albert Hunter and John Brewer -- Pragmatic and dialectical lenses : t\u2026", "author" : [ { "dropping-particle" : "", "family" : "Tashakkori", "given" : "Abbas.", "non-dropping-particle" : "", "parse-names" : false, "suffix" : "" }, { "dropping-particle" : "", "family" : "Teddlie", "given" : "Charles.", "non-dropping-particle" : "", "parse-names" : false, "suffix" : "" } ], "id" : "ITEM-1", "issued" : { "date-parts" : [ [ "2003" ] ] }, "number-of-pages" : "768", "publisher" : "SAGE Publications Inc.", "publisher-place" : "Thousand Oaks", "title" : "Handbook of mixed methods in social &amp;amp; behavioral research", "type" : "book" }, "uris" : [ "http://www.mendeley.com/documents/?uuid=421c7f5e-b376-3aad-834e-c069d23d613d" ] } ], "mendeley" : { "formattedCitation" : "(Abbas. Tashakkori and Teddlie, 2003)", "manualFormatting" : "(Tashakkori and Teddlie, 2003, p.10)", "plainTextFormattedCitation" : "(Abbas. Tashakkori and Teddlie, 2003)", "previouslyFormattedCitation" : "(Abbas. Tashakkori and Teddlie, 2003)" }, "properties" : { "noteIndex" : 0 }, "schema" : "https://github.com/citation-style-language/schema/raw/master/csl-citation.json" }</w:instrText>
      </w:r>
      <w:r w:rsidR="004F372E" w:rsidRPr="009B3747">
        <w:rPr>
          <w:rFonts w:eastAsia="Times New Roman" w:cstheme="minorHAnsi"/>
          <w:color w:val="000000"/>
          <w:lang w:eastAsia="en-GB"/>
        </w:rPr>
        <w:fldChar w:fldCharType="separate"/>
      </w:r>
      <w:r w:rsidR="004F372E" w:rsidRPr="009B3747">
        <w:rPr>
          <w:rFonts w:eastAsia="Times New Roman" w:cstheme="minorHAnsi"/>
          <w:noProof/>
          <w:color w:val="000000"/>
          <w:lang w:eastAsia="en-GB"/>
        </w:rPr>
        <w:t>(Tashakkori and Teddlie, 2003</w:t>
      </w:r>
      <w:r w:rsidR="00FB5B00" w:rsidRPr="009B3747">
        <w:rPr>
          <w:rFonts w:eastAsia="Times New Roman" w:cstheme="minorHAnsi"/>
          <w:noProof/>
          <w:color w:val="000000"/>
          <w:lang w:eastAsia="en-GB"/>
        </w:rPr>
        <w:t>, p.</w:t>
      </w:r>
      <w:r w:rsidR="004F372E" w:rsidRPr="009B3747">
        <w:rPr>
          <w:rFonts w:eastAsia="Times New Roman" w:cstheme="minorHAnsi"/>
          <w:noProof/>
          <w:color w:val="000000"/>
          <w:lang w:eastAsia="en-GB"/>
        </w:rPr>
        <w:t>10)</w:t>
      </w:r>
      <w:r w:rsidR="004F372E" w:rsidRPr="009B3747">
        <w:rPr>
          <w:rFonts w:eastAsia="Times New Roman" w:cstheme="minorHAnsi"/>
          <w:color w:val="000000"/>
          <w:lang w:eastAsia="en-GB"/>
        </w:rPr>
        <w:fldChar w:fldCharType="end"/>
      </w:r>
      <w:r w:rsidR="004F372E"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Referred to the </w:t>
      </w:r>
      <w:r w:rsidR="00206BAB" w:rsidRPr="009B3747">
        <w:rPr>
          <w:rFonts w:eastAsia="Times New Roman" w:cstheme="minorHAnsi"/>
          <w:i/>
          <w:color w:val="000000"/>
          <w:lang w:eastAsia="en-GB"/>
        </w:rPr>
        <w:t>“philosophy of free choice”</w:t>
      </w:r>
      <w:r w:rsidRPr="009B3747">
        <w:rPr>
          <w:rFonts w:eastAsia="Times New Roman" w:cstheme="minorHAnsi"/>
          <w:color w:val="000000"/>
          <w:lang w:eastAsia="en-GB"/>
        </w:rPr>
        <w:t>, pragmatism consequently allows for freedom and flexibility in order to adopt multiple methods, different worldviews and varying procedures for collecting and analysing research data</w:t>
      </w:r>
      <w:r w:rsidR="00206BAB" w:rsidRPr="009B3747">
        <w:rPr>
          <w:rFonts w:eastAsia="Times New Roman" w:cstheme="minorHAnsi"/>
          <w:color w:val="000000"/>
          <w:lang w:eastAsia="en-GB"/>
        </w:rPr>
        <w:t xml:space="preserve"> </w:t>
      </w:r>
      <w:r w:rsidR="00206BAB" w:rsidRPr="009B3747">
        <w:rPr>
          <w:rFonts w:eastAsia="Times New Roman" w:cstheme="minorHAnsi"/>
          <w:color w:val="000000"/>
          <w:lang w:eastAsia="en-GB"/>
        </w:rPr>
        <w:fldChar w:fldCharType="begin" w:fldLock="1"/>
      </w:r>
      <w:r w:rsidR="00224C9C" w:rsidRPr="009B3747">
        <w:rPr>
          <w:rFonts w:eastAsia="Times New Roman" w:cstheme="minorHAnsi"/>
          <w:color w:val="000000"/>
          <w:lang w:eastAsia="en-GB"/>
        </w:rPr>
        <w:instrText>ADDIN CSL_CITATION { "citationItems" : [ { "id" : "ITEM-1", "itemData" : { "DOI" : "10.17051/io.2015.07705", "ISBN" : "1412972663", "abstract" : "Surveying the differing viewpoints and disciplinary approaches to using mixed methods, this volume helps readers explore the answers to a wide range of key questions in the field, including \u201cCan using mixed methods offset the disadvantages that certain methods have by themselves?\u201d \u201cWhat criteria can a researcher use to select the best mixed methods design for his or her project?\u201d and \u201cWhat are the points of agreement and controversy regarding design issues in mixed methods research?\u201d This breakthrough Second Edition, containing all new chapters, examines all aspects of mixed methods research across a variety of disciplines.Key Features\u2022 Covers all aspects of inquiry from conceptualizing research to selecting methods, analyzing and interpreting data, and reporting findings\u2022 Draws on the work of a mix of internationally recognized researchers as well as new and emerging researchers to provide a diversity of perspectives\u2022 Gives specific examples from a wide range of disciplines to help readers understand the issues and controversies in this evolving area\u2022 Presents rich material for discussion and new ideas for implementing mixed methods research to provide readers with a cutting-edge resource\u2022 Provides pedagogical tools such as learning objectives, discussion questions and exercises, and extensive cross referencing", "author" : [ { "dropping-particle" : "", "family" : "Tashakkori", "given" : "A", "non-dropping-particle" : "", "parse-names" : false, "suffix" : "" }, { "dropping-particle" : "", "family" : "Teddlie", "given" : "C", "non-dropping-particle" : "", "parse-names" : false, "suffix" : "" } ], "container-title" : "Sage Publication", "id" : "ITEM-1", "issue" : "1", "issued" : { "date-parts" : [ [ "2003" ] ] }, "page" : "893", "title" : "Handbook of Mixed Methods in Social &amp; Behavioral Research", "type" : "article-journal", "volume" : "14" }, "uris" : [ "http://www.mendeley.com/documents/?uuid=8a15ab74-6da5-4667-9b0d-be788bfee1a5" ] } ], "mendeley" : { "formattedCitation" : "(A Tashakkori and Teddlie, 2003)", "manualFormatting" : "(Tashakkori and Teddlie, 2003, p.21)", "plainTextFormattedCitation" : "(A Tashakkori and Teddlie, 2003)", "previouslyFormattedCitation" : "(A Tashakkori and Teddlie, 2003)" }, "properties" : { "noteIndex" : 0 }, "schema" : "https://github.com/citation-style-language/schema/raw/master/csl-citation.json" }</w:instrText>
      </w:r>
      <w:r w:rsidR="00206BAB" w:rsidRPr="009B3747">
        <w:rPr>
          <w:rFonts w:eastAsia="Times New Roman" w:cstheme="minorHAnsi"/>
          <w:color w:val="000000"/>
          <w:lang w:eastAsia="en-GB"/>
        </w:rPr>
        <w:fldChar w:fldCharType="separate"/>
      </w:r>
      <w:r w:rsidR="00206BAB" w:rsidRPr="009B3747">
        <w:rPr>
          <w:rFonts w:eastAsia="Times New Roman" w:cstheme="minorHAnsi"/>
          <w:noProof/>
          <w:color w:val="000000"/>
          <w:lang w:eastAsia="en-GB"/>
        </w:rPr>
        <w:t>(Tashakkori and Teddlie, 2003</w:t>
      </w:r>
      <w:r w:rsidR="00FB5B00" w:rsidRPr="009B3747">
        <w:rPr>
          <w:rFonts w:eastAsia="Times New Roman" w:cstheme="minorHAnsi"/>
          <w:noProof/>
          <w:color w:val="000000"/>
          <w:lang w:eastAsia="en-GB"/>
        </w:rPr>
        <w:t>, p.</w:t>
      </w:r>
      <w:r w:rsidR="00206BAB" w:rsidRPr="009B3747">
        <w:rPr>
          <w:rFonts w:eastAsia="Times New Roman" w:cstheme="minorHAnsi"/>
          <w:noProof/>
          <w:color w:val="000000"/>
          <w:lang w:eastAsia="en-GB"/>
        </w:rPr>
        <w:t>21)</w:t>
      </w:r>
      <w:r w:rsidR="00206BAB" w:rsidRPr="009B3747">
        <w:rPr>
          <w:rFonts w:eastAsia="Times New Roman" w:cstheme="minorHAnsi"/>
          <w:color w:val="000000"/>
          <w:lang w:eastAsia="en-GB"/>
        </w:rPr>
        <w:fldChar w:fldCharType="end"/>
      </w:r>
      <w:r w:rsidR="00206BAB" w:rsidRPr="009B3747">
        <w:rPr>
          <w:rFonts w:eastAsia="Times New Roman" w:cstheme="minorHAnsi"/>
          <w:color w:val="000000"/>
          <w:lang w:eastAsia="en-GB"/>
        </w:rPr>
        <w:t>.</w:t>
      </w:r>
      <w:r w:rsidRPr="009B3747">
        <w:rPr>
          <w:rFonts w:eastAsia="Times New Roman" w:cstheme="minorHAnsi"/>
          <w:color w:val="000000"/>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A942FB" w:rsidRDefault="003F1507" w:rsidP="003F1507">
      <w:pPr>
        <w:rPr>
          <w:rFonts w:eastAsia="Times New Roman" w:cstheme="minorHAnsi"/>
          <w:sz w:val="24"/>
          <w:szCs w:val="24"/>
          <w:lang w:eastAsia="en-GB"/>
        </w:rPr>
      </w:pPr>
      <w:r w:rsidRPr="009B3747">
        <w:rPr>
          <w:rFonts w:eastAsia="Times New Roman" w:cstheme="minorHAnsi"/>
          <w:color w:val="000000"/>
          <w:lang w:eastAsia="en-GB"/>
        </w:rPr>
        <w:t>By not subscribing to the traditionally enforced dichotomy between philosophical postulations</w:t>
      </w:r>
      <w:r w:rsidR="00A942FB">
        <w:rPr>
          <w:rFonts w:eastAsia="Times New Roman" w:cstheme="minorHAnsi"/>
          <w:color w:val="000000"/>
          <w:lang w:eastAsia="en-GB"/>
        </w:rPr>
        <w:t xml:space="preserve">, </w:t>
      </w:r>
      <w:r w:rsidRPr="009B3747">
        <w:rPr>
          <w:rFonts w:eastAsia="Times New Roman" w:cstheme="minorHAnsi"/>
          <w:color w:val="000000"/>
          <w:lang w:eastAsia="en-GB"/>
        </w:rPr>
        <w:t>pragmatists believe that drawing from both qualitative and quantitative ontological, epistemological and methodological assumptions and mixing methods is both necessary and acceptable to solve practical problems in the real world</w:t>
      </w:r>
      <w:r w:rsidR="00206BAB" w:rsidRPr="009B3747">
        <w:rPr>
          <w:rFonts w:eastAsia="Times New Roman" w:cstheme="minorHAnsi"/>
          <w:color w:val="000000"/>
          <w:lang w:eastAsia="en-GB"/>
        </w:rPr>
        <w:t xml:space="preserve"> </w:t>
      </w:r>
      <w:r w:rsidR="00206BAB" w:rsidRPr="009B3747">
        <w:rPr>
          <w:rFonts w:eastAsia="Times New Roman" w:cstheme="minorHAnsi"/>
          <w:color w:val="000000"/>
          <w:lang w:eastAsia="en-GB"/>
        </w:rPr>
        <w:fldChar w:fldCharType="begin" w:fldLock="1"/>
      </w:r>
      <w:r w:rsidR="00C83875" w:rsidRPr="009B3747">
        <w:rPr>
          <w:rFonts w:eastAsia="Times New Roman" w:cstheme="minorHAnsi"/>
          <w:color w:val="000000"/>
          <w:lang w:eastAsia="en-GB"/>
        </w:rPr>
        <w:instrText>ADDIN CSL_CITATION { "citationItems" : [ { "id" : "ITEM-1", "itemData" : { "ISBN" : "1412965578", "abstract" : "3rd ed. The third edition of the bestselling text Research Design by John W. Creswell enables readers to compare three approaches to research-qualitative, quantitative, and mixed methods-in a single research methods text. The book presents these three approaches side by side within the context of the process of research from the beginning steps of philosophical assumptions to the writing and presenting of research. Written in a user-friendly manner, Creswell's text does not rely on technical jargon. He cuts to the core of what a reader needs to know to read and design research in part by showcasing ideas in a scaffold approach so that the reader understands ideas from the simple to the complex. Key updates to the Third Edition: Presents the preliminary steps of using philosophical assumptions in the beginning of the book; Provides an expanded discussion on ethical issues; Emphasizes new Web-based technologies for literature searches; Offers updated information about mixed methods research procedures; Contains a glossary of terms; Highlights \"research tips\" throughout the chapters incorporating the author's experiences over the last 35 years. pt. 1. Preliminary considerations -- The selection of a research design -- Review of the literature -- The use of theory -- Writing strategies and ethical considerations -- pt. 2. Designing research -- The introduction -- The purpose statement -- Research questions and hypotheses -- Quantitative methods -- Qualitative procedures -- Mixed methods procedures.", "author" : [ { "dropping-particle" : "", "family" : "Creswell", "given" : "John W.", "non-dropping-particle" : "", "parse-names" : false, "suffix" : "" } ], "edition" : "3rd", "id" : "ITEM-1", "issued" : { "date-parts" : [ [ "2009" ] ] }, "number-of-pages" : "260", "publisher" : "SAGE Publications Inc.", "publisher-place" : "Thousand Oaks", "title" : "Research design : qualitative, quantitative, and mixed methods approaches", "type" : "book" }, "uris" : [ "http://www.mendeley.com/documents/?uuid=06fd0279-a9f4-3331-b28d-90c1cee2a346" ] }, { "id" : "ITEM-2", "itemData" : { "author" : [ { "dropping-particle" : "", "family" : "Feilzer", "given" : "MY", "non-dropping-particle" : "", "parse-names" : false, "suffix" : "" } ], "container-title" : "Journal of mixed methods research", "id" : "ITEM-2", "issue" : "1", "issued" : { "date-parts" : [ [ "2010" ] ] }, "page" : "6-16", "title" : "Doing mixed methods research pragmatically: Implications for the rediscovery of pragmatism as a research paradigm", "type" : "article-journal", "volume" : "4" }, "uris" : [ "http://www.mendeley.com/documents/?uuid=65f5dfab-ed82-4395-897e-84c671391615" ] } ], "mendeley" : { "formattedCitation" : "(Creswell, 2009a; Feilzer, 2010)", "plainTextFormattedCitation" : "(Creswell, 2009a; Feilzer, 2010)", "previouslyFormattedCitation" : "(Creswell, 2009a; Feilzer, 2010)" }, "properties" : { "noteIndex" : 0 }, "schema" : "https://github.com/citation-style-language/schema/raw/master/csl-citation.json" }</w:instrText>
      </w:r>
      <w:r w:rsidR="00206BAB" w:rsidRPr="009B3747">
        <w:rPr>
          <w:rFonts w:eastAsia="Times New Roman" w:cstheme="minorHAnsi"/>
          <w:color w:val="000000"/>
          <w:lang w:eastAsia="en-GB"/>
        </w:rPr>
        <w:fldChar w:fldCharType="separate"/>
      </w:r>
      <w:r w:rsidR="0047189B" w:rsidRPr="009B3747">
        <w:rPr>
          <w:rFonts w:eastAsia="Times New Roman" w:cstheme="minorHAnsi"/>
          <w:noProof/>
          <w:color w:val="000000"/>
          <w:lang w:eastAsia="en-GB"/>
        </w:rPr>
        <w:t>(Creswell, 2009a; Feilzer, 2010)</w:t>
      </w:r>
      <w:r w:rsidR="00206BAB" w:rsidRPr="009B3747">
        <w:rPr>
          <w:rFonts w:eastAsia="Times New Roman" w:cstheme="minorHAnsi"/>
          <w:color w:val="000000"/>
          <w:lang w:eastAsia="en-GB"/>
        </w:rPr>
        <w:fldChar w:fldCharType="end"/>
      </w:r>
      <w:r w:rsidRPr="009B3747">
        <w:rPr>
          <w:rFonts w:eastAsia="Times New Roman" w:cstheme="minorHAnsi"/>
          <w:color w:val="000000"/>
          <w:lang w:eastAsia="en-GB"/>
        </w:rPr>
        <w:t>.  Therefore, in relation to on</w:t>
      </w:r>
      <w:r w:rsidR="00206BAB" w:rsidRPr="009B3747">
        <w:rPr>
          <w:rFonts w:eastAsia="Times New Roman" w:cstheme="minorHAnsi"/>
          <w:color w:val="000000"/>
          <w:lang w:eastAsia="en-GB"/>
        </w:rPr>
        <w:t xml:space="preserve">tology, pragmatists argue that </w:t>
      </w:r>
      <w:r w:rsidR="00206BAB" w:rsidRPr="009B3747">
        <w:rPr>
          <w:rFonts w:eastAsia="Times New Roman" w:cstheme="minorHAnsi"/>
          <w:i/>
          <w:color w:val="000000"/>
          <w:lang w:eastAsia="en-GB"/>
        </w:rPr>
        <w:t>“</w:t>
      </w:r>
      <w:r w:rsidRPr="009B3747">
        <w:rPr>
          <w:rFonts w:eastAsia="Times New Roman" w:cstheme="minorHAnsi"/>
          <w:i/>
          <w:color w:val="000000"/>
          <w:lang w:eastAsia="en-GB"/>
        </w:rPr>
        <w:t>even though there is a reality that exists apart from human experience, it can only be encoun</w:t>
      </w:r>
      <w:r w:rsidR="00206BAB" w:rsidRPr="009B3747">
        <w:rPr>
          <w:rFonts w:eastAsia="Times New Roman" w:cstheme="minorHAnsi"/>
          <w:i/>
          <w:color w:val="000000"/>
          <w:lang w:eastAsia="en-GB"/>
        </w:rPr>
        <w:t>tered through human experience”</w:t>
      </w:r>
      <w:r w:rsidR="00206BAB" w:rsidRPr="009B3747">
        <w:rPr>
          <w:rFonts w:eastAsia="Times New Roman" w:cstheme="minorHAnsi"/>
          <w:color w:val="000000"/>
          <w:lang w:eastAsia="en-GB"/>
        </w:rPr>
        <w:t xml:space="preserve"> </w:t>
      </w:r>
      <w:r w:rsidRPr="009B3747">
        <w:rPr>
          <w:rFonts w:eastAsia="Times New Roman" w:cstheme="minorHAnsi"/>
          <w:color w:val="000000"/>
          <w:lang w:eastAsia="en-GB"/>
        </w:rPr>
        <w:t>an</w:t>
      </w:r>
      <w:r w:rsidR="00206BAB" w:rsidRPr="009B3747">
        <w:rPr>
          <w:rFonts w:eastAsia="Times New Roman" w:cstheme="minorHAnsi"/>
          <w:color w:val="000000"/>
          <w:lang w:eastAsia="en-GB"/>
        </w:rPr>
        <w:t xml:space="preserve">d with regards to epistemology </w:t>
      </w:r>
      <w:r w:rsidR="00206BAB" w:rsidRPr="009B3747">
        <w:rPr>
          <w:rFonts w:eastAsia="Times New Roman" w:cstheme="minorHAnsi"/>
          <w:i/>
          <w:color w:val="000000"/>
          <w:lang w:eastAsia="en-GB"/>
        </w:rPr>
        <w:t>“</w:t>
      </w:r>
      <w:r w:rsidRPr="009B3747">
        <w:rPr>
          <w:rFonts w:eastAsia="Times New Roman" w:cstheme="minorHAnsi"/>
          <w:i/>
          <w:color w:val="000000"/>
          <w:lang w:eastAsia="en-GB"/>
        </w:rPr>
        <w:t>all knowledge of the world is base</w:t>
      </w:r>
      <w:r w:rsidR="00206BAB" w:rsidRPr="009B3747">
        <w:rPr>
          <w:rFonts w:eastAsia="Times New Roman" w:cstheme="minorHAnsi"/>
          <w:i/>
          <w:color w:val="000000"/>
          <w:lang w:eastAsia="en-GB"/>
        </w:rPr>
        <w:t>d on experience”</w:t>
      </w:r>
      <w:r w:rsidR="00206BAB" w:rsidRPr="009B3747">
        <w:rPr>
          <w:rFonts w:eastAsia="Times New Roman" w:cstheme="minorHAnsi"/>
          <w:color w:val="000000"/>
          <w:lang w:eastAsia="en-GB"/>
        </w:rPr>
        <w:t xml:space="preserve"> </w:t>
      </w:r>
      <w:r w:rsidR="00206BAB" w:rsidRPr="009B3747">
        <w:rPr>
          <w:rFonts w:eastAsia="Times New Roman" w:cstheme="minorHAnsi"/>
          <w:color w:val="000000"/>
          <w:lang w:eastAsia="en-GB"/>
        </w:rPr>
        <w:fldChar w:fldCharType="begin" w:fldLock="1"/>
      </w:r>
      <w:r w:rsidR="00A84723" w:rsidRPr="009B3747">
        <w:rPr>
          <w:rFonts w:eastAsia="Times New Roman" w:cstheme="minorHAnsi"/>
          <w:color w:val="000000"/>
          <w:lang w:eastAsia="en-GB"/>
        </w:rPr>
        <w:instrText>ADDIN CSL_CITATION { "citationItems" : [ { "id" : "ITEM-1", "itemData" : { "ISBN" : "9780761915232", "abstract" : "\"This is a book about research design. In particular, it is about research designs for projects that collect both qualitative and quantitative data, so that their combined strengths will accomplish more than would have been possible with any one method. The approach presented here is broadly interdisciplinary, because Mixed Methods Research has interested social scientists from a great many fields, including: Anthropology, Communication, Criminal Justice, Education, Evaluation, Nursing, Organizational Behavior, Psychology, Political Science, Public Administration, Public Health, Sociology, Social Work, and Urban Studies. Because this book emphasizes practical research designs, it will be most useful to practicing researchers -- including both students who intend to pursue such a career and those who already devote their energy to collecting and analyzing data. Whether you are a student or a more experienced researcher, you will learn how Mixed Methods Research gets done in the real world.\"--Publisher's website. Part 1: The Logic of Mixed Methods Research. An Introduction and Overview ; Pragmatism as a Paradigm for Mixed Methods Research ; Research Design and Research Methods ; Motivations for Using Mixed Methods Research ; The Sequential Priorities Model -- Part 2: Four Basic Designs. Preliminary Qualitative Inputs to Core Quantitative Research Projects ; Preliminary Quantitative inputs to Core Qualitative Research Projects ; Follow-up Qualitative Extensions to Core Quantitative Research Projects ; Follow-up Quantitative Extensions to Core Qualitative Research Projects -- Part 3: Additional issues. Multipart Sequential Designs ; Finding the Expertise to Combine Multiple Methods ; Conclusions: Further Thoughts About Research Design.", "author" : [ { "dropping-particle" : "", "family" : "Morgan", "given" : "D", "non-dropping-particle" : "", "parse-names" : false, "suffix" : "" } ], "container-title" : "Integrating Qualitative and Quantitative Methods: a pragmatic approach", "id" : "ITEM-1", "issued" : { "date-parts" : [ [ "2013" ] ] }, "number-of-pages" : "269", "publisher" : "SAGE Publications Inc.", "publisher-place" : "Thousand Oaks", "title" : "Integrating qualitative and quantitative methods : a pragmatic approach", "type" : "book" }, "uris" : [ "http://www.mendeley.com/documents/?uuid=62b9d9ab-42af-4799-bcae-203e0dd4cff3" ] } ], "mendeley" : { "formattedCitation" : "(Morgan, 2013)", "manualFormatting" : "(Morgan, 2014, p.39)", "plainTextFormattedCitation" : "(Morgan, 2013)", "previouslyFormattedCitation" : "(Morgan, 2013)" }, "properties" : { "noteIndex" : 0 }, "schema" : "https://github.com/citation-style-language/schema/raw/master/csl-citation.json" }</w:instrText>
      </w:r>
      <w:r w:rsidR="00206BAB" w:rsidRPr="009B3747">
        <w:rPr>
          <w:rFonts w:eastAsia="Times New Roman" w:cstheme="minorHAnsi"/>
          <w:color w:val="000000"/>
          <w:lang w:eastAsia="en-GB"/>
        </w:rPr>
        <w:fldChar w:fldCharType="separate"/>
      </w:r>
      <w:r w:rsidR="00206BAB" w:rsidRPr="009B3747">
        <w:rPr>
          <w:rFonts w:eastAsia="Times New Roman" w:cstheme="minorHAnsi"/>
          <w:noProof/>
          <w:color w:val="000000"/>
          <w:lang w:eastAsia="en-GB"/>
        </w:rPr>
        <w:t>(Morgan, 2014</w:t>
      </w:r>
      <w:r w:rsidR="00FB5B00" w:rsidRPr="009B3747">
        <w:rPr>
          <w:rFonts w:eastAsia="Times New Roman" w:cstheme="minorHAnsi"/>
          <w:noProof/>
          <w:color w:val="000000"/>
          <w:lang w:eastAsia="en-GB"/>
        </w:rPr>
        <w:t>, p.</w:t>
      </w:r>
      <w:r w:rsidR="00206BAB" w:rsidRPr="009B3747">
        <w:rPr>
          <w:rFonts w:eastAsia="Times New Roman" w:cstheme="minorHAnsi"/>
          <w:noProof/>
          <w:color w:val="000000"/>
          <w:lang w:eastAsia="en-GB"/>
        </w:rPr>
        <w:t>39)</w:t>
      </w:r>
      <w:r w:rsidR="00206BAB" w:rsidRPr="009B3747">
        <w:rPr>
          <w:rFonts w:eastAsia="Times New Roman" w:cstheme="minorHAnsi"/>
          <w:color w:val="000000"/>
          <w:lang w:eastAsia="en-GB"/>
        </w:rPr>
        <w:fldChar w:fldCharType="end"/>
      </w:r>
      <w:r w:rsidR="00206BAB" w:rsidRPr="009B3747">
        <w:rPr>
          <w:rFonts w:eastAsia="Times New Roman" w:cstheme="minorHAnsi"/>
          <w:color w:val="000000"/>
          <w:lang w:eastAsia="en-GB"/>
        </w:rPr>
        <w:t xml:space="preserve">.  </w:t>
      </w:r>
      <w:r w:rsidRPr="009B3747">
        <w:rPr>
          <w:rFonts w:eastAsia="Times New Roman" w:cstheme="minorHAnsi"/>
          <w:color w:val="000000"/>
          <w:lang w:eastAsia="en-GB"/>
        </w:rPr>
        <w:t>In terms of methodology, instead of focusing on the nature of methods, pragmatism focuses on asking questions about why a researcher would conduct research a particular way compared to another.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lastRenderedPageBreak/>
        <w:t xml:space="preserve">By emphasising the process of abductive </w:t>
      </w:r>
      <w:r w:rsidR="00206BAB" w:rsidRPr="009B3747">
        <w:rPr>
          <w:rFonts w:eastAsia="Times New Roman" w:cstheme="minorHAnsi"/>
          <w:color w:val="000000"/>
          <w:lang w:eastAsia="en-GB"/>
        </w:rPr>
        <w:t>reasoning</w:t>
      </w:r>
      <w:r w:rsidRPr="009B3747">
        <w:rPr>
          <w:rFonts w:eastAsia="Times New Roman" w:cstheme="minorHAnsi"/>
          <w:color w:val="000000"/>
          <w:lang w:eastAsia="en-GB"/>
        </w:rPr>
        <w:t>, intersubjectivity</w:t>
      </w:r>
      <w:r w:rsidR="00273991">
        <w:rPr>
          <w:rFonts w:eastAsia="Times New Roman" w:cstheme="minorHAnsi"/>
          <w:color w:val="000000"/>
          <w:lang w:eastAsia="en-GB"/>
        </w:rPr>
        <w:t>,</w:t>
      </w:r>
      <w:r w:rsidRPr="009B3747">
        <w:rPr>
          <w:rFonts w:eastAsia="Times New Roman" w:cstheme="minorHAnsi"/>
          <w:color w:val="000000"/>
          <w:lang w:eastAsia="en-GB"/>
        </w:rPr>
        <w:t xml:space="preserve"> i.e. both objective and subjective realities and transferability </w:t>
      </w:r>
      <w:r w:rsidR="00206BAB"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"Morgan", "given" : "DL", "non-dropping-particle" : "", "parse-names" : false, "suffix" : "" } ], "container-title" : "Journal of mixed methods research", "id" : "ITEM-1", "issue" : "1", "issued" : { "date-parts" : [ [ "2007" ] ] }, "page" : "48-76", "title" : "Paradigms lost and pragmatism regained methodological implications of combining qualitative and quantitative methods", "type" : "article-journal", "volume" : "1" }, "uris" : [ "http://www.mendeley.com/documents/?uuid=4b71a81c-d3ac-44e0-a5a3-7b86b2d9eeec" ] } ], "mendeley" : { "formattedCitation" : "(Morgan, 2007)", "plainTextFormattedCitation" : "(Morgan, 2007)", "previouslyFormattedCitation" : "(Morgan, 2007)" }, "properties" : { "noteIndex" : 0 }, "schema" : "https://github.com/citation-style-language/schema/raw/master/csl-citation.json" }</w:instrText>
      </w:r>
      <w:r w:rsidR="00206BAB" w:rsidRPr="009B3747">
        <w:rPr>
          <w:rFonts w:eastAsia="Times New Roman" w:cstheme="minorHAnsi"/>
          <w:color w:val="000000"/>
          <w:lang w:eastAsia="en-GB"/>
        </w:rPr>
        <w:fldChar w:fldCharType="separate"/>
      </w:r>
      <w:r w:rsidR="00206BAB" w:rsidRPr="009B3747">
        <w:rPr>
          <w:rFonts w:eastAsia="Times New Roman" w:cstheme="minorHAnsi"/>
          <w:noProof/>
          <w:color w:val="000000"/>
          <w:lang w:eastAsia="en-GB"/>
        </w:rPr>
        <w:t>(Morgan, 2007)</w:t>
      </w:r>
      <w:r w:rsidR="00206BAB"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what works best is championed by pragmatism and the best possible approach to answering a specific research question is chosen </w:t>
      </w:r>
      <w:r w:rsidR="00206BAB"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"Johnson", "given" : "RB", "non-dropping-particle" : "", "parse-names" : false, "suffix" : "" }, { "dropping-particle" : "", "family" : "Onwuegbuzie", "given" : "AJ", "non-dropping-particle" : "", "parse-names" : false, "suffix" : "" } ], "container-title" : "Educational researcher", "id" : "ITEM-1", "issue" : "7", "issued" : { "date-parts" : [ [ "2004" ] ] }, "page" : "14-26", "title" : "Mixed methods research: A research paradigm whose time has come", "type" : "article-journal", "volume" : "33" }, "uris" : [ "http://www.mendeley.com/documents/?uuid=1e7f2872-93d9-4b8d-89fd-c60a1166dd44" ] }, { "id" : "ITEM-2", "itemData" : { "author" : [ { "dropping-particle" : "", "family" : "Niglas", "given" : "K", "non-dropping-particle" : "", "parse-names" : false, "suffix" : "" } ], "container-title" : "International Journal of Multiple Research Approaches", "id" : "ITEM-2", "issue" : "1", "issued" : { "date-parts" : [ [ "2009" ] ] }, "page" : "34-46", "title" : "How the novice researcher can make sense of mixed methods designs", "type" : "article-journal", "volume" : "3" }, "uris" : [ "http://www.mendeley.com/documents/?uuid=44eb62be-7361-4f85-ae87-c7cc2515528c" ] } ], "mendeley" : { "formattedCitation" : "(Johnson and Onwuegbuzie, 2004; Niglas, 2009)", "plainTextFormattedCitation" : "(Johnson and Onwuegbuzie, 2004; Niglas, 2009)", "previouslyFormattedCitation" : "(Johnson and Onwuegbuzie, 2004; Niglas, 2009)" }, "properties" : { "noteIndex" : 0 }, "schema" : "https://github.com/citation-style-language/schema/raw/master/csl-citation.json" }</w:instrText>
      </w:r>
      <w:r w:rsidR="00206BAB" w:rsidRPr="009B3747">
        <w:rPr>
          <w:rFonts w:eastAsia="Times New Roman" w:cstheme="minorHAnsi"/>
          <w:color w:val="000000"/>
          <w:lang w:eastAsia="en-GB"/>
        </w:rPr>
        <w:fldChar w:fldCharType="separate"/>
      </w:r>
      <w:r w:rsidR="00206BAB" w:rsidRPr="009B3747">
        <w:rPr>
          <w:rFonts w:eastAsia="Times New Roman" w:cstheme="minorHAnsi"/>
          <w:noProof/>
          <w:color w:val="000000"/>
          <w:lang w:eastAsia="en-GB"/>
        </w:rPr>
        <w:t>(Johnson and Onwuegbuzie, 2004; Niglas, 2009)</w:t>
      </w:r>
      <w:r w:rsidR="00206BAB" w:rsidRPr="009B3747">
        <w:rPr>
          <w:rFonts w:eastAsia="Times New Roman" w:cstheme="minorHAnsi"/>
          <w:color w:val="000000"/>
          <w:lang w:eastAsia="en-GB"/>
        </w:rPr>
        <w:fldChar w:fldCharType="end"/>
      </w:r>
      <w:r w:rsidRPr="009B3747">
        <w:rPr>
          <w:rFonts w:eastAsia="Times New Roman" w:cstheme="minorHAnsi"/>
          <w:color w:val="000000"/>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i/>
          <w:sz w:val="24"/>
          <w:szCs w:val="24"/>
          <w:lang w:eastAsia="en-GB"/>
        </w:rPr>
      </w:pPr>
      <w:r w:rsidRPr="009B3747">
        <w:rPr>
          <w:rFonts w:eastAsia="Times New Roman" w:cstheme="minorHAnsi"/>
          <w:i/>
          <w:color w:val="000000"/>
          <w:lang w:eastAsia="en-GB"/>
        </w:rPr>
        <w:t xml:space="preserve">Chosen philosophical worldview - Pragmatism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Without nominating a paradigm as the first step, there is no basis for subsequent choices regarding methodology, methods, literature or research design</w:t>
      </w:r>
      <w:r w:rsidR="00F051AF" w:rsidRPr="009B3747">
        <w:rPr>
          <w:rFonts w:eastAsia="Times New Roman" w:cstheme="minorHAnsi"/>
          <w:color w:val="000000"/>
          <w:lang w:eastAsia="en-GB"/>
        </w:rPr>
        <w:t xml:space="preserve"> </w:t>
      </w:r>
      <w:r w:rsidR="00F051AF"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"DOI" : "Retrieved from ERIC", "ISBN" : "0313-7155", "ISSN" : "03137155", "abstract" : "In this article the authors discuss issues faced by early career researchers, including the dichotomy, which many research textbooks and journal articles create and perpetuate between qualitative and quantitative research methodology despite considerable literature to support the use of mixed methods. The authors review current research literature and discuss some of the language, which can prove confusing to the early career researcher and problematic for post-graduate supervisors and teachers of research. The authors argue that discussions of research methods in research texts and university courses should include mixed methods and should address the perceived dichotomy between qualitative and quantitative research methodology. (Contains 1 figure and 2 tables.)", "author" : [ { "dropping-particle" : "", "family" : "Mackenzie", "given" : "Noella", "non-dropping-particle" : "", "parse-names" : false, "suffix" : "" }, { "dropping-particle" : "", "family" : "Knipe", "given" : "Sally", "non-dropping-particle" : "", "parse-names" : false, "suffix" : "" } ], "container-title" : "Issues in Educational Research", "id" : "ITEM-1", "issue" : "2", "issued" : { "date-parts" : [ [ "2006" ] ] }, "page" : "p193-205", "title" : "Research dilemmas: Paradigms, methods and methodology", "type" : "article-journal", "volume" : "16" }, "uris" : [ "http://www.mendeley.com/documents/?uuid=b9f00f9d-273d-4e90-bcc2-9dbe6dbc99b1" ] } ], "mendeley" : { "formattedCitation" : "(Mackenzie and Knipe, 2006)", "plainTextFormattedCitation" : "(Mackenzie and Knipe, 2006)", "previouslyFormattedCitation" : "(Mackenzie and Knipe, 2006)" }, "properties" : { "noteIndex" : 0 }, "schema" : "https://github.com/citation-style-language/schema/raw/master/csl-citation.json" }</w:instrText>
      </w:r>
      <w:r w:rsidR="00F051AF" w:rsidRPr="009B3747">
        <w:rPr>
          <w:rFonts w:eastAsia="Times New Roman" w:cstheme="minorHAnsi"/>
          <w:color w:val="000000"/>
          <w:lang w:eastAsia="en-GB"/>
        </w:rPr>
        <w:fldChar w:fldCharType="separate"/>
      </w:r>
      <w:r w:rsidR="00F051AF" w:rsidRPr="009B3747">
        <w:rPr>
          <w:rFonts w:eastAsia="Times New Roman" w:cstheme="minorHAnsi"/>
          <w:noProof/>
          <w:color w:val="000000"/>
          <w:lang w:eastAsia="en-GB"/>
        </w:rPr>
        <w:t>(Mackenzie and Knipe, 2006)</w:t>
      </w:r>
      <w:r w:rsidR="00F051AF" w:rsidRPr="009B3747">
        <w:rPr>
          <w:rFonts w:eastAsia="Times New Roman" w:cstheme="minorHAnsi"/>
          <w:color w:val="000000"/>
          <w:lang w:eastAsia="en-GB"/>
        </w:rPr>
        <w:fldChar w:fldCharType="end"/>
      </w:r>
      <w:r w:rsidR="00F051AF"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Therefore, having extensively reflected upon the worldviews discussed, pragmatism was </w:t>
      </w:r>
      <w:r w:rsidR="00133672" w:rsidRPr="009B3747">
        <w:rPr>
          <w:rFonts w:eastAsia="Times New Roman" w:cstheme="minorHAnsi"/>
          <w:color w:val="000000"/>
          <w:lang w:eastAsia="en-GB"/>
        </w:rPr>
        <w:t>viewed as</w:t>
      </w:r>
      <w:r w:rsidRPr="009B3747">
        <w:rPr>
          <w:rFonts w:eastAsia="Times New Roman" w:cstheme="minorHAnsi"/>
          <w:color w:val="000000"/>
          <w:lang w:eastAsia="en-GB"/>
        </w:rPr>
        <w:t xml:space="preserve"> most appropriate philosophical worldview to underpin the chosen mixed methods research approach.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This deci</w:t>
      </w:r>
      <w:r w:rsidR="00AD02BD" w:rsidRPr="009B3747">
        <w:rPr>
          <w:rFonts w:eastAsia="Times New Roman" w:cstheme="minorHAnsi"/>
          <w:color w:val="000000"/>
          <w:lang w:eastAsia="en-GB"/>
        </w:rPr>
        <w:t>sion was based on three reasons:</w:t>
      </w:r>
      <w:r w:rsidRPr="009B3747">
        <w:rPr>
          <w:rFonts w:eastAsia="Times New Roman" w:cstheme="minorHAnsi"/>
          <w:color w:val="000000"/>
          <w:lang w:eastAsia="en-GB"/>
        </w:rPr>
        <w:t xml:space="preserve">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C27072">
      <w:pPr>
        <w:numPr>
          <w:ilvl w:val="0"/>
          <w:numId w:val="32"/>
        </w:numPr>
        <w:textAlignment w:val="baseline"/>
        <w:rPr>
          <w:rFonts w:eastAsia="Times New Roman" w:cstheme="minorHAnsi"/>
          <w:color w:val="000000"/>
          <w:lang w:eastAsia="en-GB"/>
        </w:rPr>
      </w:pPr>
      <w:r w:rsidRPr="009B3747">
        <w:rPr>
          <w:rFonts w:eastAsia="Times New Roman" w:cstheme="minorHAnsi"/>
          <w:color w:val="000000"/>
          <w:lang w:eastAsia="en-GB"/>
        </w:rPr>
        <w:t>The researcher prescribed to the belief that the adoption of a philosophical stance is less crucial than the suitability of the approach</w:t>
      </w:r>
      <w:r w:rsidR="00273991">
        <w:rPr>
          <w:rFonts w:eastAsia="Times New Roman" w:cstheme="minorHAnsi"/>
          <w:color w:val="000000"/>
          <w:lang w:eastAsia="en-GB"/>
        </w:rPr>
        <w:t>,</w:t>
      </w:r>
      <w:r w:rsidRPr="009B3747">
        <w:rPr>
          <w:rFonts w:eastAsia="Times New Roman" w:cstheme="minorHAnsi"/>
          <w:color w:val="000000"/>
          <w:lang w:eastAsia="en-GB"/>
        </w:rPr>
        <w:t xml:space="preserve"> i.e. the ability to best answer a research question is more important than concerns over ontology and epistemology </w:t>
      </w:r>
    </w:p>
    <w:p w:rsidR="003F1507" w:rsidRPr="009B3747" w:rsidRDefault="003F1507" w:rsidP="00C27072">
      <w:pPr>
        <w:numPr>
          <w:ilvl w:val="0"/>
          <w:numId w:val="32"/>
        </w:numPr>
        <w:textAlignment w:val="baseline"/>
        <w:rPr>
          <w:rFonts w:eastAsia="Times New Roman" w:cstheme="minorHAnsi"/>
          <w:color w:val="000000"/>
          <w:lang w:eastAsia="en-GB"/>
        </w:rPr>
      </w:pPr>
      <w:r w:rsidRPr="009B3747">
        <w:rPr>
          <w:rFonts w:eastAsia="Times New Roman" w:cstheme="minorHAnsi"/>
          <w:color w:val="000000"/>
          <w:lang w:eastAsia="en-GB"/>
        </w:rPr>
        <w:t>Given the view that the proposed research question would truly benefit from mixing methods, pragmatism provided the researcher with the freedom to employ both qualitative and quantitative research methodologies  </w:t>
      </w:r>
    </w:p>
    <w:p w:rsidR="003F1507" w:rsidRPr="009B3747" w:rsidRDefault="003F1507" w:rsidP="00C27072">
      <w:pPr>
        <w:numPr>
          <w:ilvl w:val="0"/>
          <w:numId w:val="32"/>
        </w:numPr>
        <w:textAlignment w:val="baseline"/>
        <w:rPr>
          <w:rFonts w:eastAsia="Times New Roman" w:cstheme="minorHAnsi"/>
          <w:color w:val="000000"/>
          <w:lang w:eastAsia="en-GB"/>
        </w:rPr>
      </w:pPr>
      <w:r w:rsidRPr="009B3747">
        <w:rPr>
          <w:rFonts w:eastAsia="Times New Roman" w:cstheme="minorHAnsi"/>
          <w:color w:val="000000"/>
          <w:lang w:eastAsia="en-GB"/>
        </w:rPr>
        <w:t xml:space="preserve">The researcher’s professional background meant that pragmatism was a practical choice, which would allow the researcher to address a real life problem and aim for the research to inform future practice and action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512B03" w:rsidP="003F1507">
      <w:pPr>
        <w:rPr>
          <w:rFonts w:eastAsia="Times New Roman" w:cstheme="minorHAnsi"/>
          <w:u w:val="single"/>
          <w:lang w:eastAsia="en-GB"/>
        </w:rPr>
      </w:pPr>
      <w:r w:rsidRPr="009B3747">
        <w:rPr>
          <w:rFonts w:eastAsia="Times New Roman" w:cstheme="minorHAnsi"/>
          <w:bCs/>
          <w:color w:val="000000"/>
          <w:u w:val="single"/>
          <w:lang w:eastAsia="en-GB"/>
        </w:rPr>
        <w:t xml:space="preserve">4.3.2 </w:t>
      </w:r>
      <w:r w:rsidR="003F1507" w:rsidRPr="009B3747">
        <w:rPr>
          <w:rFonts w:eastAsia="Times New Roman" w:cstheme="minorHAnsi"/>
          <w:bCs/>
          <w:color w:val="000000"/>
          <w:u w:val="single"/>
          <w:lang w:eastAsia="en-GB"/>
        </w:rPr>
        <w:t>Research designs</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 xml:space="preserve">The second component of a research approach is that of </w:t>
      </w:r>
      <w:r w:rsidR="00F051AF" w:rsidRPr="009B3747">
        <w:rPr>
          <w:rFonts w:eastAsia="Times New Roman" w:cstheme="minorHAnsi"/>
          <w:color w:val="000000"/>
          <w:lang w:eastAsia="en-GB"/>
        </w:rPr>
        <w:t xml:space="preserve">the research design. </w:t>
      </w:r>
      <w:r w:rsidR="00F051AF"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"DOI" : "10.1007/s13398-014-0173-7.2", "ISBN" : "9781452274614", "ISSN" : "13514180", "PMID" : "15991970", "author" : [ { "dropping-particle" : "", "family" : "Creswell", "given" : "J W", "non-dropping-particle" : "", "parse-names" : false, "suffix" : "" } ], "container-title" : "SAGE Publications", "edition" : "4th", "id" : "ITEM-1", "issued" : { "date-parts" : [ [ "2014" ] ] }, "number-of-pages" : "398", "publisher" : "SAGE Publications Inc.", "publisher-place" : "Los Angeles", "title" : "Research Design: Qualitative, Quantitative, and Mixed Methods Approaches", "type" : "book" }, "uris" : [ "http://www.mendeley.com/documents/?uuid=e78417b4-b5b5-4ebf-9e1d-3894864dbccd" ] } ], "mendeley" : { "formattedCitation" : "(Creswell, 2014)", "manualFormatting" : "Creswell (2014)", "plainTextFormattedCitation" : "(Creswell, 2014)", "previouslyFormattedCitation" : "(Creswell, 2014)" }, "properties" : { "noteIndex" : 0 }, "schema" : "https://github.com/citation-style-language/schema/raw/master/csl-citation.json" }</w:instrText>
      </w:r>
      <w:r w:rsidR="00F051AF" w:rsidRPr="009B3747">
        <w:rPr>
          <w:rFonts w:eastAsia="Times New Roman" w:cstheme="minorHAnsi"/>
          <w:color w:val="000000"/>
          <w:lang w:eastAsia="en-GB"/>
        </w:rPr>
        <w:fldChar w:fldCharType="separate"/>
      </w:r>
      <w:r w:rsidR="00F051AF" w:rsidRPr="009B3747">
        <w:rPr>
          <w:rFonts w:eastAsia="Times New Roman" w:cstheme="minorHAnsi"/>
          <w:noProof/>
          <w:color w:val="000000"/>
          <w:lang w:eastAsia="en-GB"/>
        </w:rPr>
        <w:t>Creswell (2014)</w:t>
      </w:r>
      <w:r w:rsidR="00F051AF" w:rsidRPr="009B3747">
        <w:rPr>
          <w:rFonts w:eastAsia="Times New Roman" w:cstheme="minorHAnsi"/>
          <w:color w:val="000000"/>
          <w:lang w:eastAsia="en-GB"/>
        </w:rPr>
        <w:fldChar w:fldCharType="end"/>
      </w:r>
      <w:r w:rsidR="00F051AF" w:rsidRPr="009B3747">
        <w:rPr>
          <w:rFonts w:eastAsia="Times New Roman" w:cstheme="minorHAnsi"/>
          <w:color w:val="000000"/>
          <w:lang w:eastAsia="en-GB"/>
        </w:rPr>
        <w:t xml:space="preserve">, defines research designs as </w:t>
      </w:r>
      <w:r w:rsidR="00F051AF" w:rsidRPr="009B3747">
        <w:rPr>
          <w:rFonts w:eastAsia="Times New Roman" w:cstheme="minorHAnsi"/>
          <w:i/>
          <w:color w:val="000000"/>
          <w:lang w:eastAsia="en-GB"/>
        </w:rPr>
        <w:t>“</w:t>
      </w:r>
      <w:r w:rsidRPr="009B3747">
        <w:rPr>
          <w:rFonts w:eastAsia="Times New Roman" w:cstheme="minorHAnsi"/>
          <w:i/>
          <w:color w:val="000000"/>
          <w:lang w:eastAsia="en-GB"/>
        </w:rPr>
        <w:t xml:space="preserve">types of inquiry within qualitative, quantitative, and mixed methods approaches that provide specific direction for </w:t>
      </w:r>
      <w:r w:rsidR="00F051AF" w:rsidRPr="009B3747">
        <w:rPr>
          <w:rFonts w:eastAsia="Times New Roman" w:cstheme="minorHAnsi"/>
          <w:i/>
          <w:color w:val="000000"/>
          <w:lang w:eastAsia="en-GB"/>
        </w:rPr>
        <w:t>procedures in a research design”</w:t>
      </w:r>
      <w:r w:rsidR="00FB5B00" w:rsidRPr="009B3747">
        <w:rPr>
          <w:rFonts w:eastAsia="Times New Roman" w:cstheme="minorHAnsi"/>
          <w:color w:val="000000"/>
          <w:lang w:eastAsia="en-GB"/>
        </w:rPr>
        <w:t xml:space="preserve"> (p.12)</w:t>
      </w:r>
      <w:r w:rsidRPr="009B3747">
        <w:rPr>
          <w:rFonts w:eastAsia="Times New Roman" w:cstheme="minorHAnsi"/>
          <w:color w:val="000000"/>
          <w:lang w:eastAsia="en-GB"/>
        </w:rPr>
        <w:t>.  For mixed methods research designs, a fundamental and defining characteristic is the presence of integration between the qualitative and quantitative findings during the research process, whether at the point of data collection, analysis or interpretation</w:t>
      </w:r>
      <w:r w:rsidR="00F051AF" w:rsidRPr="009B3747">
        <w:rPr>
          <w:rFonts w:eastAsia="Times New Roman" w:cstheme="minorHAnsi"/>
          <w:color w:val="000000"/>
          <w:lang w:eastAsia="en-GB"/>
        </w:rPr>
        <w:t xml:space="preserve"> </w:t>
      </w:r>
      <w:r w:rsidR="00F051AF" w:rsidRPr="009B3747">
        <w:rPr>
          <w:rFonts w:eastAsia="Times New Roman" w:cstheme="minorHAnsi"/>
          <w:color w:val="000000"/>
          <w:lang w:eastAsia="en-GB"/>
        </w:rPr>
        <w:fldChar w:fldCharType="begin" w:fldLock="1"/>
      </w:r>
      <w:r w:rsidR="00C83875" w:rsidRPr="009B3747">
        <w:rPr>
          <w:rFonts w:eastAsia="Times New Roman" w:cstheme="minorHAnsi"/>
          <w:color w:val="000000"/>
          <w:lang w:eastAsia="en-GB"/>
        </w:rPr>
        <w:instrText>ADDIN CSL_CITATION { "citationItems" : [ { "id" : "ITEM-1", "itemData" : { "author" : [ { "dropping-particle" : "", "family" : "Teddlie", "given" : "C", "non-dropping-particle" : "", "parse-names" : false, "suffix" : "" }, { "dropping-particle" : "", "family" : "Tashakkori", "given" : "A", "non-dropping-particle" : "", "parse-names" : false, "suffix" : "" } ], "id" : "ITEM-1", "issued" : { "date-parts" : [ [ "2009" ] ] }, "publisher" : "SAGE Publications Inc.", "publisher-place" : "Thousand Oaks", "title" : "Foundations of mixed methods research: Integrating quantitative and qualitative approaches in the social and behavioral sciences", "type" : "book" }, "uris" : [ "http://www.mendeley.com/documents/?uuid=bbf94a8b-67b4-494f-92ca-828dd65fa45c" ] } ], "mendeley" : { "formattedCitation" : "(Teddlie and Tashakkori, 2009)", "plainTextFormattedCitation" : "(Teddlie and Tashakkori, 2009)", "previouslyFormattedCitation" : "(Teddlie and Tashakkori, 2009)" }, "properties" : { "noteIndex" : 0 }, "schema" : "https://github.com/citation-style-language/schema/raw/master/csl-citation.json" }</w:instrText>
      </w:r>
      <w:r w:rsidR="00F051AF" w:rsidRPr="009B3747">
        <w:rPr>
          <w:rFonts w:eastAsia="Times New Roman" w:cstheme="minorHAnsi"/>
          <w:color w:val="000000"/>
          <w:lang w:eastAsia="en-GB"/>
        </w:rPr>
        <w:fldChar w:fldCharType="separate"/>
      </w:r>
      <w:r w:rsidR="006F2F83" w:rsidRPr="009B3747">
        <w:rPr>
          <w:rFonts w:eastAsia="Times New Roman" w:cstheme="minorHAnsi"/>
          <w:noProof/>
          <w:color w:val="000000"/>
          <w:lang w:eastAsia="en-GB"/>
        </w:rPr>
        <w:t>(Teddlie and Tashakkori, 2009)</w:t>
      </w:r>
      <w:r w:rsidR="00F051AF" w:rsidRPr="009B3747">
        <w:rPr>
          <w:rFonts w:eastAsia="Times New Roman" w:cstheme="minorHAnsi"/>
          <w:color w:val="000000"/>
          <w:lang w:eastAsia="en-GB"/>
        </w:rPr>
        <w:fldChar w:fldCharType="end"/>
      </w:r>
      <w:r w:rsidR="00F051AF" w:rsidRPr="009B3747">
        <w:rPr>
          <w:rFonts w:eastAsia="Times New Roman" w:cstheme="minorHAnsi"/>
          <w:color w:val="000000"/>
          <w:lang w:eastAsia="en-GB"/>
        </w:rPr>
        <w:t>.</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lastRenderedPageBreak/>
        <w:t>A variety of motivations exist for integrating qualitative and quantitative findings, although a consistent challenge exists in respect to how and when researchers could and should undertake integration</w:t>
      </w:r>
      <w:r w:rsidR="00F051AF" w:rsidRPr="009B3747">
        <w:rPr>
          <w:rFonts w:eastAsia="Times New Roman" w:cstheme="minorHAnsi"/>
          <w:color w:val="000000"/>
          <w:lang w:eastAsia="en-GB"/>
        </w:rPr>
        <w:t xml:space="preserve"> </w:t>
      </w:r>
      <w:r w:rsidR="00F051AF" w:rsidRPr="009B3747">
        <w:rPr>
          <w:rFonts w:eastAsia="Times New Roman" w:cstheme="minorHAnsi"/>
          <w:color w:val="000000"/>
          <w:lang w:eastAsia="en-GB"/>
        </w:rPr>
        <w:fldChar w:fldCharType="begin" w:fldLock="1"/>
      </w:r>
      <w:r w:rsidR="00A84723" w:rsidRPr="009B3747">
        <w:rPr>
          <w:rFonts w:eastAsia="Times New Roman" w:cstheme="minorHAnsi"/>
          <w:color w:val="000000"/>
          <w:lang w:eastAsia="en-GB"/>
        </w:rPr>
        <w:instrText>ADDIN CSL_CITATION { "citationItems" : [ { "id" : "ITEM-1", "itemData" : { "ISBN" : "9780761915232", "abstract" : "\"This is a book about research design. In particular, it is about research designs for projects that collect both qualitative and quantitative data, so that their combined strengths will accomplish more than would have been possible with any one method. The approach presented here is broadly interdisciplinary, because Mixed Methods Research has interested social scientists from a great many fields, including: Anthropology, Communication, Criminal Justice, Education, Evaluation, Nursing, Organizational Behavior, Psychology, Political Science, Public Administration, Public Health, Sociology, Social Work, and Urban Studies. Because this book emphasizes practical research designs, it will be most useful to practicing researchers -- including both students who intend to pursue such a career and those who already devote their energy to collecting and analyzing data. Whether you are a student or a more experienced researcher, you will learn how Mixed Methods Research gets done in the real world.\"--Publisher's website. Part 1: The Logic of Mixed Methods Research. An Introduction and Overview ; Pragmatism as a Paradigm for Mixed Methods Research ; Research Design and Research Methods ; Motivations for Using Mixed Methods Research ; The Sequential Priorities Model -- Part 2: Four Basic Designs. Preliminary Qualitative Inputs to Core Quantitative Research Projects ; Preliminary Quantitative inputs to Core Qualitative Research Projects ; Follow-up Qualitative Extensions to Core Quantitative Research Projects ; Follow-up Quantitative Extensions to Core Qualitative Research Projects -- Part 3: Additional issues. Multipart Sequential Designs ; Finding the Expertise to Combine Multiple Methods ; Conclusions: Further Thoughts About Research Design.", "author" : [ { "dropping-particle" : "", "family" : "Morgan", "given" : "D", "non-dropping-particle" : "", "parse-names" : false, "suffix" : "" } ], "container-title" : "Integrating Qualitative and Quantitative Methods: a pragmatic approach", "id" : "ITEM-1", "issued" : { "date-parts" : [ [ "2013" ] ] }, "number-of-pages" : "269", "publisher" : "SAGE Publications Inc.", "publisher-place" : "Thousand Oaks", "title" : "Integrating qualitative and quantitative methods : a pragmatic approach", "type" : "book" }, "uris" : [ "http://www.mendeley.com/documents/?uuid=62b9d9ab-42af-4799-bcae-203e0dd4cff3" ] } ], "mendeley" : { "formattedCitation" : "(Morgan, 2013)", "plainTextFormattedCitation" : "(Morgan, 2013)", "previouslyFormattedCitation" : "(Morgan, 2013)" }, "properties" : { "noteIndex" : 0 }, "schema" : "https://github.com/citation-style-language/schema/raw/master/csl-citation.json" }</w:instrText>
      </w:r>
      <w:r w:rsidR="00F051AF" w:rsidRPr="009B3747">
        <w:rPr>
          <w:rFonts w:eastAsia="Times New Roman" w:cstheme="minorHAnsi"/>
          <w:color w:val="000000"/>
          <w:lang w:eastAsia="en-GB"/>
        </w:rPr>
        <w:fldChar w:fldCharType="separate"/>
      </w:r>
      <w:r w:rsidR="00395650" w:rsidRPr="009B3747">
        <w:rPr>
          <w:rFonts w:eastAsia="Times New Roman" w:cstheme="minorHAnsi"/>
          <w:noProof/>
          <w:color w:val="000000"/>
          <w:lang w:eastAsia="en-GB"/>
        </w:rPr>
        <w:t>(Morgan, 2013)</w:t>
      </w:r>
      <w:r w:rsidR="00F051AF" w:rsidRPr="009B3747">
        <w:rPr>
          <w:rFonts w:eastAsia="Times New Roman" w:cstheme="minorHAnsi"/>
          <w:color w:val="000000"/>
          <w:lang w:eastAsia="en-GB"/>
        </w:rPr>
        <w:fldChar w:fldCharType="end"/>
      </w:r>
      <w:r w:rsidRPr="009B3747">
        <w:rPr>
          <w:rFonts w:eastAsia="Times New Roman" w:cstheme="minorHAnsi"/>
          <w:color w:val="000000"/>
          <w:lang w:eastAsia="en-GB"/>
        </w:rPr>
        <w:t>.  To address this issue and distinguish the various motivations for mixing methods, an array of ‘families’ or ‘typologies’ of mixed methods research designs have been developed</w:t>
      </w:r>
      <w:r w:rsidR="00F051AF" w:rsidRPr="009B3747">
        <w:rPr>
          <w:rFonts w:eastAsia="Times New Roman" w:cstheme="minorHAnsi"/>
          <w:color w:val="000000"/>
          <w:lang w:eastAsia="en-GB"/>
        </w:rPr>
        <w:t xml:space="preserve"> </w:t>
      </w:r>
      <w:r w:rsidR="00F051AF" w:rsidRPr="009B3747">
        <w:rPr>
          <w:rFonts w:eastAsia="Times New Roman" w:cstheme="minorHAnsi"/>
          <w:color w:val="000000"/>
          <w:lang w:eastAsia="en-GB"/>
        </w:rPr>
        <w:fldChar w:fldCharType="begin" w:fldLock="1"/>
      </w:r>
      <w:r w:rsidR="00C83875" w:rsidRPr="009B3747">
        <w:rPr>
          <w:rFonts w:eastAsia="Times New Roman" w:cstheme="minorHAnsi"/>
          <w:color w:val="000000"/>
          <w:lang w:eastAsia="en-GB"/>
        </w:rPr>
        <w:instrText>ADDIN CSL_CITATION { "citationItems" : [ { "id" : "ITEM-1", "itemData" : { "author" : [ { "dropping-particle" : "", "family" : "Greene", "given" : "JC", "non-dropping-particle" : "", "parse-names" : false, "suffix" : "" } ], "container-title" : "Educational evaluation and \u2026", "id" : "ITEM-1", "issued" : { "date-parts" : [ [ "1989" ] ] }, "title" : "Toward a conceptual framework for mixed-method evaluation designs", "type" : "article-journal" }, "uris" : [ "http://www.mendeley.com/documents/?uuid=ea00d3e4-b94c-4da5-829e-0462926783c9" ] }, { "id" : "ITEM-2", "itemData" : { "author" : [ { "dropping-particle" : "", "family" : "Morgan", "given" : "DL", "non-dropping-particle" : "", "parse-names" : false, "suffix" : "" } ], "container-title" : "Qualitative health research", "id" : "ITEM-2", "issue" : "3", "issued" : { "date-parts" : [ [ "1998" ] ] }, "page" : "362-376", "title" : "Practical strategies for combining qualitative and quantitative methods: Applications to health research", "type" : "article-journal", "volume" : "8" }, "uris" : [ "http://www.mendeley.com/documents/?uuid=6cd2c4d3-10b6-4c76-83fc-e951da3499bc" ] }, { "id" : "ITEM-3", "itemData" : { "DOI" : "10.17051/io.2015.07705", "ISBN" : "1412972663", "abstract" : "Surveying the differing viewpoints and disciplinary approaches to using mixed methods, this volume helps readers explore the answers to a wide range of key questions in the field, including \u201cCan using mixed methods offset the disadvantages that certain methods have by themselves?\u201d \u201cWhat criteria can a researcher use to select the best mixed methods design for his or her project?\u201d and \u201cWhat are the points of agreement and controversy regarding design issues in mixed methods research?\u201d This breakthrough Second Edition, containing all new chapters, examines all aspects of mixed methods research across a variety of disciplines.Key Features\u2022 Covers all aspects of inquiry from conceptualizing research to selecting methods, analyzing and interpreting data, and reporting findings\u2022 Draws on the work of a mix of internationally recognized researchers as well as new and emerging researchers to provide a diversity of perspectives\u2022 Gives specific examples from a wide range of disciplines to help readers understand the issues and controversies in this evolving area\u2022 Presents rich material for discussion and new ideas for implementing mixed methods research to provide readers with a cutting-edge resource\u2022 Provides pedagogical tools such as learning objectives, discussion questions and exercises, and extensive cross referencing", "author" : [ { "dropping-particle" : "", "family" : "Tashakkori", "given" : "A", "non-dropping-particle" : "", "parse-names" : false, "suffix" : "" }, { "dropping-particle" : "", "family" : "Teddlie", "given" : "C", "non-dropping-particle" : "", "parse-names" : false, "suffix" : "" } ], "container-title" : "Sage Publication", "id" : "ITEM-3", "issue" : "1", "issued" : { "date-parts" : [ [ "2003" ] ] }, "page" : "893", "title" : "Handbook of Mixed Methods in Social &amp; Behavioral Research", "type" : "article-journal", "volume" : "14" }, "uris" : [ "http://www.mendeley.com/documents/?uuid=8a15ab74-6da5-4667-9b0d-be788bfee1a5" ] }, { "id" : "ITEM-4", "itemData" : { "author" : [ { "dropping-particle" : "", "family" : "Johnson", "given" : "RB", "non-dropping-particle" : "", "parse-names" : false, "suffix" : "" }, { "dropping-particle" : "", "family" : "Onwuegbuzie", "given" : "AJ", "non-dropping-particle" : "", "parse-names" : false, "suffix" : "" } ], "container-title" : "Educational researcher", "id" : "ITEM-4", "issue" : "7", "issued" : { "date-parts" : [ [ "2004" ] ] }, "page" : "14-26", "title" : "Mixed methods research: A research paradigm whose time has come", "type" : "article-journal", "volume" : "33" }, "uris" : [ "http://www.mendeley.com/documents/?uuid=1e7f2872-93d9-4b8d-89fd-c60a1166dd44" ] }, { "id" : "ITEM-5", "itemData" : { "author" : [ { "dropping-particle" : "", "family" : "Creswell", "given" : "JW", "non-dropping-particle" : "", "parse-names" : false, "suffix" : "" }, { "dropping-particle" : "", "family" : "Clark", "given" : "VLP", "non-dropping-particle" : "", "parse-names" : false, "suffix" : "" } ], "edition" : "1st", "id" : "ITEM-5", "issued" : { "date-parts" : [ [ "2007" ] ] }, "publisher" : "SAGE Publications Inc.", "publisher-place" : "Thousand Oaks", "title" : "Designing and conducting mixed methods research", "type" : "book" }, "uris" : [ "http://www.mendeley.com/documents/?uuid=450730c4-cfe7-4ef3-acc5-a7ca4306febf" ] }, { "id" : "ITEM-6", "itemData" : { "author" : [ { "dropping-particle" : "", "family" : "Teddlie", "given" : "C", "non-dropping-particle" : "", "parse-names" : false, "suffix" : "" }, { "dropping-particle" : "", "family" : "Tashakkori", "given" : "A", "non-dropping-particle" : "", "parse-names" : false, "suffix" : "" } ], "id" : "ITEM-6", "issued" : { "date-parts" : [ [ "2009" ] ] }, "publisher" : "SAGE Publications Inc.", "publisher-place" : "Thousand Oaks", "title" : "Foundations of mixed methods research: Integrating quantitative and qualitative approaches in the social and behavioral sciences", "type" : "book" }, "uris" : [ "http://www.mendeley.com/documents/?uuid=bbf94a8b-67b4-494f-92ca-828dd65fa45c" ] }, { "id" : "ITEM-7", "itemData" : { "ISBN" : "9780761915232", "abstract" : "\"This is a book about research design. In particular, it is about research designs for projects that collect both qualitative and quantitative data, so that their combined strengths will accomplish more than would have been possible with any one method. The approach presented here is broadly interdisciplinary, because Mixed Methods Research has interested social scientists from a great many fields, including: Anthropology, Communication, Criminal Justice, Education, Evaluation, Nursing, Organizational Behavior, Psychology, Political Science, Public Administration, Public Health, Sociology, Social Work, and Urban Studies. Because this book emphasizes practical research designs, it will be most useful to practicing researchers -- including both students who intend to pursue such a career and those who already devote their energy to collecting and analyzing data. Whether you are a student or a more experienced researcher, you will learn how Mixed Methods Research gets done in the real world.\"--Publisher's website. Part 1: The Logic of Mixed Methods Research. An Introduction and Overview ; Pragmatism as a Paradigm for Mixed Methods Research ; Research Design and Research Methods ; Motivations for Using Mixed Methods Research ; The Sequential Priorities Model -- Part 2: Four Basic Designs. Preliminary Qualitative Inputs to Core Quantitative Research Projects ; Preliminary Quantitative inputs to Core Qualitative Research Projects ; Follow-up Qualitative Extensions to Core Quantitative Research Projects ; Follow-up Quantitative Extensions to Core Qualitative Research Projects -- Part 3: Additional issues. Multipart Sequential Designs ; Finding the Expertise to Combine Multiple Methods ; Conclusions: Further Thoughts About Research Design.", "author" : [ { "dropping-particle" : "", "family" : "Morgan", "given" : "D", "non-dropping-particle" : "", "parse-names" : false, "suffix" : "" } ], "container-title" : "Integrating Qualitative and Quantitative Methods: a pragmatic approach", "id" : "ITEM-7", "issued" : { "date-parts" : [ [ "2013" ] ] }, "number-of-pages" : "269", "publisher" : "SAGE Publications Inc.", "publisher-place" : "Thousand Oaks", "title" : "Integrating qualitative and quantitative methods : a pragmatic approach", "type" : "book" }, "uris" : [ "http://www.mendeley.com/documents/?uuid=62b9d9ab-42af-4799-bcae-203e0dd4cff3" ] } ], "mendeley" : { "formattedCitation" : "(Greene, 1989; Morgan, 1998; A Tashakkori and Teddlie, 2003; Johnson and Onwuegbuzie, 2004; Creswell and Clark, 2007; Teddlie and Tashakkori, 2009; Morgan, 2013)", "manualFormatting" : "(Greene, 1989; Morgan, 1998; A Tashakkori and Teddlie, 2003; Johnson and Onwuegbuzie, 2004; Creswell and Clark, 2007; Teddlie and Tashakkori, 2009b; Creswell and Plano Clark, 2011; Morgan, 2014)", "plainTextFormattedCitation" : "(Greene, 1989; Morgan, 1998; A Tashakkori and Teddlie, 2003; Johnson and Onwuegbuzie, 2004; Creswell and Clark, 2007; Teddlie and Tashakkori, 2009; Morgan, 2013)", "previouslyFormattedCitation" : "(Greene, 1989; Morgan, 1998; A Tashakkori and Teddlie, 2003; Johnson and Onwuegbuzie, 2004; Creswell and Clark, 2007; Teddlie and Tashakkori, 2009; Morgan, 2013)" }, "properties" : { "noteIndex" : 0 }, "schema" : "https://github.com/citation-style-language/schema/raw/master/csl-citation.json" }</w:instrText>
      </w:r>
      <w:r w:rsidR="00F051AF" w:rsidRPr="009B3747">
        <w:rPr>
          <w:rFonts w:eastAsia="Times New Roman" w:cstheme="minorHAnsi"/>
          <w:color w:val="000000"/>
          <w:lang w:eastAsia="en-GB"/>
        </w:rPr>
        <w:fldChar w:fldCharType="separate"/>
      </w:r>
      <w:r w:rsidR="00F051AF" w:rsidRPr="009B3747">
        <w:rPr>
          <w:rFonts w:eastAsia="Times New Roman" w:cstheme="minorHAnsi"/>
          <w:noProof/>
          <w:color w:val="000000"/>
          <w:lang w:eastAsia="en-GB"/>
        </w:rPr>
        <w:t>(Greene, 1989; Morgan, 1998; A Tashakkori and Teddlie, 2003; Johnson and Onwuegbuzie, 2004; Creswell and Clark, 2007; Teddlie a</w:t>
      </w:r>
      <w:r w:rsidR="001D6EEB" w:rsidRPr="009B3747">
        <w:rPr>
          <w:rFonts w:eastAsia="Times New Roman" w:cstheme="minorHAnsi"/>
          <w:noProof/>
          <w:color w:val="000000"/>
          <w:lang w:eastAsia="en-GB"/>
        </w:rPr>
        <w:t xml:space="preserve">nd Tashakkori, 2009b; </w:t>
      </w:r>
      <w:r w:rsidR="00F051AF" w:rsidRPr="009B3747">
        <w:rPr>
          <w:rFonts w:eastAsia="Times New Roman" w:cstheme="minorHAnsi"/>
          <w:noProof/>
          <w:color w:val="000000"/>
          <w:lang w:eastAsia="en-GB"/>
        </w:rPr>
        <w:t>Creswell</w:t>
      </w:r>
      <w:r w:rsidR="001D6EEB" w:rsidRPr="009B3747">
        <w:rPr>
          <w:rFonts w:eastAsia="Times New Roman" w:cstheme="minorHAnsi"/>
          <w:noProof/>
          <w:color w:val="000000"/>
          <w:lang w:eastAsia="en-GB"/>
        </w:rPr>
        <w:t xml:space="preserve"> and Plano Clark</w:t>
      </w:r>
      <w:r w:rsidR="00F051AF" w:rsidRPr="009B3747">
        <w:rPr>
          <w:rFonts w:eastAsia="Times New Roman" w:cstheme="minorHAnsi"/>
          <w:noProof/>
          <w:color w:val="000000"/>
          <w:lang w:eastAsia="en-GB"/>
        </w:rPr>
        <w:t>, 2011; Morgan, 2014)</w:t>
      </w:r>
      <w:r w:rsidR="00F051AF" w:rsidRPr="009B3747">
        <w:rPr>
          <w:rFonts w:eastAsia="Times New Roman" w:cstheme="minorHAnsi"/>
          <w:color w:val="000000"/>
          <w:lang w:eastAsia="en-GB"/>
        </w:rPr>
        <w:fldChar w:fldCharType="end"/>
      </w:r>
      <w:r w:rsidRPr="009B3747">
        <w:rPr>
          <w:rFonts w:eastAsia="Times New Roman" w:cstheme="minorHAnsi"/>
          <w:color w:val="000000"/>
          <w:lang w:eastAsia="en-GB"/>
        </w:rPr>
        <w:t>.  The presentation and discussion of typologies remains prominent with</w:t>
      </w:r>
      <w:r w:rsidR="006B3249">
        <w:rPr>
          <w:rFonts w:eastAsia="Times New Roman" w:cstheme="minorHAnsi"/>
          <w:color w:val="000000"/>
          <w:lang w:eastAsia="en-GB"/>
        </w:rPr>
        <w:t xml:space="preserve">in the mixed methods literature and are argued to </w:t>
      </w:r>
      <w:r w:rsidRPr="009B3747">
        <w:rPr>
          <w:rFonts w:eastAsia="Times New Roman" w:cstheme="minorHAnsi"/>
          <w:color w:val="000000"/>
          <w:lang w:eastAsia="en-GB"/>
        </w:rPr>
        <w:t>provide researchers</w:t>
      </w:r>
      <w:r w:rsidR="006B3249">
        <w:rPr>
          <w:rFonts w:eastAsia="Times New Roman" w:cstheme="minorHAnsi"/>
          <w:color w:val="000000"/>
          <w:lang w:eastAsia="en-GB"/>
        </w:rPr>
        <w:t>,</w:t>
      </w:r>
      <w:r w:rsidRPr="009B3747">
        <w:rPr>
          <w:rFonts w:eastAsia="Times New Roman" w:cstheme="minorHAnsi"/>
          <w:color w:val="000000"/>
          <w:lang w:eastAsia="en-GB"/>
        </w:rPr>
        <w:t xml:space="preserve"> especially those new to designing mixed methods studies, with a guiding framework for choosing the most appropriate research design.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Whilst not exhaustive in capturing the full diversity of mixed methods designs available</w:t>
      </w:r>
      <w:r w:rsidR="00F051AF" w:rsidRPr="009B3747">
        <w:rPr>
          <w:rFonts w:eastAsia="Times New Roman" w:cstheme="minorHAnsi"/>
          <w:color w:val="000000"/>
          <w:lang w:eastAsia="en-GB"/>
        </w:rPr>
        <w:t xml:space="preserve"> </w:t>
      </w:r>
      <w:r w:rsidR="00F051AF" w:rsidRPr="009B3747">
        <w:rPr>
          <w:rFonts w:eastAsia="Times New Roman" w:cstheme="minorHAnsi"/>
          <w:color w:val="000000"/>
          <w:lang w:eastAsia="en-GB"/>
        </w:rPr>
        <w:fldChar w:fldCharType="begin" w:fldLock="1"/>
      </w:r>
      <w:r w:rsidR="00F051AF" w:rsidRPr="009B3747">
        <w:rPr>
          <w:rFonts w:eastAsia="Times New Roman" w:cstheme="minorHAnsi"/>
          <w:color w:val="000000"/>
          <w:lang w:eastAsia="en-GB"/>
        </w:rPr>
        <w:instrText>ADDIN CSL_CITATION { "citationItems" : [ { "id" : "ITEM-1", "itemData" : { "ISBN" : "0761920730 (alk. paper)", "author" : [ { "dropping-particle" : "", "family" : "Maxwell", "given" : "J.A", "non-dropping-particle" : "", "parse-names" : false, "suffix" : "" }, { "dropping-particle" : "", "family" : "Loomis", "given" : "D", "non-dropping-particle" : "", "parse-names" : false, "suffix" : "" } ], "container-title" : "Handbook of mixed methods in social &amp; behavioral research", "id" : "ITEM-1", "issued" : { "date-parts" : [ [ "2003" ] ] }, "page" : "241-271", "title" : "Mixed methods design: An alternative approach", "type" : "chapter" }, "uris" : [ "http://www.mendeley.com/documents/?uuid=5e7181a9-e565-39f8-ab87-2dcb3fe2b6c2" ] } ], "mendeley" : { "formattedCitation" : "(Maxwell and Loomis, 2003)", "plainTextFormattedCitation" : "(Maxwell and Loomis, 2003)", "previouslyFormattedCitation" : "(Maxwell and Loomis, 2003)" }, "properties" : { "noteIndex" : 0 }, "schema" : "https://github.com/citation-style-language/schema/raw/master/csl-citation.json" }</w:instrText>
      </w:r>
      <w:r w:rsidR="00F051AF" w:rsidRPr="009B3747">
        <w:rPr>
          <w:rFonts w:eastAsia="Times New Roman" w:cstheme="minorHAnsi"/>
          <w:color w:val="000000"/>
          <w:lang w:eastAsia="en-GB"/>
        </w:rPr>
        <w:fldChar w:fldCharType="separate"/>
      </w:r>
      <w:r w:rsidR="00F051AF" w:rsidRPr="009B3747">
        <w:rPr>
          <w:rFonts w:eastAsia="Times New Roman" w:cstheme="minorHAnsi"/>
          <w:noProof/>
          <w:color w:val="000000"/>
          <w:lang w:eastAsia="en-GB"/>
        </w:rPr>
        <w:t>(Maxwell and Loomis, 2003)</w:t>
      </w:r>
      <w:r w:rsidR="00F051AF" w:rsidRPr="009B3747">
        <w:rPr>
          <w:rFonts w:eastAsia="Times New Roman" w:cstheme="minorHAnsi"/>
          <w:color w:val="000000"/>
          <w:lang w:eastAsia="en-GB"/>
        </w:rPr>
        <w:fldChar w:fldCharType="end"/>
      </w:r>
      <w:r w:rsidRPr="009B3747">
        <w:rPr>
          <w:rFonts w:eastAsia="Times New Roman" w:cstheme="minorHAnsi"/>
          <w:color w:val="000000"/>
          <w:lang w:eastAsia="en-GB"/>
        </w:rPr>
        <w:t>, typo</w:t>
      </w:r>
      <w:r w:rsidR="00F051AF" w:rsidRPr="009B3747">
        <w:rPr>
          <w:rFonts w:eastAsia="Times New Roman" w:cstheme="minorHAnsi"/>
          <w:color w:val="000000"/>
          <w:lang w:eastAsia="en-GB"/>
        </w:rPr>
        <w:t xml:space="preserve">logies offer researchers a </w:t>
      </w:r>
      <w:r w:rsidR="00F051AF" w:rsidRPr="009B3747">
        <w:rPr>
          <w:rFonts w:eastAsia="Times New Roman" w:cstheme="minorHAnsi"/>
          <w:i/>
          <w:color w:val="000000"/>
          <w:lang w:eastAsia="en-GB"/>
        </w:rPr>
        <w:t>“</w:t>
      </w:r>
      <w:r w:rsidRPr="009B3747">
        <w:rPr>
          <w:rFonts w:eastAsia="Times New Roman" w:cstheme="minorHAnsi"/>
          <w:i/>
          <w:color w:val="000000"/>
          <w:lang w:eastAsia="en-GB"/>
        </w:rPr>
        <w:t xml:space="preserve">variety </w:t>
      </w:r>
      <w:r w:rsidR="00F051AF" w:rsidRPr="009B3747">
        <w:rPr>
          <w:rFonts w:eastAsia="Times New Roman" w:cstheme="minorHAnsi"/>
          <w:i/>
          <w:color w:val="000000"/>
          <w:lang w:eastAsia="en-GB"/>
        </w:rPr>
        <w:t>of paths, or ideal design types”</w:t>
      </w:r>
      <w:r w:rsidR="00F051AF" w:rsidRPr="009B3747">
        <w:rPr>
          <w:rFonts w:eastAsia="Times New Roman" w:cstheme="minorHAnsi"/>
          <w:color w:val="000000"/>
          <w:lang w:eastAsia="en-GB"/>
        </w:rPr>
        <w:t xml:space="preserve"> and a </w:t>
      </w:r>
      <w:r w:rsidR="00F051AF" w:rsidRPr="009B3747">
        <w:rPr>
          <w:rFonts w:eastAsia="Times New Roman" w:cstheme="minorHAnsi"/>
          <w:i/>
          <w:color w:val="000000"/>
          <w:lang w:eastAsia="en-GB"/>
        </w:rPr>
        <w:t>“common language”</w:t>
      </w:r>
      <w:r w:rsidR="00F051AF"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for use in the field </w:t>
      </w:r>
      <w:r w:rsidR="00F051AF" w:rsidRPr="009B3747">
        <w:rPr>
          <w:rFonts w:eastAsia="Times New Roman" w:cstheme="minorHAnsi"/>
          <w:color w:val="000000"/>
          <w:lang w:eastAsia="en-GB"/>
        </w:rPr>
        <w:fldChar w:fldCharType="begin" w:fldLock="1"/>
      </w:r>
      <w:r w:rsidR="00C83875" w:rsidRPr="009B3747">
        <w:rPr>
          <w:rFonts w:eastAsia="Times New Roman" w:cstheme="minorHAnsi"/>
          <w:color w:val="000000"/>
          <w:lang w:eastAsia="en-GB"/>
        </w:rPr>
        <w:instrText>ADDIN CSL_CITATION { "citationItems" : [ { "id" : "ITEM-1", "itemData" : { "author" : [ { "dropping-particle" : "", "family" : "Teddlie", "given" : "C", "non-dropping-particle" : "", "parse-names" : false, "suffix" : "" }, { "dropping-particle" : "", "family" : "Tashakkori", "given" : "A", "non-dropping-particle" : "", "parse-names" : false, "suffix" : "" } ], "id" : "ITEM-1", "issued" : { "date-parts" : [ [ "2009" ] ] }, "publisher" : "SAGE Publications Inc.", "publisher-place" : "Thousand Oaks", "title" : "Foundations of mixed methods research: Integrating quantitative and qualitative approaches in the social and behavioral sciences", "type" : "book" }, "uris" : [ "http://www.mendeley.com/documents/?uuid=bbf94a8b-67b4-494f-92ca-828dd65fa45c" ] } ], "mendeley" : { "formattedCitation" : "(Teddlie and Tashakkori, 2009)", "manualFormatting" : "(Teddlie and Tashakkori, 2009b, p.139)", "plainTextFormattedCitation" : "(Teddlie and Tashakkori, 2009)", "previouslyFormattedCitation" : "(Teddlie and Tashakkori, 2009)" }, "properties" : { "noteIndex" : 0 }, "schema" : "https://github.com/citation-style-language/schema/raw/master/csl-citation.json" }</w:instrText>
      </w:r>
      <w:r w:rsidR="00F051AF" w:rsidRPr="009B3747">
        <w:rPr>
          <w:rFonts w:eastAsia="Times New Roman" w:cstheme="minorHAnsi"/>
          <w:color w:val="000000"/>
          <w:lang w:eastAsia="en-GB"/>
        </w:rPr>
        <w:fldChar w:fldCharType="separate"/>
      </w:r>
      <w:r w:rsidR="00F051AF" w:rsidRPr="009B3747">
        <w:rPr>
          <w:rFonts w:eastAsia="Times New Roman" w:cstheme="minorHAnsi"/>
          <w:noProof/>
          <w:color w:val="000000"/>
          <w:lang w:eastAsia="en-GB"/>
        </w:rPr>
        <w:t>(Teddlie and Tashakkori, 2009b</w:t>
      </w:r>
      <w:r w:rsidR="00FB5B00" w:rsidRPr="009B3747">
        <w:rPr>
          <w:rFonts w:eastAsia="Times New Roman" w:cstheme="minorHAnsi"/>
          <w:noProof/>
          <w:color w:val="000000"/>
          <w:lang w:eastAsia="en-GB"/>
        </w:rPr>
        <w:t>, p.</w:t>
      </w:r>
      <w:r w:rsidR="00F051AF" w:rsidRPr="009B3747">
        <w:rPr>
          <w:rFonts w:eastAsia="Times New Roman" w:cstheme="minorHAnsi"/>
          <w:noProof/>
          <w:color w:val="000000"/>
          <w:lang w:eastAsia="en-GB"/>
        </w:rPr>
        <w:t>139)</w:t>
      </w:r>
      <w:r w:rsidR="00F051AF" w:rsidRPr="009B3747">
        <w:rPr>
          <w:rFonts w:eastAsia="Times New Roman" w:cstheme="minorHAnsi"/>
          <w:color w:val="000000"/>
          <w:lang w:eastAsia="en-GB"/>
        </w:rPr>
        <w:fldChar w:fldCharType="end"/>
      </w:r>
      <w:r w:rsidR="00F051AF" w:rsidRPr="009B3747">
        <w:rPr>
          <w:rFonts w:eastAsia="Times New Roman" w:cstheme="minorHAnsi"/>
          <w:color w:val="000000"/>
          <w:lang w:eastAsia="en-GB"/>
        </w:rPr>
        <w:t xml:space="preserve">.  </w:t>
      </w:r>
      <w:r w:rsidRPr="009B3747">
        <w:rPr>
          <w:rFonts w:eastAsia="Times New Roman" w:cstheme="minorHAnsi"/>
          <w:color w:val="000000"/>
          <w:lang w:eastAsia="en-GB"/>
        </w:rPr>
        <w:t>Fundamental to the development of mixed methods typologies, are the presented criteria or choices researchers are required to reflect upon in order to identify and choose the most appropriate mixed methods design for their study.  These criteria or choices are most commonly centred on the timing, weighting and connection of quantitative and qualitative strands or phases</w:t>
      </w:r>
      <w:r w:rsidR="00F051AF" w:rsidRPr="009B3747">
        <w:rPr>
          <w:rFonts w:eastAsia="Times New Roman" w:cstheme="minorHAnsi"/>
          <w:color w:val="000000"/>
          <w:lang w:eastAsia="en-GB"/>
        </w:rPr>
        <w:t xml:space="preserve"> </w:t>
      </w:r>
      <w:r w:rsidR="00F051AF" w:rsidRPr="009B3747">
        <w:rPr>
          <w:rFonts w:eastAsia="Times New Roman" w:cstheme="minorHAnsi"/>
          <w:color w:val="000000"/>
          <w:lang w:eastAsia="en-GB"/>
        </w:rPr>
        <w:fldChar w:fldCharType="begin" w:fldLock="1"/>
      </w:r>
      <w:r w:rsidR="00A84723" w:rsidRPr="009B3747">
        <w:rPr>
          <w:rFonts w:eastAsia="Times New Roman" w:cstheme="minorHAnsi"/>
          <w:color w:val="000000"/>
          <w:lang w:eastAsia="en-GB"/>
        </w:rPr>
        <w:instrText>ADDIN CSL_CITATION { "citationItems" : [ { "id" : "ITEM-1", "itemData" : { "author" : [ { "dropping-particle" : "", "family" : "Creswell", "given" : "JW", "non-dropping-particle" : "", "parse-names" : false, "suffix" : "" }, { "dropping-particle" : "", "family" : "Clark", "given" : "VLP", "non-dropping-particle" : "", "parse-names" : false, "suffix" : "" } ], "edition" : "1st", "id" : "ITEM-1", "issued" : { "date-parts" : [ [ "2007" ] ] }, "publisher" : "SAGE Publications Inc.", "publisher-place" : "Thousand Oaks", "title" : "Designing and conducting mixed methods research", "type" : "book" }, "uris" : [ "http://www.mendeley.com/documents/?uuid=450730c4-cfe7-4ef3-acc5-a7ca4306febf" ] }, { "id" : "ITEM-2", "itemData" : { "author" : [ { "dropping-particle" : "", "family" : "Teddlie", "given" : "C", "non-dropping-particle" : "", "parse-names" : false, "suffix" : "" }, { "dropping-particle" : "", "family" : "Tashakkori", "given" : "A", "non-dropping-particle" : "", "parse-names" : false, "suffix" : "" } ], "container-title" : "SAGE handbook of mixed methods in social &amp; behavioral research", "edition" : "2nd", "editor" : [ { "dropping-particle" : "", "family" : "Tashakkori", "given" : "A.", "non-dropping-particle" : "", "parse-names" : false, "suffix" : "" }, { "dropping-particle" : "", "family" : "Teddlie", "given" : "C.", "non-dropping-particle" : "", "parse-names" : false, "suffix" : "" } ], "id" : "ITEM-2", "issued" : { "date-parts" : [ [ "2010" ] ] }, "number-of-pages" : "1-42", "publisher" : "SAGE Publications Inc.", "publisher-place" : "Thousand Oaks", "title" : "Overview of contemporary issues in mixed methods research", "type" : "book" }, "uris" : [ "http://www.mendeley.com/documents/?uuid=18b21150-509f-47ca-92df-834289e91de4" ] }, { "id" : "ITEM-3", "itemData" : { "author" : [ { "dropping-particle" : "", "family" : "Tashakkori", "given" : "A", "non-dropping-particle" : "", "parse-names" : false, "suffix" : "" }, { "dropping-particle" : "", "family" : "Teddlie", "given" : "C", "non-dropping-particle" : "", "parse-names" : false, "suffix" : "" } ], "edition" : "2nd", "id" : "ITEM-3", "issued" : { "date-parts" : [ [ "2010" ] ] }, "publisher" : "SAGE Publications Inc.", "title" : "Sage handbook of mixed methods in social &amp; behavioral research", "type" : "book" }, "uris" : [ "http://www.mendeley.com/documents/?uuid=d6e96658-2f45-4792-b4dd-a27099e07048" ] } ], "mendeley" : { "formattedCitation" : "(Creswell and Clark, 2007; Teddlie and Tashakkori, 2010; Tashakkori and Teddlie, 2010)", "plainTextFormattedCitation" : "(Creswell and Clark, 2007; Teddlie and Tashakkori, 2010; Tashakkori and Teddlie, 2010)", "previouslyFormattedCitation" : "(Creswell and Clark, 2007; Teddlie and Tashakkori, 2010; Tashakkori and Teddlie, 2010)" }, "properties" : { "noteIndex" : 0 }, "schema" : "https://github.com/citation-style-language/schema/raw/master/csl-citation.json" }</w:instrText>
      </w:r>
      <w:r w:rsidR="00F051AF" w:rsidRPr="009B3747">
        <w:rPr>
          <w:rFonts w:eastAsia="Times New Roman" w:cstheme="minorHAnsi"/>
          <w:color w:val="000000"/>
          <w:lang w:eastAsia="en-GB"/>
        </w:rPr>
        <w:fldChar w:fldCharType="separate"/>
      </w:r>
      <w:r w:rsidR="00395650" w:rsidRPr="009B3747">
        <w:rPr>
          <w:rFonts w:eastAsia="Times New Roman" w:cstheme="minorHAnsi"/>
          <w:noProof/>
          <w:color w:val="000000"/>
          <w:lang w:eastAsia="en-GB"/>
        </w:rPr>
        <w:t>(Creswell and Clark, 2007; Teddlie and Tashakkori, 2010; Tashakkori and Teddlie, 2010)</w:t>
      </w:r>
      <w:r w:rsidR="00F051AF" w:rsidRPr="009B3747">
        <w:rPr>
          <w:rFonts w:eastAsia="Times New Roman" w:cstheme="minorHAnsi"/>
          <w:color w:val="000000"/>
          <w:lang w:eastAsia="en-GB"/>
        </w:rPr>
        <w:fldChar w:fldCharType="end"/>
      </w:r>
      <w:r w:rsidR="00F051AF" w:rsidRPr="009B3747">
        <w:rPr>
          <w:rFonts w:eastAsia="Times New Roman" w:cstheme="minorHAnsi"/>
          <w:color w:val="000000"/>
          <w:lang w:eastAsia="en-GB"/>
        </w:rPr>
        <w:t xml:space="preserve">.  </w:t>
      </w:r>
      <w:r w:rsidRPr="009B3747">
        <w:rPr>
          <w:rFonts w:eastAsia="Times New Roman" w:cstheme="minorHAnsi"/>
          <w:color w:val="000000"/>
          <w:lang w:eastAsia="en-GB"/>
        </w:rPr>
        <w:t>Therefore, depending on the research purpose and questions and the researcher’s beliefs and values, the motivation for making particular choices related to mixed-methods designs will differ</w:t>
      </w:r>
      <w:r w:rsidR="00F051AF" w:rsidRPr="009B3747">
        <w:rPr>
          <w:rFonts w:eastAsia="Times New Roman" w:cstheme="minorHAnsi"/>
          <w:color w:val="000000"/>
          <w:lang w:eastAsia="en-GB"/>
        </w:rPr>
        <w:t xml:space="preserve"> </w:t>
      </w:r>
      <w:r w:rsidR="00F051AF" w:rsidRPr="009B3747">
        <w:rPr>
          <w:rFonts w:eastAsia="Times New Roman" w:cstheme="minorHAnsi"/>
          <w:color w:val="000000"/>
          <w:lang w:eastAsia="en-GB"/>
        </w:rPr>
        <w:fldChar w:fldCharType="begin" w:fldLock="1"/>
      </w:r>
      <w:r w:rsidR="00A12CF2" w:rsidRPr="009B3747">
        <w:rPr>
          <w:rFonts w:eastAsia="Times New Roman" w:cstheme="minorHAnsi"/>
          <w:color w:val="000000"/>
          <w:lang w:eastAsia="en-GB"/>
        </w:rPr>
        <w:instrText>ADDIN CSL_CITATION { "citationItems" : [ { "id" : "ITEM-1", "itemData" : { "author" : [ { "dropping-particle" : "", "family" : "Greene", "given" : "JC", "non-dropping-particle" : "", "parse-names" : false, "suffix" : "" } ], "container-title" : "Educational evaluation and \u2026", "id" : "ITEM-1", "issued" : { "date-parts" : [ [ "1989" ] ] }, "title" : "Toward a conceptual framework for mixed-method evaluation designs", "type" : "article-journal" }, "uris" : [ "http://www.mendeley.com/documents/?uuid=ea00d3e4-b94c-4da5-829e-0462926783c9" ] } ], "mendeley" : { "formattedCitation" : "(Greene, 1989)", "plainTextFormattedCitation" : "(Greene, 1989)", "previouslyFormattedCitation" : "(Greene, 1989)" }, "properties" : { "noteIndex" : 0 }, "schema" : "https://github.com/citation-style-language/schema/raw/master/csl-citation.json" }</w:instrText>
      </w:r>
      <w:r w:rsidR="00F051AF" w:rsidRPr="009B3747">
        <w:rPr>
          <w:rFonts w:eastAsia="Times New Roman" w:cstheme="minorHAnsi"/>
          <w:color w:val="000000"/>
          <w:lang w:eastAsia="en-GB"/>
        </w:rPr>
        <w:fldChar w:fldCharType="separate"/>
      </w:r>
      <w:r w:rsidR="00F051AF" w:rsidRPr="009B3747">
        <w:rPr>
          <w:rFonts w:eastAsia="Times New Roman" w:cstheme="minorHAnsi"/>
          <w:noProof/>
          <w:color w:val="000000"/>
          <w:lang w:eastAsia="en-GB"/>
        </w:rPr>
        <w:t>(Greene, 1989)</w:t>
      </w:r>
      <w:r w:rsidR="00F051AF" w:rsidRPr="009B3747">
        <w:rPr>
          <w:rFonts w:eastAsia="Times New Roman" w:cstheme="minorHAnsi"/>
          <w:color w:val="000000"/>
          <w:lang w:eastAsia="en-GB"/>
        </w:rPr>
        <w:fldChar w:fldCharType="end"/>
      </w:r>
      <w:r w:rsidR="001C14BD" w:rsidRPr="009B3747">
        <w:rPr>
          <w:rFonts w:eastAsia="Times New Roman" w:cstheme="minorHAnsi"/>
          <w:color w:val="000000"/>
          <w:lang w:eastAsia="en-GB"/>
        </w:rPr>
        <w:t>.</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Resulting from attendance at a mixed methods research group workshop with leading mixed methods academic Professor Alicia O’Cathain, the decision was made to adopt Creswell and Plano Clark’s (2011) mixed methods typology in order to inform the choice of research design.  For someone new to the field of mixed methods research</w:t>
      </w:r>
      <w:r w:rsidR="006B3249">
        <w:rPr>
          <w:rFonts w:eastAsia="Times New Roman" w:cstheme="minorHAnsi"/>
          <w:color w:val="000000"/>
          <w:lang w:eastAsia="en-GB"/>
        </w:rPr>
        <w:t>,</w:t>
      </w:r>
      <w:r w:rsidRPr="009B3747">
        <w:rPr>
          <w:rFonts w:eastAsia="Times New Roman" w:cstheme="minorHAnsi"/>
          <w:color w:val="000000"/>
          <w:lang w:eastAsia="en-GB"/>
        </w:rPr>
        <w:t xml:space="preserve"> it was deemed appropriate to adopt a typology that is both highly prominent and influential in t</w:t>
      </w:r>
      <w:r w:rsidR="00A12CF2" w:rsidRPr="009B3747">
        <w:rPr>
          <w:rFonts w:eastAsia="Times New Roman" w:cstheme="minorHAnsi"/>
          <w:color w:val="000000"/>
          <w:lang w:eastAsia="en-GB"/>
        </w:rPr>
        <w:t xml:space="preserve">he published literature and </w:t>
      </w:r>
      <w:r w:rsidR="00A12CF2" w:rsidRPr="009B3747">
        <w:rPr>
          <w:rFonts w:eastAsia="Times New Roman" w:cstheme="minorHAnsi"/>
          <w:i/>
          <w:color w:val="000000"/>
          <w:lang w:eastAsia="en-GB"/>
        </w:rPr>
        <w:t>“</w:t>
      </w:r>
      <w:r w:rsidRPr="009B3747">
        <w:rPr>
          <w:rFonts w:eastAsia="Times New Roman" w:cstheme="minorHAnsi"/>
          <w:i/>
          <w:color w:val="000000"/>
          <w:lang w:eastAsia="en-GB"/>
        </w:rPr>
        <w:t>proba</w:t>
      </w:r>
      <w:r w:rsidR="00A12CF2" w:rsidRPr="009B3747">
        <w:rPr>
          <w:rFonts w:eastAsia="Times New Roman" w:cstheme="minorHAnsi"/>
          <w:i/>
          <w:color w:val="000000"/>
          <w:lang w:eastAsia="en-GB"/>
        </w:rPr>
        <w:t>bly the most commonly employed”</w:t>
      </w:r>
      <w:r w:rsidR="00A12CF2" w:rsidRPr="009B3747">
        <w:rPr>
          <w:rFonts w:eastAsia="Times New Roman" w:cstheme="minorHAnsi"/>
          <w:color w:val="000000"/>
          <w:lang w:eastAsia="en-GB"/>
        </w:rPr>
        <w:t xml:space="preserve"> </w:t>
      </w:r>
      <w:r w:rsidR="00A12CF2"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"Bryman", "given" : "Alan", "non-dropping-particle" : "", "parse-names" : false, "suffix" : "" } ], "edition" : "5th", "id" : "ITEM-1", "issued" : { "date-parts" : [ [ "2016" ] ] }, "publisher" : "Open University Press", "publisher-place" : "Oxford", "title" : "Social research methods Bryman", "type" : "book" }, "uris" : [ "http://www.mendeley.com/documents/?uuid=0692fe00-046b-4dd5-8926-ccb7f7ef6057" ] } ], "mendeley" : { "formattedCitation" : "(Bryman, 2016)", "manualFormatting" : "(Bryman, 2016, p.638)", "plainTextFormattedCitation" : "(Bryman, 2016)", "previouslyFormattedCitation" : "(Bryman, 2016)" }, "properties" : { "noteIndex" : 0 }, "schema" : "https://github.com/citation-style-language/schema/raw/master/csl-citation.json" }</w:instrText>
      </w:r>
      <w:r w:rsidR="00A12CF2" w:rsidRPr="009B3747">
        <w:rPr>
          <w:rFonts w:eastAsia="Times New Roman" w:cstheme="minorHAnsi"/>
          <w:color w:val="000000"/>
          <w:lang w:eastAsia="en-GB"/>
        </w:rPr>
        <w:fldChar w:fldCharType="separate"/>
      </w:r>
      <w:r w:rsidR="00A12CF2" w:rsidRPr="009B3747">
        <w:rPr>
          <w:rFonts w:eastAsia="Times New Roman" w:cstheme="minorHAnsi"/>
          <w:noProof/>
          <w:color w:val="000000"/>
          <w:lang w:eastAsia="en-GB"/>
        </w:rPr>
        <w:t>(Bryman, 2016</w:t>
      </w:r>
      <w:r w:rsidR="00FB5B00" w:rsidRPr="009B3747">
        <w:rPr>
          <w:rFonts w:eastAsia="Times New Roman" w:cstheme="minorHAnsi"/>
          <w:noProof/>
          <w:color w:val="000000"/>
          <w:lang w:eastAsia="en-GB"/>
        </w:rPr>
        <w:t>, p.</w:t>
      </w:r>
      <w:r w:rsidR="00A12CF2" w:rsidRPr="009B3747">
        <w:rPr>
          <w:rFonts w:eastAsia="Times New Roman" w:cstheme="minorHAnsi"/>
          <w:noProof/>
          <w:color w:val="000000"/>
          <w:lang w:eastAsia="en-GB"/>
        </w:rPr>
        <w:t>638)</w:t>
      </w:r>
      <w:r w:rsidR="00A12CF2" w:rsidRPr="009B3747">
        <w:rPr>
          <w:rFonts w:eastAsia="Times New Roman" w:cstheme="minorHAnsi"/>
          <w:color w:val="000000"/>
          <w:lang w:eastAsia="en-GB"/>
        </w:rPr>
        <w:fldChar w:fldCharType="end"/>
      </w:r>
      <w:r w:rsidR="00A12CF2" w:rsidRPr="009B3747">
        <w:rPr>
          <w:rFonts w:eastAsia="Times New Roman" w:cstheme="minorHAnsi"/>
          <w:color w:val="000000"/>
          <w:lang w:eastAsia="en-GB"/>
        </w:rPr>
        <w:t xml:space="preserve">.  </w:t>
      </w:r>
      <w:r w:rsidRPr="009B3747">
        <w:rPr>
          <w:rFonts w:eastAsia="Times New Roman" w:cstheme="minorHAnsi"/>
          <w:color w:val="000000"/>
          <w:lang w:eastAsia="en-GB"/>
        </w:rPr>
        <w:t>Furthermore, this typology was argued to be both accessible and comprehensive for a novice mixed methods researcher (Personal communication, O’Cathain, 2015).  </w:t>
      </w:r>
    </w:p>
    <w:p w:rsidR="00A12CF2"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 xml:space="preserve">Within their typology, </w:t>
      </w:r>
      <w:r w:rsidR="00A12CF2"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"Creswell", "given" : "JW", "non-dropping-particle" : "", "parse-names" : false, "suffix" : "" }, { "dropping-particle" : "", "family" : "Clark", "given" : "VLP", "non-dropping-particle" : "", "parse-names" : false, "suffix" : "" } ], "edition" : "1st", "id" : "ITEM-1", "issued" : { "date-parts" : [ [ "2007" ] ] }, "publisher" : "SAGE Publications Inc.", "publisher-place" : "Thousand Oaks", "title" : "Designing and conducting mixed methods research", "type" : "book" }, "uris" : [ "http://www.mendeley.com/documents/?uuid=450730c4-cfe7-4ef3-acc5-a7ca4306febf" ] } ], "mendeley" : { "formattedCitation" : "(Creswell and Clark, 2007)", "manualFormatting" : "Creswell and Plano Clark (2011)", "plainTextFormattedCitation" : "(Creswell and Clark, 2007)", "previouslyFormattedCitation" : "(Creswell and Clark, 2007)" }, "properties" : { "noteIndex" : 0 }, "schema" : "https://github.com/citation-style-language/schema/raw/master/csl-citation.json" }</w:instrText>
      </w:r>
      <w:r w:rsidR="00A12CF2" w:rsidRPr="009B3747">
        <w:rPr>
          <w:rFonts w:eastAsia="Times New Roman" w:cstheme="minorHAnsi"/>
          <w:color w:val="000000"/>
          <w:lang w:eastAsia="en-GB"/>
        </w:rPr>
        <w:fldChar w:fldCharType="separate"/>
      </w:r>
      <w:r w:rsidR="001D6EEB" w:rsidRPr="009B3747">
        <w:rPr>
          <w:rFonts w:eastAsia="Times New Roman" w:cstheme="minorHAnsi"/>
          <w:noProof/>
          <w:color w:val="000000"/>
          <w:lang w:eastAsia="en-GB"/>
        </w:rPr>
        <w:t>Creswell and Plano Clark</w:t>
      </w:r>
      <w:r w:rsidR="00A12CF2" w:rsidRPr="009B3747">
        <w:rPr>
          <w:rFonts w:eastAsia="Times New Roman" w:cstheme="minorHAnsi"/>
          <w:noProof/>
          <w:color w:val="000000"/>
          <w:lang w:eastAsia="en-GB"/>
        </w:rPr>
        <w:t xml:space="preserve"> (2011)</w:t>
      </w:r>
      <w:r w:rsidR="00A12CF2"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developed six major mixed methods research designs, namely - convergent parallel, explanatory sequential, exploratory sequential, embedded, transformative and multiphase.  The six research designs are proposed as being employed for </w:t>
      </w:r>
      <w:r w:rsidRPr="009B3747">
        <w:rPr>
          <w:rFonts w:eastAsia="Times New Roman" w:cstheme="minorHAnsi"/>
          <w:color w:val="000000"/>
          <w:lang w:eastAsia="en-GB"/>
        </w:rPr>
        <w:lastRenderedPageBreak/>
        <w:t xml:space="preserve">different research purposes, with each offering distinct characteristics regarding how the quantitative and qualitative strands (or phases) of a mixed methods study relate to each other </w:t>
      </w:r>
      <w:r w:rsidR="00A12CF2"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"DOI" : "10.1007/s13398-014-0173-7.2", "ISBN" : "9781452274614", "ISSN" : "13514180", "PMID" : "15991970", "author" : [ { "dropping-particle" : "", "family" : "Creswell", "given" : "J W", "non-dropping-particle" : "", "parse-names" : false, "suffix" : "" } ], "container-title" : "SAGE Publications", "edition" : "4th", "id" : "ITEM-1", "issued" : { "date-parts" : [ [ "2014" ] ] }, "number-of-pages" : "398", "publisher" : "SAGE Publications Inc.", "publisher-place" : "Los Angeles", "title" : "Research Design: Qualitative, Quantitative, and Mixed Methods Approaches", "type" : "book" }, "uris" : [ "http://www.mendeley.com/documents/?uuid=e78417b4-b5b5-4ebf-9e1d-3894864dbccd" ] } ], "mendeley" : { "formattedCitation" : "(Creswell, 2014)", "plainTextFormattedCitation" : "(Creswell, 2014)", "previouslyFormattedCitation" : "(Creswell, 2014)" }, "properties" : { "noteIndex" : 0 }, "schema" : "https://github.com/citation-style-language/schema/raw/master/csl-citation.json" }</w:instrText>
      </w:r>
      <w:r w:rsidR="00A12CF2" w:rsidRPr="009B3747">
        <w:rPr>
          <w:rFonts w:eastAsia="Times New Roman" w:cstheme="minorHAnsi"/>
          <w:color w:val="000000"/>
          <w:lang w:eastAsia="en-GB"/>
        </w:rPr>
        <w:fldChar w:fldCharType="separate"/>
      </w:r>
      <w:r w:rsidR="00A12CF2" w:rsidRPr="009B3747">
        <w:rPr>
          <w:rFonts w:eastAsia="Times New Roman" w:cstheme="minorHAnsi"/>
          <w:noProof/>
          <w:color w:val="000000"/>
          <w:lang w:eastAsia="en-GB"/>
        </w:rPr>
        <w:t>(Creswell, 2014)</w:t>
      </w:r>
      <w:r w:rsidR="00A12CF2" w:rsidRPr="009B3747">
        <w:rPr>
          <w:rFonts w:eastAsia="Times New Roman" w:cstheme="minorHAnsi"/>
          <w:color w:val="000000"/>
          <w:lang w:eastAsia="en-GB"/>
        </w:rPr>
        <w:fldChar w:fldCharType="end"/>
      </w:r>
      <w:r w:rsidRPr="009B3747">
        <w:rPr>
          <w:rFonts w:eastAsia="Times New Roman" w:cstheme="minorHAnsi"/>
          <w:color w:val="000000"/>
          <w:lang w:eastAsia="en-GB"/>
        </w:rPr>
        <w:t>.  To support researchers to identify an appropriate desi</w:t>
      </w:r>
      <w:r w:rsidR="006B3249">
        <w:rPr>
          <w:rFonts w:eastAsia="Times New Roman" w:cstheme="minorHAnsi"/>
          <w:color w:val="000000"/>
          <w:lang w:eastAsia="en-GB"/>
        </w:rPr>
        <w:t>gn from their developed typology,</w:t>
      </w:r>
      <w:r w:rsidRPr="009B3747">
        <w:rPr>
          <w:rFonts w:eastAsia="Times New Roman" w:cstheme="minorHAnsi"/>
          <w:color w:val="000000"/>
          <w:lang w:eastAsia="en-GB"/>
        </w:rPr>
        <w:t xml:space="preserve"> </w:t>
      </w:r>
      <w:r w:rsidR="00A12CF2"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"ISBN" : "9781412975179", "abstract" : "2nd ed. \"Combining the latest thinking about mixed methods research designs with practical, step-by-step guidance, the Second Edition of Designing and Conducting Mixed Methods Research now covers six major mixed methods designs. Authors John W. Creswell and Vicki L. Plano Clark walk readers through the entire research process, from formulating questions to designing, collecting data, and interpreting results and include updated examples from published mixed methods studies drawn from the social, behavioral, health, and education disciplines.\"--Pub. desc. The nature of mixed methods research -- The foundations of mixed methods research -- Choosing a mixed methods design -- Examples of mixed methods designs -- Introducing a mixed methods study -- Collecting data in mixed methods research -- Analyzing and interpreting data in mixed methods research -- Writing and evaluating mixed methods research -- Summary and recommendations.", "author" : [ { "dropping-particle" : "", "family" : "Creswell", "given" : "John W.", "non-dropping-particle" : "", "parse-names" : false, "suffix" : "" }, { "dropping-particle" : "", "family" : "Plano Clark", "given" : "Vicki L.", "non-dropping-particle" : "", "parse-names" : false, "suffix" : "" } ], "edition" : "2nd", "id" : "ITEM-1", "issued" : { "date-parts" : [ [ "2011" ] ] }, "number-of-pages" : "457", "publisher" : "SAGE Publications", "publisher-place" : "Thousand Oaks", "title" : "Designing and conducting mixed methods research", "type" : "book" }, "uris" : [ "http://www.mendeley.com/documents/?uuid=7cf67537-d009-3386-be02-c159c4f6ff80" ] } ], "mendeley" : { "formattedCitation" : "(Creswell and Plano Clark, 2011)", "plainTextFormattedCitation" : "(Creswell and Plano Clark, 2011)", "previouslyFormattedCitation" : "(Creswell and Plano Clark, 2011)" }, "properties" : { "noteIndex" : 0 }, "schema" : "https://github.com/citation-style-language/schema/raw/master/csl-citation.json" }</w:instrText>
      </w:r>
      <w:r w:rsidR="00A12CF2" w:rsidRPr="009B3747">
        <w:rPr>
          <w:rFonts w:eastAsia="Times New Roman" w:cstheme="minorHAnsi"/>
          <w:color w:val="000000"/>
          <w:lang w:eastAsia="en-GB"/>
        </w:rPr>
        <w:fldChar w:fldCharType="separate"/>
      </w:r>
      <w:r w:rsidR="00A12CF2" w:rsidRPr="009B3747">
        <w:rPr>
          <w:rFonts w:eastAsia="Times New Roman" w:cstheme="minorHAnsi"/>
          <w:noProof/>
          <w:color w:val="000000"/>
          <w:lang w:eastAsia="en-GB"/>
        </w:rPr>
        <w:t>(Creswell and Plano Clark, 2011)</w:t>
      </w:r>
      <w:r w:rsidR="00A12CF2"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posed four decisions points that need to be considered in relation to the interaction, priority, timing and mixing of a study’s quantit</w:t>
      </w:r>
      <w:r w:rsidR="00AD02BD" w:rsidRPr="009B3747">
        <w:rPr>
          <w:rFonts w:eastAsia="Times New Roman" w:cstheme="minorHAnsi"/>
          <w:color w:val="000000"/>
          <w:lang w:eastAsia="en-GB"/>
        </w:rPr>
        <w:t>ative and qualitative strands:</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C27072">
      <w:pPr>
        <w:numPr>
          <w:ilvl w:val="0"/>
          <w:numId w:val="33"/>
        </w:numPr>
        <w:textAlignment w:val="baseline"/>
        <w:rPr>
          <w:rFonts w:eastAsia="Times New Roman" w:cstheme="minorHAnsi"/>
          <w:color w:val="000000"/>
          <w:lang w:eastAsia="en-GB"/>
        </w:rPr>
      </w:pPr>
      <w:r w:rsidRPr="009B3747">
        <w:rPr>
          <w:rFonts w:eastAsia="Times New Roman" w:cstheme="minorHAnsi"/>
          <w:color w:val="000000"/>
          <w:lang w:eastAsia="en-GB"/>
        </w:rPr>
        <w:t xml:space="preserve">What is the level of </w:t>
      </w:r>
      <w:r w:rsidRPr="009B3747">
        <w:rPr>
          <w:rFonts w:eastAsia="Times New Roman" w:cstheme="minorHAnsi"/>
          <w:i/>
          <w:iCs/>
          <w:color w:val="000000"/>
          <w:lang w:eastAsia="en-GB"/>
        </w:rPr>
        <w:t>interaction</w:t>
      </w:r>
      <w:r w:rsidRPr="009B3747">
        <w:rPr>
          <w:rFonts w:eastAsia="Times New Roman" w:cstheme="minorHAnsi"/>
          <w:color w:val="000000"/>
          <w:lang w:eastAsia="en-GB"/>
        </w:rPr>
        <w:t xml:space="preserve"> between the quantitative and qualitative strands in the study?</w:t>
      </w:r>
    </w:p>
    <w:p w:rsidR="003F1507" w:rsidRPr="009B3747" w:rsidRDefault="003F1507" w:rsidP="00C27072">
      <w:pPr>
        <w:numPr>
          <w:ilvl w:val="0"/>
          <w:numId w:val="33"/>
        </w:numPr>
        <w:textAlignment w:val="baseline"/>
        <w:rPr>
          <w:rFonts w:eastAsia="Times New Roman" w:cstheme="minorHAnsi"/>
          <w:color w:val="000000"/>
          <w:lang w:eastAsia="en-GB"/>
        </w:rPr>
      </w:pPr>
      <w:r w:rsidRPr="009B3747">
        <w:rPr>
          <w:rFonts w:eastAsia="Times New Roman" w:cstheme="minorHAnsi"/>
          <w:color w:val="000000"/>
          <w:lang w:eastAsia="en-GB"/>
        </w:rPr>
        <w:t xml:space="preserve">What is the relative importance or </w:t>
      </w:r>
      <w:r w:rsidRPr="009B3747">
        <w:rPr>
          <w:rFonts w:eastAsia="Times New Roman" w:cstheme="minorHAnsi"/>
          <w:i/>
          <w:iCs/>
          <w:color w:val="000000"/>
          <w:lang w:eastAsia="en-GB"/>
        </w:rPr>
        <w:t>priority</w:t>
      </w:r>
      <w:r w:rsidRPr="009B3747">
        <w:rPr>
          <w:rFonts w:eastAsia="Times New Roman" w:cstheme="minorHAnsi"/>
          <w:color w:val="000000"/>
          <w:lang w:eastAsia="en-GB"/>
        </w:rPr>
        <w:t xml:space="preserve"> weighting of each of the quantitative and qualitative strands?</w:t>
      </w:r>
    </w:p>
    <w:p w:rsidR="003F1507" w:rsidRPr="009B3747" w:rsidRDefault="003F1507" w:rsidP="00C27072">
      <w:pPr>
        <w:numPr>
          <w:ilvl w:val="0"/>
          <w:numId w:val="33"/>
        </w:numPr>
        <w:textAlignment w:val="baseline"/>
        <w:rPr>
          <w:rFonts w:eastAsia="Times New Roman" w:cstheme="minorHAnsi"/>
          <w:color w:val="000000"/>
          <w:lang w:eastAsia="en-GB"/>
        </w:rPr>
      </w:pPr>
      <w:r w:rsidRPr="009B3747">
        <w:rPr>
          <w:rFonts w:eastAsia="Times New Roman" w:cstheme="minorHAnsi"/>
          <w:color w:val="000000"/>
          <w:lang w:eastAsia="en-GB"/>
        </w:rPr>
        <w:t xml:space="preserve">What is the </w:t>
      </w:r>
      <w:r w:rsidRPr="009B3747">
        <w:rPr>
          <w:rFonts w:eastAsia="Times New Roman" w:cstheme="minorHAnsi"/>
          <w:i/>
          <w:iCs/>
          <w:color w:val="000000"/>
          <w:lang w:eastAsia="en-GB"/>
        </w:rPr>
        <w:t>timing</w:t>
      </w:r>
      <w:r w:rsidRPr="009B3747">
        <w:rPr>
          <w:rFonts w:eastAsia="Times New Roman" w:cstheme="minorHAnsi"/>
          <w:color w:val="000000"/>
          <w:lang w:eastAsia="en-GB"/>
        </w:rPr>
        <w:t xml:space="preserve"> and order of the strands</w:t>
      </w:r>
      <w:r w:rsidR="00273991">
        <w:rPr>
          <w:rFonts w:eastAsia="Times New Roman" w:cstheme="minorHAnsi"/>
          <w:color w:val="000000"/>
          <w:lang w:eastAsia="en-GB"/>
        </w:rPr>
        <w:t>,</w:t>
      </w:r>
      <w:r w:rsidRPr="009B3747">
        <w:rPr>
          <w:rFonts w:eastAsia="Times New Roman" w:cstheme="minorHAnsi"/>
          <w:color w:val="000000"/>
          <w:lang w:eastAsia="en-GB"/>
        </w:rPr>
        <w:t xml:space="preserve"> i.e. the temporal relationship between the quantitative and qualitative strands?</w:t>
      </w:r>
    </w:p>
    <w:p w:rsidR="003F1507" w:rsidRPr="009B3747" w:rsidRDefault="003F1507" w:rsidP="00C27072">
      <w:pPr>
        <w:numPr>
          <w:ilvl w:val="0"/>
          <w:numId w:val="33"/>
        </w:numPr>
        <w:textAlignment w:val="baseline"/>
        <w:rPr>
          <w:rFonts w:eastAsia="Times New Roman" w:cstheme="minorHAnsi"/>
          <w:color w:val="000000"/>
          <w:lang w:eastAsia="en-GB"/>
        </w:rPr>
      </w:pPr>
      <w:r w:rsidRPr="009B3747">
        <w:rPr>
          <w:rFonts w:eastAsia="Times New Roman" w:cstheme="minorHAnsi"/>
          <w:color w:val="000000"/>
          <w:lang w:eastAsia="en-GB"/>
        </w:rPr>
        <w:t xml:space="preserve">What is the approach and procedures for </w:t>
      </w:r>
      <w:r w:rsidRPr="009B3747">
        <w:rPr>
          <w:rFonts w:eastAsia="Times New Roman" w:cstheme="minorHAnsi"/>
          <w:i/>
          <w:iCs/>
          <w:color w:val="000000"/>
          <w:lang w:eastAsia="en-GB"/>
        </w:rPr>
        <w:t>mixing</w:t>
      </w:r>
      <w:r w:rsidRPr="009B3747">
        <w:rPr>
          <w:rFonts w:eastAsia="Times New Roman" w:cstheme="minorHAnsi"/>
          <w:color w:val="000000"/>
          <w:lang w:eastAsia="en-GB"/>
        </w:rPr>
        <w:t xml:space="preserve"> the quantitative and qualitative strands</w:t>
      </w:r>
      <w:r w:rsidR="00273991">
        <w:rPr>
          <w:rFonts w:eastAsia="Times New Roman" w:cstheme="minorHAnsi"/>
          <w:color w:val="000000"/>
          <w:lang w:eastAsia="en-GB"/>
        </w:rPr>
        <w:t>,</w:t>
      </w:r>
      <w:r w:rsidRPr="009B3747">
        <w:rPr>
          <w:rFonts w:eastAsia="Times New Roman" w:cstheme="minorHAnsi"/>
          <w:color w:val="000000"/>
          <w:lang w:eastAsia="en-GB"/>
        </w:rPr>
        <w:t xml:space="preserve"> i.e. the point of interface where integration occurs?</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In conjunction with academic supervision, the researcher systematically discussed each of the four decisions points and six research designs</w:t>
      </w:r>
      <w:r w:rsidR="006B3249">
        <w:rPr>
          <w:rFonts w:eastAsia="Times New Roman" w:cstheme="minorHAnsi"/>
          <w:color w:val="000000"/>
          <w:lang w:eastAsia="en-GB"/>
        </w:rPr>
        <w:t>,</w:t>
      </w:r>
      <w:r w:rsidRPr="009B3747">
        <w:rPr>
          <w:rFonts w:eastAsia="Times New Roman" w:cstheme="minorHAnsi"/>
          <w:color w:val="000000"/>
          <w:lang w:eastAsia="en-GB"/>
        </w:rPr>
        <w:t xml:space="preserve"> whilst reflecting on the proposed research question, aims and objectives.  Central to these discussions was the issue that a lack of a suitable quantitative instrument (i.e. a survey) or indeed literature relevant to the proposed research question existed.  Therefore the core and overarching priority for this mixed methods study was to undertake a qualitative exploration, with the quantitative element performing a supplementary or follow-up function.  It was proposed that by undertaking the qualitative phase first, the resultant findings could then be utilised to inform the development of an approp</w:t>
      </w:r>
      <w:r w:rsidR="00AB5B41">
        <w:rPr>
          <w:rFonts w:eastAsia="Times New Roman" w:cstheme="minorHAnsi"/>
          <w:color w:val="000000"/>
          <w:lang w:eastAsia="en-GB"/>
        </w:rPr>
        <w:t xml:space="preserve">riate instrument for use in the </w:t>
      </w:r>
      <w:r w:rsidRPr="009B3747">
        <w:rPr>
          <w:rFonts w:eastAsia="Times New Roman" w:cstheme="minorHAnsi"/>
          <w:color w:val="000000"/>
          <w:lang w:eastAsia="en-GB"/>
        </w:rPr>
        <w:t>quantitative phase.  Furthermore, it was envisaged that by employing this quantitative instrument within a supplementary phase, it would support the ability to demonstrate whether the obtained qualitative findings have relevance beyond the original qualitative sample</w:t>
      </w:r>
      <w:r w:rsidR="00273991">
        <w:rPr>
          <w:rFonts w:eastAsia="Times New Roman" w:cstheme="minorHAnsi"/>
          <w:color w:val="000000"/>
          <w:lang w:eastAsia="en-GB"/>
        </w:rPr>
        <w:t>,</w:t>
      </w:r>
      <w:r w:rsidRPr="009B3747">
        <w:rPr>
          <w:rFonts w:eastAsia="Times New Roman" w:cstheme="minorHAnsi"/>
          <w:color w:val="000000"/>
          <w:lang w:eastAsia="en-GB"/>
        </w:rPr>
        <w:t xml:space="preserve"> i.e. provide additional evidence to support qualitative findings.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E7387C" w:rsidRPr="009B3747" w:rsidRDefault="003F1507" w:rsidP="003F1507">
      <w:pPr>
        <w:rPr>
          <w:rFonts w:eastAsia="Times New Roman" w:cstheme="minorHAnsi"/>
          <w:color w:val="000000"/>
          <w:lang w:eastAsia="en-GB"/>
        </w:rPr>
      </w:pPr>
      <w:r w:rsidRPr="009B3747">
        <w:rPr>
          <w:rFonts w:eastAsia="Times New Roman" w:cstheme="minorHAnsi"/>
          <w:color w:val="000000"/>
          <w:lang w:eastAsia="en-GB"/>
        </w:rPr>
        <w:t>Given these specific requirements, upon reviewing</w:t>
      </w:r>
      <w:r w:rsidR="00A12CF2" w:rsidRPr="009B3747">
        <w:rPr>
          <w:rFonts w:eastAsia="Times New Roman" w:cstheme="minorHAnsi"/>
          <w:color w:val="000000"/>
          <w:lang w:eastAsia="en-GB"/>
        </w:rPr>
        <w:t xml:space="preserve"> </w:t>
      </w:r>
      <w:r w:rsidR="00A12CF2"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"ISBN" : "9781412975179", "abstract" : "2nd ed. \"Combining the latest thinking about mixed methods research designs with practical, step-by-step guidance, the Second Edition of Designing and Conducting Mixed Methods Research now covers six major mixed methods designs. Authors John W. Creswell and Vicki L. Plano Clark walk readers through the entire research process, from formulating questions to designing, collecting data, and interpreting results and include updated examples from published mixed methods studies drawn from the social, behavioral, health, and education disciplines.\"--Pub. desc. The nature of mixed methods research -- The foundations of mixed methods research -- Choosing a mixed methods design -- Examples of mixed methods designs -- Introducing a mixed methods study -- Collecting data in mixed methods research -- Analyzing and interpreting data in mixed methods research -- Writing and evaluating mixed methods research -- Summary and recommendations.", "author" : [ { "dropping-particle" : "", "family" : "Creswell", "given" : "John W.", "non-dropping-particle" : "", "parse-names" : false, "suffix" : "" }, { "dropping-particle" : "", "family" : "Plano Clark", "given" : "Vicki L.", "non-dropping-particle" : "", "parse-names" : false, "suffix" : "" } ], "edition" : "2nd", "id" : "ITEM-1", "issued" : { "date-parts" : [ [ "2011" ] ] }, "number-of-pages" : "457", "publisher" : "SAGE Publications", "publisher-place" : "Thousand Oaks", "title" : "Designing and conducting mixed methods research", "type" : "book" }, "uris" : [ "http://www.mendeley.com/documents/?uuid=7cf67537-d009-3386-be02-c159c4f6ff80" ] } ], "mendeley" : { "formattedCitation" : "(Creswell and Plano Clark, 2011)", "manualFormatting" : "Creswell and Plano Clark (2011)", "plainTextFormattedCitation" : "(Creswell and Plano Clark, 2011)", "previouslyFormattedCitation" : "(Creswell and Plano Clark, 2011)" }, "properties" : { "noteIndex" : 0 }, "schema" : "https://github.com/citation-style-language/schema/raw/master/csl-citation.json" }</w:instrText>
      </w:r>
      <w:r w:rsidR="00A12CF2" w:rsidRPr="009B3747">
        <w:rPr>
          <w:rFonts w:eastAsia="Times New Roman" w:cstheme="minorHAnsi"/>
          <w:color w:val="000000"/>
          <w:lang w:eastAsia="en-GB"/>
        </w:rPr>
        <w:fldChar w:fldCharType="separate"/>
      </w:r>
      <w:r w:rsidR="00A12CF2" w:rsidRPr="009B3747">
        <w:rPr>
          <w:rFonts w:eastAsia="Times New Roman" w:cstheme="minorHAnsi"/>
          <w:noProof/>
          <w:color w:val="000000"/>
          <w:lang w:eastAsia="en-GB"/>
        </w:rPr>
        <w:t>Creswell and Plano Clark (2011)</w:t>
      </w:r>
      <w:r w:rsidR="00A12CF2" w:rsidRPr="009B3747">
        <w:rPr>
          <w:rFonts w:eastAsia="Times New Roman" w:cstheme="minorHAnsi"/>
          <w:color w:val="000000"/>
          <w:lang w:eastAsia="en-GB"/>
        </w:rPr>
        <w:fldChar w:fldCharType="end"/>
      </w:r>
      <w:r w:rsidR="00A12CF2"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typology, the most appropriate mixed methods research design for this doctoral study was identified as the exploratory sequential design.  This design, and a primary motivation for </w:t>
      </w:r>
      <w:r w:rsidR="001D6EEB" w:rsidRPr="009B3747">
        <w:rPr>
          <w:rFonts w:eastAsia="Times New Roman" w:cstheme="minorHAnsi"/>
          <w:color w:val="000000"/>
          <w:lang w:eastAsia="en-GB"/>
        </w:rPr>
        <w:t>its existence</w:t>
      </w:r>
      <w:r w:rsidR="00273991">
        <w:rPr>
          <w:rFonts w:eastAsia="Times New Roman" w:cstheme="minorHAnsi"/>
          <w:color w:val="000000"/>
          <w:lang w:eastAsia="en-GB"/>
        </w:rPr>
        <w:t>,</w:t>
      </w:r>
      <w:r w:rsidR="001D6EEB" w:rsidRPr="009B3747">
        <w:rPr>
          <w:rFonts w:eastAsia="Times New Roman" w:cstheme="minorHAnsi"/>
          <w:color w:val="000000"/>
          <w:lang w:eastAsia="en-GB"/>
        </w:rPr>
        <w:t xml:space="preserve"> i.e. developing a survey</w:t>
      </w:r>
      <w:r w:rsidRPr="009B3747">
        <w:rPr>
          <w:rFonts w:eastAsia="Times New Roman" w:cstheme="minorHAnsi"/>
          <w:color w:val="000000"/>
          <w:lang w:eastAsia="en-GB"/>
        </w:rPr>
        <w:t>, is comparable to other mixed methods designs within alternative typologies</w:t>
      </w:r>
      <w:r w:rsidR="00A12CF2" w:rsidRPr="009B3747">
        <w:rPr>
          <w:rFonts w:eastAsia="Times New Roman" w:cstheme="minorHAnsi"/>
          <w:color w:val="000000"/>
          <w:lang w:eastAsia="en-GB"/>
        </w:rPr>
        <w:t xml:space="preserve"> </w:t>
      </w:r>
      <w:r w:rsidR="00A12CF2" w:rsidRPr="009B3747">
        <w:rPr>
          <w:rFonts w:eastAsia="Times New Roman" w:cstheme="minorHAnsi"/>
          <w:color w:val="000000"/>
          <w:lang w:eastAsia="en-GB"/>
        </w:rPr>
        <w:fldChar w:fldCharType="begin" w:fldLock="1"/>
      </w:r>
      <w:r w:rsidR="00C83875" w:rsidRPr="009B3747">
        <w:rPr>
          <w:rFonts w:eastAsia="Times New Roman" w:cstheme="minorHAnsi"/>
          <w:color w:val="000000"/>
          <w:lang w:eastAsia="en-GB"/>
        </w:rPr>
        <w:instrText>ADDIN CSL_CITATION { "citationItems" : [ { "id" : "ITEM-1", "itemData" : { "author" : [ { "dropping-particle" : "", "family" : "Greene", "given" : "JC", "non-dropping-particle" : "", "parse-names" : false, "suffix" : "" } ], "container-title" : "Educational evaluation and \u2026", "id" : "ITEM-1", "issued" : { "date-parts" : [ [ "1989" ] ] }, "title" : "Toward a conceptual framework for mixed-method evaluation designs", "type" : "article-journal" }, "uris" : [ "http://www.mendeley.com/documents/?uuid=ea00d3e4-b94c-4da5-829e-0462926783c9" ] }, { "id" : "ITEM-2", "itemData" : { "author" : [ { "dropping-particle" : "", "family" : "Teddlie", "given" : "C", "non-dropping-particle" : "", "parse-names" : false, "suffix" : "" }, { "dropping-particle" : "", "family" : "Tashakkori", "given" : "A", "non-dropping-particle" : "", "parse-names" : false, "suffix" : "" } ], "id" : "ITEM-2", "issued" : { "date-parts" : [ [ "2009" ] ] }, "publisher" : "SAGE Publications Inc.", "publisher-place" : "Thousand Oaks", "title" : "Foundations of mixed methods research: Integrating quantitative and qualitative approaches in the social and behavioral sciences", "type" : "book" }, "uris" : [ "http://www.mendeley.com/documents/?uuid=bbf94a8b-67b4-494f-92ca-828dd65fa45c" ] }, { "id" : "ITEM-3", "itemData" : { "ISBN" : "9780761915232", "abstract" : "\"This is a book about research design. In particular, it is about research designs for projects that collect both qualitative and quantitative data, so that their combined strengths will accomplish more than would have been possible with any one method. The approach presented here is broadly interdisciplinary, because Mixed Methods Research has interested social scientists from a great many fields, including: Anthropology, Communication, Criminal Justice, Education, Evaluation, Nursing, Organizational Behavior, Psychology, Political Science, Public Administration, Public Health, Sociology, Social Work, and Urban Studies. Because this book emphasizes practical research designs, it will be most useful to practicing researchers -- including both students who intend to pursue such a career and those who already devote their energy to collecting and analyzing data. Whether you are a student or a more experienced researcher, you will learn how Mixed Methods Research gets done in the real world.\"--Publisher's website. Part 1: The Logic of Mixed Methods Research. An Introduction and Overview ; Pragmatism as a Paradigm for Mixed Methods Research ; Research Design and Research Methods ; Motivations for Using Mixed Methods Research ; The Sequential Priorities Model -- Part 2: Four Basic Designs. Preliminary Qualitative Inputs to Core Quantitative Research Projects ; Preliminary Quantitative inputs to Core Qualitative Research Projects ; Follow-up Qualitative Extensions to Core Quantitative Research Projects ; Follow-up Quantitative Extensions to Core Qualitative Research Projects -- Part 3: Additional issues. Multipart Sequential Designs ; Finding the Expertise to Combine Multiple Methods ; Conclusions: Further Thoughts About Research Design.", "author" : [ { "dropping-particle" : "", "family" : "Morgan", "given" : "D", "non-dropping-particle" : "", "parse-names" : false, "suffix" : "" } ], "container-title" : "Integrating Qualitative and Quantitative Methods: a pragmatic approach", "id" : "ITEM-3", "issued" : { "date-parts" : [ [ "2013" ] ] }, "number-of-pages" : "269", "publisher" : "SAGE Publications Inc.", "publisher-place" : "Thousand Oaks", "title" : "Integrating qualitative and quantitative methods : a pragmatic approach", "type" : "book" }, "uris" : [ "http://www.mendeley.com/documents/?uuid=62b9d9ab-42af-4799-bcae-203e0dd4cff3" ] } ], "mendeley" : { "formattedCitation" : "(Greene, 1989; Teddlie and Tashakkori, 2009; Morgan, 2013)", "plainTextFormattedCitation" : "(Greene, 1989; Teddlie and Tashakkori, 2009; Morgan, 2013)", "previouslyFormattedCitation" : "(Greene, 1989; Teddlie and Tashakkori, 2009; Morgan, 2013)" }, "properties" : { "noteIndex" : 0 }, "schema" : "https://github.com/citation-style-language/schema/raw/master/csl-citation.json" }</w:instrText>
      </w:r>
      <w:r w:rsidR="00A12CF2" w:rsidRPr="009B3747">
        <w:rPr>
          <w:rFonts w:eastAsia="Times New Roman" w:cstheme="minorHAnsi"/>
          <w:color w:val="000000"/>
          <w:lang w:eastAsia="en-GB"/>
        </w:rPr>
        <w:fldChar w:fldCharType="separate"/>
      </w:r>
      <w:r w:rsidR="00395650" w:rsidRPr="009B3747">
        <w:rPr>
          <w:rFonts w:eastAsia="Times New Roman" w:cstheme="minorHAnsi"/>
          <w:noProof/>
          <w:color w:val="000000"/>
          <w:lang w:eastAsia="en-GB"/>
        </w:rPr>
        <w:t>(Greene, 1989; Teddlie and Tashakkori, 2009; Morgan, 2013)</w:t>
      </w:r>
      <w:r w:rsidR="00A12CF2" w:rsidRPr="009B3747">
        <w:rPr>
          <w:rFonts w:eastAsia="Times New Roman" w:cstheme="minorHAnsi"/>
          <w:color w:val="000000"/>
          <w:lang w:eastAsia="en-GB"/>
        </w:rPr>
        <w:fldChar w:fldCharType="end"/>
      </w:r>
      <w:r w:rsidR="00A12CF2" w:rsidRPr="009B3747">
        <w:rPr>
          <w:rFonts w:eastAsia="Times New Roman" w:cstheme="minorHAnsi"/>
          <w:color w:val="000000"/>
          <w:lang w:eastAsia="en-GB"/>
        </w:rPr>
        <w:t xml:space="preserve">.  </w:t>
      </w:r>
      <w:r w:rsidRPr="009B3747">
        <w:rPr>
          <w:rFonts w:eastAsia="Times New Roman" w:cstheme="minorHAnsi"/>
          <w:color w:val="000000"/>
          <w:lang w:eastAsia="en-GB"/>
        </w:rPr>
        <w:t>For example, in</w:t>
      </w:r>
      <w:r w:rsidR="00A12CF2" w:rsidRPr="009B3747">
        <w:rPr>
          <w:rFonts w:eastAsia="Times New Roman" w:cstheme="minorHAnsi"/>
          <w:color w:val="000000"/>
          <w:lang w:eastAsia="en-GB"/>
        </w:rPr>
        <w:t xml:space="preserve"> </w:t>
      </w:r>
      <w:r w:rsidR="00A12CF2" w:rsidRPr="009B3747">
        <w:rPr>
          <w:rFonts w:eastAsia="Times New Roman" w:cstheme="minorHAnsi"/>
          <w:color w:val="000000"/>
          <w:lang w:eastAsia="en-GB"/>
        </w:rPr>
        <w:fldChar w:fldCharType="begin" w:fldLock="1"/>
      </w:r>
      <w:r w:rsidR="00A84723" w:rsidRPr="009B3747">
        <w:rPr>
          <w:rFonts w:eastAsia="Times New Roman" w:cstheme="minorHAnsi"/>
          <w:color w:val="000000"/>
          <w:lang w:eastAsia="en-GB"/>
        </w:rPr>
        <w:instrText>ADDIN CSL_CITATION { "citationItems" : [ { "id" : "ITEM-1", "itemData" : { "ISBN" : "9780761915232", "abstract" : "\"This is a book about research design. In particular, it is about research designs for projects that collect both qualitative and quantitative data, so that their combined strengths will accomplish more than would have been possible with any one method. The approach presented here is broadly interdisciplinary, because Mixed Methods Research has interested social scientists from a great many fields, including: Anthropology, Communication, Criminal Justice, Education, Evaluation, Nursing, Organizational Behavior, Psychology, Political Science, Public Administration, Public Health, Sociology, Social Work, and Urban Studies. Because this book emphasizes practical research designs, it will be most useful to practicing researchers -- including both students who intend to pursue such a career and those who already devote their energy to collecting and analyzing data. Whether you are a student or a more experienced researcher, you will learn how Mixed Methods Research gets done in the real world.\"--Publisher's website. Part 1: The Logic of Mixed Methods Research. An Introduction and Overview ; Pragmatism as a Paradigm for Mixed Methods Research ; Research Design and Research Methods ; Motivations for Using Mixed Methods Research ; The Sequential Priorities Model -- Part 2: Four Basic Designs. Preliminary Qualitative Inputs to Core Quantitative Research Projects ; Preliminary Quantitative inputs to Core Qualitative Research Projects ; Follow-up Qualitative Extensions to Core Quantitative Research Projects ; Follow-up Quantitative Extensions to Core Qualitative Research Projects -- Part 3: Additional issues. Multipart Sequential Designs ; Finding the Expertise to Combine Multiple Methods ; Conclusions: Further Thoughts About Research Design.", "author" : [ { "dropping-particle" : "", "family" : "Morgan", "given" : "D", "non-dropping-particle" : "", "parse-names" : false, "suffix" : "" } ], "container-title" : "Integrating Qualitative and Quantitative Methods: a pragmatic approach", "id" : "ITEM-1", "issued" : { "date-parts" : [ [ "2013" ] ] }, "number-of-pages" : "269", "publisher" : "SAGE Publications Inc.", "publisher-place" : "Thousand Oaks", "title" : "Integrating qualitative and quantitative methods : a pragmatic approach", "type" : "book" }, "uris" : [ "http://www.mendeley.com/documents/?uuid=62b9d9ab-42af-4799-bcae-203e0dd4cff3" ] } ], "mendeley" : { "formattedCitation" : "(Morgan, 2013)", "manualFormatting" : "Morgan's (2014)", "plainTextFormattedCitation" : "(Morgan, 2013)", "previouslyFormattedCitation" : "(Morgan, 2013)" }, "properties" : { "noteIndex" : 0 }, "schema" : "https://github.com/citation-style-language/schema/raw/master/csl-citation.json" }</w:instrText>
      </w:r>
      <w:r w:rsidR="00A12CF2" w:rsidRPr="009B3747">
        <w:rPr>
          <w:rFonts w:eastAsia="Times New Roman" w:cstheme="minorHAnsi"/>
          <w:color w:val="000000"/>
          <w:lang w:eastAsia="en-GB"/>
        </w:rPr>
        <w:fldChar w:fldCharType="separate"/>
      </w:r>
      <w:r w:rsidR="00A12CF2" w:rsidRPr="009B3747">
        <w:rPr>
          <w:rFonts w:eastAsia="Times New Roman" w:cstheme="minorHAnsi"/>
          <w:noProof/>
          <w:color w:val="000000"/>
          <w:lang w:eastAsia="en-GB"/>
        </w:rPr>
        <w:t>Morgan's (2014)</w:t>
      </w:r>
      <w:r w:rsidR="00A12CF2" w:rsidRPr="009B3747">
        <w:rPr>
          <w:rFonts w:eastAsia="Times New Roman" w:cstheme="minorHAnsi"/>
          <w:color w:val="000000"/>
          <w:lang w:eastAsia="en-GB"/>
        </w:rPr>
        <w:fldChar w:fldCharType="end"/>
      </w:r>
      <w:r w:rsidR="00A12CF2" w:rsidRPr="009B3747">
        <w:rPr>
          <w:rFonts w:eastAsia="Times New Roman" w:cstheme="minorHAnsi"/>
          <w:color w:val="000000"/>
          <w:lang w:eastAsia="en-GB"/>
        </w:rPr>
        <w:t xml:space="preserve"> </w:t>
      </w:r>
      <w:r w:rsidRPr="009B3747">
        <w:rPr>
          <w:rFonts w:eastAsia="Times New Roman" w:cstheme="minorHAnsi"/>
          <w:color w:val="000000"/>
          <w:lang w:eastAsia="en-GB"/>
        </w:rPr>
        <w:lastRenderedPageBreak/>
        <w:t>‘Sequential Priorities Model’, the ‘Follow-up Quantitative Extension’ design, similar to the exploratory sequential design, prioritises a core qualitative phase with the quantitative method performing a supplementary function having been typically developed from the qualitative findings.  </w:t>
      </w:r>
    </w:p>
    <w:p w:rsidR="00E7387C" w:rsidRPr="009B3747" w:rsidRDefault="00E7387C" w:rsidP="003F1507">
      <w:pPr>
        <w:rPr>
          <w:rFonts w:eastAsia="Times New Roman" w:cstheme="minorHAnsi"/>
          <w:color w:val="000000"/>
          <w:lang w:eastAsia="en-GB"/>
        </w:rPr>
      </w:pP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 xml:space="preserve">Within </w:t>
      </w:r>
      <w:r w:rsidR="00A12CF2"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"Creswell", "given" : "JW", "non-dropping-particle" : "", "parse-names" : false, "suffix" : "" }, { "dropping-particle" : "", "family" : "Clark", "given" : "VLP", "non-dropping-particle" : "", "parse-names" : false, "suffix" : "" } ], "edition" : "1st", "id" : "ITEM-1", "issued" : { "date-parts" : [ [ "2007" ] ] }, "publisher" : "SAGE Publications Inc.", "publisher-place" : "Thousand Oaks", "title" : "Designing and conducting mixed methods research", "type" : "book" }, "uris" : [ "http://www.mendeley.com/documents/?uuid=450730c4-cfe7-4ef3-acc5-a7ca4306febf" ] } ], "mendeley" : { "formattedCitation" : "(Creswell and Clark, 2007)", "manualFormatting" : "Creswell and Clark's (2011)", "plainTextFormattedCitation" : "(Creswell and Clark, 2007)", "previouslyFormattedCitation" : "(Creswell and Clark, 2007)" }, "properties" : { "noteIndex" : 0 }, "schema" : "https://github.com/citation-style-language/schema/raw/master/csl-citation.json" }</w:instrText>
      </w:r>
      <w:r w:rsidR="00A12CF2" w:rsidRPr="009B3747">
        <w:rPr>
          <w:rFonts w:eastAsia="Times New Roman" w:cstheme="minorHAnsi"/>
          <w:color w:val="000000"/>
          <w:lang w:eastAsia="en-GB"/>
        </w:rPr>
        <w:fldChar w:fldCharType="separate"/>
      </w:r>
      <w:r w:rsidR="00A12CF2" w:rsidRPr="009B3747">
        <w:rPr>
          <w:rFonts w:eastAsia="Times New Roman" w:cstheme="minorHAnsi"/>
          <w:noProof/>
          <w:color w:val="000000"/>
          <w:lang w:eastAsia="en-GB"/>
        </w:rPr>
        <w:t>Creswell and Clark's (2011)</w:t>
      </w:r>
      <w:r w:rsidR="00A12CF2"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typology, the exploratory sequential design was the only research design that enabled a qualitative methodological focus to be prioritised, each phas</w:t>
      </w:r>
      <w:r w:rsidR="006B3249">
        <w:rPr>
          <w:rFonts w:eastAsia="Times New Roman" w:cstheme="minorHAnsi"/>
          <w:color w:val="000000"/>
          <w:lang w:eastAsia="en-GB"/>
        </w:rPr>
        <w:t xml:space="preserve">e to be undertaken sequentially, </w:t>
      </w:r>
      <w:r w:rsidRPr="009B3747">
        <w:rPr>
          <w:rFonts w:eastAsia="Times New Roman" w:cstheme="minorHAnsi"/>
          <w:color w:val="000000"/>
          <w:lang w:eastAsia="en-GB"/>
        </w:rPr>
        <w:t>and crucially for this study facilitated the developed of an instrument between phases.  In addition, having distinct and sequentially performed phases meant the exploratory sequential design was a straightforward choice for a novice-mixed methods researcher, in comparison to implementing more complex mixed-methods designs</w:t>
      </w:r>
      <w:r w:rsidR="001D6EEB" w:rsidRPr="009B3747">
        <w:rPr>
          <w:rFonts w:eastAsia="Times New Roman" w:cstheme="minorHAnsi"/>
          <w:color w:val="000000"/>
          <w:lang w:eastAsia="en-GB"/>
        </w:rPr>
        <w:t xml:space="preserve"> </w:t>
      </w:r>
      <w:r w:rsidR="001D6EEB"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"Creswell", "given" : "JW", "non-dropping-particle" : "", "parse-names" : false, "suffix" : "" } ], "edition" : "4th", "id" : "ITEM-1", "issued" : { "date-parts" : [ [ "2013" ] ] }, "publisher" : "SAGE Publications Inc.", "publisher-place" : "Los Angeles", "title" : "Research design: Qualitative, quantitative, and mixed methods approaches", "type" : "book" }, "uris" : [ "http://www.mendeley.com/documents/?uuid=c87311ab-131f-4fb8-99d2-ce0c3deef686" ] } ], "mendeley" : { "formattedCitation" : "(Creswell, 2013)", "plainTextFormattedCitation" : "(Creswell, 2013)", "previouslyFormattedCitation" : "(Creswell, 2013)" }, "properties" : { "noteIndex" : 0 }, "schema" : "https://github.com/citation-style-language/schema/raw/master/csl-citation.json" }</w:instrText>
      </w:r>
      <w:r w:rsidR="001D6EEB" w:rsidRPr="009B3747">
        <w:rPr>
          <w:rFonts w:eastAsia="Times New Roman" w:cstheme="minorHAnsi"/>
          <w:color w:val="000000"/>
          <w:lang w:eastAsia="en-GB"/>
        </w:rPr>
        <w:fldChar w:fldCharType="separate"/>
      </w:r>
      <w:r w:rsidR="001D6EEB" w:rsidRPr="009B3747">
        <w:rPr>
          <w:rFonts w:eastAsia="Times New Roman" w:cstheme="minorHAnsi"/>
          <w:noProof/>
          <w:color w:val="000000"/>
          <w:lang w:eastAsia="en-GB"/>
        </w:rPr>
        <w:t>(Creswell, 2013)</w:t>
      </w:r>
      <w:r w:rsidR="001D6EEB" w:rsidRPr="009B3747">
        <w:rPr>
          <w:rFonts w:eastAsia="Times New Roman" w:cstheme="minorHAnsi"/>
          <w:color w:val="000000"/>
          <w:lang w:eastAsia="en-GB"/>
        </w:rPr>
        <w:fldChar w:fldCharType="end"/>
      </w:r>
      <w:r w:rsidRPr="009B3747">
        <w:rPr>
          <w:rFonts w:eastAsia="Times New Roman" w:cstheme="minorHAnsi"/>
          <w:color w:val="000000"/>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AD02BD" w:rsidRPr="009B3747" w:rsidRDefault="003F1507" w:rsidP="003F1507">
      <w:pPr>
        <w:rPr>
          <w:rFonts w:eastAsia="Times New Roman" w:cstheme="minorHAnsi"/>
          <w:color w:val="000000"/>
          <w:lang w:eastAsia="en-GB"/>
        </w:rPr>
      </w:pPr>
      <w:r w:rsidRPr="009B3747">
        <w:rPr>
          <w:rFonts w:eastAsia="Times New Roman" w:cstheme="minorHAnsi"/>
          <w:color w:val="000000"/>
          <w:lang w:eastAsia="en-GB"/>
        </w:rPr>
        <w:t>In respect to the remaining five research designs within the chosen typology, three were discounted due to either placing equal emphasis on the qualitative and quantitative strands (i.e. convergent parallel and multiphase) or greater priority on the quantitative element (explanatory sequential).  Two of the same discounted designs were further confirmed as inappropriate for this study given that they either adopted concurrent timing (convergent parallel) or were undertaken sequentially</w:t>
      </w:r>
      <w:r w:rsidR="00281979">
        <w:rPr>
          <w:rFonts w:eastAsia="Times New Roman" w:cstheme="minorHAnsi"/>
          <w:color w:val="000000"/>
          <w:lang w:eastAsia="en-GB"/>
        </w:rPr>
        <w:t xml:space="preserve">, </w:t>
      </w:r>
      <w:r w:rsidRPr="009B3747">
        <w:rPr>
          <w:rFonts w:eastAsia="Times New Roman" w:cstheme="minorHAnsi"/>
          <w:color w:val="000000"/>
          <w:lang w:eastAsia="en-GB"/>
        </w:rPr>
        <w:t>but led with a quantitative instead of qualitative phase (explanatory sequential).  </w:t>
      </w:r>
    </w:p>
    <w:p w:rsidR="00AD02BD" w:rsidRPr="009B3747" w:rsidRDefault="00AD02BD" w:rsidP="003F1507">
      <w:pPr>
        <w:rPr>
          <w:rFonts w:eastAsia="Times New Roman" w:cstheme="minorHAnsi"/>
          <w:color w:val="000000"/>
          <w:lang w:eastAsia="en-GB"/>
        </w:rPr>
      </w:pP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Finally, recognition of the researchers novice status in relation to employing mixed methods, meant that a previously disregarded design (multi</w:t>
      </w:r>
      <w:r w:rsidR="006B3249">
        <w:rPr>
          <w:rFonts w:eastAsia="Times New Roman" w:cstheme="minorHAnsi"/>
          <w:color w:val="000000"/>
          <w:lang w:eastAsia="en-GB"/>
        </w:rPr>
        <w:t>phase),</w:t>
      </w:r>
      <w:r w:rsidRPr="009B3747">
        <w:rPr>
          <w:rFonts w:eastAsia="Times New Roman" w:cstheme="minorHAnsi"/>
          <w:color w:val="000000"/>
          <w:lang w:eastAsia="en-GB"/>
        </w:rPr>
        <w:t xml:space="preserve"> and the two remaining designs were discounted (transformative and embedded).  Argued to be advanced strategies for mixed methods researchers (Creswell, 2014), these designs require additional and complex elements into their overall study procedures</w:t>
      </w:r>
      <w:r w:rsidR="00273991">
        <w:rPr>
          <w:rFonts w:eastAsia="Times New Roman" w:cstheme="minorHAnsi"/>
          <w:color w:val="000000"/>
          <w:lang w:eastAsia="en-GB"/>
        </w:rPr>
        <w:t>,</w:t>
      </w:r>
      <w:r w:rsidRPr="009B3747">
        <w:rPr>
          <w:rFonts w:eastAsia="Times New Roman" w:cstheme="minorHAnsi"/>
          <w:color w:val="000000"/>
          <w:lang w:eastAsia="en-GB"/>
        </w:rPr>
        <w:t xml:space="preserve"> i.e. the use of a theoretical-based framework (transformative) or the administering of several mixed methods projects (multiphase).</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The necessity and appropriateness of the researchers design choice (i.e. exploratory sequential) and the discounting of the remaining five designs was confirmed during a ‘one-to-one expert session’ with the aforementioned Professor Alicia O’Cathain (O’Cathain, Personal communication, 2015).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F74CA0" w:rsidP="003F1507">
      <w:pPr>
        <w:rPr>
          <w:rFonts w:eastAsia="Times New Roman" w:cstheme="minorHAnsi"/>
          <w:sz w:val="24"/>
          <w:szCs w:val="24"/>
          <w:lang w:eastAsia="en-GB"/>
        </w:rPr>
      </w:pPr>
      <w:r w:rsidRPr="009B3747">
        <w:rPr>
          <w:rFonts w:eastAsia="Times New Roman" w:cstheme="minorHAnsi"/>
          <w:color w:val="000000"/>
          <w:u w:val="single"/>
          <w:lang w:eastAsia="en-GB"/>
        </w:rPr>
        <w:t>4.3</w:t>
      </w:r>
      <w:r w:rsidR="008D4C53" w:rsidRPr="009B3747">
        <w:rPr>
          <w:rFonts w:eastAsia="Times New Roman" w:cstheme="minorHAnsi"/>
          <w:color w:val="000000"/>
          <w:u w:val="single"/>
          <w:lang w:eastAsia="en-GB"/>
        </w:rPr>
        <w:t>.2.1</w:t>
      </w:r>
      <w:r w:rsidRPr="009B3747">
        <w:rPr>
          <w:rFonts w:eastAsia="Times New Roman" w:cstheme="minorHAnsi"/>
          <w:color w:val="000000"/>
          <w:u w:val="single"/>
          <w:lang w:eastAsia="en-GB"/>
        </w:rPr>
        <w:t xml:space="preserve"> </w:t>
      </w:r>
      <w:r w:rsidR="00782EBA" w:rsidRPr="009B3747">
        <w:rPr>
          <w:rFonts w:eastAsia="Times New Roman" w:cstheme="minorHAnsi"/>
          <w:color w:val="000000"/>
          <w:u w:val="single"/>
          <w:lang w:eastAsia="en-GB"/>
        </w:rPr>
        <w:t>Exploratory sequential research design</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An exploratory sequential design, often referred to as an instrument development design</w:t>
      </w:r>
      <w:r w:rsidR="001D6EEB" w:rsidRPr="009B3747">
        <w:rPr>
          <w:rFonts w:eastAsia="Times New Roman" w:cstheme="minorHAnsi"/>
          <w:color w:val="000000"/>
          <w:lang w:eastAsia="en-GB"/>
        </w:rPr>
        <w:t xml:space="preserve"> </w:t>
      </w:r>
      <w:r w:rsidR="001D6EEB"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"Morgan", "given" : "DL", "non-dropping-particle" : "", "parse-names" : false, "suffix" : "" } ], "container-title" : "Qualitative health research", "id" : "ITEM-1", "issue" : "3", "issued" : { "date-parts" : [ [ "1998" ] ] }, "page" : "362-376", "title" : "Practical strategies for combining qualitative and quantitative methods: Applications to health research", "type" : "article-journal", "volume" : "8" }, "uris" : [ "http://www.mendeley.com/documents/?uuid=6cd2c4d3-10b6-4c76-83fc-e951da3499bc" ] }, { "id" : "ITEM-2", "itemData" : { "author" : [ { "dropping-particle" : "", "family" : "Creswell", "given" : "JW", "non-dropping-particle" : "", "parse-names" : false, "suffix" : "" } ], "container-title" : "The Annals of Family Medicine", "id" : "ITEM-2", "issue" : "1", "issued" : { "date-parts" : [ [ "2004" ] ] }, "page" : "7-12", "title" : "Designing a mixed methods study in primary care", "type" : "article-journal", "volume" : "2" }, "uris" : [ "http://www.mendeley.com/documents/?uuid=552e554c-7233-4086-a5df-b6c51d2b064d" ] } ], "mendeley" : { "formattedCitation" : "(Morgan, 1998; Creswell, 2004)", "plainTextFormattedCitation" : "(Morgan, 1998; Creswell, 2004)", "previouslyFormattedCitation" : "(Morgan, 1998; Creswell, 2004)" }, "properties" : { "noteIndex" : 0 }, "schema" : "https://github.com/citation-style-language/schema/raw/master/csl-citation.json" }</w:instrText>
      </w:r>
      <w:r w:rsidR="001D6EEB" w:rsidRPr="009B3747">
        <w:rPr>
          <w:rFonts w:eastAsia="Times New Roman" w:cstheme="minorHAnsi"/>
          <w:color w:val="000000"/>
          <w:lang w:eastAsia="en-GB"/>
        </w:rPr>
        <w:fldChar w:fldCharType="separate"/>
      </w:r>
      <w:r w:rsidR="001D6EEB" w:rsidRPr="009B3747">
        <w:rPr>
          <w:rFonts w:eastAsia="Times New Roman" w:cstheme="minorHAnsi"/>
          <w:noProof/>
          <w:color w:val="000000"/>
          <w:lang w:eastAsia="en-GB"/>
        </w:rPr>
        <w:t>(Morgan, 1998; Creswell, 2004)</w:t>
      </w:r>
      <w:r w:rsidR="001D6EEB" w:rsidRPr="009B3747">
        <w:rPr>
          <w:rFonts w:eastAsia="Times New Roman" w:cstheme="minorHAnsi"/>
          <w:color w:val="000000"/>
          <w:lang w:eastAsia="en-GB"/>
        </w:rPr>
        <w:fldChar w:fldCharType="end"/>
      </w:r>
      <w:r w:rsidR="009025E2">
        <w:rPr>
          <w:rFonts w:eastAsia="Times New Roman" w:cstheme="minorHAnsi"/>
          <w:color w:val="000000"/>
          <w:lang w:eastAsia="en-GB"/>
        </w:rPr>
        <w:t xml:space="preserve">, is a two-phase design, </w:t>
      </w:r>
      <w:r w:rsidRPr="009B3747">
        <w:rPr>
          <w:rFonts w:eastAsia="Times New Roman" w:cstheme="minorHAnsi"/>
          <w:color w:val="000000"/>
          <w:lang w:eastAsia="en-GB"/>
        </w:rPr>
        <w:t xml:space="preserve">which starts with a core qualitative phase and leads onto a second supplementary quantitative phase (Creswell and Clark, 2007).  The primary focus of </w:t>
      </w:r>
      <w:r w:rsidRPr="009B3747">
        <w:rPr>
          <w:rFonts w:eastAsia="Times New Roman" w:cstheme="minorHAnsi"/>
          <w:color w:val="000000"/>
          <w:lang w:eastAsia="en-GB"/>
        </w:rPr>
        <w:lastRenderedPageBreak/>
        <w:t>this model is to explore a phenomenon, rather than explaining and interpreting relationships.  Mixed methods researchers have previously demonstrated the use of the sequential exploratory design across a variety of academic fields with all deploying varying qualitative and quantitative research methods</w:t>
      </w:r>
      <w:r w:rsidR="001D6EEB" w:rsidRPr="009B3747">
        <w:rPr>
          <w:rFonts w:eastAsia="Times New Roman" w:cstheme="minorHAnsi"/>
          <w:color w:val="000000"/>
          <w:lang w:eastAsia="en-GB"/>
        </w:rPr>
        <w:t xml:space="preserve"> </w:t>
      </w:r>
      <w:r w:rsidR="001D6EEB"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"ISSN" : "1077-2928", "PMID" : "9373384", "abstract" : "Measuring only the physical markers of violence (e.g., slapping, beating) fails to capture the chronic vulnerability and gendered nature of battered women's experiences. Instruments that measure only observable discrete events may mask the continuous nature of battering and the relation between events and experience. Our approach to measuring battering operationalizes the experiences of battered women rather than the abusive behaviors they encounter. This alternative approach emphasizes the meanings battered women attach to the violence and to battering as an enduring presence in their lives. Focus groups with 22 battered women generated qualitative data for developing scale items (Smith, Tessaro, &amp; Earp, 1995) and a known-groups survey with 185 battered and 204 nonbattered women determined the final scale items. Factor analysis of 40 initial items revealed a strong single-factor solution. The resulting 10-item Women's Experiences with Battering (WEB) Scale demonstrated high internal consistency reliability, was significantly correlated with known-group status, exhibited good construct validity, and was not significantly correlated with a measure of social desirability. The WEB Scale provides researchers with a valid and concise measure for studying relations between battering and health or health behavior, as well as evaluating the impact of interventions on battered women or prevalence.", "author" : [ { "dropping-particle" : "", "family" : "Smith", "given" : "P H", "non-dropping-particle" : "", "parse-names" : false, "suffix" : "" }, { "dropping-particle" : "", "family" : "Earp", "given" : "J A", "non-dropping-particle" : "", "parse-names" : false, "suffix" : "" }, { "dropping-particle" : "", "family" : "DeVellis", "given" : "R", "non-dropping-particle" : "", "parse-names" : false, "suffix" : "" } ], "container-title" : "Women's health (Hillsdale, N.J.)", "id" : "ITEM-1", "issue" : "4", "issued" : { "date-parts" : [ [ "1995" ] ] }, "page" : "273-88", "title" : "Measuring battering: development of the Women's Experience with Battering (WEB) Scale.", "type" : "article-journal", "volume" : "1" }, "uris" : [ "http://www.mendeley.com/documents/?uuid=b146880f-8045-33e6-9c41-fd5d3e2ecec1" ] }, { "id" : "ITEM-2", "itemData" : { "DOI" : "10.1080/073993302753428438", "ISSN" : "0739-9332", "PMID" : "11822559", "abstract" : "The purpose of this study was to explore health promoting lifestyle behaviors (HPLBs) of college women in Japan. In addition, perceived health status and concerns were evaluated. The methods used were both qualitative and quantitative. The qualitative data from focus groups with 38 Japanese college women were used to develop a questionnaire. Subsequently, 546 randomly selected college women responded to the mailed survey (response rate 54%). Forty percent of the college women respondents perceived themselves as \"rather unhealthy\" or \"unhealthy.\" The investigator conclude that (1) perceived HPLBs, health status, and health concerns were mutually associated, thus, to increase perceived health status and/or decrease perceived health concerns, promoting healthy lifestyle behaviors must be considered; (2) the number of perceived motives or cues and the number of perceived health concerns of importance to college women must be considered to promote healthy lifestyle behaviors.", "author" : [ { "dropping-particle" : "", "family" : "Tashiro", "given" : "Junko", "non-dropping-particle" : "", "parse-names" : false, "suffix" : "" } ], "container-title" : "Health Care for Women International", "id" : "ITEM-2", "issue" : "1", "issued" : { "date-parts" : [ [ "2002", "1" ] ] }, "page" : "59-70", "title" : "Exploring Health Promoting Lifestyle Behaviors Of Japanese College Women: Perceptions, Practices, And Issues", "type" : "article-journal", "volume" : "23" }, "uris" : [ "http://www.mendeley.com/documents/?uuid=bab30728-4829-3a7d-a752-b279936572fb" ] }, { "id" : "ITEM-3", "itemData" : { "DOI" : "10.1016/S0022-4359(03)00007-1", "ISSN" : "00224359", "author" : [ { "dropping-particle" : "", "family" : "Arnold", "given" : "Mark J.", "non-dropping-particle" : "", "parse-names" : false, "suffix" : "" }, { "dropping-particle" : "", "family" : "Reynolds", "given" : "Kristy E.", "non-dropping-particle" : "", "parse-names" : false, "suffix" : "" } ], "container-title" : "Journal of Retailing", "id" : "ITEM-3", "issue" : "2", "issued" : { "date-parts" : [ [ "2003", "1" ] ] }, "page" : "77-95", "title" : "Hedonic shopping motivations", "type" : "article-journal", "volume" : "79" }, "uris" : [ "http://www.mendeley.com/documents/?uuid=7267e17e-2f1d-32c2-b896-7fad13b56aac" ] }, { "id" : "ITEM-4", "itemData" : { "author" : [ { "dropping-particle" : "", "family" : "Myers", "given" : "KK", "non-dropping-particle" : "", "parse-names" : false, "suffix" : "" }, { "dropping-particle" : "", "family" : "Oetzel", "given" : "JG", "non-dropping-particle" : "", "parse-names" : false, "suffix" : "" } ], "container-title" : "Communication Quarterly", "id" : "ITEM-4", "issue" : "4", "issued" : { "date-parts" : [ [ "2003" ] ] }, "page" : "438-457", "title" : "Exploring the dimensions of organizational assimilation: Creating and validating a measure", "type" : "article-journal", "volume" : "51" }, "uris" : [ "http://www.mendeley.com/documents/?uuid=770d0551-84ad-4b6f-b8f5-149178f6bdc0" ] }, { "id" : "ITEM-5", "itemData" : { "DOI" : "10.1177/0265407504044842", "ISSN" : "0265-4075", "abstract" : "The central goal of this study was to examine the construct of perceived mattering, the psychological tendency to perceive the self as significant to specific others, with regard to a romantic partner. In Study 1, data were collected from young adults involved in romantic relationships (N = 173) using open-ended survey response techniques. Findings from a qualitative analysis provided complex and rich information about young adults\u2019 perceptions of mattering to their current romantic partners. Responses were used to develop a scale that was administered in Study 2 to a sample (N = 99) of young adults in romantic relationships. Analyses indicated that the scale is internally consistent and tests of association with measures of the quality of alternatives, relationship satisfaction, and investment size offer support for the validity of the measure.", "author" : [ { "dropping-particle" : "", "family" : "Mak", "given" : "Leanne", "non-dropping-particle" : "", "parse-names" : false, "suffix" : "" }, { "dropping-particle" : "", "family" : "Marshall", "given" : "Sheila K.", "non-dropping-particle" : "", "parse-names" : false, "suffix" : "" } ], "container-title" : "Journal of Social and Personal Relationships", "id" : "ITEM-5", "issue" : "4", "issued" : { "date-parts" : [ [ "2004", "8", "29" ] ] }, "page" : "469-486", "publisher" : "Sage PublicationsSage CA: Thousand Oaks, CA", "title" : "Perceived Mattering in Young Adults? Romantic Relationships", "type" : "article-journal", "volume" : "21" }, "uris" : [ "http://www.mendeley.com/documents/?uuid=2a3edcd7-5eda-3bde-926c-8ef74ba771f8" ] }, { "id" : "ITEM-6", "itemData" : { "DOI" : "10.1177/1558689811402505", "ISSN" : "1558-6898", "abstract" : "This article outlines the process of developing a quantitative instrument and livelihood asset index. The intent of the index was to assess household perspectives of the impact of the removal of explosive remnants of war on livelihoods. Conducted in the Lao People\u2019s Democratic Republic, the study used a sequential mixed methods design. It began with a qualitative component, which informed instrument development. The article discusses the instrument development process and some of the challenges faced. These included developing a reliable livelihood asset index and finding the limitations of quantitative indexes in this setting. Another challenge was reconciling tensions in mixing methods informed by different worldviews.", "author" : [ { "dropping-particle" : "", "family" : "Durham", "given" : "Jo", "non-dropping-particle" : "", "parse-names" : false, "suffix" : "" }, { "dropping-particle" : "", "family" : "Tan", "given" : "B.-K.", "non-dropping-particle" : "", "parse-names" : false, "suffix" : "" }, { "dropping-particle" : "", "family" : "White", "given" : "Rob", "non-dropping-particle" : "", "parse-names" : false, "suffix" : "" } ], "container-title" : "Journal of Mixed Methods Research", "id" : "ITEM-6", "issue" : "3", "issued" : { "date-parts" : [ [ "2011", "7", "23" ] ] }, "page" : "212-226", "publisher" : "SAGE PublicationsSage CA: Los Angeles, CA", "title" : "Utilizing Mixed Research Methods to Develop a Quantitative Assessment Tool", "type" : "article-journal", "volume" : "5" }, "uris" : [ "http://www.mendeley.com/documents/?uuid=d663a1e9-cafc-322a-bfb8-4cbcde218939" ] } ], "mendeley" : { "formattedCitation" : "(Smith et al., 1995; Tashiro, 2002; Arnold and Reynolds, 2003; Myers and Oetzel, 2003; Mak and Marshall, 2004; Durham et al., 2011)", "plainTextFormattedCitation" : "(Smith et al., 1995; Tashiro, 2002; Arnold and Reynolds, 2003; Myers and Oetzel, 2003; Mak and Marshall, 2004; Durham et al., 2011)", "previouslyFormattedCitation" : "(Smith et al., 1995; Tashiro, 2002; Arnold and Reynolds, 2003; Myers and Oetzel, 2003; Mak and Marshall, 2004; Durham et al., 2011)" }, "properties" : { "noteIndex" : 0 }, "schema" : "https://github.com/citation-style-language/schema/raw/master/csl-citation.json" }</w:instrText>
      </w:r>
      <w:r w:rsidR="001D6EEB" w:rsidRPr="009B3747">
        <w:rPr>
          <w:rFonts w:eastAsia="Times New Roman" w:cstheme="minorHAnsi"/>
          <w:color w:val="000000"/>
          <w:lang w:eastAsia="en-GB"/>
        </w:rPr>
        <w:fldChar w:fldCharType="separate"/>
      </w:r>
      <w:r w:rsidR="001D6EEB" w:rsidRPr="009B3747">
        <w:rPr>
          <w:rFonts w:eastAsia="Times New Roman" w:cstheme="minorHAnsi"/>
          <w:noProof/>
          <w:color w:val="000000"/>
          <w:lang w:eastAsia="en-GB"/>
        </w:rPr>
        <w:t>(Smith et al., 1995; Tashiro, 2002; Arnold and Reynolds, 2003; Myers and Oetzel, 2003; Mak and Marshall, 2004; Durham et al., 2011)</w:t>
      </w:r>
      <w:r w:rsidR="001D6EEB" w:rsidRPr="009B3747">
        <w:rPr>
          <w:rFonts w:eastAsia="Times New Roman" w:cstheme="minorHAnsi"/>
          <w:color w:val="000000"/>
          <w:lang w:eastAsia="en-GB"/>
        </w:rPr>
        <w:fldChar w:fldCharType="end"/>
      </w:r>
      <w:r w:rsidR="001D6EEB" w:rsidRPr="009B3747">
        <w:rPr>
          <w:rFonts w:eastAsia="Times New Roman" w:cstheme="minorHAnsi"/>
          <w:color w:val="000000"/>
          <w:lang w:eastAsia="en-GB"/>
        </w:rPr>
        <w:t>.</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AD02BD" w:rsidRPr="009B3747" w:rsidRDefault="003F1507" w:rsidP="003F1507">
      <w:pPr>
        <w:rPr>
          <w:rFonts w:eastAsia="Times New Roman" w:cstheme="minorHAnsi"/>
          <w:color w:val="000000"/>
          <w:lang w:eastAsia="en-GB"/>
        </w:rPr>
      </w:pPr>
      <w:r w:rsidRPr="009B3747">
        <w:rPr>
          <w:rFonts w:eastAsia="Times New Roman" w:cstheme="minorHAnsi"/>
          <w:color w:val="000000"/>
          <w:lang w:eastAsia="en-GB"/>
        </w:rPr>
        <w:t>In addition to providing additional evidence to support the findings from the qualitative phase, the exploratory sequ</w:t>
      </w:r>
      <w:r w:rsidR="001D6EEB" w:rsidRPr="009B3747">
        <w:rPr>
          <w:rFonts w:eastAsia="Times New Roman" w:cstheme="minorHAnsi"/>
          <w:color w:val="000000"/>
          <w:lang w:eastAsia="en-GB"/>
        </w:rPr>
        <w:t xml:space="preserve">ential design is often used to </w:t>
      </w:r>
      <w:r w:rsidRPr="009B3747">
        <w:rPr>
          <w:rFonts w:eastAsia="Times New Roman" w:cstheme="minorHAnsi"/>
          <w:color w:val="000000"/>
          <w:lang w:eastAsia="en-GB"/>
        </w:rPr>
        <w:t>generalize qualitative findings based on a few individuals from the first phase to a larger sample</w:t>
      </w:r>
      <w:r w:rsidR="001D6EEB" w:rsidRPr="009B3747">
        <w:rPr>
          <w:rFonts w:eastAsia="Times New Roman" w:cstheme="minorHAnsi"/>
          <w:color w:val="000000"/>
          <w:lang w:eastAsia="en-GB"/>
        </w:rPr>
        <w:t xml:space="preserve"> gather during the second phase</w:t>
      </w:r>
      <w:r w:rsidRPr="009B3747">
        <w:rPr>
          <w:rFonts w:eastAsia="Times New Roman" w:cstheme="minorHAnsi"/>
          <w:color w:val="000000"/>
          <w:lang w:eastAsia="en-GB"/>
        </w:rPr>
        <w:t xml:space="preserve"> (Creswell and Plano Clark, 2011).  Whilst the aim may not be to formally achieve statistical generalizability, similarly to Morgan’s (2014) ‘Follow-up Quantitative Extensions’ design, the</w:t>
      </w:r>
      <w:r w:rsidR="00E7387C" w:rsidRPr="009B3747">
        <w:rPr>
          <w:rFonts w:eastAsia="Times New Roman" w:cstheme="minorHAnsi"/>
          <w:color w:val="000000"/>
          <w:lang w:eastAsia="en-GB"/>
        </w:rPr>
        <w:t xml:space="preserve"> exploratory sequential design </w:t>
      </w:r>
      <w:r w:rsidRPr="009B3747">
        <w:rPr>
          <w:rFonts w:eastAsia="Times New Roman" w:cstheme="minorHAnsi"/>
          <w:color w:val="000000"/>
          <w:lang w:eastAsia="en-GB"/>
        </w:rPr>
        <w:t>allows evidence to be pursued that indicates whether core qualitative findings were merely context specific or do indeed apply more broadly to the wider population (Morgan, 1998).  </w:t>
      </w:r>
    </w:p>
    <w:p w:rsidR="00AD02BD" w:rsidRPr="009B3747" w:rsidRDefault="00AD02BD" w:rsidP="003F1507">
      <w:pPr>
        <w:rPr>
          <w:rFonts w:eastAsia="Times New Roman" w:cstheme="minorHAnsi"/>
          <w:color w:val="000000"/>
          <w:lang w:eastAsia="en-GB"/>
        </w:rPr>
      </w:pP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Employing this design therefore supports the ability to determine the distribution of a ph</w:t>
      </w:r>
      <w:r w:rsidR="006B3249">
        <w:rPr>
          <w:rFonts w:eastAsia="Times New Roman" w:cstheme="minorHAnsi"/>
          <w:color w:val="000000"/>
          <w:lang w:eastAsia="en-GB"/>
        </w:rPr>
        <w:t xml:space="preserve">enomenon within a population, </w:t>
      </w:r>
      <w:r w:rsidRPr="009B3747">
        <w:rPr>
          <w:rFonts w:eastAsia="Times New Roman" w:cstheme="minorHAnsi"/>
          <w:color w:val="000000"/>
          <w:lang w:eastAsia="en-GB"/>
        </w:rPr>
        <w:t>and examine the similarity or differences in perspectives across two different samples (i.e. in each of the qualitative and quantitative phases).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In addition to the purpose of demonstrating generality, this design is argued to be extremely valuable when there is a lack of a relevant and adequate quantitative instrument</w:t>
      </w:r>
      <w:r w:rsidR="00273991">
        <w:rPr>
          <w:rFonts w:eastAsia="Times New Roman" w:cstheme="minorHAnsi"/>
          <w:color w:val="000000"/>
          <w:lang w:eastAsia="en-GB"/>
        </w:rPr>
        <w:t>,</w:t>
      </w:r>
      <w:r w:rsidRPr="009B3747">
        <w:rPr>
          <w:rFonts w:eastAsia="Times New Roman" w:cstheme="minorHAnsi"/>
          <w:color w:val="000000"/>
          <w:lang w:eastAsia="en-GB"/>
        </w:rPr>
        <w:t xml:space="preserve"> i.e. survey available for use in a quantitative phase (Creswell, 2014).  By utilising findings from the qualitative phase, a researcher is therefore able to better inform the development of an appropriate quantitative instrument by enhancing the sensitivity and accuracy of survey questions</w:t>
      </w:r>
      <w:r w:rsidR="001D6EEB" w:rsidRPr="009B3747">
        <w:rPr>
          <w:rFonts w:eastAsia="Times New Roman" w:cstheme="minorHAnsi"/>
          <w:color w:val="000000"/>
          <w:lang w:eastAsia="en-GB"/>
        </w:rPr>
        <w:t xml:space="preserve"> </w:t>
      </w:r>
      <w:r w:rsidR="001D6EEB" w:rsidRPr="009B3747">
        <w:rPr>
          <w:rFonts w:eastAsia="Times New Roman" w:cstheme="minorHAnsi"/>
          <w:color w:val="000000"/>
          <w:lang w:eastAsia="en-GB"/>
        </w:rPr>
        <w:fldChar w:fldCharType="begin" w:fldLock="1"/>
      </w:r>
      <w:r w:rsidR="006F2F83" w:rsidRPr="009B3747">
        <w:rPr>
          <w:rFonts w:eastAsia="Times New Roman" w:cstheme="minorHAnsi"/>
          <w:color w:val="000000"/>
          <w:lang w:eastAsia="en-GB"/>
        </w:rPr>
        <w:instrText>ADDIN CSL_CITATION { "citationItems" : [ { "id" : "ITEM-1", "itemData" : { "DOI" : "10.1016/S0140-6736(01)05627-6", "ISSN" : "01406736", "PMID" : "11513933", "abstract" : "Qualitative research methods could help us to improve our understanding of medicine. Rather than thinking of qualitative and quantitative strategies as incompatible, they should be seen as complementary. Although procedures for textual interpretation differ from those of statistical analysis, because of the different type of data used and questions to be answered, the underlying principles are much the same. In this article I propose relevance, validity, and reflexivity as overall standards for qualitative inquiry. I will discuss the specific challenges in relation to reflexivity, transferability, and shared assumptions of interpretation, which are met by medical researchers who do this type of research, and I will propose guidelines for qualitative inquiry.", "author" : [ { "dropping-particle" : "", "family" : "Malterud", "given" : "Kirsti", "non-dropping-particle" : "", "parse-names" : false, "suffix" : "" } ], "container-title" : "The Lancet", "id" : "ITEM-1", "issue" : "9280", "issued" : { "date-parts" : [ [ "2001", "8", "11" ] ] }, "page" : "483-488", "title" : "Qualitative research: standards, challenges, and guidelines", "type" : "article-journal", "volume" : "358" }, "uris" : [ "http://www.mendeley.com/documents/?uuid=826ef07c-5092-3e29-b5a0-e8731731c128" ] } ], "mendeley" : { "formattedCitation" : "(Malterud, 2001)", "plainTextFormattedCitation" : "(Malterud, 2001)", "previouslyFormattedCitation" : "(Malterud, 2001)" }, "properties" : { "noteIndex" : 0 }, "schema" : "https://github.com/citation-style-language/schema/raw/master/csl-citation.json" }</w:instrText>
      </w:r>
      <w:r w:rsidR="001D6EEB" w:rsidRPr="009B3747">
        <w:rPr>
          <w:rFonts w:eastAsia="Times New Roman" w:cstheme="minorHAnsi"/>
          <w:color w:val="000000"/>
          <w:lang w:eastAsia="en-GB"/>
        </w:rPr>
        <w:fldChar w:fldCharType="separate"/>
      </w:r>
      <w:r w:rsidR="001D6EEB" w:rsidRPr="009B3747">
        <w:rPr>
          <w:rFonts w:eastAsia="Times New Roman" w:cstheme="minorHAnsi"/>
          <w:noProof/>
          <w:color w:val="000000"/>
          <w:lang w:eastAsia="en-GB"/>
        </w:rPr>
        <w:t>(Malterud, 2001)</w:t>
      </w:r>
      <w:r w:rsidR="001D6EEB" w:rsidRPr="009B3747">
        <w:rPr>
          <w:rFonts w:eastAsia="Times New Roman" w:cstheme="minorHAnsi"/>
          <w:color w:val="000000"/>
          <w:lang w:eastAsia="en-GB"/>
        </w:rPr>
        <w:fldChar w:fldCharType="end"/>
      </w:r>
      <w:r w:rsidR="006B3249">
        <w:rPr>
          <w:rFonts w:eastAsia="Times New Roman" w:cstheme="minorHAnsi"/>
          <w:color w:val="000000"/>
          <w:lang w:eastAsia="en-GB"/>
        </w:rPr>
        <w:t>.  This can then be employed</w:t>
      </w:r>
      <w:r w:rsidRPr="009B3747">
        <w:rPr>
          <w:rFonts w:eastAsia="Times New Roman" w:cstheme="minorHAnsi"/>
          <w:color w:val="000000"/>
          <w:lang w:eastAsia="en-GB"/>
        </w:rPr>
        <w:t xml:space="preserve"> with a larger sample in a subsequent quantitative phase.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1D6EEB" w:rsidP="003F1507">
      <w:pPr>
        <w:rPr>
          <w:rFonts w:eastAsia="Times New Roman" w:cstheme="minorHAnsi"/>
          <w:sz w:val="24"/>
          <w:szCs w:val="24"/>
          <w:lang w:eastAsia="en-GB"/>
        </w:rPr>
      </w:pPr>
      <w:r w:rsidRPr="009B3747">
        <w:rPr>
          <w:rFonts w:eastAsia="Times New Roman" w:cstheme="minorHAnsi"/>
          <w:color w:val="000000"/>
          <w:lang w:eastAsia="en-GB"/>
        </w:rPr>
        <w:t>Table 4.2</w:t>
      </w:r>
      <w:r w:rsidR="003F1507" w:rsidRPr="009B3747">
        <w:rPr>
          <w:rFonts w:eastAsia="Times New Roman" w:cstheme="minorHAnsi"/>
          <w:color w:val="000000"/>
          <w:lang w:eastAsia="en-GB"/>
        </w:rPr>
        <w:t>, describes in greater depth, how the distinct phases of the chosen exploratory sequential design for this study were integrated.  More specifically, responses are provided to the four decision points previously discussed and originally posed by Creswell and Plano Clark (2011)</w:t>
      </w:r>
      <w:r w:rsidR="00273991">
        <w:rPr>
          <w:rFonts w:eastAsia="Times New Roman" w:cstheme="minorHAnsi"/>
          <w:color w:val="000000"/>
          <w:lang w:eastAsia="en-GB"/>
        </w:rPr>
        <w:t>,</w:t>
      </w:r>
      <w:r w:rsidR="003F1507" w:rsidRPr="009B3747">
        <w:rPr>
          <w:rFonts w:eastAsia="Times New Roman" w:cstheme="minorHAnsi"/>
          <w:color w:val="000000"/>
          <w:lang w:eastAsia="en-GB"/>
        </w:rPr>
        <w:t xml:space="preserve"> i.e. regarding the interaction, priority, timing and mixing of this study’s qualitative and quantitative stands.</w:t>
      </w:r>
    </w:p>
    <w:p w:rsidR="009D727E"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AD02BD" w:rsidRPr="009B3747" w:rsidRDefault="00AD02BD" w:rsidP="003F1507">
      <w:pPr>
        <w:rPr>
          <w:rFonts w:eastAsia="Times New Roman" w:cstheme="minorHAnsi"/>
          <w:sz w:val="24"/>
          <w:szCs w:val="24"/>
          <w:lang w:eastAsia="en-GB"/>
        </w:rPr>
      </w:pPr>
    </w:p>
    <w:p w:rsidR="00AD02BD" w:rsidRPr="009B3747" w:rsidRDefault="00AD02BD" w:rsidP="003F1507">
      <w:pPr>
        <w:rPr>
          <w:rFonts w:eastAsia="Times New Roman" w:cstheme="minorHAnsi"/>
          <w:sz w:val="24"/>
          <w:szCs w:val="24"/>
          <w:lang w:eastAsia="en-GB"/>
        </w:rPr>
      </w:pPr>
    </w:p>
    <w:p w:rsidR="00AD02BD" w:rsidRPr="009B3747" w:rsidRDefault="00AD02BD" w:rsidP="003F1507">
      <w:pPr>
        <w:rPr>
          <w:rFonts w:eastAsia="Times New Roman" w:cstheme="minorHAnsi"/>
          <w:sz w:val="24"/>
          <w:szCs w:val="24"/>
          <w:lang w:eastAsia="en-GB"/>
        </w:rPr>
      </w:pPr>
    </w:p>
    <w:p w:rsidR="00AD02BD" w:rsidRPr="009B3747" w:rsidRDefault="00AD02BD" w:rsidP="003F1507">
      <w:pPr>
        <w:rPr>
          <w:rFonts w:eastAsia="Times New Roman" w:cstheme="minorHAnsi"/>
          <w:sz w:val="24"/>
          <w:szCs w:val="24"/>
          <w:lang w:eastAsia="en-GB"/>
        </w:rPr>
      </w:pPr>
    </w:p>
    <w:p w:rsidR="00AD02BD" w:rsidRPr="009B3747" w:rsidRDefault="001E407C" w:rsidP="003F1507">
      <w:pPr>
        <w:rPr>
          <w:rFonts w:eastAsia="Times New Roman" w:cstheme="minorHAnsi"/>
          <w:color w:val="000000"/>
          <w:u w:val="single"/>
          <w:lang w:eastAsia="en-GB"/>
        </w:rPr>
      </w:pPr>
      <w:r w:rsidRPr="009B3747">
        <w:rPr>
          <w:rFonts w:eastAsia="Times New Roman" w:cstheme="minorHAnsi"/>
          <w:color w:val="000000"/>
          <w:u w:val="single"/>
          <w:lang w:eastAsia="en-GB"/>
        </w:rPr>
        <w:lastRenderedPageBreak/>
        <w:t xml:space="preserve">Table </w:t>
      </w:r>
      <w:r w:rsidR="001D6EEB" w:rsidRPr="009B3747">
        <w:rPr>
          <w:rFonts w:eastAsia="Times New Roman" w:cstheme="minorHAnsi"/>
          <w:color w:val="000000"/>
          <w:u w:val="single"/>
          <w:lang w:eastAsia="en-GB"/>
        </w:rPr>
        <w:t>4.2</w:t>
      </w:r>
      <w:r w:rsidR="003F1507" w:rsidRPr="009B3747">
        <w:rPr>
          <w:rFonts w:eastAsia="Times New Roman" w:cstheme="minorHAnsi"/>
          <w:color w:val="000000"/>
          <w:u w:val="single"/>
          <w:lang w:eastAsia="en-GB"/>
        </w:rPr>
        <w:t xml:space="preserve"> </w:t>
      </w:r>
      <w:r w:rsidRPr="009B3747">
        <w:rPr>
          <w:rFonts w:eastAsia="Times New Roman" w:cstheme="minorHAnsi"/>
          <w:color w:val="000000"/>
          <w:u w:val="single"/>
          <w:lang w:eastAsia="en-GB"/>
        </w:rPr>
        <w:t>– Integrating the study’s qualitative and quantitative strands</w:t>
      </w:r>
    </w:p>
    <w:p w:rsidR="00AD02BD" w:rsidRPr="009B3747" w:rsidRDefault="00AD02BD" w:rsidP="003F1507">
      <w:pPr>
        <w:rPr>
          <w:rFonts w:eastAsia="Times New Roman" w:cstheme="minorHAnsi"/>
          <w:color w:val="000000"/>
          <w:u w:val="single"/>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828"/>
        <w:gridCol w:w="6178"/>
      </w:tblGrid>
      <w:tr w:rsidR="00E7387C" w:rsidRPr="009B3747" w:rsidTr="003F1507">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 xml:space="preserve"> </w:t>
            </w:r>
            <w:r w:rsidRPr="009B3747">
              <w:rPr>
                <w:rFonts w:eastAsia="Times New Roman" w:cstheme="minorHAnsi"/>
                <w:b/>
                <w:bCs/>
                <w:color w:val="000000"/>
                <w:lang w:eastAsia="en-GB"/>
              </w:rPr>
              <w:t>Decision point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3F1507">
            <w:pPr>
              <w:rPr>
                <w:rFonts w:eastAsia="Times New Roman" w:cstheme="minorHAnsi"/>
                <w:sz w:val="24"/>
                <w:szCs w:val="24"/>
                <w:lang w:eastAsia="en-GB"/>
              </w:rPr>
            </w:pPr>
            <w:r w:rsidRPr="009B3747">
              <w:rPr>
                <w:rFonts w:eastAsia="Times New Roman" w:cstheme="minorHAnsi"/>
                <w:b/>
                <w:bCs/>
                <w:color w:val="000000"/>
                <w:lang w:eastAsia="en-GB"/>
              </w:rPr>
              <w:t>Specific details relevant to the study</w:t>
            </w:r>
          </w:p>
        </w:tc>
      </w:tr>
      <w:tr w:rsidR="00E7387C" w:rsidRPr="009B3747" w:rsidTr="003F1507">
        <w:trPr>
          <w:trHeight w:val="1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sz w:val="20"/>
                <w:szCs w:val="20"/>
                <w:lang w:eastAsia="en-GB"/>
              </w:rPr>
              <w:t xml:space="preserve">What is the level of </w:t>
            </w:r>
            <w:r w:rsidRPr="009B3747">
              <w:rPr>
                <w:rFonts w:eastAsia="Times New Roman" w:cstheme="minorHAnsi"/>
                <w:i/>
                <w:iCs/>
                <w:color w:val="000000"/>
                <w:sz w:val="20"/>
                <w:szCs w:val="20"/>
                <w:lang w:eastAsia="en-GB"/>
              </w:rPr>
              <w:t>interaction</w:t>
            </w:r>
            <w:r w:rsidRPr="009B3747">
              <w:rPr>
                <w:rFonts w:eastAsia="Times New Roman" w:cstheme="minorHAnsi"/>
                <w:color w:val="000000"/>
                <w:sz w:val="20"/>
                <w:szCs w:val="20"/>
                <w:lang w:eastAsia="en-GB"/>
              </w:rPr>
              <w:t xml:space="preserve"> between the quantitative and qualitative strands in the study?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sz w:val="20"/>
                <w:szCs w:val="20"/>
                <w:lang w:eastAsia="en-GB"/>
              </w:rPr>
              <w:t>This study adopted a direct level of interaction, where the qualitative and quantitative phases were mixed before the final interpretation of the overall r</w:t>
            </w:r>
            <w:r w:rsidR="00273991">
              <w:rPr>
                <w:rFonts w:eastAsia="Times New Roman" w:cstheme="minorHAnsi"/>
                <w:color w:val="000000"/>
                <w:sz w:val="20"/>
                <w:szCs w:val="20"/>
                <w:lang w:eastAsia="en-GB"/>
              </w:rPr>
              <w:t xml:space="preserve">esearch findings was undertaken, </w:t>
            </w:r>
            <w:r w:rsidRPr="009B3747">
              <w:rPr>
                <w:rFonts w:eastAsia="Times New Roman" w:cstheme="minorHAnsi"/>
                <w:color w:val="000000"/>
                <w:sz w:val="20"/>
                <w:szCs w:val="20"/>
                <w:lang w:eastAsia="en-GB"/>
              </w:rPr>
              <w:t xml:space="preserve">i.e. qualitative first phase findings shaped the design and conduct of the quantitative second phase. </w:t>
            </w:r>
          </w:p>
        </w:tc>
      </w:tr>
      <w:tr w:rsidR="00E7387C" w:rsidRPr="009B3747" w:rsidTr="003F15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sz w:val="20"/>
                <w:szCs w:val="20"/>
                <w:lang w:eastAsia="en-GB"/>
              </w:rPr>
              <w:t xml:space="preserve">What is the relative importance or </w:t>
            </w:r>
            <w:r w:rsidRPr="009B3747">
              <w:rPr>
                <w:rFonts w:eastAsia="Times New Roman" w:cstheme="minorHAnsi"/>
                <w:i/>
                <w:iCs/>
                <w:color w:val="000000"/>
                <w:sz w:val="20"/>
                <w:szCs w:val="20"/>
                <w:lang w:eastAsia="en-GB"/>
              </w:rPr>
              <w:t>priority</w:t>
            </w:r>
            <w:r w:rsidRPr="009B3747">
              <w:rPr>
                <w:rFonts w:eastAsia="Times New Roman" w:cstheme="minorHAnsi"/>
                <w:color w:val="000000"/>
                <w:sz w:val="20"/>
                <w:szCs w:val="20"/>
                <w:lang w:eastAsia="en-GB"/>
              </w:rPr>
              <w:t xml:space="preserve"> weighting of each of the quantitative and qualitative strands?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sz w:val="20"/>
                <w:szCs w:val="20"/>
                <w:lang w:eastAsia="en-GB"/>
              </w:rPr>
              <w:t>This study’s priority methodological focus was qualitative.  Greater emphasis was therefore placed on the qualitative exploratory methods.  The quantitative methods performed a supplementary, follow-up role.</w:t>
            </w:r>
          </w:p>
        </w:tc>
      </w:tr>
      <w:tr w:rsidR="00E7387C" w:rsidRPr="009B3747" w:rsidTr="003F15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sz w:val="20"/>
                <w:szCs w:val="20"/>
                <w:lang w:eastAsia="en-GB"/>
              </w:rPr>
              <w:t xml:space="preserve">What is the </w:t>
            </w:r>
            <w:r w:rsidRPr="009B3747">
              <w:rPr>
                <w:rFonts w:eastAsia="Times New Roman" w:cstheme="minorHAnsi"/>
                <w:i/>
                <w:iCs/>
                <w:color w:val="000000"/>
                <w:sz w:val="20"/>
                <w:szCs w:val="20"/>
                <w:lang w:eastAsia="en-GB"/>
              </w:rPr>
              <w:t>timing</w:t>
            </w:r>
            <w:r w:rsidRPr="009B3747">
              <w:rPr>
                <w:rFonts w:eastAsia="Times New Roman" w:cstheme="minorHAnsi"/>
                <w:color w:val="000000"/>
                <w:sz w:val="20"/>
                <w:szCs w:val="20"/>
                <w:lang w:eastAsia="en-GB"/>
              </w:rPr>
              <w:t xml:space="preserve"> and order of the strands</w:t>
            </w:r>
            <w:r w:rsidR="00273991">
              <w:rPr>
                <w:rFonts w:eastAsia="Times New Roman" w:cstheme="minorHAnsi"/>
                <w:color w:val="000000"/>
                <w:sz w:val="20"/>
                <w:szCs w:val="20"/>
                <w:lang w:eastAsia="en-GB"/>
              </w:rPr>
              <w:t>,</w:t>
            </w:r>
            <w:r w:rsidRPr="009B3747">
              <w:rPr>
                <w:rFonts w:eastAsia="Times New Roman" w:cstheme="minorHAnsi"/>
                <w:color w:val="000000"/>
                <w:sz w:val="20"/>
                <w:szCs w:val="20"/>
                <w:lang w:eastAsia="en-GB"/>
              </w:rPr>
              <w:t xml:space="preserve"> i.e. the temporal relationship between the quantitative and qualitative strands?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sz w:val="20"/>
                <w:szCs w:val="20"/>
                <w:lang w:eastAsia="en-GB"/>
              </w:rPr>
              <w:t>This study utilised sequential timing, where the research was conducted in two distinct phases.  The qualitative data collection and analysis was undertaken prior to the commencement of the quantitative phase.</w:t>
            </w:r>
          </w:p>
        </w:tc>
      </w:tr>
      <w:tr w:rsidR="00E7387C" w:rsidRPr="009B3747" w:rsidTr="003F15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sz w:val="20"/>
                <w:szCs w:val="20"/>
                <w:lang w:eastAsia="en-GB"/>
              </w:rPr>
              <w:t xml:space="preserve">What is the approach and procedures for </w:t>
            </w:r>
            <w:r w:rsidRPr="009B3747">
              <w:rPr>
                <w:rFonts w:eastAsia="Times New Roman" w:cstheme="minorHAnsi"/>
                <w:i/>
                <w:iCs/>
                <w:color w:val="000000"/>
                <w:sz w:val="20"/>
                <w:szCs w:val="20"/>
                <w:lang w:eastAsia="en-GB"/>
              </w:rPr>
              <w:t>mixing</w:t>
            </w:r>
            <w:r w:rsidRPr="009B3747">
              <w:rPr>
                <w:rFonts w:eastAsia="Times New Roman" w:cstheme="minorHAnsi"/>
                <w:color w:val="000000"/>
                <w:sz w:val="20"/>
                <w:szCs w:val="20"/>
                <w:lang w:eastAsia="en-GB"/>
              </w:rPr>
              <w:t xml:space="preserve"> the quantitative and qualitative strands</w:t>
            </w:r>
            <w:r w:rsidR="00273991">
              <w:rPr>
                <w:rFonts w:eastAsia="Times New Roman" w:cstheme="minorHAnsi"/>
                <w:color w:val="000000"/>
                <w:sz w:val="20"/>
                <w:szCs w:val="20"/>
                <w:lang w:eastAsia="en-GB"/>
              </w:rPr>
              <w:t>,</w:t>
            </w:r>
            <w:r w:rsidRPr="009B3747">
              <w:rPr>
                <w:rFonts w:eastAsia="Times New Roman" w:cstheme="minorHAnsi"/>
                <w:color w:val="000000"/>
                <w:sz w:val="20"/>
                <w:szCs w:val="20"/>
                <w:lang w:eastAsia="en-GB"/>
              </w:rPr>
              <w:t xml:space="preserve"> i.e. the point of interface where integration occurs?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F1507" w:rsidRPr="009B3747" w:rsidRDefault="003F1507" w:rsidP="00AB5B41">
            <w:pPr>
              <w:rPr>
                <w:rFonts w:eastAsia="Times New Roman" w:cstheme="minorHAnsi"/>
                <w:sz w:val="24"/>
                <w:szCs w:val="24"/>
                <w:lang w:eastAsia="en-GB"/>
              </w:rPr>
            </w:pPr>
            <w:r w:rsidRPr="009B3747">
              <w:rPr>
                <w:rFonts w:eastAsia="Times New Roman" w:cstheme="minorHAnsi"/>
                <w:color w:val="000000"/>
                <w:sz w:val="20"/>
                <w:szCs w:val="20"/>
                <w:lang w:eastAsia="en-GB"/>
              </w:rPr>
              <w:t>This study adopted a mixing strategy where the phases were integrated and connected during data collection</w:t>
            </w:r>
            <w:r w:rsidR="00273991">
              <w:rPr>
                <w:rFonts w:eastAsia="Times New Roman" w:cstheme="minorHAnsi"/>
                <w:color w:val="000000"/>
                <w:sz w:val="20"/>
                <w:szCs w:val="20"/>
                <w:lang w:eastAsia="en-GB"/>
              </w:rPr>
              <w:t>,</w:t>
            </w:r>
            <w:r w:rsidRPr="009B3747">
              <w:rPr>
                <w:rFonts w:eastAsia="Times New Roman" w:cstheme="minorHAnsi"/>
                <w:color w:val="000000"/>
                <w:sz w:val="20"/>
                <w:szCs w:val="20"/>
                <w:lang w:eastAsia="en-GB"/>
              </w:rPr>
              <w:t xml:space="preserve"> i.e. qualitative findings obtained were utilised to build and inform the development of a data collection instrument for use in the quantitative phase.</w:t>
            </w:r>
            <w:r w:rsidR="00E7387C" w:rsidRPr="009B3747">
              <w:rPr>
                <w:rFonts w:eastAsia="Times New Roman" w:cstheme="minorHAnsi"/>
                <w:color w:val="000000"/>
                <w:sz w:val="20"/>
                <w:szCs w:val="20"/>
                <w:lang w:eastAsia="en-GB"/>
              </w:rPr>
              <w:t xml:space="preserve">  In addition findings from each phase were further integrated at the point of discussion (see chapter 9).</w:t>
            </w:r>
            <w:r w:rsidRPr="009B3747">
              <w:rPr>
                <w:rFonts w:eastAsia="Times New Roman" w:cstheme="minorHAnsi"/>
                <w:color w:val="000000"/>
                <w:sz w:val="20"/>
                <w:szCs w:val="20"/>
                <w:lang w:eastAsia="en-GB"/>
              </w:rPr>
              <w:t xml:space="preserve"> </w:t>
            </w:r>
          </w:p>
        </w:tc>
      </w:tr>
    </w:tbl>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AD02BD" w:rsidRPr="009B3747" w:rsidRDefault="00AD02BD" w:rsidP="003F1507">
      <w:pPr>
        <w:rPr>
          <w:rFonts w:eastAsia="Times New Roman" w:cstheme="minorHAnsi"/>
          <w:sz w:val="24"/>
          <w:szCs w:val="24"/>
          <w:lang w:eastAsia="en-GB"/>
        </w:rPr>
      </w:pPr>
    </w:p>
    <w:p w:rsidR="003F1507" w:rsidRPr="009B3747" w:rsidRDefault="003F1507" w:rsidP="003F1507">
      <w:pPr>
        <w:rPr>
          <w:rFonts w:eastAsia="Times New Roman" w:cstheme="minorHAnsi"/>
          <w:color w:val="000000"/>
          <w:lang w:eastAsia="en-GB"/>
        </w:rPr>
      </w:pPr>
      <w:r w:rsidRPr="009B3747">
        <w:rPr>
          <w:rFonts w:eastAsia="Times New Roman" w:cstheme="minorHAnsi"/>
          <w:color w:val="000000"/>
          <w:lang w:eastAsia="en-GB"/>
        </w:rPr>
        <w:t xml:space="preserve">A visual representation of this study’s exploratory sequential design and the interaction, priority, timing and mixing of </w:t>
      </w:r>
      <w:r w:rsidR="001E407C" w:rsidRPr="009B3747">
        <w:rPr>
          <w:rFonts w:eastAsia="Times New Roman" w:cstheme="minorHAnsi"/>
          <w:color w:val="000000"/>
          <w:lang w:eastAsia="en-GB"/>
        </w:rPr>
        <w:t>its</w:t>
      </w:r>
      <w:r w:rsidRPr="009B3747">
        <w:rPr>
          <w:rFonts w:eastAsia="Times New Roman" w:cstheme="minorHAnsi"/>
          <w:color w:val="000000"/>
          <w:lang w:eastAsia="en-GB"/>
        </w:rPr>
        <w:t xml:space="preserve"> distinct qualitative and quantitative phases are presented in f</w:t>
      </w:r>
      <w:r w:rsidR="00E7387C" w:rsidRPr="009B3747">
        <w:rPr>
          <w:rFonts w:eastAsia="Times New Roman" w:cstheme="minorHAnsi"/>
          <w:color w:val="000000"/>
          <w:lang w:eastAsia="en-GB"/>
        </w:rPr>
        <w:t>igure 4</w:t>
      </w:r>
      <w:r w:rsidRPr="009B3747">
        <w:rPr>
          <w:rFonts w:eastAsia="Times New Roman" w:cstheme="minorHAnsi"/>
          <w:color w:val="000000"/>
          <w:lang w:eastAsia="en-GB"/>
        </w:rPr>
        <w:t>.</w:t>
      </w:r>
      <w:r w:rsidR="0083682E" w:rsidRPr="009B3747">
        <w:rPr>
          <w:rFonts w:eastAsia="Times New Roman" w:cstheme="minorHAnsi"/>
          <w:color w:val="000000"/>
          <w:lang w:eastAsia="en-GB"/>
        </w:rPr>
        <w:t>2</w:t>
      </w:r>
    </w:p>
    <w:p w:rsidR="006F2F83" w:rsidRPr="009B3747" w:rsidRDefault="006F2F83" w:rsidP="003F1507">
      <w:pPr>
        <w:rPr>
          <w:rFonts w:eastAsia="Times New Roman" w:cstheme="minorHAnsi"/>
          <w:sz w:val="24"/>
          <w:szCs w:val="24"/>
          <w:lang w:eastAsia="en-GB"/>
        </w:rPr>
      </w:pPr>
    </w:p>
    <w:p w:rsidR="003F1507" w:rsidRPr="009B3747" w:rsidRDefault="003F1507" w:rsidP="003F1507">
      <w:pPr>
        <w:rPr>
          <w:rFonts w:eastAsia="Times New Roman" w:cstheme="minorHAnsi"/>
          <w:lang w:eastAsia="en-GB"/>
        </w:rPr>
      </w:pPr>
      <w:r w:rsidRPr="009B3747">
        <w:rPr>
          <w:rFonts w:eastAsia="Times New Roman" w:cstheme="minorHAnsi"/>
          <w:lang w:eastAsia="en-GB"/>
        </w:rPr>
        <w:t> </w:t>
      </w:r>
      <w:r w:rsidR="006F2F83" w:rsidRPr="009B3747">
        <w:rPr>
          <w:rFonts w:cstheme="minorHAnsi"/>
          <w:noProof/>
          <w:lang w:eastAsia="en-GB"/>
        </w:rPr>
        <w:drawing>
          <wp:inline distT="0" distB="0" distL="0" distR="0" wp14:anchorId="5A17C0F3" wp14:editId="5C52181F">
            <wp:extent cx="5496571" cy="92392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111" t="60187" r="22557" b="21414"/>
                    <a:stretch/>
                  </pic:blipFill>
                  <pic:spPr bwMode="auto">
                    <a:xfrm>
                      <a:off x="0" y="0"/>
                      <a:ext cx="5502830" cy="924977"/>
                    </a:xfrm>
                    <a:prstGeom prst="rect">
                      <a:avLst/>
                    </a:prstGeom>
                    <a:ln>
                      <a:noFill/>
                    </a:ln>
                    <a:extLst>
                      <a:ext uri="{53640926-AAD7-44D8-BBD7-CCE9431645EC}">
                        <a14:shadowObscured xmlns:a14="http://schemas.microsoft.com/office/drawing/2010/main"/>
                      </a:ext>
                    </a:extLst>
                  </pic:spPr>
                </pic:pic>
              </a:graphicData>
            </a:graphic>
          </wp:inline>
        </w:drawing>
      </w:r>
    </w:p>
    <w:p w:rsidR="006F2F83" w:rsidRPr="009B3747" w:rsidRDefault="0083682E" w:rsidP="006F2F83">
      <w:pPr>
        <w:ind w:left="1440" w:firstLine="720"/>
        <w:rPr>
          <w:rFonts w:eastAsia="Times New Roman" w:cstheme="minorHAnsi"/>
          <w:sz w:val="20"/>
          <w:szCs w:val="20"/>
          <w:u w:val="single"/>
          <w:lang w:eastAsia="en-GB"/>
        </w:rPr>
      </w:pPr>
      <w:r w:rsidRPr="009B3747">
        <w:rPr>
          <w:rFonts w:eastAsia="Times New Roman" w:cstheme="minorHAnsi"/>
          <w:sz w:val="20"/>
          <w:szCs w:val="20"/>
          <w:lang w:eastAsia="en-GB"/>
        </w:rPr>
        <w:t xml:space="preserve">             </w:t>
      </w:r>
      <w:r w:rsidR="006F2F83" w:rsidRPr="009B3747">
        <w:rPr>
          <w:rFonts w:eastAsia="Times New Roman" w:cstheme="minorHAnsi"/>
          <w:sz w:val="20"/>
          <w:szCs w:val="20"/>
          <w:u w:val="single"/>
          <w:lang w:eastAsia="en-GB"/>
        </w:rPr>
        <w:t>Figure 4</w:t>
      </w:r>
      <w:r w:rsidR="0016744F" w:rsidRPr="009B3747">
        <w:rPr>
          <w:rFonts w:eastAsia="Times New Roman" w:cstheme="minorHAnsi"/>
          <w:sz w:val="20"/>
          <w:szCs w:val="20"/>
          <w:u w:val="single"/>
          <w:lang w:eastAsia="en-GB"/>
        </w:rPr>
        <w:t>.2</w:t>
      </w:r>
      <w:r w:rsidR="006F2F83" w:rsidRPr="009B3747">
        <w:rPr>
          <w:rFonts w:eastAsia="Times New Roman" w:cstheme="minorHAnsi"/>
          <w:sz w:val="20"/>
          <w:szCs w:val="20"/>
          <w:u w:val="single"/>
          <w:lang w:eastAsia="en-GB"/>
        </w:rPr>
        <w:t xml:space="preserve"> – Interaction, priority, timing and mixing of the study phases</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lastRenderedPageBreak/>
        <w:t>The notations employed in the above figure</w:t>
      </w:r>
      <w:r w:rsidR="004862DC">
        <w:rPr>
          <w:rFonts w:eastAsia="Times New Roman" w:cstheme="minorHAnsi"/>
          <w:color w:val="000000"/>
          <w:lang w:eastAsia="en-GB"/>
        </w:rPr>
        <w:t>,</w:t>
      </w:r>
      <w:r w:rsidRPr="009B3747">
        <w:rPr>
          <w:rFonts w:eastAsia="Times New Roman" w:cstheme="minorHAnsi"/>
          <w:color w:val="000000"/>
          <w:lang w:eastAsia="en-GB"/>
        </w:rPr>
        <w:t xml:space="preserve"> e.g. QUAL and quan, are derived from a basic notation system developed to provide a common academic language for researchers in the mixed methods field</w:t>
      </w:r>
      <w:r w:rsidR="006F2F83" w:rsidRPr="009B3747">
        <w:rPr>
          <w:rFonts w:eastAsia="Times New Roman" w:cstheme="minorHAnsi"/>
          <w:color w:val="000000"/>
          <w:lang w:eastAsia="en-GB"/>
        </w:rPr>
        <w:t xml:space="preserve"> </w:t>
      </w:r>
      <w:r w:rsidR="006F2F83" w:rsidRPr="009B3747">
        <w:rPr>
          <w:rFonts w:eastAsia="Times New Roman" w:cstheme="minorHAnsi"/>
          <w:color w:val="000000"/>
          <w:lang w:eastAsia="en-GB"/>
        </w:rPr>
        <w:fldChar w:fldCharType="begin" w:fldLock="1"/>
      </w:r>
      <w:r w:rsidR="00224C9C" w:rsidRPr="009B3747">
        <w:rPr>
          <w:rFonts w:eastAsia="Times New Roman" w:cstheme="minorHAnsi"/>
          <w:color w:val="000000"/>
          <w:lang w:eastAsia="en-GB"/>
        </w:rPr>
        <w:instrText>ADDIN CSL_CITATION { "citationItems" : [ { "id" : "ITEM-1", "itemData" : { "ISSN" : "0029-6562", "PMID" : "2003072", "author" : [ { "dropping-particle" : "", "family" : "Morse", "given" : "J M", "non-dropping-particle" : "", "parse-names" : false, "suffix" : "" } ], "container-title" : "Nursing research", "id" : "ITEM-1", "issue" : "2", "issued" : { "date-parts" : [ [ "1995" ] ] }, "page" : "120-3", "title" : "Approaches to qualitative-quantitative methodological triangulation.", "type" : "article-journal", "volume" : "40" }, "uris" : [ "http://www.mendeley.com/documents/?uuid=50107bfe-b57a-3358-ba2f-0cd1280ea37d" ] } ], "mendeley" : { "formattedCitation" : "(J M Morse, 1995)", "manualFormatting" : "(Morse, 1995)", "plainTextFormattedCitation" : "(J M Morse, 1995)", "previouslyFormattedCitation" : "(J M Morse, 1995)" }, "properties" : { "noteIndex" : 0 }, "schema" : "https://github.com/citation-style-language/schema/raw/master/csl-citation.json" }</w:instrText>
      </w:r>
      <w:r w:rsidR="006F2F83" w:rsidRPr="009B3747">
        <w:rPr>
          <w:rFonts w:eastAsia="Times New Roman" w:cstheme="minorHAnsi"/>
          <w:color w:val="000000"/>
          <w:lang w:eastAsia="en-GB"/>
        </w:rPr>
        <w:fldChar w:fldCharType="separate"/>
      </w:r>
      <w:r w:rsidR="00FB5B00" w:rsidRPr="009B3747">
        <w:rPr>
          <w:rFonts w:eastAsia="Times New Roman" w:cstheme="minorHAnsi"/>
          <w:noProof/>
          <w:color w:val="000000"/>
          <w:lang w:eastAsia="en-GB"/>
        </w:rPr>
        <w:t>(</w:t>
      </w:r>
      <w:r w:rsidR="0030128E" w:rsidRPr="009B3747">
        <w:rPr>
          <w:rFonts w:eastAsia="Times New Roman" w:cstheme="minorHAnsi"/>
          <w:noProof/>
          <w:color w:val="000000"/>
          <w:lang w:eastAsia="en-GB"/>
        </w:rPr>
        <w:t>Morse, 1995)</w:t>
      </w:r>
      <w:r w:rsidR="006F2F83" w:rsidRPr="009B3747">
        <w:rPr>
          <w:rFonts w:eastAsia="Times New Roman" w:cstheme="minorHAnsi"/>
          <w:color w:val="000000"/>
          <w:lang w:eastAsia="en-GB"/>
        </w:rPr>
        <w:fldChar w:fldCharType="end"/>
      </w:r>
      <w:r w:rsidR="006F2F83" w:rsidRPr="009B3747">
        <w:rPr>
          <w:rFonts w:eastAsia="Times New Roman" w:cstheme="minorHAnsi"/>
          <w:color w:val="000000"/>
          <w:lang w:eastAsia="en-GB"/>
        </w:rPr>
        <w:t>.  I</w:t>
      </w:r>
      <w:r w:rsidRPr="009B3747">
        <w:rPr>
          <w:rFonts w:eastAsia="Times New Roman" w:cstheme="minorHAnsi"/>
          <w:color w:val="000000"/>
          <w:lang w:eastAsia="en-GB"/>
        </w:rPr>
        <w:t>n addition to the use of capital and lowercase lettering to indicate the priority of a study’s phases, signs such as plus (+) or an arrow (→) are utilised to illustrate the timing of each phase (Morgan, 2014).  </w:t>
      </w:r>
      <w:r w:rsidR="00E7387C" w:rsidRPr="009B3747">
        <w:rPr>
          <w:rFonts w:eastAsia="Times New Roman" w:cstheme="minorHAnsi"/>
          <w:color w:val="000000"/>
          <w:lang w:eastAsia="en-GB"/>
        </w:rPr>
        <w:t>Therefore in figure 4</w:t>
      </w:r>
      <w:r w:rsidR="0016744F" w:rsidRPr="009B3747">
        <w:rPr>
          <w:rFonts w:eastAsia="Times New Roman" w:cstheme="minorHAnsi"/>
          <w:color w:val="000000"/>
          <w:lang w:eastAsia="en-GB"/>
        </w:rPr>
        <w:t>.2</w:t>
      </w:r>
      <w:r w:rsidRPr="009B3747">
        <w:rPr>
          <w:rFonts w:eastAsia="Times New Roman" w:cstheme="minorHAnsi"/>
          <w:color w:val="000000"/>
          <w:lang w:eastAsia="en-GB"/>
        </w:rPr>
        <w:t>, the use of capital letters for ‘QUAL’ and lowercase for ‘quan’, indicates the qualitative rather than quantitative priority focus, with the arrow illustrating the adoption of sequential as opposed to simultaneous or concurrent timing (Teddlie and Tashakkori, 2009).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E7387C" w:rsidP="003F1507">
      <w:pPr>
        <w:rPr>
          <w:rFonts w:eastAsia="Times New Roman" w:cstheme="minorHAnsi"/>
          <w:sz w:val="24"/>
          <w:szCs w:val="24"/>
          <w:lang w:eastAsia="en-GB"/>
        </w:rPr>
      </w:pPr>
      <w:r w:rsidRPr="009B3747">
        <w:rPr>
          <w:rFonts w:eastAsia="Times New Roman" w:cstheme="minorHAnsi"/>
          <w:color w:val="000000"/>
          <w:lang w:eastAsia="en-GB"/>
        </w:rPr>
        <w:t>As displayed within figure 4</w:t>
      </w:r>
      <w:r w:rsidR="0016744F" w:rsidRPr="009B3747">
        <w:rPr>
          <w:rFonts w:eastAsia="Times New Roman" w:cstheme="minorHAnsi"/>
          <w:color w:val="000000"/>
          <w:lang w:eastAsia="en-GB"/>
        </w:rPr>
        <w:t>.2</w:t>
      </w:r>
      <w:r w:rsidRPr="009B3747">
        <w:rPr>
          <w:rFonts w:eastAsia="Times New Roman" w:cstheme="minorHAnsi"/>
          <w:color w:val="000000"/>
          <w:lang w:eastAsia="en-GB"/>
        </w:rPr>
        <w:t xml:space="preserve"> </w:t>
      </w:r>
      <w:r w:rsidR="003F1507" w:rsidRPr="009B3747">
        <w:rPr>
          <w:rFonts w:eastAsia="Times New Roman" w:cstheme="minorHAnsi"/>
          <w:color w:val="000000"/>
          <w:lang w:eastAsia="en-GB"/>
        </w:rPr>
        <w:t xml:space="preserve">the exploratory sequential design process commenced with qualitative data collection and analysis, with ‘builds to’, depicting the point of integration between the two distinct phases </w:t>
      </w:r>
      <w:r w:rsidR="00273991">
        <w:rPr>
          <w:rFonts w:eastAsia="Times New Roman" w:cstheme="minorHAnsi"/>
          <w:color w:val="000000"/>
          <w:lang w:eastAsia="en-GB"/>
        </w:rPr>
        <w:t>(</w:t>
      </w:r>
      <w:r w:rsidR="003F1507" w:rsidRPr="009B3747">
        <w:rPr>
          <w:rFonts w:eastAsia="Times New Roman" w:cstheme="minorHAnsi"/>
          <w:color w:val="000000"/>
          <w:lang w:eastAsia="en-GB"/>
        </w:rPr>
        <w:t>i.e. qualitative findings utilised to deve</w:t>
      </w:r>
      <w:r w:rsidR="00273991">
        <w:rPr>
          <w:rFonts w:eastAsia="Times New Roman" w:cstheme="minorHAnsi"/>
          <w:color w:val="000000"/>
          <w:lang w:eastAsia="en-GB"/>
        </w:rPr>
        <w:t>lop the quantitative instrument</w:t>
      </w:r>
      <w:r w:rsidR="003F1507" w:rsidRPr="009B3747">
        <w:rPr>
          <w:rFonts w:eastAsia="Times New Roman" w:cstheme="minorHAnsi"/>
          <w:color w:val="000000"/>
          <w:lang w:eastAsia="en-GB"/>
        </w:rPr>
        <w:t>).  The final word ‘interpretation’ reveals the completion of the design process where after quantitative data collection and analysis an overarching interpretation of findings from both phases was und</w:t>
      </w:r>
      <w:r w:rsidRPr="009B3747">
        <w:rPr>
          <w:rFonts w:eastAsia="Times New Roman" w:cstheme="minorHAnsi"/>
          <w:color w:val="000000"/>
          <w:lang w:eastAsia="en-GB"/>
        </w:rPr>
        <w:t>ertaken (chapter 9</w:t>
      </w:r>
      <w:r w:rsidR="0016744F" w:rsidRPr="009B3747">
        <w:rPr>
          <w:rFonts w:eastAsia="Times New Roman" w:cstheme="minorHAnsi"/>
          <w:color w:val="000000"/>
          <w:lang w:eastAsia="en-GB"/>
        </w:rPr>
        <w:t>)</w:t>
      </w:r>
      <w:r w:rsidR="003F1507" w:rsidRPr="009B3747">
        <w:rPr>
          <w:rFonts w:eastAsia="Times New Roman" w:cstheme="minorHAnsi"/>
          <w:color w:val="000000"/>
          <w:lang w:eastAsia="en-GB"/>
        </w:rPr>
        <w:t>.  This collective interpretation of the qualitative and quantitative findings enables inferences, meta-inferences to be drawn and ‘a negotiated account’ of what they meant together achieved</w:t>
      </w:r>
      <w:r w:rsidR="006F2F83" w:rsidRPr="009B3747">
        <w:rPr>
          <w:rFonts w:eastAsia="Times New Roman" w:cstheme="minorHAnsi"/>
          <w:color w:val="000000"/>
          <w:lang w:eastAsia="en-GB"/>
        </w:rPr>
        <w:t xml:space="preserve"> </w:t>
      </w:r>
      <w:r w:rsidR="006F2F83" w:rsidRPr="009B3747">
        <w:rPr>
          <w:rFonts w:eastAsia="Times New Roman" w:cstheme="minorHAnsi"/>
          <w:color w:val="000000"/>
          <w:lang w:eastAsia="en-GB"/>
        </w:rPr>
        <w:fldChar w:fldCharType="begin" w:fldLock="1"/>
      </w:r>
      <w:r w:rsidR="00C83875" w:rsidRPr="009B3747">
        <w:rPr>
          <w:rFonts w:eastAsia="Times New Roman" w:cstheme="minorHAnsi"/>
          <w:color w:val="000000"/>
          <w:lang w:eastAsia="en-GB"/>
        </w:rPr>
        <w:instrText>ADDIN CSL_CITATION { "citationItems" : [ { "id" : "ITEM-1", "itemData" : { "author" : [ { "dropping-particle" : "", "family" : "Bryman", "given" : "A", "non-dropping-particle" : "", "parse-names" : false, "suffix" : "" } ], "container-title" : "Journal of mixed methods research", "id" : "ITEM-1", "issue" : "1", "issued" : { "date-parts" : [ [ "2007" ] ] }, "page" : "8-22", "title" : "Barriers to integrating quantitative and qualitative research", "type" : "article-journal", "volume" : "1" }, "uris" : [ "http://www.mendeley.com/documents/?uuid=9f1524f1-c2bb-4a87-b588-dc1b71e024a6" ] }, { "id" : "ITEM-2", "itemData" : { "author" : [ { "dropping-particle" : "", "family" : "Teddlie", "given" : "C", "non-dropping-particle" : "", "parse-names" : false, "suffix" : "" }, { "dropping-particle" : "", "family" : "Tashakkori", "given" : "A", "non-dropping-particle" : "", "parse-names" : false, "suffix" : "" } ], "id" : "ITEM-2", "issued" : { "date-parts" : [ [ "2009" ] ] }, "publisher" : "SAGE Publications Inc.", "publisher-place" : "Thousand Oaks", "title" : "Foundations of mixed methods research: Integrating quantitative and qualitative approaches in the social and behavioral sciences", "type" : "book" }, "uris" : [ "http://www.mendeley.com/documents/?uuid=bbf94a8b-67b4-494f-92ca-828dd65fa45c" ] } ], "mendeley" : { "formattedCitation" : "(Bryman, 2007; Teddlie and Tashakkori, 2009)", "plainTextFormattedCitation" : "(Bryman, 2007; Teddlie and Tashakkori, 2009)", "previouslyFormattedCitation" : "(Bryman, 2007; Teddlie and Tashakkori, 2009)" }, "properties" : { "noteIndex" : 0 }, "schema" : "https://github.com/citation-style-language/schema/raw/master/csl-citation.json" }</w:instrText>
      </w:r>
      <w:r w:rsidR="006F2F83" w:rsidRPr="009B3747">
        <w:rPr>
          <w:rFonts w:eastAsia="Times New Roman" w:cstheme="minorHAnsi"/>
          <w:color w:val="000000"/>
          <w:lang w:eastAsia="en-GB"/>
        </w:rPr>
        <w:fldChar w:fldCharType="separate"/>
      </w:r>
      <w:r w:rsidR="006F2F83" w:rsidRPr="009B3747">
        <w:rPr>
          <w:rFonts w:eastAsia="Times New Roman" w:cstheme="minorHAnsi"/>
          <w:noProof/>
          <w:color w:val="000000"/>
          <w:lang w:eastAsia="en-GB"/>
        </w:rPr>
        <w:t>(Bryman, 2007; Teddlie and Tashakkori, 2009)</w:t>
      </w:r>
      <w:r w:rsidR="006F2F83" w:rsidRPr="009B3747">
        <w:rPr>
          <w:rFonts w:eastAsia="Times New Roman" w:cstheme="minorHAnsi"/>
          <w:color w:val="000000"/>
          <w:lang w:eastAsia="en-GB"/>
        </w:rPr>
        <w:fldChar w:fldCharType="end"/>
      </w:r>
      <w:r w:rsidR="0016744F" w:rsidRPr="009B3747">
        <w:rPr>
          <w:rFonts w:eastAsia="Times New Roman" w:cstheme="minorHAnsi"/>
          <w:color w:val="000000"/>
          <w:lang w:eastAsia="en-GB"/>
        </w:rPr>
        <w:t>.</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 xml:space="preserve">Whilst it was </w:t>
      </w:r>
      <w:r w:rsidR="00133672" w:rsidRPr="009B3747">
        <w:rPr>
          <w:rFonts w:eastAsia="Times New Roman" w:cstheme="minorHAnsi"/>
          <w:color w:val="000000"/>
          <w:lang w:eastAsia="en-GB"/>
        </w:rPr>
        <w:t>perceived to be</w:t>
      </w:r>
      <w:r w:rsidRPr="009B3747">
        <w:rPr>
          <w:rFonts w:eastAsia="Times New Roman" w:cstheme="minorHAnsi"/>
          <w:color w:val="000000"/>
          <w:lang w:eastAsia="en-GB"/>
        </w:rPr>
        <w:t xml:space="preserve"> both necessary and appropriate to utilised the exploratory sequential design for this mixed methods study, it was done so in the knowledge of the limitations and challenges associated with </w:t>
      </w:r>
      <w:r w:rsidR="00E7387C" w:rsidRPr="009B3747">
        <w:rPr>
          <w:rFonts w:eastAsia="Times New Roman" w:cstheme="minorHAnsi"/>
          <w:color w:val="000000"/>
          <w:lang w:eastAsia="en-GB"/>
        </w:rPr>
        <w:t>its</w:t>
      </w:r>
      <w:r w:rsidRPr="009B3747">
        <w:rPr>
          <w:rFonts w:eastAsia="Times New Roman" w:cstheme="minorHAnsi"/>
          <w:color w:val="000000"/>
          <w:lang w:eastAsia="en-GB"/>
        </w:rPr>
        <w:t xml:space="preserve"> use.  A fundamental issue for this design is the significant time and resources required to implement two separate phases and rigorously develop an adequate and relevant quantitative instrument from the qualitative findings (Creswell and Plano Clark, 2011).  Furthermore, there remains a lack of methodological guidance regarding the practical steps required to conduct mixed methods research, especially in relation to developing robust quantitative instruments from qualitative findings</w:t>
      </w:r>
      <w:r w:rsidR="0016744F" w:rsidRPr="009B3747">
        <w:rPr>
          <w:rFonts w:eastAsia="Times New Roman" w:cstheme="minorHAnsi"/>
          <w:color w:val="000000"/>
          <w:lang w:eastAsia="en-GB"/>
        </w:rPr>
        <w:t xml:space="preserve"> </w:t>
      </w:r>
      <w:r w:rsidR="0016744F"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"Bryman", "given" : "A", "non-dropping-particle" : "", "parse-names" : false, "suffix" : "" } ], "container-title" : "Qualitative research", "id" : "ITEM-1", "issue" : "1", "issued" : { "date-parts" : [ [ "2006" ] ] }, "page" : "97-113", "title" : "Integrating quantitative and qualitative research: how is it done?", "type" : "article-journal", "volume" : "6" }, "uris" : [ "http://www.mendeley.com/documents/?uuid=c4a44d75-1479-4744-9026-0227e8a41839" ] }, { "id" : "ITEM-2", "itemData" : { "DOI" : "10.1177/1558689809355805", "ISSN" : "1558-6898", "abstract" : "In this methodological article, the authors present a meta-framework\u2014comprising several frameworks and models, as well as multiple research approaches\u2014that they call an Instrument Development and Construct Validation (IDCV) process for optimizing the development of quantitative instruments. Using mixed research techniques, the IDCV contains 10 phases that detail the progression from an interdisciplinary review of the literature to the development of the instrument to the evaluation of the instrument development and construct validation process and product(s). Crossover analyses represent a key mechanism in the IDCV, wherein analysis types from one tradition (e.g., quantitative analysis) are used to analyze data from a different tradition (e.g., qualitative data). Finally, the authors provide a heuristic example of a rigorous way to develop a Likert-format scale.", "author" : [ { "dropping-particle" : "", "family" : "Onwuegbuzie", "given" : "Anthony J.", "non-dropping-particle" : "", "parse-names" : false, "suffix" : "" }, { "dropping-particle" : "", "family" : "Bustamante", "given" : "Rebecca M.", "non-dropping-particle" : "", "parse-names" : false, "suffix" : "" }, { "dropping-particle" : "", "family" : "Nelson", "given" : "Judith A.", "non-dropping-particle" : "", "parse-names" : false, "suffix" : "" } ], "container-title" : "Journal of Mixed Methods Research", "id" : "ITEM-2", "issue" : "1", "issued" : { "date-parts" : [ [ "2010", "1", "29" ] ] }, "page" : "56-78", "publisher" : "SAGE PublicationsSage CA: Los Angeles, CA", "title" : "Mixed Research as a Tool for Developing Quantitative Instruments", "type" : "article-journal", "volume" : "4" }, "uris" : [ "http://www.mendeley.com/documents/?uuid=ada00d17-5190-31c2-adec-b0f915a04d94" ] } ], "mendeley" : { "formattedCitation" : "(Bryman, 2006; Onwuegbuzie et al., 2010)", "plainTextFormattedCitation" : "(Bryman, 2006; Onwuegbuzie et al., 2010)", "previouslyFormattedCitation" : "(Bryman, 2006; Onwuegbuzie et al., 2010)" }, "properties" : { "noteIndex" : 0 }, "schema" : "https://github.com/citation-style-language/schema/raw/master/csl-citation.json" }</w:instrText>
      </w:r>
      <w:r w:rsidR="0016744F" w:rsidRPr="009B3747">
        <w:rPr>
          <w:rFonts w:eastAsia="Times New Roman" w:cstheme="minorHAnsi"/>
          <w:color w:val="000000"/>
          <w:lang w:eastAsia="en-GB"/>
        </w:rPr>
        <w:fldChar w:fldCharType="separate"/>
      </w:r>
      <w:r w:rsidR="0016744F" w:rsidRPr="009B3747">
        <w:rPr>
          <w:rFonts w:eastAsia="Times New Roman" w:cstheme="minorHAnsi"/>
          <w:noProof/>
          <w:color w:val="000000"/>
          <w:lang w:eastAsia="en-GB"/>
        </w:rPr>
        <w:t>(Bryman, 2006; Onwuegbuzie et al., 2010)</w:t>
      </w:r>
      <w:r w:rsidR="0016744F" w:rsidRPr="009B3747">
        <w:rPr>
          <w:rFonts w:eastAsia="Times New Roman" w:cstheme="minorHAnsi"/>
          <w:color w:val="000000"/>
          <w:lang w:eastAsia="en-GB"/>
        </w:rPr>
        <w:fldChar w:fldCharType="end"/>
      </w:r>
      <w:r w:rsidRPr="009B3747">
        <w:rPr>
          <w:rFonts w:eastAsia="Times New Roman" w:cstheme="minorHAnsi"/>
          <w:color w:val="000000"/>
          <w:lang w:eastAsia="en-GB"/>
        </w:rPr>
        <w:t>.</w:t>
      </w:r>
      <w:r w:rsidRPr="009B3747">
        <w:rPr>
          <w:rFonts w:eastAsia="Times New Roman" w:cstheme="minorHAnsi"/>
          <w:i/>
          <w:iCs/>
          <w:color w:val="000000"/>
          <w:lang w:eastAsia="en-GB"/>
        </w:rPr>
        <w:t xml:space="preserve">  </w:t>
      </w:r>
      <w:r w:rsidRPr="009B3747">
        <w:rPr>
          <w:rFonts w:eastAsia="Times New Roman" w:cstheme="minorHAnsi"/>
          <w:color w:val="000000"/>
          <w:lang w:eastAsia="en-GB"/>
        </w:rPr>
        <w:t>Despite these challenges, the selection of the exploratory sequential design was viewed as a straightforward, practical and intuitive choice</w:t>
      </w:r>
      <w:r w:rsidR="0016744F" w:rsidRPr="009B3747">
        <w:rPr>
          <w:rFonts w:eastAsia="Times New Roman" w:cstheme="minorHAnsi"/>
          <w:color w:val="000000"/>
          <w:lang w:eastAsia="en-GB"/>
        </w:rPr>
        <w:t xml:space="preserve"> </w:t>
      </w:r>
      <w:r w:rsidR="0016744F"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"Creswell", "given" : "JW", "non-dropping-particle" : "", "parse-names" : false, "suffix" : "" } ], "edition" : "4th", "id" : "ITEM-1", "issued" : { "date-parts" : [ [ "2013" ] ] }, "publisher" : "SAGE Publications Inc.", "publisher-place" : "Los Angeles", "title" : "Research design: Qualitative, quantitative, and mixed methods approaches", "type" : "book" }, "uris" : [ "http://www.mendeley.com/documents/?uuid=c87311ab-131f-4fb8-99d2-ce0c3deef686" ] } ], "mendeley" : { "formattedCitation" : "(Creswell, 2013)", "plainTextFormattedCitation" : "(Creswell, 2013)", "previouslyFormattedCitation" : "(Creswell, 2013)" }, "properties" : { "noteIndex" : 0 }, "schema" : "https://github.com/citation-style-language/schema/raw/master/csl-citation.json" }</w:instrText>
      </w:r>
      <w:r w:rsidR="0016744F" w:rsidRPr="009B3747">
        <w:rPr>
          <w:rFonts w:eastAsia="Times New Roman" w:cstheme="minorHAnsi"/>
          <w:color w:val="000000"/>
          <w:lang w:eastAsia="en-GB"/>
        </w:rPr>
        <w:fldChar w:fldCharType="separate"/>
      </w:r>
      <w:r w:rsidR="0016744F" w:rsidRPr="009B3747">
        <w:rPr>
          <w:rFonts w:eastAsia="Times New Roman" w:cstheme="minorHAnsi"/>
          <w:noProof/>
          <w:color w:val="000000"/>
          <w:lang w:eastAsia="en-GB"/>
        </w:rPr>
        <w:t>(Creswell, 2013)</w:t>
      </w:r>
      <w:r w:rsidR="0016744F" w:rsidRPr="009B3747">
        <w:rPr>
          <w:rFonts w:eastAsia="Times New Roman" w:cstheme="minorHAnsi"/>
          <w:color w:val="000000"/>
          <w:lang w:eastAsia="en-GB"/>
        </w:rPr>
        <w:fldChar w:fldCharType="end"/>
      </w:r>
      <w:r w:rsidR="006B3249">
        <w:rPr>
          <w:rFonts w:eastAsia="Times New Roman" w:cstheme="minorHAnsi"/>
          <w:color w:val="000000"/>
          <w:lang w:eastAsia="en-GB"/>
        </w:rPr>
        <w:t xml:space="preserve">, </w:t>
      </w:r>
      <w:r w:rsidRPr="009B3747">
        <w:rPr>
          <w:rFonts w:eastAsia="Times New Roman" w:cstheme="minorHAnsi"/>
          <w:color w:val="000000"/>
          <w:lang w:eastAsia="en-GB"/>
        </w:rPr>
        <w:t>which would best support the researcher’s ability to answer the proposed research question.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83682E" w:rsidRPr="009B3747" w:rsidRDefault="003F1507" w:rsidP="003F1507">
      <w:pPr>
        <w:rPr>
          <w:rFonts w:eastAsia="Times New Roman" w:cstheme="minorHAnsi"/>
          <w:color w:val="000000"/>
          <w:lang w:eastAsia="en-GB"/>
        </w:rPr>
      </w:pPr>
      <w:r w:rsidRPr="009B3747">
        <w:rPr>
          <w:rFonts w:eastAsia="Times New Roman" w:cstheme="minorHAnsi"/>
          <w:color w:val="000000"/>
          <w:lang w:eastAsia="en-GB"/>
        </w:rPr>
        <w:t>As discussed previously, the third co</w:t>
      </w:r>
      <w:r w:rsidR="005A045A" w:rsidRPr="009B3747">
        <w:rPr>
          <w:rFonts w:eastAsia="Times New Roman" w:cstheme="minorHAnsi"/>
          <w:color w:val="000000"/>
          <w:lang w:eastAsia="en-GB"/>
        </w:rPr>
        <w:t>mponent of a research approach –</w:t>
      </w:r>
      <w:r w:rsidRPr="009B3747">
        <w:rPr>
          <w:rFonts w:eastAsia="Times New Roman" w:cstheme="minorHAnsi"/>
          <w:color w:val="000000"/>
          <w:lang w:eastAsia="en-GB"/>
        </w:rPr>
        <w:t xml:space="preserve"> a study’s research methods</w:t>
      </w:r>
      <w:r w:rsidR="0083682E" w:rsidRPr="009B3747">
        <w:rPr>
          <w:rFonts w:eastAsia="Times New Roman" w:cstheme="minorHAnsi"/>
          <w:color w:val="000000"/>
          <w:lang w:eastAsia="en-GB"/>
        </w:rPr>
        <w:t xml:space="preserve"> – </w:t>
      </w:r>
    </w:p>
    <w:p w:rsidR="003F1507" w:rsidRPr="009B3747" w:rsidRDefault="003F1507" w:rsidP="003F1507">
      <w:pPr>
        <w:rPr>
          <w:rFonts w:eastAsia="Times New Roman" w:cstheme="minorHAnsi"/>
          <w:color w:val="000000"/>
          <w:lang w:eastAsia="en-GB"/>
        </w:rPr>
      </w:pPr>
      <w:r w:rsidRPr="009B3747">
        <w:rPr>
          <w:rFonts w:eastAsia="Times New Roman" w:cstheme="minorHAnsi"/>
          <w:color w:val="000000"/>
          <w:lang w:eastAsia="en-GB"/>
        </w:rPr>
        <w:t>are presented separately to this chapter.  A comprehensive overview and justification of the data collection and analysis methods employed for the qualitative and quantitative pha</w:t>
      </w:r>
      <w:r w:rsidR="00E7387C" w:rsidRPr="009B3747">
        <w:rPr>
          <w:rFonts w:eastAsia="Times New Roman" w:cstheme="minorHAnsi"/>
          <w:color w:val="000000"/>
          <w:lang w:eastAsia="en-GB"/>
        </w:rPr>
        <w:t>ses are presented in chapters five</w:t>
      </w:r>
      <w:r w:rsidR="0016744F" w:rsidRPr="009B3747">
        <w:rPr>
          <w:rFonts w:eastAsia="Times New Roman" w:cstheme="minorHAnsi"/>
          <w:color w:val="000000"/>
          <w:lang w:eastAsia="en-GB"/>
        </w:rPr>
        <w:t xml:space="preserve"> (qualitative methods) and seven (quantitative methods)</w:t>
      </w:r>
      <w:r w:rsidRPr="009B3747">
        <w:rPr>
          <w:rFonts w:eastAsia="Times New Roman" w:cstheme="minorHAnsi"/>
          <w:color w:val="000000"/>
          <w:lang w:eastAsia="en-GB"/>
        </w:rPr>
        <w:t xml:space="preserve">.  Additionally and crucial to </w:t>
      </w:r>
      <w:r w:rsidRPr="009B3747">
        <w:rPr>
          <w:rFonts w:eastAsia="Times New Roman" w:cstheme="minorHAnsi"/>
          <w:color w:val="000000"/>
          <w:lang w:eastAsia="en-GB"/>
        </w:rPr>
        <w:lastRenderedPageBreak/>
        <w:t>this chosen design, is the in-depth description provided at the start of</w:t>
      </w:r>
      <w:r w:rsidR="00E7387C" w:rsidRPr="009B3747">
        <w:rPr>
          <w:rFonts w:eastAsia="Times New Roman" w:cstheme="minorHAnsi"/>
          <w:color w:val="000000"/>
          <w:lang w:eastAsia="en-GB"/>
        </w:rPr>
        <w:t xml:space="preserve"> chapter seven</w:t>
      </w:r>
      <w:r w:rsidRPr="009B3747">
        <w:rPr>
          <w:rFonts w:eastAsia="Times New Roman" w:cstheme="minorHAnsi"/>
          <w:color w:val="000000"/>
          <w:lang w:eastAsia="en-GB"/>
        </w:rPr>
        <w:t xml:space="preserve"> of the </w:t>
      </w:r>
      <w:r w:rsidR="0016744F" w:rsidRPr="009B3747">
        <w:rPr>
          <w:rFonts w:eastAsia="Times New Roman" w:cstheme="minorHAnsi"/>
          <w:color w:val="000000"/>
          <w:lang w:eastAsia="en-GB"/>
        </w:rPr>
        <w:t xml:space="preserve">survey </w:t>
      </w:r>
      <w:r w:rsidRPr="009B3747">
        <w:rPr>
          <w:rFonts w:eastAsia="Times New Roman" w:cstheme="minorHAnsi"/>
          <w:color w:val="000000"/>
          <w:lang w:eastAsia="en-GB"/>
        </w:rPr>
        <w:t>development process</w:t>
      </w:r>
      <w:r w:rsidR="00273991">
        <w:rPr>
          <w:rFonts w:eastAsia="Times New Roman" w:cstheme="minorHAnsi"/>
          <w:color w:val="000000"/>
          <w:lang w:eastAsia="en-GB"/>
        </w:rPr>
        <w:t>,</w:t>
      </w:r>
      <w:r w:rsidRPr="009B3747">
        <w:rPr>
          <w:rFonts w:eastAsia="Times New Roman" w:cstheme="minorHAnsi"/>
          <w:color w:val="000000"/>
          <w:lang w:eastAsia="en-GB"/>
        </w:rPr>
        <w:t xml:space="preserve"> i.e. the point of integration.</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F74CA0" w:rsidP="003F1507">
      <w:pPr>
        <w:rPr>
          <w:rFonts w:eastAsia="Times New Roman" w:cstheme="minorHAnsi"/>
          <w:b/>
          <w:sz w:val="24"/>
          <w:szCs w:val="24"/>
          <w:lang w:eastAsia="en-GB"/>
        </w:rPr>
      </w:pPr>
      <w:r w:rsidRPr="009B3747">
        <w:rPr>
          <w:rFonts w:eastAsia="Times New Roman" w:cstheme="minorHAnsi"/>
          <w:b/>
          <w:color w:val="000000"/>
          <w:sz w:val="24"/>
          <w:szCs w:val="24"/>
          <w:u w:val="single"/>
          <w:lang w:eastAsia="en-GB"/>
        </w:rPr>
        <w:t xml:space="preserve">4.4 </w:t>
      </w:r>
      <w:r w:rsidR="003F1507" w:rsidRPr="009B3747">
        <w:rPr>
          <w:rFonts w:eastAsia="Times New Roman" w:cstheme="minorHAnsi"/>
          <w:b/>
          <w:color w:val="000000"/>
          <w:sz w:val="24"/>
          <w:szCs w:val="24"/>
          <w:u w:val="single"/>
          <w:lang w:eastAsia="en-GB"/>
        </w:rPr>
        <w:t>Quality in mixed methods studies</w:t>
      </w:r>
    </w:p>
    <w:p w:rsidR="003F1507" w:rsidRPr="009B3747" w:rsidRDefault="003F1507" w:rsidP="009D727E">
      <w:pPr>
        <w:tabs>
          <w:tab w:val="left" w:pos="2925"/>
        </w:tabs>
        <w:rPr>
          <w:rFonts w:eastAsia="Times New Roman" w:cstheme="minorHAnsi"/>
          <w:sz w:val="24"/>
          <w:szCs w:val="24"/>
          <w:lang w:eastAsia="en-GB"/>
        </w:rPr>
      </w:pPr>
      <w:r w:rsidRPr="009B3747">
        <w:rPr>
          <w:rFonts w:eastAsia="Times New Roman" w:cstheme="minorHAnsi"/>
          <w:sz w:val="24"/>
          <w:szCs w:val="24"/>
          <w:lang w:eastAsia="en-GB"/>
        </w:rPr>
        <w:t> </w:t>
      </w:r>
      <w:r w:rsidR="009D727E" w:rsidRPr="009B3747">
        <w:rPr>
          <w:rFonts w:eastAsia="Times New Roman" w:cstheme="minorHAnsi"/>
          <w:sz w:val="24"/>
          <w:szCs w:val="24"/>
          <w:lang w:eastAsia="en-GB"/>
        </w:rPr>
        <w:tab/>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 xml:space="preserve">Whilst quality issues pertinent to each distinctive phase of the research design will be dealt with in their respective </w:t>
      </w:r>
      <w:r w:rsidR="00E7387C" w:rsidRPr="009B3747">
        <w:rPr>
          <w:rFonts w:eastAsia="Times New Roman" w:cstheme="minorHAnsi"/>
          <w:color w:val="000000"/>
          <w:lang w:eastAsia="en-GB"/>
        </w:rPr>
        <w:t>methodology chapters (chapter five and chapter seven</w:t>
      </w:r>
      <w:r w:rsidRPr="009B3747">
        <w:rPr>
          <w:rFonts w:eastAsia="Times New Roman" w:cstheme="minorHAnsi"/>
          <w:color w:val="000000"/>
          <w:lang w:eastAsia="en-GB"/>
        </w:rPr>
        <w:t>), it is important to consider quality as overarching concept for this mixed methods doctoral study</w:t>
      </w:r>
      <w:r w:rsidR="0016744F" w:rsidRPr="009B3747">
        <w:rPr>
          <w:rFonts w:eastAsia="Times New Roman" w:cstheme="minorHAnsi"/>
          <w:color w:val="000000"/>
          <w:lang w:eastAsia="en-GB"/>
        </w:rPr>
        <w:t xml:space="preserve"> </w:t>
      </w:r>
      <w:r w:rsidR="0016744F"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"O'Cathain", "given" : "A", "non-dropping-particle" : "", "parse-names" : false, "suffix" : "" }, { "dropping-particle" : "", "family" : "Murphy", "given" : "E", "non-dropping-particle" : "", "parse-names" : false, "suffix" : "" }, { "dropping-particle" : "", "family" : "Nicholl", "given" : "J", "non-dropping-particle" : "", "parse-names" : false, "suffix" : "" } ], "container-title" : "Journal of Health Services Research &amp; Policy", "id" : "ITEM-1", "issue" : "2", "issued" : { "date-parts" : [ [ "2008" ] ] }, "page" : "92-98", "title" : "The quality of mixed methods studies in health services research", "type" : "article-journal", "volume" : "13" }, "uris" : [ "http://www.mendeley.com/documents/?uuid=e48720a1-82c5-42fe-b696-00941b8ca04d" ] }, { "id" : "ITEM-2", "itemData" : { "DOI" : "10.1016/j.ijnurstu.2010.10.005", "ISSN" : "1873-491X", "PMID" : "21084086", "abstract" : "OBJECTIVES It has been argued that mixed methods research can be useful in nursing and health science because of the complexity of the phenomena studied. However, the integration of qualitative and quantitative approaches continues to be one of much debate and there is a need for a rigorous framework for designing and interpreting mixed methods research. This paper explores the analytical approaches (i.e. parallel, concurrent or sequential) used in mixed methods studies within healthcare and exemplifies the use of triangulation as a methodological metaphor for drawing inferences from qualitative and quantitative findings originating from such analyses. DESIGN This review of the literature used systematic principles in searching CINAHL, Medline and PsycINFO for healthcare research studies which employed a mixed methods approach and were published in the English language between January 1999 and September 2009. RESULTS In total, 168 studies were included in the results. Most studies originated in the United States of America (USA), the United Kingdom (UK) and Canada. The analytic approach most widely used was parallel data analysis. A number of studies used sequential data analysis; far fewer studies employed concurrent data analysis. Very few of these studies clearly articulated the purpose for using a mixed methods design. The use of the methodological metaphor of triangulation on convergent, complementary, and divergent results from mixed methods studies is exemplified and an example of developing theory from such data is provided. CONCLUSION A trend for conducting parallel data analysis on quantitative and qualitative data in mixed methods healthcare research has been identified in the studies included in this review. Using triangulation as a methodological metaphor can facilitate the integration of qualitative and quantitative findings, help researchers to clarify their theoretical propositions and the basis of their results. This can offer a better understanding of the links between theory and empirical findings, challenge theoretical assumptions and develop new theory.", "author" : [ { "dropping-particle" : "", "family" : "\u00d6stlund", "given" : "Ulrika", "non-dropping-particle" : "", "parse-names" : false, "suffix" : "" }, { "dropping-particle" : "", "family" : "Kidd", "given" : "Lisa", "non-dropping-particle" : "", "parse-names" : false, "suffix" : "" }, { "dropping-particle" : "", "family" : "Wengstr\u00f6m", "given" : "Yvonne", "non-dropping-particle" : "", "parse-names" : false, "suffix" : "" }, { "dropping-particle" : "", "family" : "Rowa-Dewar", "given" : "Neneh", "non-dropping-particle" : "", "parse-names" : false, "suffix" : "" }, { "dropping-particle" : "", "family" : "McCormick", "given" : "L.", "non-dropping-particle" : "", "parse-names" : false, "suffix" : "" }, { "dropping-particle" : "", "family" : "Hanson", "given" : "A.", "non-dropping-particle" : "", "parse-names" : false, "suffix" : "" } ], "container-title" : "International journal of nursing studies", "id" : "ITEM-2", "issue" : "3", "issued" : { "date-parts" : [ [ "2011", "3", "1" ] ] }, "page" : "369-83", "publisher" : "Sage, Thousands Oak", "title" : "Combining qualitative and quantitative research within mixed method research designs: a methodological review.", "type" : "article-journal", "volume" : "48" }, "uris" : [ "http://www.mendeley.com/documents/?uuid=6f99e117-131c-3a23-9191-5ecf68ecae0a" ] } ], "mendeley" : { "formattedCitation" : "(O\u2019Cathain et al., 2008; \u00d6stlund et al., 2011)", "plainTextFormattedCitation" : "(O\u2019Cathain et al., 2008; \u00d6stlund et al., 2011)", "previouslyFormattedCitation" : "(O\u2019Cathain et al., 2008; \u00d6stlund et al., 2011)" }, "properties" : { "noteIndex" : 0 }, "schema" : "https://github.com/citation-style-language/schema/raw/master/csl-citation.json" }</w:instrText>
      </w:r>
      <w:r w:rsidR="0016744F" w:rsidRPr="009B3747">
        <w:rPr>
          <w:rFonts w:eastAsia="Times New Roman" w:cstheme="minorHAnsi"/>
          <w:color w:val="000000"/>
          <w:lang w:eastAsia="en-GB"/>
        </w:rPr>
        <w:fldChar w:fldCharType="separate"/>
      </w:r>
      <w:r w:rsidR="0016744F" w:rsidRPr="009B3747">
        <w:rPr>
          <w:rFonts w:eastAsia="Times New Roman" w:cstheme="minorHAnsi"/>
          <w:noProof/>
          <w:color w:val="000000"/>
          <w:lang w:eastAsia="en-GB"/>
        </w:rPr>
        <w:t>(O’Cathain et al., 2008; Östlund et al., 2011)</w:t>
      </w:r>
      <w:r w:rsidR="0016744F" w:rsidRPr="009B3747">
        <w:rPr>
          <w:rFonts w:eastAsia="Times New Roman" w:cstheme="minorHAnsi"/>
          <w:color w:val="000000"/>
          <w:lang w:eastAsia="en-GB"/>
        </w:rPr>
        <w:fldChar w:fldCharType="end"/>
      </w:r>
      <w:r w:rsidRPr="009B3747">
        <w:rPr>
          <w:rFonts w:eastAsia="Times New Roman" w:cstheme="minorHAnsi"/>
          <w:color w:val="000000"/>
          <w:lang w:eastAsia="en-GB"/>
        </w:rPr>
        <w:t>.  The final section of this chapter therefore proposes how the researcher committed to an appraisal approach</w:t>
      </w:r>
      <w:r w:rsidR="009025E2">
        <w:rPr>
          <w:rFonts w:eastAsia="Times New Roman" w:cstheme="minorHAnsi"/>
          <w:color w:val="000000"/>
          <w:lang w:eastAsia="en-GB"/>
        </w:rPr>
        <w:t>,</w:t>
      </w:r>
      <w:r w:rsidRPr="009B3747">
        <w:rPr>
          <w:rFonts w:eastAsia="Times New Roman" w:cstheme="minorHAnsi"/>
          <w:color w:val="000000"/>
          <w:lang w:eastAsia="en-GB"/>
        </w:rPr>
        <w:t xml:space="preserve"> which aims to assess the quality of this mixed methods research project as a whole.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Appraising and achieving quality in mixed-methods research poses unique methodological challenges</w:t>
      </w:r>
      <w:r w:rsidR="0016744F" w:rsidRPr="009B3747">
        <w:rPr>
          <w:rFonts w:eastAsia="Times New Roman" w:cstheme="minorHAnsi"/>
          <w:color w:val="000000"/>
          <w:lang w:eastAsia="en-GB"/>
        </w:rPr>
        <w:t xml:space="preserve"> </w:t>
      </w:r>
      <w:r w:rsidR="0016744F" w:rsidRPr="009B3747">
        <w:rPr>
          <w:rFonts w:eastAsia="Times New Roman" w:cstheme="minorHAnsi"/>
          <w:color w:val="000000"/>
          <w:lang w:eastAsia="en-GB"/>
        </w:rPr>
        <w:fldChar w:fldCharType="begin" w:fldLock="1"/>
      </w:r>
      <w:r w:rsidR="006D3ED5" w:rsidRPr="009B3747">
        <w:rPr>
          <w:rFonts w:eastAsia="Times New Roman" w:cstheme="minorHAnsi"/>
          <w:color w:val="000000"/>
          <w:lang w:eastAsia="en-GB"/>
        </w:rPr>
        <w:instrText>ADDIN CSL_CITATION { "citationItems" : [ { "id" : "ITEM-1", "itemData" : { "author" : [ { "dropping-particle" : "", "family" : "Wisdom", "given" : "JP", "non-dropping-particle" : "", "parse-names" : false, "suffix" : "" } ], "container-title" : "Health services  \u2026", "id" : "ITEM-1", "issued" : { "date-parts" : [ [ "2012" ] ] }, "title" : "Methodological reporting in qualitative, quantitative, and mixed methods health services research articles", "type" : "article-journal" }, "uris" : [ "http://www.mendeley.com/documents/?uuid=79b65cf1-da9c-4c7a-9822-e4e68d71d17e" ] } ], "mendeley" : { "formattedCitation" : "(Wisdom, 2012)", "plainTextFormattedCitation" : "(Wisdom, 2012)", "previouslyFormattedCitation" : "(Wisdom, 2012)" }, "properties" : { "noteIndex" : 0 }, "schema" : "https://github.com/citation-style-language/schema/raw/master/csl-citation.json" }</w:instrText>
      </w:r>
      <w:r w:rsidR="0016744F" w:rsidRPr="009B3747">
        <w:rPr>
          <w:rFonts w:eastAsia="Times New Roman" w:cstheme="minorHAnsi"/>
          <w:color w:val="000000"/>
          <w:lang w:eastAsia="en-GB"/>
        </w:rPr>
        <w:fldChar w:fldCharType="separate"/>
      </w:r>
      <w:r w:rsidR="0016744F" w:rsidRPr="009B3747">
        <w:rPr>
          <w:rFonts w:eastAsia="Times New Roman" w:cstheme="minorHAnsi"/>
          <w:noProof/>
          <w:color w:val="000000"/>
          <w:lang w:eastAsia="en-GB"/>
        </w:rPr>
        <w:t>(Wisdom, 2012)</w:t>
      </w:r>
      <w:r w:rsidR="0016744F" w:rsidRPr="009B3747">
        <w:rPr>
          <w:rFonts w:eastAsia="Times New Roman" w:cstheme="minorHAnsi"/>
          <w:color w:val="000000"/>
          <w:lang w:eastAsia="en-GB"/>
        </w:rPr>
        <w:fldChar w:fldCharType="end"/>
      </w:r>
      <w:r w:rsidRPr="009B3747">
        <w:rPr>
          <w:rFonts w:eastAsia="Times New Roman" w:cstheme="minorHAnsi"/>
          <w:color w:val="000000"/>
          <w:lang w:eastAsia="en-GB"/>
        </w:rPr>
        <w:t>.  Furthermore, a lack of consensus exists related to what approach or criteria should be used for appraising or evaluating the quality of mixed methods research</w:t>
      </w:r>
      <w:r w:rsidR="006D3ED5" w:rsidRPr="009B3747">
        <w:rPr>
          <w:rFonts w:eastAsia="Times New Roman" w:cstheme="minorHAnsi"/>
          <w:color w:val="000000"/>
          <w:lang w:eastAsia="en-GB"/>
        </w:rPr>
        <w:t xml:space="preserve"> </w:t>
      </w:r>
      <w:r w:rsidR="006D3ED5"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"O'Cathain", "given" : "A", "non-dropping-particle" : "", "parse-names" : false, "suffix" : "" }, { "dropping-particle" : "", "family" : "Murphy", "given" : "E", "non-dropping-particle" : "", "parse-names" : false, "suffix" : "" }, { "dropping-particle" : "", "family" : "Nicholl", "given" : "J", "non-dropping-particle" : "", "parse-names" : false, "suffix" : "" } ], "container-title" : "Journal of Health Services Research &amp; Policy", "id" : "ITEM-1", "issue" : "2", "issued" : { "date-parts" : [ [ "2008" ] ] }, "page" : "92-98", "title" : "The quality of mixed methods studies in health services research", "type" : "article-journal", "volume" : "13" }, "uris" : [ "http://www.mendeley.com/documents/?uuid=e48720a1-82c5-42fe-b696-00941b8ca04d" ] }, { "id" : "ITEM-2", "itemData" : { "DOI" : "10.1177/1558689813479449", "ISBN" : "1558-6898\\r1558-6901", "ISSN" : "1558-6898", "abstract" : "In several subdomains of the social, behavioral, health, and human sciences, research questions are increasingly answered through mixed methods studies, combining qualitative and quantitative evidence and research elements. Accordingly, the importance of including those primary mixed methods research articles in systematic reviews grows. It is generally known that the critical appraisal of articles is an essential step in the development of a methodologically sound review. This article provides an overview of the available critical appraisal frameworks developed to evaluate primary mixed methods research articles. In addition, we critically compare and evaluate these frameworks and the quality criteria they include.", "author" : [ { "dropping-particle" : "", "family" : "Heyvaert", "given" : "M", "non-dropping-particle" : "", "parse-names" : false, "suffix" : "" }, { "dropping-particle" : "", "family" : "Hannes", "given" : "K", "non-dropping-particle" : "", "parse-names" : false, "suffix" : "" } ], "container-title" : "\u2026 Methods Research", "id" : "ITEM-2", "issue" : "4", "issued" : { "date-parts" : [ [ "2013" ] ] }, "page" : "302\u2013327", "title" : "Critical Appraisal of Mixed Methods Studies", "type" : "article-journal", "volume" : "7" }, "uris" : [ "http://www.mendeley.com/documents/?uuid=ac3cf4b9-52e2-4855-87a3-8a09d1eb8af1" ] } ], "mendeley" : { "formattedCitation" : "(O\u2019Cathain et al., 2008; Heyvaert and Hannes, 2013)", "plainTextFormattedCitation" : "(O\u2019Cathain et al., 2008; Heyvaert and Hannes, 2013)", "previouslyFormattedCitation" : "(O\u2019Cathain et al., 2008; Heyvaert and Hannes, 2013)" }, "properties" : { "noteIndex" : 0 }, "schema" : "https://github.com/citation-style-language/schema/raw/master/csl-citation.json" }</w:instrText>
      </w:r>
      <w:r w:rsidR="006D3ED5" w:rsidRPr="009B3747">
        <w:rPr>
          <w:rFonts w:eastAsia="Times New Roman" w:cstheme="minorHAnsi"/>
          <w:color w:val="000000"/>
          <w:lang w:eastAsia="en-GB"/>
        </w:rPr>
        <w:fldChar w:fldCharType="separate"/>
      </w:r>
      <w:r w:rsidR="006D3ED5" w:rsidRPr="009B3747">
        <w:rPr>
          <w:rFonts w:eastAsia="Times New Roman" w:cstheme="minorHAnsi"/>
          <w:noProof/>
          <w:color w:val="000000"/>
          <w:lang w:eastAsia="en-GB"/>
        </w:rPr>
        <w:t>(O’Cathain et al., 2008; Heyvaert and Hannes, 2013)</w:t>
      </w:r>
      <w:r w:rsidR="006D3ED5" w:rsidRPr="009B3747">
        <w:rPr>
          <w:rFonts w:eastAsia="Times New Roman" w:cstheme="minorHAnsi"/>
          <w:color w:val="000000"/>
          <w:lang w:eastAsia="en-GB"/>
        </w:rPr>
        <w:fldChar w:fldCharType="end"/>
      </w:r>
      <w:r w:rsidR="006D3ED5" w:rsidRPr="009B3747">
        <w:rPr>
          <w:rFonts w:eastAsia="Times New Roman" w:cstheme="minorHAnsi"/>
          <w:color w:val="000000"/>
          <w:lang w:eastAsia="en-GB"/>
        </w:rPr>
        <w:t xml:space="preserve">.  </w:t>
      </w:r>
      <w:r w:rsidR="006B3249">
        <w:rPr>
          <w:rFonts w:eastAsia="Times New Roman" w:cstheme="minorHAnsi"/>
          <w:color w:val="000000"/>
          <w:lang w:eastAsia="en-GB"/>
        </w:rPr>
        <w:t>It is</w:t>
      </w:r>
      <w:r w:rsidRPr="009B3747">
        <w:rPr>
          <w:rFonts w:eastAsia="Times New Roman" w:cstheme="minorHAnsi"/>
          <w:color w:val="000000"/>
          <w:lang w:eastAsia="en-GB"/>
        </w:rPr>
        <w:t xml:space="preserve"> widely advocated that sufficiently rigorous mixed-methods studies require both the quantitative and qualitative components to adhere to recognised standards in their respective fields</w:t>
      </w:r>
      <w:r w:rsidR="006D3ED5" w:rsidRPr="009B3747">
        <w:rPr>
          <w:rFonts w:eastAsia="Times New Roman" w:cstheme="minorHAnsi"/>
          <w:color w:val="000000"/>
          <w:lang w:eastAsia="en-GB"/>
        </w:rPr>
        <w:t xml:space="preserve"> </w:t>
      </w:r>
      <w:r w:rsidR="006D3ED5" w:rsidRPr="009B3747">
        <w:rPr>
          <w:rFonts w:eastAsia="Times New Roman" w:cstheme="minorHAnsi"/>
          <w:color w:val="000000"/>
          <w:lang w:eastAsia="en-GB"/>
        </w:rPr>
        <w:fldChar w:fldCharType="begin" w:fldLock="1"/>
      </w:r>
      <w:r w:rsidR="00A84723" w:rsidRPr="009B3747">
        <w:rPr>
          <w:rFonts w:eastAsia="Times New Roman" w:cstheme="minorHAnsi"/>
          <w:color w:val="000000"/>
          <w:lang w:eastAsia="en-GB"/>
        </w:rPr>
        <w:instrText>ADDIN CSL_CITATION { "citationItems" : [ { "id" : "ITEM-1", "itemData" : { "DOI" : "10.1161/CIRCULATIONAHA.107.742775", "ISSN" : "0009-7322", "PMID" : "19289649", "author" : [ { "dropping-particle" : "", "family" : "Curry", "given" : "L. A.", "non-dropping-particle" : "", "parse-names" : false, "suffix" : "" }, { "dropping-particle" : "", "family" : "Nembhard", "given" : "I. M.", "non-dropping-particle" : "", "parse-names" : false, "suffix" : "" }, { "dropping-particle" : "", "family" : "Bradley", "given" : "E. H.", "non-dropping-particle" : "", "parse-names" : false, "suffix" : "" } ], "container-title" : "Circulation", "id" : "ITEM-1", "issue" : "10", "issued" : { "date-parts" : [ [ "2009", "3", "17" ] ] }, "page" : "1442-1452", "title" : "Qualitative and Mixed Methods Provide Unique Contributions to Outcomes Research", "type" : "article-journal", "volume" : "119" }, "uris" : [ "http://www.mendeley.com/documents/?uuid=7430a498-df69-35e8-a26d-6f5e8a4aac19" ] }, { "id" : "ITEM-2", "itemData" : { "author" : [ { "dropping-particle" : "", "family" : "Tashakkori", "given" : "A", "non-dropping-particle" : "", "parse-names" : false, "suffix" : "" }, { "dropping-particle" : "", "family" : "Teddlie", "given" : "C", "non-dropping-particle" : "", "parse-names" : false, "suffix" : "" } ], "edition" : "2nd", "id" : "ITEM-2", "issued" : { "date-parts" : [ [ "2010" ] ] }, "publisher" : "SAGE Publications Inc.", "title" : "Sage handbook of mixed methods in social &amp; behavioral research", "type" : "book" }, "uris" : [ "http://www.mendeley.com/documents/?uuid=d6e96658-2f45-4792-b4dd-a27099e07048" ] }, { "id" : "ITEM-3", "itemData" : { "ISBN" : "9781412975179", "abstract" : "2nd ed. \"Combining the latest thinking about mixed methods research designs with practical, step-by-step guidance, the Second Edition of Designing and Conducting Mixed Methods Research now covers six major mixed methods designs. Authors John W. Creswell and Vicki L. Plano Clark walk readers through the entire research process, from formulating questions to designing, collecting data, and interpreting results and include updated examples from published mixed methods studies drawn from the social, behavioral, health, and education disciplines.\"--Pub. desc. The nature of mixed methods research -- The foundations of mixed methods research -- Choosing a mixed methods design -- Examples of mixed methods designs -- Introducing a mixed methods study -- Collecting data in mixed methods research -- Analyzing and interpreting data in mixed methods research -- Writing and evaluating mixed methods research -- Summary and recommendations.", "author" : [ { "dropping-particle" : "", "family" : "Creswell", "given" : "John W.", "non-dropping-particle" : "", "parse-names" : false, "suffix" : "" }, { "dropping-particle" : "", "family" : "Plano Clark", "given" : "Vicki L.", "non-dropping-particle" : "", "parse-names" : false, "suffix" : "" } ], "edition" : "2nd", "id" : "ITEM-3", "issued" : { "date-parts" : [ [ "2011" ] ] }, "number-of-pages" : "457", "publisher" : "SAGE Publications", "publisher-place" : "Thousand Oaks", "title" : "Designing and conducting mixed methods research", "type" : "book" }, "uris" : [ "http://www.mendeley.com/documents/?uuid=7cf67537-d009-3386-be02-c159c4f6ff80" ] } ], "mendeley" : { "formattedCitation" : "(Curry et al., 2009; Tashakkori and Teddlie, 2010; Creswell and Plano Clark, 2011)", "plainTextFormattedCitation" : "(Curry et al., 2009; Tashakkori and Teddlie, 2010; Creswell and Plano Clark, 2011)", "previouslyFormattedCitation" : "(Curry et al., 2009; Tashakkori and Teddlie, 2010; Creswell and Plano Clark, 2011)" }, "properties" : { "noteIndex" : 0 }, "schema" : "https://github.com/citation-style-language/schema/raw/master/csl-citation.json" }</w:instrText>
      </w:r>
      <w:r w:rsidR="006D3ED5" w:rsidRPr="009B3747">
        <w:rPr>
          <w:rFonts w:eastAsia="Times New Roman" w:cstheme="minorHAnsi"/>
          <w:color w:val="000000"/>
          <w:lang w:eastAsia="en-GB"/>
        </w:rPr>
        <w:fldChar w:fldCharType="separate"/>
      </w:r>
      <w:r w:rsidR="00395650" w:rsidRPr="009B3747">
        <w:rPr>
          <w:rFonts w:eastAsia="Times New Roman" w:cstheme="minorHAnsi"/>
          <w:noProof/>
          <w:color w:val="000000"/>
          <w:lang w:eastAsia="en-GB"/>
        </w:rPr>
        <w:t>(Curry et al., 2009; Tashakkori and Teddlie, 2010; Creswell and Plano Clark, 2011)</w:t>
      </w:r>
      <w:r w:rsidR="006D3ED5" w:rsidRPr="009B3747">
        <w:rPr>
          <w:rFonts w:eastAsia="Times New Roman" w:cstheme="minorHAnsi"/>
          <w:color w:val="000000"/>
          <w:lang w:eastAsia="en-GB"/>
        </w:rPr>
        <w:fldChar w:fldCharType="end"/>
      </w:r>
      <w:r w:rsidR="006B3249">
        <w:rPr>
          <w:rFonts w:eastAsia="Times New Roman" w:cstheme="minorHAnsi"/>
          <w:color w:val="000000"/>
          <w:lang w:eastAsia="en-GB"/>
        </w:rPr>
        <w:t>.  However r</w:t>
      </w:r>
      <w:r w:rsidRPr="009B3747">
        <w:rPr>
          <w:rFonts w:eastAsia="Times New Roman" w:cstheme="minorHAnsi"/>
          <w:color w:val="000000"/>
          <w:lang w:eastAsia="en-GB"/>
        </w:rPr>
        <w:t>esearchers should also demonstrate explicit justification and transparency for choosing their overarching resea</w:t>
      </w:r>
      <w:r w:rsidR="00E7387C" w:rsidRPr="009B3747">
        <w:rPr>
          <w:rFonts w:eastAsia="Times New Roman" w:cstheme="minorHAnsi"/>
          <w:color w:val="000000"/>
          <w:lang w:eastAsia="en-GB"/>
        </w:rPr>
        <w:t>rch approach and design</w:t>
      </w:r>
      <w:r w:rsidR="006D3ED5" w:rsidRPr="009B3747">
        <w:rPr>
          <w:rFonts w:eastAsia="Times New Roman" w:cstheme="minorHAnsi"/>
          <w:color w:val="000000"/>
          <w:lang w:eastAsia="en-GB"/>
        </w:rPr>
        <w:t xml:space="preserve"> </w:t>
      </w:r>
      <w:r w:rsidR="006D3ED5"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"Clark", "given" : "VLP", "non-dropping-particle" : "", "parse-names" : false, "suffix" : "" }, { "dropping-particle" : "", "family" : "Creswell", "given" : "JW", "non-dropping-particle" : "", "parse-names" : false, "suffix" : "" }, { "dropping-particle" : "", "family" : "Green", "given" : "D", "non-dropping-particle" : "", "parse-names" : false, "suffix" : "" }, { "dropping-particle" : "", "family" : "Shope", "given" : "R", "non-dropping-particle" : "", "parse-names" : false, "suffix" : "" } ], "chapter-number" : "18", "container-title" : "Handbook of emergent methodos", "editor" : [ { "dropping-particle" : "", "family" : "Hessey-Biber", "given" : "S.N", "non-dropping-particle" : "", "parse-names" : false, "suffix" : "" }, { "dropping-particle" : "", "family" : "Leavy", "given" : "P", "non-dropping-particle" : "", "parse-names" : false, "suffix" : "" } ], "id" : "ITEM-1", "issued" : { "date-parts" : [ [ "2008" ] ] }, "page" : "363-387", "publisher" : "The Guildford Press", "publisher-place" : "New York", "title" : "Mixing quantitative and qualitative approaches", "type" : "chapter" }, "uris" : [ "http://www.mendeley.com/documents/?uuid=6cc7068c-8e84-45d5-836c-5316ce7b8307" ] }, { "id" : "ITEM-2", "itemData" : { "author" : [ { "dropping-particle" : "", "family" : "O'Cathain", "given" : "A", "non-dropping-particle" : "", "parse-names" : false, "suffix" : "" }, { "dropping-particle" : "", "family" : "Murphy", "given" : "E", "non-dropping-particle" : "", "parse-names" : false, "suffix" : "" }, { "dropping-particle" : "", "family" : "Nicholl", "given" : "J", "non-dropping-particle" : "", "parse-names" : false, "suffix" : "" } ], "container-title" : "Journal of Health Services Research &amp; Policy", "id" : "ITEM-2", "issue" : "2", "issued" : { "date-parts" : [ [ "2008" ] ] }, "page" : "92-98", "title" : "The quality of mixed methods studies in health services research", "type" : "article-journal", "volume" : "13" }, "uris" : [ "http://www.mendeley.com/documents/?uuid=e48720a1-82c5-42fe-b696-00941b8ca04d" ] }, { "id" : "ITEM-3", "itemData" : { "author" : [ { "dropping-particle" : "", "family" : "Leech", "given" : "NL", "non-dropping-particle" : "", "parse-names" : false, "suffix" : "" }, { "dropping-particle" : "", "family" : "Onwuegbuzie", "given" : "AJ", "non-dropping-particle" : "", "parse-names" : false, "suffix" : "" } ], "container-title" : "Quality &amp; quantity", "id" : "ITEM-3", "issue" : "2", "issued" : { "date-parts" : [ [ "2009" ] ] }, "page" : "265-275", "title" : "A typology of mixed methods research designs", "type" : "article-journal", "volume" : "42" }, "uris" : [ "http://www.mendeley.com/documents/?uuid=a8008fa0-050f-4470-8ed7-865c6a4bc6a0" ] } ], "mendeley" : { "formattedCitation" : "(Clark et al., 2008; O\u2019Cathain et al., 2008; Leech and Onwuegbuzie, 2009)", "plainTextFormattedCitation" : "(Clark et al., 2008; O\u2019Cathain et al., 2008; Leech and Onwuegbuzie, 2009)", "previouslyFormattedCitation" : "(Clark et al., 2008; O\u2019Cathain et al., 2008; Leech and Onwuegbuzie, 2009)" }, "properties" : { "noteIndex" : 0 }, "schema" : "https://github.com/citation-style-language/schema/raw/master/csl-citation.json" }</w:instrText>
      </w:r>
      <w:r w:rsidR="006D3ED5" w:rsidRPr="009B3747">
        <w:rPr>
          <w:rFonts w:eastAsia="Times New Roman" w:cstheme="minorHAnsi"/>
          <w:color w:val="000000"/>
          <w:lang w:eastAsia="en-GB"/>
        </w:rPr>
        <w:fldChar w:fldCharType="separate"/>
      </w:r>
      <w:r w:rsidR="0047189B" w:rsidRPr="009B3747">
        <w:rPr>
          <w:rFonts w:eastAsia="Times New Roman" w:cstheme="minorHAnsi"/>
          <w:noProof/>
          <w:color w:val="000000"/>
          <w:lang w:eastAsia="en-GB"/>
        </w:rPr>
        <w:t>(Clark et al., 2008; O’Cathain et al., 2008; Leech and Onwuegbuzie, 2009)</w:t>
      </w:r>
      <w:r w:rsidR="006D3ED5" w:rsidRPr="009B3747">
        <w:rPr>
          <w:rFonts w:eastAsia="Times New Roman" w:cstheme="minorHAnsi"/>
          <w:color w:val="000000"/>
          <w:lang w:eastAsia="en-GB"/>
        </w:rPr>
        <w:fldChar w:fldCharType="end"/>
      </w:r>
      <w:r w:rsidRPr="009B3747">
        <w:rPr>
          <w:rFonts w:eastAsia="Times New Roman" w:cstheme="minorHAnsi"/>
          <w:color w:val="000000"/>
          <w:lang w:eastAsia="en-GB"/>
        </w:rPr>
        <w:t>.  In addition and particular to appraising mixed methods research</w:t>
      </w:r>
      <w:r w:rsidR="006B3249">
        <w:rPr>
          <w:rFonts w:eastAsia="Times New Roman" w:cstheme="minorHAnsi"/>
          <w:color w:val="000000"/>
          <w:lang w:eastAsia="en-GB"/>
        </w:rPr>
        <w:t>,</w:t>
      </w:r>
      <w:r w:rsidRPr="009B3747">
        <w:rPr>
          <w:rFonts w:eastAsia="Times New Roman" w:cstheme="minorHAnsi"/>
          <w:color w:val="000000"/>
          <w:lang w:eastAsia="en-GB"/>
        </w:rPr>
        <w:t xml:space="preserve"> is the need to assess how qualitativ</w:t>
      </w:r>
      <w:r w:rsidR="006D3ED5" w:rsidRPr="009B3747">
        <w:rPr>
          <w:rFonts w:eastAsia="Times New Roman" w:cstheme="minorHAnsi"/>
          <w:color w:val="000000"/>
          <w:lang w:eastAsia="en-GB"/>
        </w:rPr>
        <w:t xml:space="preserve">e and quantitative strands are </w:t>
      </w:r>
      <w:r w:rsidR="006D3ED5" w:rsidRPr="009B3747">
        <w:rPr>
          <w:rFonts w:eastAsia="Times New Roman" w:cstheme="minorHAnsi"/>
          <w:i/>
          <w:color w:val="000000"/>
          <w:lang w:eastAsia="en-GB"/>
        </w:rPr>
        <w:t>“</w:t>
      </w:r>
      <w:r w:rsidRPr="009B3747">
        <w:rPr>
          <w:rFonts w:eastAsia="Times New Roman" w:cstheme="minorHAnsi"/>
          <w:i/>
          <w:color w:val="000000"/>
          <w:lang w:eastAsia="en-GB"/>
        </w:rPr>
        <w:t>integrated and how consistency and discrepancy between finding</w:t>
      </w:r>
      <w:r w:rsidR="006D3ED5" w:rsidRPr="009B3747">
        <w:rPr>
          <w:rFonts w:eastAsia="Times New Roman" w:cstheme="minorHAnsi"/>
          <w:i/>
          <w:color w:val="000000"/>
          <w:lang w:eastAsia="en-GB"/>
        </w:rPr>
        <w:t>s from each methods are managed”</w:t>
      </w:r>
      <w:r w:rsidRPr="009B3747">
        <w:rPr>
          <w:rFonts w:eastAsia="Times New Roman" w:cstheme="minorHAnsi"/>
          <w:color w:val="000000"/>
          <w:lang w:eastAsia="en-GB"/>
        </w:rPr>
        <w:t xml:space="preserve"> (Wisdom, 2012, p</w:t>
      </w:r>
      <w:r w:rsidR="00FB5B00" w:rsidRPr="009B3747">
        <w:rPr>
          <w:rFonts w:eastAsia="Times New Roman" w:cstheme="minorHAnsi"/>
          <w:color w:val="000000"/>
          <w:lang w:eastAsia="en-GB"/>
        </w:rPr>
        <w:t>.</w:t>
      </w:r>
      <w:r w:rsidRPr="009B3747">
        <w:rPr>
          <w:rFonts w:eastAsia="Times New Roman" w:cstheme="minorHAnsi"/>
          <w:color w:val="000000"/>
          <w:lang w:eastAsia="en-GB"/>
        </w:rPr>
        <w:t xml:space="preserve">725).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color w:val="000000"/>
          <w:shd w:val="clear" w:color="auto" w:fill="FFFFFF"/>
          <w:lang w:eastAsia="en-GB"/>
        </w:rPr>
      </w:pPr>
      <w:r w:rsidRPr="009B3747">
        <w:rPr>
          <w:rFonts w:eastAsia="Times New Roman" w:cstheme="minorHAnsi"/>
          <w:color w:val="000000"/>
          <w:shd w:val="clear" w:color="auto" w:fill="FFFFFF"/>
          <w:lang w:eastAsia="en-GB"/>
        </w:rPr>
        <w:t xml:space="preserve">Despite the lack of an accepted criteria for appraising or evaluating mixed methods research, Creswell and Plano Clark (2007), describe </w:t>
      </w:r>
      <w:r w:rsidRPr="009B3747">
        <w:rPr>
          <w:rFonts w:eastAsia="Times New Roman" w:cstheme="minorHAnsi"/>
          <w:color w:val="000000"/>
          <w:lang w:eastAsia="en-GB"/>
        </w:rPr>
        <w:t>a rigorous mix</w:t>
      </w:r>
      <w:r w:rsidR="00FB5B00" w:rsidRPr="009B3747">
        <w:rPr>
          <w:rFonts w:eastAsia="Times New Roman" w:cstheme="minorHAnsi"/>
          <w:color w:val="000000"/>
          <w:lang w:eastAsia="en-GB"/>
        </w:rPr>
        <w:t>ed method study as one with</w:t>
      </w:r>
      <w:r w:rsidR="00FB5B00" w:rsidRPr="009B3747">
        <w:rPr>
          <w:rFonts w:eastAsia="Times New Roman" w:cstheme="minorHAnsi"/>
          <w:i/>
          <w:color w:val="000000"/>
          <w:lang w:eastAsia="en-GB"/>
        </w:rPr>
        <w:t xml:space="preserve"> “</w:t>
      </w:r>
      <w:r w:rsidRPr="009B3747">
        <w:rPr>
          <w:rFonts w:eastAsia="Times New Roman" w:cstheme="minorHAnsi"/>
          <w:i/>
          <w:color w:val="000000"/>
          <w:lang w:eastAsia="en-GB"/>
        </w:rPr>
        <w:t>detailed procedures for data collection and analysis, visual analysis of the procedures, and a strong justification of the use of mixed methods</w:t>
      </w:r>
      <w:r w:rsidR="00FB5B00" w:rsidRPr="009B3747">
        <w:rPr>
          <w:rFonts w:eastAsia="Times New Roman" w:cstheme="minorHAnsi"/>
          <w:i/>
          <w:color w:val="000000"/>
          <w:lang w:eastAsia="en-GB"/>
        </w:rPr>
        <w:t>”</w:t>
      </w:r>
      <w:r w:rsidRPr="009B3747">
        <w:rPr>
          <w:rFonts w:eastAsia="Times New Roman" w:cstheme="minorHAnsi"/>
          <w:i/>
          <w:color w:val="000000"/>
          <w:lang w:eastAsia="en-GB"/>
        </w:rPr>
        <w:t xml:space="preserve"> </w:t>
      </w:r>
      <w:r w:rsidRPr="009B3747">
        <w:rPr>
          <w:rFonts w:eastAsia="Times New Roman" w:cstheme="minorHAnsi"/>
          <w:color w:val="000000"/>
          <w:lang w:eastAsia="en-GB"/>
        </w:rPr>
        <w:t>(p</w:t>
      </w:r>
      <w:r w:rsidR="00FB5B00" w:rsidRPr="009B3747">
        <w:rPr>
          <w:rFonts w:eastAsia="Times New Roman" w:cstheme="minorHAnsi"/>
          <w:color w:val="000000"/>
          <w:lang w:eastAsia="en-GB"/>
        </w:rPr>
        <w:t>.</w:t>
      </w:r>
      <w:r w:rsidRPr="009B3747">
        <w:rPr>
          <w:rFonts w:eastAsia="Times New Roman" w:cstheme="minorHAnsi"/>
          <w:color w:val="000000"/>
          <w:lang w:eastAsia="en-GB"/>
        </w:rPr>
        <w:t>176).  Criteria presented within this description resonates with the guidance for ‘Good Reporting of A Mixed Methods Study’ (GRAMMS) developed by O’Cathain et al (2008)</w:t>
      </w:r>
      <w:r w:rsidR="006B3249">
        <w:rPr>
          <w:rFonts w:eastAsia="Times New Roman" w:cstheme="minorHAnsi"/>
          <w:color w:val="000000"/>
          <w:lang w:eastAsia="en-GB"/>
        </w:rPr>
        <w:t>,</w:t>
      </w:r>
      <w:r w:rsidRPr="009B3747">
        <w:rPr>
          <w:rFonts w:eastAsia="Times New Roman" w:cstheme="minorHAnsi"/>
          <w:color w:val="000000"/>
          <w:lang w:eastAsia="en-GB"/>
        </w:rPr>
        <w:t xml:space="preserve"> and chosen to guide the quality appraisal of this mixed methods study.  The researcher committed to adopting the GRAMMS guidelines and set </w:t>
      </w:r>
      <w:r w:rsidR="00ED37FD" w:rsidRPr="009B3747">
        <w:rPr>
          <w:rFonts w:eastAsia="Times New Roman" w:cstheme="minorHAnsi"/>
          <w:color w:val="000000"/>
          <w:lang w:eastAsia="en-GB"/>
        </w:rPr>
        <w:t>of criteria contained (</w:t>
      </w:r>
      <w:r w:rsidR="006D3ED5" w:rsidRPr="009B3747">
        <w:rPr>
          <w:rFonts w:eastAsia="Times New Roman" w:cstheme="minorHAnsi"/>
          <w:color w:val="000000"/>
          <w:lang w:eastAsia="en-GB"/>
        </w:rPr>
        <w:t>figure 4.3</w:t>
      </w:r>
      <w:r w:rsidRPr="009B3747">
        <w:rPr>
          <w:rFonts w:eastAsia="Times New Roman" w:cstheme="minorHAnsi"/>
          <w:color w:val="000000"/>
          <w:lang w:eastAsia="en-GB"/>
        </w:rPr>
        <w:t>) in order to maximise the transparency of decisions undertaken and procedures adopted.  GRAMMS guidance was selected over other</w:t>
      </w:r>
      <w:r w:rsidRPr="009B3747">
        <w:rPr>
          <w:rFonts w:eastAsia="Times New Roman" w:cstheme="minorHAnsi"/>
          <w:color w:val="000000"/>
          <w:shd w:val="clear" w:color="auto" w:fill="FFFFFF"/>
          <w:lang w:eastAsia="en-GB"/>
        </w:rPr>
        <w:t xml:space="preserve"> quality appraisal tools, because the researcher </w:t>
      </w:r>
      <w:r w:rsidR="00133672" w:rsidRPr="009B3747">
        <w:rPr>
          <w:rFonts w:eastAsia="Times New Roman" w:cstheme="minorHAnsi"/>
          <w:color w:val="000000"/>
          <w:shd w:val="clear" w:color="auto" w:fill="FFFFFF"/>
          <w:lang w:eastAsia="en-GB"/>
        </w:rPr>
        <w:lastRenderedPageBreak/>
        <w:t>perceived it</w:t>
      </w:r>
      <w:r w:rsidRPr="009B3747">
        <w:rPr>
          <w:rFonts w:eastAsia="Times New Roman" w:cstheme="minorHAnsi"/>
          <w:color w:val="000000"/>
          <w:shd w:val="clear" w:color="auto" w:fill="FFFFFF"/>
          <w:lang w:eastAsia="en-GB"/>
        </w:rPr>
        <w:t xml:space="preserve"> to provide an overarching, accessible and practical approach to appraising quality of the whole mixed methods study.</w:t>
      </w:r>
    </w:p>
    <w:p w:rsidR="003F1507" w:rsidRPr="009B3747" w:rsidRDefault="005A045A" w:rsidP="003F1507">
      <w:pPr>
        <w:rPr>
          <w:rFonts w:eastAsia="Times New Roman" w:cstheme="minorHAnsi"/>
          <w:b/>
          <w:sz w:val="24"/>
          <w:szCs w:val="24"/>
          <w:lang w:eastAsia="en-GB"/>
        </w:rPr>
      </w:pPr>
      <w:r w:rsidRPr="009B3747">
        <w:rPr>
          <w:rFonts w:eastAsia="Times New Roman" w:cstheme="minorHAnsi"/>
          <w:noProof/>
          <w:sz w:val="24"/>
          <w:szCs w:val="24"/>
          <w:lang w:eastAsia="en-GB"/>
        </w:rPr>
        <mc:AlternateContent>
          <mc:Choice Requires="wps">
            <w:drawing>
              <wp:anchor distT="0" distB="0" distL="114300" distR="114300" simplePos="0" relativeHeight="251679744" behindDoc="0" locked="0" layoutInCell="1" allowOverlap="1">
                <wp:simplePos x="0" y="0"/>
                <wp:positionH relativeFrom="column">
                  <wp:posOffset>9525</wp:posOffset>
                </wp:positionH>
                <wp:positionV relativeFrom="paragraph">
                  <wp:posOffset>145415</wp:posOffset>
                </wp:positionV>
                <wp:extent cx="5038725" cy="2657475"/>
                <wp:effectExtent l="0" t="0" r="28575" b="28575"/>
                <wp:wrapNone/>
                <wp:docPr id="73" name="Rounded Rectangle 73"/>
                <wp:cNvGraphicFramePr/>
                <a:graphic xmlns:a="http://schemas.openxmlformats.org/drawingml/2006/main">
                  <a:graphicData uri="http://schemas.microsoft.com/office/word/2010/wordprocessingShape">
                    <wps:wsp>
                      <wps:cNvSpPr/>
                      <wps:spPr>
                        <a:xfrm>
                          <a:off x="0" y="0"/>
                          <a:ext cx="5038725" cy="265747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EBF" w:rsidRPr="005A045A" w:rsidRDefault="00071EBF" w:rsidP="006D3ED5">
                            <w:pPr>
                              <w:rPr>
                                <w:rFonts w:ascii="Calibri" w:eastAsia="Times New Roman" w:hAnsi="Calibri" w:cs="Calibri"/>
                                <w:i/>
                                <w:color w:val="000000"/>
                                <w:sz w:val="20"/>
                                <w:szCs w:val="20"/>
                                <w:lang w:eastAsia="en-GB"/>
                              </w:rPr>
                            </w:pPr>
                            <w:r w:rsidRPr="005A045A">
                              <w:rPr>
                                <w:rFonts w:ascii="Calibri" w:eastAsia="Times New Roman" w:hAnsi="Calibri" w:cs="Calibri"/>
                                <w:i/>
                                <w:color w:val="000000"/>
                                <w:sz w:val="20"/>
                                <w:szCs w:val="20"/>
                                <w:lang w:eastAsia="en-GB"/>
                              </w:rPr>
                              <w:t>‘Good Reporting of A Mixed Methods Study’ (GRAMMS)</w:t>
                            </w:r>
                          </w:p>
                          <w:p w:rsidR="00071EBF" w:rsidRPr="005A045A" w:rsidRDefault="00071EBF" w:rsidP="00C27072">
                            <w:pPr>
                              <w:pStyle w:val="ListParagraph"/>
                              <w:numPr>
                                <w:ilvl w:val="0"/>
                                <w:numId w:val="153"/>
                              </w:numPr>
                              <w:rPr>
                                <w:sz w:val="20"/>
                                <w:szCs w:val="20"/>
                              </w:rPr>
                            </w:pPr>
                            <w:r w:rsidRPr="005A045A">
                              <w:rPr>
                                <w:sz w:val="20"/>
                                <w:szCs w:val="20"/>
                              </w:rPr>
                              <w:t>Describe the justification for using a mixed methods approach to the research question</w:t>
                            </w:r>
                          </w:p>
                          <w:p w:rsidR="00071EBF" w:rsidRPr="005A045A" w:rsidRDefault="00071EBF" w:rsidP="00C27072">
                            <w:pPr>
                              <w:pStyle w:val="ListParagraph"/>
                              <w:numPr>
                                <w:ilvl w:val="0"/>
                                <w:numId w:val="153"/>
                              </w:numPr>
                              <w:rPr>
                                <w:sz w:val="20"/>
                                <w:szCs w:val="20"/>
                              </w:rPr>
                            </w:pPr>
                            <w:r w:rsidRPr="005A045A">
                              <w:rPr>
                                <w:sz w:val="20"/>
                                <w:szCs w:val="20"/>
                              </w:rPr>
                              <w:t>Describe the design in terms of the purpose, priority and sequence of methods</w:t>
                            </w:r>
                          </w:p>
                          <w:p w:rsidR="00071EBF" w:rsidRPr="005A045A" w:rsidRDefault="00071EBF" w:rsidP="00C27072">
                            <w:pPr>
                              <w:pStyle w:val="ListParagraph"/>
                              <w:numPr>
                                <w:ilvl w:val="0"/>
                                <w:numId w:val="153"/>
                              </w:numPr>
                              <w:rPr>
                                <w:sz w:val="20"/>
                                <w:szCs w:val="20"/>
                              </w:rPr>
                            </w:pPr>
                            <w:r w:rsidRPr="005A045A">
                              <w:rPr>
                                <w:sz w:val="20"/>
                                <w:szCs w:val="20"/>
                              </w:rPr>
                              <w:t>Describe each method in terms of sampling, data collection and analysis</w:t>
                            </w:r>
                          </w:p>
                          <w:p w:rsidR="00071EBF" w:rsidRPr="005A045A" w:rsidRDefault="00071EBF" w:rsidP="00C27072">
                            <w:pPr>
                              <w:pStyle w:val="ListParagraph"/>
                              <w:numPr>
                                <w:ilvl w:val="0"/>
                                <w:numId w:val="153"/>
                              </w:numPr>
                              <w:rPr>
                                <w:sz w:val="20"/>
                                <w:szCs w:val="20"/>
                              </w:rPr>
                            </w:pPr>
                            <w:r w:rsidRPr="005A045A">
                              <w:rPr>
                                <w:sz w:val="20"/>
                                <w:szCs w:val="20"/>
                              </w:rPr>
                              <w:t>Describe where integration has occurred, how it has occurred and who has participated in it</w:t>
                            </w:r>
                          </w:p>
                          <w:p w:rsidR="00071EBF" w:rsidRPr="005A045A" w:rsidRDefault="00071EBF" w:rsidP="00C27072">
                            <w:pPr>
                              <w:pStyle w:val="ListParagraph"/>
                              <w:numPr>
                                <w:ilvl w:val="0"/>
                                <w:numId w:val="153"/>
                              </w:numPr>
                              <w:rPr>
                                <w:sz w:val="20"/>
                                <w:szCs w:val="20"/>
                              </w:rPr>
                            </w:pPr>
                            <w:r w:rsidRPr="005A045A">
                              <w:rPr>
                                <w:sz w:val="20"/>
                                <w:szCs w:val="20"/>
                              </w:rPr>
                              <w:t>Describe any limitation of one method associated with the presence of the other method</w:t>
                            </w:r>
                          </w:p>
                          <w:p w:rsidR="00071EBF" w:rsidRPr="005A045A" w:rsidRDefault="00071EBF" w:rsidP="00C27072">
                            <w:pPr>
                              <w:pStyle w:val="ListParagraph"/>
                              <w:numPr>
                                <w:ilvl w:val="0"/>
                                <w:numId w:val="153"/>
                              </w:numPr>
                              <w:rPr>
                                <w:sz w:val="20"/>
                                <w:szCs w:val="20"/>
                              </w:rPr>
                            </w:pPr>
                            <w:r w:rsidRPr="005A045A">
                              <w:rPr>
                                <w:sz w:val="20"/>
                                <w:szCs w:val="20"/>
                              </w:rPr>
                              <w:t>Describe any insights gained from mixing or integrating methods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3" o:spid="_x0000_s1033" style="position:absolute;margin-left:.75pt;margin-top:11.45pt;width:396.75pt;height:20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" filled="f" strokecolor="black [3213]" strokeweight="1pt">
                <v:stroke joinstyle="miter"/>
                <v:textbox>
                  <w:txbxContent>
                    <w:p w:rsidR="00071EBF" w:rsidRPr="005A045A" w:rsidRDefault="00071EBF" w:rsidP="006D3ED5">
                      <w:pPr>
                        <w:rPr>
                          <w:rFonts w:ascii="Calibri" w:eastAsia="Times New Roman" w:hAnsi="Calibri" w:cs="Calibri"/>
                          <w:i/>
                          <w:color w:val="000000"/>
                          <w:sz w:val="20"/>
                          <w:szCs w:val="20"/>
                          <w:lang w:eastAsia="en-GB"/>
                        </w:rPr>
                      </w:pPr>
                      <w:r w:rsidRPr="005A045A">
                        <w:rPr>
                          <w:rFonts w:ascii="Calibri" w:eastAsia="Times New Roman" w:hAnsi="Calibri" w:cs="Calibri"/>
                          <w:i/>
                          <w:color w:val="000000"/>
                          <w:sz w:val="20"/>
                          <w:szCs w:val="20"/>
                          <w:lang w:eastAsia="en-GB"/>
                        </w:rPr>
                        <w:t>‘Good Reporting of A Mixed Methods Study’ (GRAMMS)</w:t>
                      </w:r>
                    </w:p>
                    <w:p w:rsidR="00071EBF" w:rsidRPr="005A045A" w:rsidRDefault="00071EBF" w:rsidP="00C27072">
                      <w:pPr>
                        <w:pStyle w:val="ListParagraph"/>
                        <w:numPr>
                          <w:ilvl w:val="0"/>
                          <w:numId w:val="153"/>
                        </w:numPr>
                        <w:rPr>
                          <w:sz w:val="20"/>
                          <w:szCs w:val="20"/>
                        </w:rPr>
                      </w:pPr>
                      <w:r w:rsidRPr="005A045A">
                        <w:rPr>
                          <w:sz w:val="20"/>
                          <w:szCs w:val="20"/>
                        </w:rPr>
                        <w:t>Describe the justification for using a mixed methods approach to the research question</w:t>
                      </w:r>
                    </w:p>
                    <w:p w:rsidR="00071EBF" w:rsidRPr="005A045A" w:rsidRDefault="00071EBF" w:rsidP="00C27072">
                      <w:pPr>
                        <w:pStyle w:val="ListParagraph"/>
                        <w:numPr>
                          <w:ilvl w:val="0"/>
                          <w:numId w:val="153"/>
                        </w:numPr>
                        <w:rPr>
                          <w:sz w:val="20"/>
                          <w:szCs w:val="20"/>
                        </w:rPr>
                      </w:pPr>
                      <w:r w:rsidRPr="005A045A">
                        <w:rPr>
                          <w:sz w:val="20"/>
                          <w:szCs w:val="20"/>
                        </w:rPr>
                        <w:t>Describe the design in terms of the purpose, priority and sequence of methods</w:t>
                      </w:r>
                    </w:p>
                    <w:p w:rsidR="00071EBF" w:rsidRPr="005A045A" w:rsidRDefault="00071EBF" w:rsidP="00C27072">
                      <w:pPr>
                        <w:pStyle w:val="ListParagraph"/>
                        <w:numPr>
                          <w:ilvl w:val="0"/>
                          <w:numId w:val="153"/>
                        </w:numPr>
                        <w:rPr>
                          <w:sz w:val="20"/>
                          <w:szCs w:val="20"/>
                        </w:rPr>
                      </w:pPr>
                      <w:r w:rsidRPr="005A045A">
                        <w:rPr>
                          <w:sz w:val="20"/>
                          <w:szCs w:val="20"/>
                        </w:rPr>
                        <w:t>Describe each method in terms of sampling, data collection and analysis</w:t>
                      </w:r>
                    </w:p>
                    <w:p w:rsidR="00071EBF" w:rsidRPr="005A045A" w:rsidRDefault="00071EBF" w:rsidP="00C27072">
                      <w:pPr>
                        <w:pStyle w:val="ListParagraph"/>
                        <w:numPr>
                          <w:ilvl w:val="0"/>
                          <w:numId w:val="153"/>
                        </w:numPr>
                        <w:rPr>
                          <w:sz w:val="20"/>
                          <w:szCs w:val="20"/>
                        </w:rPr>
                      </w:pPr>
                      <w:r w:rsidRPr="005A045A">
                        <w:rPr>
                          <w:sz w:val="20"/>
                          <w:szCs w:val="20"/>
                        </w:rPr>
                        <w:t>Describe where integration has occurred, how it has occurred and who has participated in it</w:t>
                      </w:r>
                    </w:p>
                    <w:p w:rsidR="00071EBF" w:rsidRPr="005A045A" w:rsidRDefault="00071EBF" w:rsidP="00C27072">
                      <w:pPr>
                        <w:pStyle w:val="ListParagraph"/>
                        <w:numPr>
                          <w:ilvl w:val="0"/>
                          <w:numId w:val="153"/>
                        </w:numPr>
                        <w:rPr>
                          <w:sz w:val="20"/>
                          <w:szCs w:val="20"/>
                        </w:rPr>
                      </w:pPr>
                      <w:r w:rsidRPr="005A045A">
                        <w:rPr>
                          <w:sz w:val="20"/>
                          <w:szCs w:val="20"/>
                        </w:rPr>
                        <w:t>Describe any limitation of one method associated with the presence of the other method</w:t>
                      </w:r>
                    </w:p>
                    <w:p w:rsidR="00071EBF" w:rsidRPr="005A045A" w:rsidRDefault="00071EBF" w:rsidP="00C27072">
                      <w:pPr>
                        <w:pStyle w:val="ListParagraph"/>
                        <w:numPr>
                          <w:ilvl w:val="0"/>
                          <w:numId w:val="153"/>
                        </w:numPr>
                        <w:rPr>
                          <w:sz w:val="20"/>
                          <w:szCs w:val="20"/>
                        </w:rPr>
                      </w:pPr>
                      <w:r w:rsidRPr="005A045A">
                        <w:rPr>
                          <w:sz w:val="20"/>
                          <w:szCs w:val="20"/>
                        </w:rPr>
                        <w:t>Describe any insights gained from mixing or integrating methods</w:t>
                      </w:r>
                    </w:p>
                  </w:txbxContent>
                </v:textbox>
              </v:roundrect>
            </w:pict>
          </mc:Fallback>
        </mc:AlternateContent>
      </w:r>
      <w:r w:rsidR="003F1507" w:rsidRPr="009B3747">
        <w:rPr>
          <w:rFonts w:eastAsia="Times New Roman" w:cstheme="minorHAnsi"/>
          <w:sz w:val="24"/>
          <w:szCs w:val="24"/>
          <w:lang w:eastAsia="en-GB"/>
        </w:rPr>
        <w:t> </w:t>
      </w:r>
    </w:p>
    <w:p w:rsidR="006D3ED5" w:rsidRPr="009B3747" w:rsidRDefault="006D3ED5" w:rsidP="003F1507">
      <w:pPr>
        <w:rPr>
          <w:rFonts w:eastAsia="Times New Roman" w:cstheme="minorHAnsi"/>
          <w:b/>
          <w:sz w:val="24"/>
          <w:szCs w:val="24"/>
          <w:lang w:eastAsia="en-GB"/>
        </w:rPr>
      </w:pPr>
    </w:p>
    <w:p w:rsidR="006D3ED5" w:rsidRPr="009B3747" w:rsidRDefault="006D3ED5" w:rsidP="003F1507">
      <w:pPr>
        <w:rPr>
          <w:rFonts w:eastAsia="Times New Roman" w:cstheme="minorHAnsi"/>
          <w:b/>
          <w:sz w:val="24"/>
          <w:szCs w:val="24"/>
          <w:lang w:eastAsia="en-GB"/>
        </w:rPr>
      </w:pPr>
    </w:p>
    <w:p w:rsidR="006D3ED5" w:rsidRPr="009B3747" w:rsidRDefault="006D3ED5" w:rsidP="003F1507">
      <w:pPr>
        <w:rPr>
          <w:rFonts w:eastAsia="Times New Roman" w:cstheme="minorHAnsi"/>
          <w:b/>
          <w:sz w:val="24"/>
          <w:szCs w:val="24"/>
          <w:lang w:eastAsia="en-GB"/>
        </w:rPr>
      </w:pPr>
    </w:p>
    <w:p w:rsidR="006D3ED5" w:rsidRPr="009B3747" w:rsidRDefault="006D3ED5" w:rsidP="003F1507">
      <w:pPr>
        <w:rPr>
          <w:rFonts w:eastAsia="Times New Roman" w:cstheme="minorHAnsi"/>
          <w:b/>
          <w:sz w:val="24"/>
          <w:szCs w:val="24"/>
          <w:lang w:eastAsia="en-GB"/>
        </w:rPr>
      </w:pPr>
    </w:p>
    <w:p w:rsidR="006D3ED5" w:rsidRPr="009B3747" w:rsidRDefault="006D3ED5" w:rsidP="003F1507">
      <w:pPr>
        <w:rPr>
          <w:rFonts w:eastAsia="Times New Roman" w:cstheme="minorHAnsi"/>
          <w:b/>
          <w:sz w:val="24"/>
          <w:szCs w:val="24"/>
          <w:lang w:eastAsia="en-GB"/>
        </w:rPr>
      </w:pPr>
    </w:p>
    <w:p w:rsidR="006D3ED5" w:rsidRPr="009B3747" w:rsidRDefault="006D3ED5" w:rsidP="003F1507">
      <w:pPr>
        <w:rPr>
          <w:rFonts w:eastAsia="Times New Roman" w:cstheme="minorHAnsi"/>
          <w:b/>
          <w:sz w:val="24"/>
          <w:szCs w:val="24"/>
          <w:lang w:eastAsia="en-GB"/>
        </w:rPr>
      </w:pPr>
    </w:p>
    <w:p w:rsidR="006D3ED5" w:rsidRPr="009B3747" w:rsidRDefault="006D3ED5" w:rsidP="003F1507">
      <w:pPr>
        <w:rPr>
          <w:rFonts w:eastAsia="Times New Roman" w:cstheme="minorHAnsi"/>
          <w:b/>
          <w:sz w:val="24"/>
          <w:szCs w:val="24"/>
          <w:lang w:eastAsia="en-GB"/>
        </w:rPr>
      </w:pPr>
    </w:p>
    <w:p w:rsidR="006D3ED5" w:rsidRPr="009B3747" w:rsidRDefault="006D3ED5" w:rsidP="006D3ED5">
      <w:pPr>
        <w:spacing w:line="240" w:lineRule="auto"/>
        <w:rPr>
          <w:rFonts w:eastAsia="Times New Roman" w:cstheme="minorHAnsi"/>
          <w:b/>
          <w:sz w:val="24"/>
          <w:szCs w:val="24"/>
          <w:lang w:eastAsia="en-GB"/>
        </w:rPr>
      </w:pPr>
    </w:p>
    <w:p w:rsidR="00FB5B00" w:rsidRPr="009B3747" w:rsidRDefault="006D3ED5" w:rsidP="006D3ED5">
      <w:pPr>
        <w:spacing w:line="240" w:lineRule="auto"/>
        <w:ind w:left="2880" w:firstLine="720"/>
        <w:rPr>
          <w:rFonts w:eastAsia="Times New Roman" w:cstheme="minorHAnsi"/>
          <w:color w:val="000000"/>
          <w:sz w:val="20"/>
          <w:szCs w:val="20"/>
          <w:lang w:eastAsia="en-GB"/>
        </w:rPr>
      </w:pPr>
      <w:r w:rsidRPr="009B3747">
        <w:rPr>
          <w:rFonts w:eastAsia="Times New Roman" w:cstheme="minorHAnsi"/>
          <w:color w:val="000000"/>
          <w:sz w:val="20"/>
          <w:szCs w:val="20"/>
          <w:lang w:eastAsia="en-GB"/>
        </w:rPr>
        <w:t xml:space="preserve">        </w:t>
      </w:r>
    </w:p>
    <w:p w:rsidR="005A045A" w:rsidRPr="009B3747" w:rsidRDefault="006D3ED5" w:rsidP="005A045A">
      <w:pPr>
        <w:spacing w:line="240" w:lineRule="auto"/>
        <w:ind w:left="2880" w:firstLine="720"/>
        <w:rPr>
          <w:rFonts w:eastAsia="Times New Roman" w:cstheme="minorHAnsi"/>
          <w:color w:val="000000"/>
          <w:u w:val="single"/>
          <w:lang w:eastAsia="en-GB"/>
        </w:rPr>
      </w:pPr>
      <w:r w:rsidRPr="009B3747">
        <w:rPr>
          <w:rFonts w:eastAsia="Times New Roman" w:cstheme="minorHAnsi"/>
          <w:color w:val="000000"/>
          <w:u w:val="single"/>
          <w:lang w:eastAsia="en-GB"/>
        </w:rPr>
        <w:t xml:space="preserve"> </w:t>
      </w:r>
    </w:p>
    <w:p w:rsidR="005A045A" w:rsidRPr="009B3747" w:rsidRDefault="005A045A" w:rsidP="005A045A">
      <w:pPr>
        <w:spacing w:line="240" w:lineRule="auto"/>
        <w:ind w:left="2880" w:firstLine="720"/>
        <w:rPr>
          <w:rFonts w:eastAsia="Times New Roman" w:cstheme="minorHAnsi"/>
          <w:color w:val="000000"/>
          <w:u w:val="single"/>
          <w:lang w:eastAsia="en-GB"/>
        </w:rPr>
      </w:pPr>
    </w:p>
    <w:p w:rsidR="005A045A" w:rsidRPr="009B3747" w:rsidRDefault="005A045A" w:rsidP="005A045A">
      <w:pPr>
        <w:spacing w:line="240" w:lineRule="auto"/>
        <w:ind w:left="2880" w:firstLine="720"/>
        <w:rPr>
          <w:rFonts w:eastAsia="Times New Roman" w:cstheme="minorHAnsi"/>
          <w:color w:val="000000"/>
          <w:u w:val="single"/>
          <w:lang w:eastAsia="en-GB"/>
        </w:rPr>
      </w:pPr>
    </w:p>
    <w:p w:rsidR="003F1507" w:rsidRPr="009B3747" w:rsidRDefault="006D3ED5" w:rsidP="005A045A">
      <w:pPr>
        <w:spacing w:line="240" w:lineRule="auto"/>
        <w:ind w:left="2880" w:firstLine="720"/>
        <w:rPr>
          <w:rFonts w:eastAsia="Times New Roman" w:cstheme="minorHAnsi"/>
          <w:sz w:val="20"/>
          <w:szCs w:val="20"/>
          <w:u w:val="single"/>
          <w:lang w:eastAsia="en-GB"/>
        </w:rPr>
      </w:pPr>
      <w:r w:rsidRPr="009B3747">
        <w:rPr>
          <w:rFonts w:eastAsia="Times New Roman" w:cstheme="minorHAnsi"/>
          <w:color w:val="000000"/>
          <w:sz w:val="20"/>
          <w:szCs w:val="20"/>
          <w:u w:val="single"/>
          <w:lang w:eastAsia="en-GB"/>
        </w:rPr>
        <w:t>Figure 4.3 – GRAMMS, t</w:t>
      </w:r>
      <w:r w:rsidR="003F1507" w:rsidRPr="009B3747">
        <w:rPr>
          <w:rFonts w:eastAsia="Times New Roman" w:cstheme="minorHAnsi"/>
          <w:color w:val="000000"/>
          <w:sz w:val="20"/>
          <w:szCs w:val="20"/>
          <w:u w:val="single"/>
          <w:lang w:eastAsia="en-GB"/>
        </w:rPr>
        <w:t>aken from O’Cathain et al (2008)</w:t>
      </w:r>
    </w:p>
    <w:p w:rsidR="003F1507" w:rsidRPr="009B3747" w:rsidRDefault="003F1507" w:rsidP="003F1507">
      <w:pPr>
        <w:ind w:left="5760"/>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ED37FD">
      <w:pPr>
        <w:rPr>
          <w:rFonts w:eastAsia="Times New Roman" w:cstheme="minorHAnsi"/>
          <w:sz w:val="24"/>
          <w:szCs w:val="24"/>
          <w:lang w:eastAsia="en-GB"/>
        </w:rPr>
      </w:pPr>
      <w:r w:rsidRPr="009B3747">
        <w:rPr>
          <w:rFonts w:eastAsia="Times New Roman" w:cstheme="minorHAnsi"/>
          <w:color w:val="000000"/>
          <w:shd w:val="clear" w:color="auto" w:fill="FFFFFF"/>
          <w:lang w:eastAsia="en-GB"/>
        </w:rPr>
        <w:t>In its entirety the complete thesis aims to address all criter</w:t>
      </w:r>
      <w:r w:rsidR="00512B03" w:rsidRPr="009B3747">
        <w:rPr>
          <w:rFonts w:eastAsia="Times New Roman" w:cstheme="minorHAnsi"/>
          <w:color w:val="000000"/>
          <w:shd w:val="clear" w:color="auto" w:fill="FFFFFF"/>
          <w:lang w:eastAsia="en-GB"/>
        </w:rPr>
        <w:t>ia points presented in figure 4.3</w:t>
      </w:r>
      <w:r w:rsidRPr="009B3747">
        <w:rPr>
          <w:rFonts w:eastAsia="Times New Roman" w:cstheme="minorHAnsi"/>
          <w:color w:val="000000"/>
          <w:shd w:val="clear" w:color="auto" w:fill="FFFFFF"/>
          <w:lang w:eastAsia="en-GB"/>
        </w:rPr>
        <w:t xml:space="preserve">. </w:t>
      </w:r>
      <w:r w:rsidR="00512B03" w:rsidRPr="009B3747">
        <w:rPr>
          <w:rFonts w:eastAsia="Times New Roman" w:cstheme="minorHAnsi"/>
          <w:color w:val="000000"/>
          <w:shd w:val="clear" w:color="auto" w:fill="FFFFFF"/>
          <w:lang w:eastAsia="en-GB"/>
        </w:rPr>
        <w:t> Within this chapter, section 4.2</w:t>
      </w:r>
      <w:r w:rsidRPr="009B3747">
        <w:rPr>
          <w:rFonts w:eastAsia="Times New Roman" w:cstheme="minorHAnsi"/>
          <w:color w:val="000000"/>
          <w:shd w:val="clear" w:color="auto" w:fill="FFFFFF"/>
          <w:lang w:eastAsia="en-GB"/>
        </w:rPr>
        <w:t xml:space="preserve"> aims to describe the justification of the chosen </w:t>
      </w:r>
      <w:r w:rsidR="00512B03" w:rsidRPr="009B3747">
        <w:rPr>
          <w:rFonts w:eastAsia="Times New Roman" w:cstheme="minorHAnsi"/>
          <w:color w:val="000000"/>
          <w:shd w:val="clear" w:color="auto" w:fill="FFFFFF"/>
          <w:lang w:eastAsia="en-GB"/>
        </w:rPr>
        <w:t>research approach</w:t>
      </w:r>
      <w:r w:rsidR="006B3249">
        <w:rPr>
          <w:rFonts w:eastAsia="Times New Roman" w:cstheme="minorHAnsi"/>
          <w:color w:val="000000"/>
          <w:shd w:val="clear" w:color="auto" w:fill="FFFFFF"/>
          <w:lang w:eastAsia="en-GB"/>
        </w:rPr>
        <w:t>,</w:t>
      </w:r>
      <w:r w:rsidR="00512B03" w:rsidRPr="009B3747">
        <w:rPr>
          <w:rFonts w:eastAsia="Times New Roman" w:cstheme="minorHAnsi"/>
          <w:color w:val="000000"/>
          <w:shd w:val="clear" w:color="auto" w:fill="FFFFFF"/>
          <w:lang w:eastAsia="en-GB"/>
        </w:rPr>
        <w:t xml:space="preserve"> and section 4.2.2 </w:t>
      </w:r>
      <w:r w:rsidRPr="009B3747">
        <w:rPr>
          <w:rFonts w:eastAsia="Times New Roman" w:cstheme="minorHAnsi"/>
          <w:color w:val="000000"/>
          <w:shd w:val="clear" w:color="auto" w:fill="FFFFFF"/>
          <w:lang w:eastAsia="en-GB"/>
        </w:rPr>
        <w:t>provides an in-depth description of the research design.  Criteria points three and four can be assessed b</w:t>
      </w:r>
      <w:r w:rsidR="00E7387C" w:rsidRPr="009B3747">
        <w:rPr>
          <w:rFonts w:eastAsia="Times New Roman" w:cstheme="minorHAnsi"/>
          <w:color w:val="000000"/>
          <w:shd w:val="clear" w:color="auto" w:fill="FFFFFF"/>
          <w:lang w:eastAsia="en-GB"/>
        </w:rPr>
        <w:t>y the content within chapters five and seven</w:t>
      </w:r>
      <w:r w:rsidRPr="009B3747">
        <w:rPr>
          <w:rFonts w:eastAsia="Times New Roman" w:cstheme="minorHAnsi"/>
          <w:color w:val="000000"/>
          <w:shd w:val="clear" w:color="auto" w:fill="FFFFFF"/>
          <w:lang w:eastAsia="en-GB"/>
        </w:rPr>
        <w:t>, where both the qualitative and quantitative methodologies are provided, including descriptions about integration. Fina</w:t>
      </w:r>
      <w:r w:rsidR="00ED37FD" w:rsidRPr="009B3747">
        <w:rPr>
          <w:rFonts w:eastAsia="Times New Roman" w:cstheme="minorHAnsi"/>
          <w:color w:val="000000"/>
          <w:shd w:val="clear" w:color="auto" w:fill="FFFFFF"/>
          <w:lang w:eastAsia="en-GB"/>
        </w:rPr>
        <w:t>lly criteria points five a</w:t>
      </w:r>
      <w:r w:rsidR="00487309" w:rsidRPr="009B3747">
        <w:rPr>
          <w:rFonts w:eastAsia="Times New Roman" w:cstheme="minorHAnsi"/>
          <w:color w:val="000000"/>
          <w:shd w:val="clear" w:color="auto" w:fill="FFFFFF"/>
          <w:lang w:eastAsia="en-GB"/>
        </w:rPr>
        <w:t>nd six will be addressed within the discussion and conclu</w:t>
      </w:r>
      <w:r w:rsidR="00E7387C" w:rsidRPr="009B3747">
        <w:rPr>
          <w:rFonts w:eastAsia="Times New Roman" w:cstheme="minorHAnsi"/>
          <w:color w:val="000000"/>
          <w:shd w:val="clear" w:color="auto" w:fill="FFFFFF"/>
          <w:lang w:eastAsia="en-GB"/>
        </w:rPr>
        <w:t>sion chapter (see chapters nine and ten</w:t>
      </w:r>
      <w:r w:rsidR="00487309" w:rsidRPr="009B3747">
        <w:rPr>
          <w:rFonts w:eastAsia="Times New Roman" w:cstheme="minorHAnsi"/>
          <w:color w:val="000000"/>
          <w:shd w:val="clear" w:color="auto" w:fill="FFFFFF"/>
          <w:lang w:eastAsia="en-GB"/>
        </w:rPr>
        <w:t xml:space="preserve">). </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F74CA0" w:rsidP="003F1507">
      <w:pPr>
        <w:rPr>
          <w:rFonts w:eastAsia="Times New Roman" w:cstheme="minorHAnsi"/>
          <w:b/>
          <w:sz w:val="24"/>
          <w:szCs w:val="24"/>
          <w:lang w:eastAsia="en-GB"/>
        </w:rPr>
      </w:pPr>
      <w:r w:rsidRPr="009B3747">
        <w:rPr>
          <w:rFonts w:eastAsia="Times New Roman" w:cstheme="minorHAnsi"/>
          <w:b/>
          <w:color w:val="000000"/>
          <w:sz w:val="24"/>
          <w:szCs w:val="24"/>
          <w:u w:val="single"/>
          <w:shd w:val="clear" w:color="auto" w:fill="FFFFFF"/>
          <w:lang w:eastAsia="en-GB"/>
        </w:rPr>
        <w:t xml:space="preserve">4.5 </w:t>
      </w:r>
      <w:r w:rsidR="009D727E" w:rsidRPr="009B3747">
        <w:rPr>
          <w:rFonts w:eastAsia="Times New Roman" w:cstheme="minorHAnsi"/>
          <w:b/>
          <w:color w:val="000000"/>
          <w:sz w:val="24"/>
          <w:szCs w:val="24"/>
          <w:u w:val="single"/>
          <w:shd w:val="clear" w:color="auto" w:fill="FFFFFF"/>
          <w:lang w:eastAsia="en-GB"/>
        </w:rPr>
        <w:t>S</w:t>
      </w:r>
      <w:r w:rsidR="003F1507" w:rsidRPr="009B3747">
        <w:rPr>
          <w:rFonts w:eastAsia="Times New Roman" w:cstheme="minorHAnsi"/>
          <w:b/>
          <w:color w:val="000000"/>
          <w:sz w:val="24"/>
          <w:szCs w:val="24"/>
          <w:u w:val="single"/>
          <w:shd w:val="clear" w:color="auto" w:fill="FFFFFF"/>
          <w:lang w:eastAsia="en-GB"/>
        </w:rPr>
        <w:t>ummary</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3F1507" w:rsidRPr="009B3747" w:rsidRDefault="003F1507" w:rsidP="003F1507">
      <w:pPr>
        <w:rPr>
          <w:rFonts w:eastAsia="Times New Roman" w:cstheme="minorHAnsi"/>
          <w:sz w:val="24"/>
          <w:szCs w:val="24"/>
          <w:lang w:eastAsia="en-GB"/>
        </w:rPr>
      </w:pPr>
      <w:r w:rsidRPr="009B3747">
        <w:rPr>
          <w:rFonts w:eastAsia="Times New Roman" w:cstheme="minorHAnsi"/>
          <w:color w:val="000000"/>
          <w:lang w:eastAsia="en-GB"/>
        </w:rPr>
        <w:t>This chapter has provided a comprehensive overview of research approaches, including philosophical worldviews and research designs specific to mixed methods.  The reasoning to adopt a mixed methods approach and ground the study in the pragmatic paradigm has been articulated and an in-depth description of the specific mixed methods design has been presented</w:t>
      </w:r>
      <w:r w:rsidR="007F3CF4">
        <w:rPr>
          <w:rFonts w:eastAsia="Times New Roman" w:cstheme="minorHAnsi"/>
          <w:color w:val="000000"/>
          <w:lang w:eastAsia="en-GB"/>
        </w:rPr>
        <w:t>,</w:t>
      </w:r>
      <w:r w:rsidRPr="009B3747">
        <w:rPr>
          <w:rFonts w:eastAsia="Times New Roman" w:cstheme="minorHAnsi"/>
          <w:color w:val="000000"/>
          <w:lang w:eastAsia="en-GB"/>
        </w:rPr>
        <w:t xml:space="preserve"> i.e. exploratory sequential.  This study is more than its component parts and so this chapter has addressed the issue of quality as a concept for the mixed methods research as a whole.</w:t>
      </w:r>
    </w:p>
    <w:p w:rsidR="003F1507" w:rsidRPr="009B3747" w:rsidRDefault="003F1507" w:rsidP="003F1507">
      <w:pPr>
        <w:rPr>
          <w:rFonts w:eastAsia="Times New Roman" w:cstheme="minorHAnsi"/>
          <w:sz w:val="24"/>
          <w:szCs w:val="24"/>
          <w:lang w:eastAsia="en-GB"/>
        </w:rPr>
      </w:pPr>
      <w:r w:rsidRPr="009B3747">
        <w:rPr>
          <w:rFonts w:eastAsia="Times New Roman" w:cstheme="minorHAnsi"/>
          <w:sz w:val="24"/>
          <w:szCs w:val="24"/>
          <w:lang w:eastAsia="en-GB"/>
        </w:rPr>
        <w:t> </w:t>
      </w:r>
    </w:p>
    <w:p w:rsidR="009D727E" w:rsidRPr="009B3747" w:rsidRDefault="003F1507" w:rsidP="009D727E">
      <w:pPr>
        <w:rPr>
          <w:rFonts w:eastAsia="Times New Roman" w:cstheme="minorHAnsi"/>
          <w:sz w:val="24"/>
          <w:szCs w:val="24"/>
          <w:lang w:eastAsia="en-GB"/>
        </w:rPr>
      </w:pPr>
      <w:r w:rsidRPr="009B3747">
        <w:rPr>
          <w:rFonts w:eastAsia="Times New Roman" w:cstheme="minorHAnsi"/>
          <w:sz w:val="24"/>
          <w:szCs w:val="24"/>
          <w:lang w:eastAsia="en-GB"/>
        </w:rPr>
        <w:t> </w:t>
      </w:r>
    </w:p>
    <w:p w:rsidR="008D4C53" w:rsidRPr="009B3747" w:rsidRDefault="00983506" w:rsidP="009D727E">
      <w:pPr>
        <w:jc w:val="center"/>
        <w:rPr>
          <w:rFonts w:eastAsia="Times New Roman" w:cstheme="minorHAnsi"/>
          <w:sz w:val="36"/>
          <w:szCs w:val="36"/>
          <w:lang w:eastAsia="en-GB"/>
        </w:rPr>
      </w:pPr>
      <w:r w:rsidRPr="009B3747">
        <w:rPr>
          <w:rFonts w:eastAsia="Times New Roman" w:cstheme="minorHAnsi"/>
          <w:b/>
          <w:bCs/>
          <w:color w:val="000000"/>
          <w:sz w:val="36"/>
          <w:szCs w:val="36"/>
          <w:u w:val="single"/>
          <w:lang w:eastAsia="en-GB"/>
        </w:rPr>
        <w:lastRenderedPageBreak/>
        <w:t>Chapter 5</w:t>
      </w:r>
    </w:p>
    <w:p w:rsidR="008D4C53" w:rsidRPr="009B3747" w:rsidRDefault="008D4C53" w:rsidP="00510940">
      <w:pPr>
        <w:rPr>
          <w:rFonts w:eastAsia="Times New Roman" w:cstheme="minorHAnsi"/>
          <w:b/>
          <w:bCs/>
          <w:color w:val="000000"/>
          <w:sz w:val="28"/>
          <w:szCs w:val="28"/>
          <w:u w:val="single"/>
          <w:lang w:eastAsia="en-GB"/>
        </w:rPr>
      </w:pPr>
    </w:p>
    <w:p w:rsidR="00510940" w:rsidRPr="009B3747" w:rsidRDefault="008D4C53" w:rsidP="00510940">
      <w:pPr>
        <w:rPr>
          <w:rFonts w:eastAsia="Times New Roman" w:cstheme="minorHAnsi"/>
          <w:b/>
          <w:bCs/>
          <w:color w:val="000000"/>
          <w:sz w:val="32"/>
          <w:szCs w:val="32"/>
          <w:u w:val="single"/>
          <w:lang w:eastAsia="en-GB"/>
        </w:rPr>
      </w:pPr>
      <w:r w:rsidRPr="009B3747">
        <w:rPr>
          <w:rFonts w:eastAsia="Times New Roman" w:cstheme="minorHAnsi"/>
          <w:b/>
          <w:bCs/>
          <w:color w:val="000000"/>
          <w:sz w:val="32"/>
          <w:szCs w:val="32"/>
          <w:u w:val="single"/>
          <w:lang w:eastAsia="en-GB"/>
        </w:rPr>
        <w:t>Phase 1 qualitative research methods</w:t>
      </w:r>
      <w:r w:rsidR="00510940" w:rsidRPr="009B3747">
        <w:rPr>
          <w:rFonts w:eastAsia="Times New Roman" w:cstheme="minorHAnsi"/>
          <w:b/>
          <w:bCs/>
          <w:color w:val="000000"/>
          <w:sz w:val="32"/>
          <w:szCs w:val="32"/>
          <w:u w:val="single"/>
          <w:lang w:eastAsia="en-GB"/>
        </w:rPr>
        <w:t xml:space="preserve"> </w:t>
      </w:r>
    </w:p>
    <w:p w:rsidR="008D4C53" w:rsidRPr="009B3747" w:rsidRDefault="008D4C53" w:rsidP="00510940">
      <w:pPr>
        <w:rPr>
          <w:rFonts w:eastAsia="Times New Roman" w:cstheme="minorHAnsi"/>
          <w:b/>
          <w:bCs/>
          <w:color w:val="000000"/>
          <w:sz w:val="28"/>
          <w:szCs w:val="28"/>
          <w:u w:val="single"/>
          <w:lang w:eastAsia="en-GB"/>
        </w:rPr>
      </w:pPr>
    </w:p>
    <w:p w:rsidR="008D4C53" w:rsidRPr="009B3747" w:rsidRDefault="008D4C53" w:rsidP="00510940">
      <w:pPr>
        <w:rPr>
          <w:rFonts w:eastAsia="Times New Roman" w:cstheme="minorHAnsi"/>
          <w:b/>
          <w:bCs/>
          <w:color w:val="000000"/>
          <w:sz w:val="24"/>
          <w:szCs w:val="24"/>
          <w:u w:val="single"/>
          <w:lang w:eastAsia="en-GB"/>
        </w:rPr>
      </w:pPr>
      <w:r w:rsidRPr="009B3747">
        <w:rPr>
          <w:rFonts w:eastAsia="Times New Roman" w:cstheme="minorHAnsi"/>
          <w:b/>
          <w:bCs/>
          <w:color w:val="000000"/>
          <w:sz w:val="24"/>
          <w:szCs w:val="24"/>
          <w:u w:val="single"/>
          <w:lang w:eastAsia="en-GB"/>
        </w:rPr>
        <w:t>5.1 Introduction</w:t>
      </w:r>
    </w:p>
    <w:p w:rsidR="008D4C53" w:rsidRPr="009B3747" w:rsidRDefault="008D4C53" w:rsidP="00510940">
      <w:pPr>
        <w:rPr>
          <w:rFonts w:eastAsia="Times New Roman" w:cstheme="minorHAnsi"/>
          <w:b/>
          <w:bCs/>
          <w:color w:val="000000"/>
          <w:sz w:val="28"/>
          <w:szCs w:val="28"/>
          <w:u w:val="single"/>
          <w:lang w:eastAsia="en-GB"/>
        </w:rPr>
      </w:pPr>
    </w:p>
    <w:p w:rsidR="00510940" w:rsidRPr="009B3747" w:rsidRDefault="00461D3C" w:rsidP="00510940">
      <w:pPr>
        <w:rPr>
          <w:rFonts w:eastAsia="Times New Roman" w:cstheme="minorHAnsi"/>
          <w:sz w:val="24"/>
          <w:szCs w:val="24"/>
          <w:lang w:eastAsia="en-GB"/>
        </w:rPr>
      </w:pPr>
      <w:r w:rsidRPr="009B3747">
        <w:rPr>
          <w:rFonts w:eastAsia="Times New Roman" w:cstheme="minorHAnsi"/>
          <w:color w:val="000000"/>
          <w:lang w:eastAsia="en-GB"/>
        </w:rPr>
        <w:t>As presented in chapter four</w:t>
      </w:r>
      <w:r w:rsidR="00510940" w:rsidRPr="009B3747">
        <w:rPr>
          <w:rFonts w:eastAsia="Times New Roman" w:cstheme="minorHAnsi"/>
          <w:color w:val="000000"/>
          <w:lang w:eastAsia="en-GB"/>
        </w:rPr>
        <w:t>, it was justified that sel</w:t>
      </w:r>
      <w:r w:rsidR="006B3249">
        <w:rPr>
          <w:rFonts w:eastAsia="Times New Roman" w:cstheme="minorHAnsi"/>
          <w:color w:val="000000"/>
          <w:lang w:eastAsia="en-GB"/>
        </w:rPr>
        <w:t>ecting a mixed methods approach and</w:t>
      </w:r>
      <w:r w:rsidR="00510940" w:rsidRPr="009B3747">
        <w:rPr>
          <w:rFonts w:eastAsia="Times New Roman" w:cstheme="minorHAnsi"/>
          <w:color w:val="000000"/>
          <w:lang w:eastAsia="en-GB"/>
        </w:rPr>
        <w:t xml:space="preserve"> utilising a</w:t>
      </w:r>
      <w:r w:rsidR="00A63F83">
        <w:rPr>
          <w:rFonts w:eastAsia="Times New Roman" w:cstheme="minorHAnsi"/>
          <w:color w:val="000000"/>
          <w:lang w:eastAsia="en-GB"/>
        </w:rPr>
        <w:t xml:space="preserve">n exploratory sequential design, </w:t>
      </w:r>
      <w:r w:rsidR="00510940" w:rsidRPr="009B3747">
        <w:rPr>
          <w:rFonts w:eastAsia="Times New Roman" w:cstheme="minorHAnsi"/>
          <w:color w:val="000000"/>
          <w:lang w:eastAsia="en-GB"/>
        </w:rPr>
        <w:t xml:space="preserve">would be the most appropriate for answering the proposed research question and addressing the research aims and objectives.  This chapter presents a comprehensive description of the methodology employed during the initial qualitative phase of the chosen research design.  After initially defining the study population, the chapter moves on to provide a thorough explanation of the sampling </w:t>
      </w:r>
      <w:r w:rsidR="00A63F83">
        <w:rPr>
          <w:rFonts w:eastAsia="Times New Roman" w:cstheme="minorHAnsi"/>
          <w:color w:val="000000"/>
          <w:lang w:eastAsia="en-GB"/>
        </w:rPr>
        <w:t xml:space="preserve">and recruitment of participants, </w:t>
      </w:r>
      <w:r w:rsidR="00510940" w:rsidRPr="009B3747">
        <w:rPr>
          <w:rFonts w:eastAsia="Times New Roman" w:cstheme="minorHAnsi"/>
          <w:color w:val="000000"/>
          <w:lang w:eastAsia="en-GB"/>
        </w:rPr>
        <w:t>and methods utilised to collect and analyse the data.  In addition, the chapter includes an overview of the quality considerations and finally the specific ethical pro</w:t>
      </w:r>
      <w:r w:rsidR="00A63F83">
        <w:rPr>
          <w:rFonts w:eastAsia="Times New Roman" w:cstheme="minorHAnsi"/>
          <w:color w:val="000000"/>
          <w:lang w:eastAsia="en-GB"/>
        </w:rPr>
        <w:t xml:space="preserve">cedures, </w:t>
      </w:r>
      <w:r w:rsidR="00510940" w:rsidRPr="009B3747">
        <w:rPr>
          <w:rFonts w:eastAsia="Times New Roman" w:cstheme="minorHAnsi"/>
          <w:color w:val="000000"/>
          <w:lang w:eastAsia="en-GB"/>
        </w:rPr>
        <w:t>which underpinned the researcher’s approach and conduct during the initial qualitative phase of the research.  </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t>Prior to the description of the method</w:t>
      </w:r>
      <w:r w:rsidR="008D4C53" w:rsidRPr="009B3747">
        <w:rPr>
          <w:rFonts w:eastAsia="Times New Roman" w:cstheme="minorHAnsi"/>
          <w:color w:val="000000"/>
          <w:lang w:eastAsia="en-GB"/>
        </w:rPr>
        <w:t>s</w:t>
      </w:r>
      <w:r w:rsidRPr="009B3747">
        <w:rPr>
          <w:rFonts w:eastAsia="Times New Roman" w:cstheme="minorHAnsi"/>
          <w:color w:val="000000"/>
          <w:lang w:eastAsia="en-GB"/>
        </w:rPr>
        <w:t>, it is important to re-state the research aims and objectives of the qualitative phase.</w:t>
      </w:r>
    </w:p>
    <w:p w:rsidR="008D4C53" w:rsidRPr="009B3747" w:rsidRDefault="008D4C53" w:rsidP="008D4C53">
      <w:pPr>
        <w:rPr>
          <w:rFonts w:eastAsia="Times New Roman" w:cstheme="minorHAnsi"/>
          <w:color w:val="000000"/>
          <w:u w:val="single"/>
          <w:lang w:eastAsia="en-GB"/>
        </w:rPr>
      </w:pPr>
    </w:p>
    <w:p w:rsidR="008D4C53" w:rsidRPr="009B3747" w:rsidRDefault="008D4C53" w:rsidP="008D4C53">
      <w:pPr>
        <w:rPr>
          <w:rFonts w:eastAsia="Times New Roman" w:cstheme="minorHAnsi"/>
          <w:sz w:val="24"/>
          <w:szCs w:val="24"/>
          <w:lang w:eastAsia="en-GB"/>
        </w:rPr>
      </w:pPr>
      <w:r w:rsidRPr="009B3747">
        <w:rPr>
          <w:rFonts w:eastAsia="Times New Roman" w:cstheme="minorHAnsi"/>
          <w:color w:val="000000"/>
          <w:u w:val="single"/>
          <w:lang w:eastAsia="en-GB"/>
        </w:rPr>
        <w:t>Aim 1</w:t>
      </w:r>
    </w:p>
    <w:p w:rsidR="008D4C53" w:rsidRPr="009B3747" w:rsidRDefault="008D4C53" w:rsidP="008D4C53">
      <w:pPr>
        <w:rPr>
          <w:rFonts w:eastAsia="Times New Roman" w:cstheme="minorHAnsi"/>
          <w:color w:val="000000"/>
          <w:lang w:eastAsia="en-GB"/>
        </w:rPr>
      </w:pPr>
    </w:p>
    <w:p w:rsidR="008D4C53" w:rsidRPr="009B3747" w:rsidRDefault="008D4C53" w:rsidP="008D4C53">
      <w:pPr>
        <w:rPr>
          <w:rFonts w:eastAsia="Times New Roman" w:cstheme="minorHAnsi"/>
          <w:sz w:val="24"/>
          <w:szCs w:val="24"/>
          <w:lang w:eastAsia="en-GB"/>
        </w:rPr>
      </w:pPr>
      <w:r w:rsidRPr="009B3747">
        <w:rPr>
          <w:rFonts w:eastAsia="Times New Roman" w:cstheme="minorHAnsi"/>
          <w:color w:val="000000"/>
          <w:lang w:eastAsia="en-GB"/>
        </w:rPr>
        <w:t>Within the initial and core qualitative phase of the research, explore and understand in-depth headteachers</w:t>
      </w:r>
      <w:r w:rsidR="005A045A" w:rsidRPr="009B3747">
        <w:rPr>
          <w:rFonts w:eastAsia="Times New Roman" w:cstheme="minorHAnsi"/>
          <w:color w:val="000000"/>
          <w:lang w:eastAsia="en-GB"/>
        </w:rPr>
        <w:t>’</w:t>
      </w:r>
      <w:r w:rsidRPr="009B3747">
        <w:rPr>
          <w:rFonts w:eastAsia="Times New Roman" w:cstheme="minorHAnsi"/>
          <w:color w:val="000000"/>
          <w:lang w:eastAsia="en-GB"/>
        </w:rPr>
        <w:t xml:space="preserve"> and chairs of governors</w:t>
      </w:r>
      <w:r w:rsidR="00DB655F" w:rsidRPr="009B3747">
        <w:rPr>
          <w:rFonts w:eastAsia="Times New Roman" w:cstheme="minorHAnsi"/>
          <w:color w:val="000000"/>
          <w:lang w:eastAsia="en-GB"/>
        </w:rPr>
        <w:t>’</w:t>
      </w:r>
      <w:r w:rsidRPr="009B3747">
        <w:rPr>
          <w:rFonts w:eastAsia="Times New Roman" w:cstheme="minorHAnsi"/>
          <w:color w:val="000000"/>
          <w:lang w:eastAsia="en-GB"/>
        </w:rPr>
        <w:t xml:space="preserve"> views</w:t>
      </w:r>
      <w:r w:rsidR="00DB655F" w:rsidRPr="009B3747">
        <w:rPr>
          <w:rFonts w:eastAsia="Times New Roman" w:cstheme="minorHAnsi"/>
          <w:color w:val="000000"/>
          <w:lang w:eastAsia="en-GB"/>
        </w:rPr>
        <w:t xml:space="preserve"> </w:t>
      </w:r>
      <w:r w:rsidRPr="009B3747">
        <w:rPr>
          <w:rFonts w:eastAsia="Times New Roman" w:cstheme="minorHAnsi"/>
          <w:color w:val="000000"/>
          <w:lang w:eastAsia="en-GB"/>
        </w:rPr>
        <w:t>and experiences of adolescent obesity and its prevention in English secondary school settings</w:t>
      </w:r>
    </w:p>
    <w:p w:rsidR="008D4C53" w:rsidRPr="009B3747" w:rsidRDefault="008D4C53" w:rsidP="008D4C53">
      <w:pPr>
        <w:rPr>
          <w:rFonts w:eastAsia="Times New Roman" w:cstheme="minorHAnsi"/>
          <w:sz w:val="24"/>
          <w:szCs w:val="24"/>
          <w:lang w:eastAsia="en-GB"/>
        </w:rPr>
      </w:pPr>
    </w:p>
    <w:p w:rsidR="008D4C53" w:rsidRPr="009B3747" w:rsidRDefault="008D4C53" w:rsidP="008D4C53">
      <w:pPr>
        <w:rPr>
          <w:rFonts w:eastAsia="Times New Roman" w:cstheme="minorHAnsi"/>
          <w:sz w:val="24"/>
          <w:szCs w:val="24"/>
          <w:lang w:eastAsia="en-GB"/>
        </w:rPr>
      </w:pPr>
      <w:r w:rsidRPr="009B3747">
        <w:rPr>
          <w:rFonts w:eastAsia="Times New Roman" w:cstheme="minorHAnsi"/>
          <w:i/>
          <w:iCs/>
          <w:color w:val="000000"/>
          <w:lang w:eastAsia="en-GB"/>
        </w:rPr>
        <w:t xml:space="preserve">Aim 1 Objectives </w:t>
      </w:r>
    </w:p>
    <w:p w:rsidR="008D4C53" w:rsidRPr="009B3747" w:rsidRDefault="008D4C53" w:rsidP="008D4C53">
      <w:pPr>
        <w:rPr>
          <w:rFonts w:eastAsia="Times New Roman" w:cstheme="minorHAnsi"/>
          <w:sz w:val="24"/>
          <w:szCs w:val="24"/>
          <w:lang w:eastAsia="en-GB"/>
        </w:rPr>
      </w:pPr>
    </w:p>
    <w:p w:rsidR="008D4C53" w:rsidRPr="009B3747" w:rsidRDefault="008D4C53" w:rsidP="00C27072">
      <w:pPr>
        <w:numPr>
          <w:ilvl w:val="0"/>
          <w:numId w:val="112"/>
        </w:numPr>
        <w:textAlignment w:val="baseline"/>
        <w:rPr>
          <w:rFonts w:eastAsia="Times New Roman" w:cstheme="minorHAnsi"/>
          <w:color w:val="000000"/>
          <w:lang w:eastAsia="en-GB"/>
        </w:rPr>
      </w:pPr>
      <w:r w:rsidRPr="009B3747">
        <w:rPr>
          <w:rFonts w:eastAsia="Times New Roman" w:cstheme="minorHAnsi"/>
          <w:color w:val="000000"/>
          <w:lang w:eastAsia="en-GB"/>
        </w:rPr>
        <w:t>Conduct a systematic review and qualitative synthesis in order to position the research question within existing literature and inform the approach to qualitative data collection</w:t>
      </w:r>
    </w:p>
    <w:p w:rsidR="008D4C53" w:rsidRPr="009B3747" w:rsidRDefault="008D4C53" w:rsidP="00C27072">
      <w:pPr>
        <w:numPr>
          <w:ilvl w:val="0"/>
          <w:numId w:val="112"/>
        </w:numPr>
        <w:textAlignment w:val="baseline"/>
        <w:rPr>
          <w:rFonts w:eastAsia="Times New Roman" w:cstheme="minorHAnsi"/>
          <w:color w:val="000000"/>
          <w:lang w:eastAsia="en-GB"/>
        </w:rPr>
      </w:pPr>
      <w:r w:rsidRPr="009B3747">
        <w:rPr>
          <w:rFonts w:eastAsia="Times New Roman" w:cstheme="minorHAnsi"/>
          <w:color w:val="000000"/>
          <w:lang w:eastAsia="en-GB"/>
        </w:rPr>
        <w:t>Undertake semi-structured face to face interviews with headteachers and chairs of governors in England</w:t>
      </w:r>
    </w:p>
    <w:p w:rsidR="008D4C53" w:rsidRPr="009B3747" w:rsidRDefault="008D4C53" w:rsidP="00C27072">
      <w:pPr>
        <w:numPr>
          <w:ilvl w:val="0"/>
          <w:numId w:val="112"/>
        </w:numPr>
        <w:textAlignment w:val="baseline"/>
        <w:rPr>
          <w:rFonts w:eastAsia="Times New Roman" w:cstheme="minorHAnsi"/>
          <w:color w:val="000000"/>
          <w:lang w:eastAsia="en-GB"/>
        </w:rPr>
      </w:pPr>
      <w:r w:rsidRPr="009B3747">
        <w:rPr>
          <w:rFonts w:eastAsia="Times New Roman" w:cstheme="minorHAnsi"/>
          <w:color w:val="000000"/>
          <w:lang w:eastAsia="en-GB"/>
        </w:rPr>
        <w:lastRenderedPageBreak/>
        <w:t xml:space="preserve">Develop and utilise an interview schedule that will enable an in-depth exploration and discussion with interview participants on the following topics - </w:t>
      </w:r>
    </w:p>
    <w:p w:rsidR="008D4C53" w:rsidRPr="009B3747" w:rsidRDefault="008D4C53" w:rsidP="009D727E">
      <w:pPr>
        <w:numPr>
          <w:ilvl w:val="0"/>
          <w:numId w:val="155"/>
        </w:numPr>
        <w:tabs>
          <w:tab w:val="clear" w:pos="720"/>
        </w:tabs>
        <w:ind w:left="993"/>
        <w:textAlignment w:val="baseline"/>
        <w:rPr>
          <w:rFonts w:eastAsia="Times New Roman" w:cstheme="minorHAnsi"/>
          <w:color w:val="000000"/>
          <w:lang w:eastAsia="en-GB"/>
        </w:rPr>
      </w:pPr>
      <w:r w:rsidRPr="009B3747">
        <w:rPr>
          <w:rFonts w:eastAsia="Times New Roman" w:cstheme="minorHAnsi"/>
          <w:color w:val="000000"/>
          <w:lang w:eastAsia="en-GB"/>
        </w:rPr>
        <w:t xml:space="preserve">Childhood and adolescent obesity causation and consequences </w:t>
      </w:r>
    </w:p>
    <w:p w:rsidR="008D4C53" w:rsidRPr="009B3747" w:rsidRDefault="008D4C53" w:rsidP="009D727E">
      <w:pPr>
        <w:numPr>
          <w:ilvl w:val="0"/>
          <w:numId w:val="155"/>
        </w:numPr>
        <w:tabs>
          <w:tab w:val="clear" w:pos="720"/>
        </w:tabs>
        <w:ind w:left="993"/>
        <w:textAlignment w:val="baseline"/>
        <w:rPr>
          <w:rFonts w:eastAsia="Times New Roman" w:cstheme="minorHAnsi"/>
          <w:color w:val="000000"/>
          <w:lang w:eastAsia="en-GB"/>
        </w:rPr>
      </w:pPr>
      <w:r w:rsidRPr="009B3747">
        <w:rPr>
          <w:rFonts w:eastAsia="Times New Roman" w:cstheme="minorHAnsi"/>
          <w:color w:val="000000"/>
          <w:lang w:eastAsia="en-GB"/>
        </w:rPr>
        <w:t>Types of activity or action undertaken in secondary school settings that contributes to preventing childhood obesity</w:t>
      </w:r>
    </w:p>
    <w:p w:rsidR="008D4C53" w:rsidRPr="009B3747" w:rsidRDefault="008D4C53" w:rsidP="009D727E">
      <w:pPr>
        <w:numPr>
          <w:ilvl w:val="0"/>
          <w:numId w:val="155"/>
        </w:numPr>
        <w:tabs>
          <w:tab w:val="clear" w:pos="720"/>
        </w:tabs>
        <w:ind w:left="993"/>
        <w:textAlignment w:val="baseline"/>
        <w:rPr>
          <w:rFonts w:eastAsia="Times New Roman" w:cstheme="minorHAnsi"/>
          <w:color w:val="000000"/>
          <w:lang w:eastAsia="en-GB"/>
        </w:rPr>
      </w:pPr>
      <w:r w:rsidRPr="009B3747">
        <w:rPr>
          <w:rFonts w:eastAsia="Times New Roman" w:cstheme="minorHAnsi"/>
          <w:color w:val="000000"/>
          <w:lang w:eastAsia="en-GB"/>
        </w:rPr>
        <w:t>Roles of schools, headteachers and chairs of governors in preventing childhood obesity in secondary schools</w:t>
      </w:r>
    </w:p>
    <w:p w:rsidR="008D4C53" w:rsidRPr="009B3747" w:rsidRDefault="008D4C53" w:rsidP="009D727E">
      <w:pPr>
        <w:numPr>
          <w:ilvl w:val="0"/>
          <w:numId w:val="155"/>
        </w:numPr>
        <w:tabs>
          <w:tab w:val="clear" w:pos="720"/>
        </w:tabs>
        <w:ind w:left="993"/>
        <w:textAlignment w:val="baseline"/>
        <w:rPr>
          <w:rFonts w:eastAsia="Times New Roman" w:cstheme="minorHAnsi"/>
          <w:color w:val="000000"/>
          <w:lang w:eastAsia="en-GB"/>
        </w:rPr>
      </w:pPr>
      <w:r w:rsidRPr="009B3747">
        <w:rPr>
          <w:rFonts w:eastAsia="Times New Roman" w:cstheme="minorHAnsi"/>
          <w:color w:val="000000"/>
          <w:lang w:eastAsia="en-GB"/>
        </w:rPr>
        <w:t>The barriers and facilitators of preventing childhood obesity in secondary schools</w:t>
      </w:r>
    </w:p>
    <w:p w:rsidR="008D4C53" w:rsidRPr="009B3747" w:rsidRDefault="008D4C53" w:rsidP="00C27072">
      <w:pPr>
        <w:numPr>
          <w:ilvl w:val="0"/>
          <w:numId w:val="114"/>
        </w:numPr>
        <w:textAlignment w:val="baseline"/>
        <w:rPr>
          <w:rFonts w:eastAsia="Times New Roman" w:cstheme="minorHAnsi"/>
          <w:color w:val="000000"/>
          <w:lang w:eastAsia="en-GB"/>
        </w:rPr>
      </w:pPr>
      <w:r w:rsidRPr="009B3747">
        <w:rPr>
          <w:rFonts w:eastAsia="Times New Roman" w:cstheme="minorHAnsi"/>
          <w:color w:val="000000"/>
          <w:lang w:eastAsia="en-GB"/>
        </w:rPr>
        <w:t>Conduct a thematic analysis of the collected interview data, in order to generate a cohesive narrative of the qualitative findings</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782EBA" w:rsidP="00510940">
      <w:pPr>
        <w:rPr>
          <w:rFonts w:eastAsia="Times New Roman" w:cstheme="minorHAnsi"/>
          <w:b/>
          <w:bCs/>
          <w:color w:val="000000"/>
          <w:sz w:val="24"/>
          <w:szCs w:val="24"/>
          <w:u w:val="single"/>
          <w:lang w:eastAsia="en-GB"/>
        </w:rPr>
      </w:pPr>
      <w:r w:rsidRPr="009B3747">
        <w:rPr>
          <w:rFonts w:eastAsia="Times New Roman" w:cstheme="minorHAnsi"/>
          <w:b/>
          <w:bCs/>
          <w:color w:val="000000"/>
          <w:sz w:val="24"/>
          <w:szCs w:val="24"/>
          <w:u w:val="single"/>
          <w:lang w:eastAsia="en-GB"/>
        </w:rPr>
        <w:t>5</w:t>
      </w:r>
      <w:r w:rsidR="008D4C53" w:rsidRPr="009B3747">
        <w:rPr>
          <w:rFonts w:eastAsia="Times New Roman" w:cstheme="minorHAnsi"/>
          <w:b/>
          <w:bCs/>
          <w:color w:val="000000"/>
          <w:sz w:val="24"/>
          <w:szCs w:val="24"/>
          <w:u w:val="single"/>
          <w:lang w:eastAsia="en-GB"/>
        </w:rPr>
        <w:t>.2</w:t>
      </w:r>
      <w:r w:rsidR="00CF32DA" w:rsidRPr="009B3747">
        <w:rPr>
          <w:rFonts w:eastAsia="Times New Roman" w:cstheme="minorHAnsi"/>
          <w:b/>
          <w:bCs/>
          <w:color w:val="000000"/>
          <w:sz w:val="24"/>
          <w:szCs w:val="24"/>
          <w:u w:val="single"/>
          <w:lang w:eastAsia="en-GB"/>
        </w:rPr>
        <w:t xml:space="preserve"> Study Population - </w:t>
      </w:r>
      <w:r w:rsidR="00510940" w:rsidRPr="009B3747">
        <w:rPr>
          <w:rFonts w:eastAsia="Times New Roman" w:cstheme="minorHAnsi"/>
          <w:b/>
          <w:bCs/>
          <w:color w:val="000000"/>
          <w:sz w:val="24"/>
          <w:szCs w:val="24"/>
          <w:u w:val="single"/>
          <w:lang w:eastAsia="en-GB"/>
        </w:rPr>
        <w:t>Inclusion and Exclusion criteria</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t>Across both phases of the research, the target study population were headt</w:t>
      </w:r>
      <w:r w:rsidR="00A63F83">
        <w:rPr>
          <w:rFonts w:eastAsia="Times New Roman" w:cstheme="minorHAnsi"/>
          <w:color w:val="000000"/>
          <w:lang w:eastAsia="en-GB"/>
        </w:rPr>
        <w:t xml:space="preserve">eachers and chairs of governors, </w:t>
      </w:r>
      <w:r w:rsidRPr="009B3747">
        <w:rPr>
          <w:rFonts w:eastAsia="Times New Roman" w:cstheme="minorHAnsi"/>
          <w:color w:val="000000"/>
          <w:lang w:eastAsia="en-GB"/>
        </w:rPr>
        <w:t>who were employed or in the case of the latter elected</w:t>
      </w:r>
      <w:r w:rsidR="008D4C53" w:rsidRPr="009B3747">
        <w:rPr>
          <w:rFonts w:eastAsia="Times New Roman" w:cstheme="minorHAnsi"/>
          <w:color w:val="000000"/>
          <w:lang w:eastAsia="en-GB"/>
        </w:rPr>
        <w:t>,</w:t>
      </w:r>
      <w:r w:rsidRPr="009B3747">
        <w:rPr>
          <w:rFonts w:eastAsia="Times New Roman" w:cstheme="minorHAnsi"/>
          <w:color w:val="000000"/>
          <w:lang w:eastAsia="en-GB"/>
        </w:rPr>
        <w:t xml:space="preserve"> within secondary schools in England.  This was because their perspectives formed the</w:t>
      </w:r>
      <w:r w:rsidR="00A63F83">
        <w:rPr>
          <w:rFonts w:eastAsia="Times New Roman" w:cstheme="minorHAnsi"/>
          <w:color w:val="000000"/>
          <w:lang w:eastAsia="en-GB"/>
        </w:rPr>
        <w:t xml:space="preserve"> focus of the research question, </w:t>
      </w:r>
      <w:r w:rsidRPr="009B3747">
        <w:rPr>
          <w:rFonts w:eastAsia="Times New Roman" w:cstheme="minorHAnsi"/>
          <w:color w:val="000000"/>
          <w:lang w:eastAsia="en-GB"/>
        </w:rPr>
        <w:t>in relation to adolescent obesity and its prevention within secondary school settings.  An inclusion and exclusion criteria was applied so that the target study population could be clearly defined and the eligibility of the participants could be ensured.</w:t>
      </w:r>
      <w:r w:rsidRPr="009B3747">
        <w:rPr>
          <w:rFonts w:eastAsia="Times New Roman" w:cstheme="minorHAnsi"/>
          <w:color w:val="000000"/>
          <w:lang w:eastAsia="en-GB"/>
        </w:rPr>
        <w:br/>
      </w:r>
      <w:r w:rsidRPr="009B3747">
        <w:rPr>
          <w:rFonts w:eastAsia="Times New Roman" w:cstheme="minorHAnsi"/>
          <w:color w:val="000000"/>
          <w:lang w:eastAsia="en-GB"/>
        </w:rPr>
        <w:br/>
      </w:r>
      <w:r w:rsidRPr="009B3747">
        <w:rPr>
          <w:rFonts w:eastAsia="Times New Roman" w:cstheme="minorHAnsi"/>
          <w:i/>
          <w:iCs/>
          <w:color w:val="000000"/>
          <w:lang w:eastAsia="en-GB"/>
        </w:rPr>
        <w:t>Inclusion criteria</w:t>
      </w:r>
      <w:r w:rsidRPr="009B3747">
        <w:rPr>
          <w:rFonts w:eastAsia="Times New Roman" w:cstheme="minorHAnsi"/>
          <w:color w:val="000000"/>
          <w:lang w:eastAsia="en-GB"/>
        </w:rPr>
        <w:br/>
      </w:r>
      <w:r w:rsidRPr="009B3747">
        <w:rPr>
          <w:rFonts w:eastAsia="Times New Roman" w:cstheme="minorHAnsi"/>
          <w:color w:val="000000"/>
          <w:lang w:eastAsia="en-GB"/>
        </w:rPr>
        <w:br/>
        <w:t>- Secondary school headteachers* (or acting headteachers) actively employed during the data collection period at a secondary school** in England</w:t>
      </w:r>
      <w:r w:rsidRPr="009B3747">
        <w:rPr>
          <w:rFonts w:eastAsia="Times New Roman" w:cstheme="minorHAnsi"/>
          <w:color w:val="000000"/>
          <w:lang w:eastAsia="en-GB"/>
        </w:rPr>
        <w:br/>
        <w:t>- Chairs of governors elected and serving during the data collection period at a secondary school in England</w:t>
      </w:r>
      <w:r w:rsidRPr="009B3747">
        <w:rPr>
          <w:rFonts w:eastAsia="Times New Roman" w:cstheme="minorHAnsi"/>
          <w:color w:val="000000"/>
          <w:lang w:eastAsia="en-GB"/>
        </w:rPr>
        <w:br/>
      </w:r>
      <w:r w:rsidRPr="009B3747">
        <w:rPr>
          <w:rFonts w:eastAsia="Times New Roman" w:cstheme="minorHAnsi"/>
          <w:color w:val="000000"/>
          <w:lang w:eastAsia="en-GB"/>
        </w:rPr>
        <w:br/>
      </w:r>
      <w:r w:rsidRPr="009B3747">
        <w:rPr>
          <w:rFonts w:eastAsia="Times New Roman" w:cstheme="minorHAnsi"/>
          <w:i/>
          <w:iCs/>
          <w:color w:val="000000"/>
          <w:lang w:eastAsia="en-GB"/>
        </w:rPr>
        <w:t>Exclusion criteria</w:t>
      </w:r>
      <w:r w:rsidRPr="009B3747">
        <w:rPr>
          <w:rFonts w:eastAsia="Times New Roman" w:cstheme="minorHAnsi"/>
          <w:color w:val="000000"/>
          <w:lang w:eastAsia="en-GB"/>
        </w:rPr>
        <w:br/>
      </w:r>
      <w:r w:rsidRPr="009B3747">
        <w:rPr>
          <w:rFonts w:eastAsia="Times New Roman" w:cstheme="minorHAnsi"/>
          <w:color w:val="000000"/>
          <w:lang w:eastAsia="en-GB"/>
        </w:rPr>
        <w:br/>
        <w:t>- Secondary school headteachers (or acting headteachers) and chairs of governors not actively employed or serving during the data collection period at a secondary school and/or not based in the geographic location of England</w:t>
      </w:r>
      <w:r w:rsidRPr="009B3747">
        <w:rPr>
          <w:rFonts w:eastAsia="Times New Roman" w:cstheme="minorHAnsi"/>
          <w:color w:val="000000"/>
          <w:lang w:eastAsia="en-GB"/>
        </w:rPr>
        <w:br/>
      </w:r>
      <w:r w:rsidRPr="009B3747">
        <w:rPr>
          <w:rFonts w:eastAsia="Times New Roman" w:cstheme="minorHAnsi"/>
          <w:color w:val="000000"/>
          <w:lang w:eastAsia="en-GB"/>
        </w:rPr>
        <w:br/>
      </w:r>
      <w:r w:rsidRPr="009B3747">
        <w:rPr>
          <w:rFonts w:eastAsia="Times New Roman" w:cstheme="minorHAnsi"/>
          <w:color w:val="000000"/>
          <w:sz w:val="20"/>
          <w:szCs w:val="20"/>
          <w:lang w:eastAsia="en-GB"/>
        </w:rPr>
        <w:t xml:space="preserve">*For the purpose of the study ‘headteacher’ was used as the collective term when referring to a person who is </w:t>
      </w:r>
      <w:r w:rsidRPr="009B3747">
        <w:rPr>
          <w:rFonts w:eastAsia="Times New Roman" w:cstheme="minorHAnsi"/>
          <w:color w:val="000000"/>
          <w:sz w:val="20"/>
          <w:szCs w:val="20"/>
          <w:lang w:eastAsia="en-GB"/>
        </w:rPr>
        <w:lastRenderedPageBreak/>
        <w:t>the overarching lead within a school.  In some schools alternative titles are used to depict this position</w:t>
      </w:r>
      <w:r w:rsidR="007F3CF4">
        <w:rPr>
          <w:rFonts w:eastAsia="Times New Roman" w:cstheme="minorHAnsi"/>
          <w:color w:val="000000"/>
          <w:sz w:val="20"/>
          <w:szCs w:val="20"/>
          <w:lang w:eastAsia="en-GB"/>
        </w:rPr>
        <w:t>,</w:t>
      </w:r>
      <w:r w:rsidRPr="009B3747">
        <w:rPr>
          <w:rFonts w:eastAsia="Times New Roman" w:cstheme="minorHAnsi"/>
          <w:color w:val="000000"/>
          <w:sz w:val="20"/>
          <w:szCs w:val="20"/>
          <w:lang w:eastAsia="en-GB"/>
        </w:rPr>
        <w:t xml:space="preserve"> i.e. Principal, Executive head. Inclusion was therefore based on their position as being in charge of a school, regardless of their title. </w:t>
      </w:r>
      <w:r w:rsidRPr="009B3747">
        <w:rPr>
          <w:rFonts w:eastAsia="Times New Roman" w:cstheme="minorHAnsi"/>
          <w:color w:val="000000"/>
          <w:lang w:eastAsia="en-GB"/>
        </w:rPr>
        <w:br/>
      </w:r>
      <w:r w:rsidRPr="009B3747">
        <w:rPr>
          <w:rFonts w:eastAsia="Times New Roman" w:cstheme="minorHAnsi"/>
          <w:color w:val="000000"/>
          <w:sz w:val="20"/>
          <w:szCs w:val="20"/>
          <w:lang w:eastAsia="en-GB"/>
        </w:rPr>
        <w:t>** For the purpose of the study the term ‘secondary school’ was used to denote any school in England providing secondary level education to children a</w:t>
      </w:r>
      <w:r w:rsidR="007B41A8" w:rsidRPr="009B3747">
        <w:rPr>
          <w:rFonts w:eastAsia="Times New Roman" w:cstheme="minorHAnsi"/>
          <w:color w:val="000000"/>
          <w:sz w:val="20"/>
          <w:szCs w:val="20"/>
          <w:lang w:eastAsia="en-GB"/>
        </w:rPr>
        <w:t xml:space="preserve">nd young people aged between 11 to </w:t>
      </w:r>
      <w:r w:rsidRPr="009B3747">
        <w:rPr>
          <w:rFonts w:eastAsia="Times New Roman" w:cstheme="minorHAnsi"/>
          <w:color w:val="000000"/>
          <w:sz w:val="20"/>
          <w:szCs w:val="20"/>
          <w:lang w:eastAsia="en-GB"/>
        </w:rPr>
        <w:t xml:space="preserve">16yrs. </w:t>
      </w:r>
    </w:p>
    <w:p w:rsidR="00CF32DA"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CF32DA" w:rsidRPr="009B3747" w:rsidRDefault="007B41A8" w:rsidP="00510940">
      <w:pPr>
        <w:rPr>
          <w:rFonts w:eastAsia="Times New Roman" w:cstheme="minorHAnsi"/>
          <w:b/>
          <w:sz w:val="24"/>
          <w:szCs w:val="24"/>
          <w:u w:val="single"/>
          <w:lang w:eastAsia="en-GB"/>
        </w:rPr>
      </w:pPr>
      <w:r w:rsidRPr="009B3747">
        <w:rPr>
          <w:rFonts w:eastAsia="Times New Roman" w:cstheme="minorHAnsi"/>
          <w:b/>
          <w:sz w:val="24"/>
          <w:szCs w:val="24"/>
          <w:u w:val="single"/>
          <w:lang w:eastAsia="en-GB"/>
        </w:rPr>
        <w:t>5.3</w:t>
      </w:r>
      <w:r w:rsidR="00CF32DA" w:rsidRPr="009B3747">
        <w:rPr>
          <w:rFonts w:eastAsia="Times New Roman" w:cstheme="minorHAnsi"/>
          <w:b/>
          <w:sz w:val="24"/>
          <w:szCs w:val="24"/>
          <w:u w:val="single"/>
          <w:lang w:eastAsia="en-GB"/>
        </w:rPr>
        <w:t xml:space="preserve"> Sampling</w:t>
      </w:r>
    </w:p>
    <w:p w:rsidR="00CF32DA" w:rsidRPr="009B3747" w:rsidRDefault="00CF32DA" w:rsidP="00510940">
      <w:pPr>
        <w:rPr>
          <w:rFonts w:eastAsia="Times New Roman" w:cstheme="minorHAnsi"/>
          <w:bCs/>
          <w:color w:val="000000"/>
          <w:sz w:val="24"/>
          <w:szCs w:val="24"/>
          <w:lang w:eastAsia="en-GB"/>
        </w:rPr>
      </w:pPr>
    </w:p>
    <w:p w:rsidR="00510940" w:rsidRPr="009B3747" w:rsidRDefault="00782EBA" w:rsidP="00510940">
      <w:pPr>
        <w:rPr>
          <w:rFonts w:eastAsia="Times New Roman" w:cstheme="minorHAnsi"/>
          <w:sz w:val="24"/>
          <w:szCs w:val="24"/>
          <w:lang w:eastAsia="en-GB"/>
        </w:rPr>
      </w:pPr>
      <w:r w:rsidRPr="009B3747">
        <w:rPr>
          <w:rFonts w:eastAsia="Times New Roman" w:cstheme="minorHAnsi"/>
          <w:bCs/>
          <w:color w:val="000000"/>
          <w:u w:val="single"/>
          <w:lang w:eastAsia="en-GB"/>
        </w:rPr>
        <w:t>5</w:t>
      </w:r>
      <w:r w:rsidR="007B41A8" w:rsidRPr="009B3747">
        <w:rPr>
          <w:rFonts w:eastAsia="Times New Roman" w:cstheme="minorHAnsi"/>
          <w:bCs/>
          <w:color w:val="000000"/>
          <w:u w:val="single"/>
          <w:lang w:eastAsia="en-GB"/>
        </w:rPr>
        <w:t>.3</w:t>
      </w:r>
      <w:r w:rsidR="00CF32DA" w:rsidRPr="009B3747">
        <w:rPr>
          <w:rFonts w:eastAsia="Times New Roman" w:cstheme="minorHAnsi"/>
          <w:bCs/>
          <w:color w:val="000000"/>
          <w:u w:val="single"/>
          <w:lang w:eastAsia="en-GB"/>
        </w:rPr>
        <w:t xml:space="preserve">.1 </w:t>
      </w:r>
      <w:r w:rsidR="00510940" w:rsidRPr="009B3747">
        <w:rPr>
          <w:rFonts w:eastAsia="Times New Roman" w:cstheme="minorHAnsi"/>
          <w:bCs/>
          <w:color w:val="000000"/>
          <w:u w:val="single"/>
          <w:lang w:eastAsia="en-GB"/>
        </w:rPr>
        <w:t>Sampling strategy</w:t>
      </w:r>
      <w:r w:rsidR="00510940" w:rsidRPr="009B3747">
        <w:rPr>
          <w:rFonts w:eastAsia="Times New Roman" w:cstheme="minorHAnsi"/>
          <w:color w:val="000000"/>
          <w:sz w:val="24"/>
          <w:szCs w:val="24"/>
          <w:lang w:eastAsia="en-GB"/>
        </w:rPr>
        <w:br/>
      </w:r>
      <w:r w:rsidR="00510940" w:rsidRPr="009B3747">
        <w:rPr>
          <w:rFonts w:eastAsia="Times New Roman" w:cstheme="minorHAnsi"/>
          <w:color w:val="000000"/>
          <w:sz w:val="24"/>
          <w:szCs w:val="24"/>
          <w:lang w:eastAsia="en-GB"/>
        </w:rPr>
        <w:br/>
      </w:r>
      <w:r w:rsidR="00510940" w:rsidRPr="009B3747">
        <w:rPr>
          <w:rFonts w:eastAsia="Times New Roman" w:cstheme="minorHAnsi"/>
          <w:color w:val="000000"/>
          <w:lang w:eastAsia="en-GB"/>
        </w:rPr>
        <w:t>A selection process was utilised to determine whose perspectives would be included across both phases of the research, thereby sampling deliberately with a specific purpose (Punch, 2009; 2013).  There are multiple techniques for sampling a study population (Creswell, 2014).  Given the mixed methods research design and different research aims and objectives for each phase of the research, an appropriate sampling strategy relevant to each of the qualitative and quantitative phases was employed.  </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9D727E" w:rsidRPr="009B3747" w:rsidRDefault="00782EBA" w:rsidP="00516326">
      <w:pPr>
        <w:rPr>
          <w:rFonts w:eastAsia="Times New Roman" w:cstheme="minorHAnsi"/>
          <w:color w:val="000000"/>
          <w:lang w:eastAsia="en-GB"/>
        </w:rPr>
      </w:pPr>
      <w:r w:rsidRPr="009B3747">
        <w:rPr>
          <w:rFonts w:eastAsia="Times New Roman" w:cstheme="minorHAnsi"/>
          <w:color w:val="000000"/>
          <w:lang w:eastAsia="en-GB"/>
        </w:rPr>
        <w:t>F</w:t>
      </w:r>
      <w:r w:rsidR="00510940" w:rsidRPr="009B3747">
        <w:rPr>
          <w:rFonts w:eastAsia="Times New Roman" w:cstheme="minorHAnsi"/>
          <w:color w:val="000000"/>
          <w:lang w:eastAsia="en-GB"/>
        </w:rPr>
        <w:t xml:space="preserve">or qualitative research, it is not appropriate, realistic or often desirable to include all potential participants from a target </w:t>
      </w:r>
      <w:r w:rsidR="00A63F83">
        <w:rPr>
          <w:rFonts w:eastAsia="Times New Roman" w:cstheme="minorHAnsi"/>
          <w:color w:val="000000"/>
          <w:lang w:eastAsia="en-GB"/>
        </w:rPr>
        <w:t xml:space="preserve">study population (Bryman, 2012), </w:t>
      </w:r>
      <w:r w:rsidR="00510940" w:rsidRPr="009B3747">
        <w:rPr>
          <w:rFonts w:eastAsia="Times New Roman" w:cstheme="minorHAnsi"/>
          <w:color w:val="000000"/>
          <w:lang w:eastAsia="en-GB"/>
        </w:rPr>
        <w:t>and therefore the relevant findings obtained within this study could never claim to represent all individual views.  However, this doesn’t negate the fact that a robust sampling strategy was still required</w:t>
      </w:r>
      <w:r w:rsidR="00A63F83">
        <w:rPr>
          <w:rFonts w:eastAsia="Times New Roman" w:cstheme="minorHAnsi"/>
          <w:color w:val="000000"/>
          <w:lang w:eastAsia="en-GB"/>
        </w:rPr>
        <w:t>,</w:t>
      </w:r>
      <w:r w:rsidR="00510940" w:rsidRPr="009B3747">
        <w:rPr>
          <w:rFonts w:eastAsia="Times New Roman" w:cstheme="minorHAnsi"/>
          <w:color w:val="000000"/>
          <w:lang w:eastAsia="en-GB"/>
        </w:rPr>
        <w:t xml:space="preserve"> in order to maximise the quality and range of responses and obtain a rich and deep und</w:t>
      </w:r>
      <w:r w:rsidR="00F07FE8" w:rsidRPr="009B3747">
        <w:rPr>
          <w:rFonts w:eastAsia="Times New Roman" w:cstheme="minorHAnsi"/>
          <w:color w:val="000000"/>
          <w:lang w:eastAsia="en-GB"/>
        </w:rPr>
        <w:t xml:space="preserve">erstanding </w:t>
      </w:r>
      <w:r w:rsidR="00F07FE8"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"Ritchie", "given" : "J", "non-dropping-particle" : "", "parse-names" : false, "suffix" : "" }, { "dropping-particle" : "", "family" : "Lewis", "given" : "J", "non-dropping-particle" : "", "parse-names" : false, "suffix" : "" }, { "dropping-particle" : "", "family" : "Elam", "given" : "G", "non-dropping-particle" : "", "parse-names" : false, "suffix" : "" } ], "id" : "ITEM-1", "issued" : { "date-parts" : [ [ "2003" ] ] }, "publisher" : "SAGE Publications Ltd", "publisher-place" : "London", "title" : "Qualitative Research Practice: A Guide for Social Science Students and Researchers", "type" : "book" }, "uris" : [ "http://www.mendeley.com/documents/?uuid=f7842906-6a59-474c-9da5-97ef46609046" ] }, { "id" : "ITEM-2", "itemData" : { "ISBN" : "9781412975179", "abstract" : "2nd ed. \"Combining the latest thinking about mixed methods research designs with practical, step-by-step guidance, the Second Edition of Designing and Conducting Mixed Methods Research now covers six major mixed methods designs. Authors John W. Creswell and Vicki L. Plano Clark walk readers through the entire research process, from formulating questions to designing, collecting data, and interpreting results and include updated examples from published mixed methods studies drawn from the social, behavioral, health, and education disciplines.\"--Pub. desc. The nature of mixed methods research -- The foundations of mixed methods research -- Choosing a mixed methods design -- Examples of mixed methods designs -- Introducing a mixed methods study -- Collecting data in mixed methods research -- Analyzing and interpreting data in mixed methods research -- Writing and evaluating mixed methods research -- Summary and recommendations.", "author" : [ { "dropping-particle" : "", "family" : "Creswell", "given" : "John W.", "non-dropping-particle" : "", "parse-names" : false, "suffix" : "" }, { "dropping-particle" : "", "family" : "Plano Clark", "given" : "Vicki L.", "non-dropping-particle" : "", "parse-names" : false, "suffix" : "" } ], "edition" : "2nd", "id" : "ITEM-2", "issued" : { "date-parts" : [ [ "2011" ] ] }, "number-of-pages" : "457", "publisher" : "SAGE Publications", "publisher-place" : "Thousand Oaks", "title" : "Designing and conducting mixed methods research", "type" : "book" }, "uris" : [ "http://www.mendeley.com/documents/?uuid=7cf67537-d009-3386-be02-c159c4f6ff80" ] } ], "mendeley" : { "formattedCitation" : "(Ritchie et al., 2003; Creswell and Plano Clark, 2011)", "plainTextFormattedCitation" : "(Ritchie et al., 2003; Creswell and Plano Clark, 2011)", "previouslyFormattedCitation" : "(Ritchie et al., 2003; Creswell and Plano Clark, 2011)" }, "properties" : { "noteIndex" : 0 }, "schema" : "https://github.com/citation-style-language/schema/raw/master/csl-citation.json" }</w:instrText>
      </w:r>
      <w:r w:rsidR="00F07FE8" w:rsidRPr="009B3747">
        <w:rPr>
          <w:rFonts w:eastAsia="Times New Roman" w:cstheme="minorHAnsi"/>
          <w:color w:val="000000"/>
          <w:lang w:eastAsia="en-GB"/>
        </w:rPr>
        <w:fldChar w:fldCharType="separate"/>
      </w:r>
      <w:r w:rsidR="00F07FE8" w:rsidRPr="009B3747">
        <w:rPr>
          <w:rFonts w:eastAsia="Times New Roman" w:cstheme="minorHAnsi"/>
          <w:noProof/>
          <w:color w:val="000000"/>
          <w:lang w:eastAsia="en-GB"/>
        </w:rPr>
        <w:t>(Ritchie et al., 2003; Creswell and Plano Clark, 2011)</w:t>
      </w:r>
      <w:r w:rsidR="00F07FE8" w:rsidRPr="009B3747">
        <w:rPr>
          <w:rFonts w:eastAsia="Times New Roman" w:cstheme="minorHAnsi"/>
          <w:color w:val="000000"/>
          <w:lang w:eastAsia="en-GB"/>
        </w:rPr>
        <w:fldChar w:fldCharType="end"/>
      </w:r>
      <w:r w:rsidR="00510940" w:rsidRPr="009B3747">
        <w:rPr>
          <w:rFonts w:eastAsia="Times New Roman" w:cstheme="minorHAnsi"/>
          <w:color w:val="000000"/>
          <w:lang w:eastAsia="en-GB"/>
        </w:rPr>
        <w:t xml:space="preserve">. </w:t>
      </w:r>
      <w:r w:rsidR="00510940" w:rsidRPr="009B3747">
        <w:rPr>
          <w:rFonts w:eastAsia="Times New Roman" w:cstheme="minorHAnsi"/>
          <w:color w:val="000000"/>
          <w:lang w:eastAsia="en-GB"/>
        </w:rPr>
        <w:br/>
      </w:r>
      <w:r w:rsidR="00510940" w:rsidRPr="009B3747">
        <w:rPr>
          <w:rFonts w:eastAsia="Times New Roman" w:cstheme="minorHAnsi"/>
          <w:color w:val="000000"/>
          <w:lang w:eastAsia="en-GB"/>
        </w:rPr>
        <w:tab/>
      </w:r>
      <w:r w:rsidR="00510940" w:rsidRPr="009B3747">
        <w:rPr>
          <w:rFonts w:eastAsia="Times New Roman" w:cstheme="minorHAnsi"/>
          <w:color w:val="000000"/>
          <w:lang w:eastAsia="en-GB"/>
        </w:rPr>
        <w:br/>
        <w:t>The initial qualitative phase employed the non-probability sampling technique of stratified purposive sampling</w:t>
      </w:r>
      <w:r w:rsidR="00F07FE8" w:rsidRPr="009B3747">
        <w:rPr>
          <w:rFonts w:eastAsia="Times New Roman" w:cstheme="minorHAnsi"/>
          <w:color w:val="000000"/>
          <w:lang w:eastAsia="en-GB"/>
        </w:rPr>
        <w:t xml:space="preserve"> </w:t>
      </w:r>
      <w:r w:rsidR="00F07FE8"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"Marshall", "given" : "MN", "non-dropping-particle" : "", "parse-names" : false, "suffix" : "" } ], "container-title" : "Family practice", "id" : "ITEM-1", "issue" : "6", "issued" : { "date-parts" : [ [ "1996" ] ] }, "page" : "522-525", "title" : "Sampling for qualitative research", "type" : "article-journal", "volume" : "13" }, "uris" : [ "http://www.mendeley.com/documents/?uuid=b9e95310-24a1-4cb5-bde2-e9eda94cfc94" ] }, { "id" : "ITEM-2", "itemData" : { "author" : [ { "dropping-particle" : "", "family" : "Collins", "given" : "KMT", "non-dropping-particle" : "", "parse-names" : false, "suffix" : "" } ], "container-title" : "Journal of mixed methods \u2026", "id" : "ITEM-2", "issue" : "3", "issued" : { "date-parts" : [ [ "2007" ] ] }, "page" : "267-294", "title" : "A mixed methods investigation of mixed methods sampling designs in social and health science research", "type" : "article-journal", "volume" : "1" }, "uris" : [ "http://www.mendeley.com/documents/?uuid=1c2c1ce5-2227-4484-a9da-5d523a013d10" ] }, { "id" : "ITEM-3", "itemData" : { "author" : [ { "dropping-particle" : "", "family" : "Palinkas", "given" : "LA", "non-dropping-particle" : "", "parse-names" : false, "suffix" : "" }, { "dropping-particle" : "", "family" : "Horwitz", "given" : "SM", "non-dropping-particle" : "", "parse-names" : false, "suffix" : "" }, { "dropping-particle" : "", "family" : "Green", "given" : "CA", "non-dropping-particle" : "", "parse-names" : false, "suffix" : "" } ], "container-title" : "\u2026 and Policy in Mental \u2026", "id" : "ITEM-3", "issue" : "5", "issued" : { "date-parts" : [ [ "2013" ] ] }, "page" : "533\u2013544", "title" : "Purposeful sampling for qualitative data collection and analysis in mixed method implementation research", "type" : "article-journal", "volume" : "42" }, "uris" : [ "http://www.mendeley.com/documents/?uuid=b152bc02-c85b-4dcf-9516-41a4da50ca5e" ] } ], "mendeley" : { "formattedCitation" : "(Marshall, 1996; Collins, 2007; Palinkas et al., 2013)", "plainTextFormattedCitation" : "(Marshall, 1996; Collins, 2007; Palinkas et al., 2013)", "previouslyFormattedCitation" : "(Marshall, 1996; Collins, 2007; Palinkas et al., 2013)" }, "properties" : { "noteIndex" : 0 }, "schema" : "https://github.com/citation-style-language/schema/raw/master/csl-citation.json" }</w:instrText>
      </w:r>
      <w:r w:rsidR="00F07FE8" w:rsidRPr="009B3747">
        <w:rPr>
          <w:rFonts w:eastAsia="Times New Roman" w:cstheme="minorHAnsi"/>
          <w:color w:val="000000"/>
          <w:lang w:eastAsia="en-GB"/>
        </w:rPr>
        <w:fldChar w:fldCharType="separate"/>
      </w:r>
      <w:r w:rsidR="00F07FE8" w:rsidRPr="009B3747">
        <w:rPr>
          <w:rFonts w:eastAsia="Times New Roman" w:cstheme="minorHAnsi"/>
          <w:noProof/>
          <w:color w:val="000000"/>
          <w:lang w:eastAsia="en-GB"/>
        </w:rPr>
        <w:t>(Marshall, 1996; Collins, 2007; Palinkas et al., 2013)</w:t>
      </w:r>
      <w:r w:rsidR="00F07FE8" w:rsidRPr="009B3747">
        <w:rPr>
          <w:rFonts w:eastAsia="Times New Roman" w:cstheme="minorHAnsi"/>
          <w:color w:val="000000"/>
          <w:lang w:eastAsia="en-GB"/>
        </w:rPr>
        <w:fldChar w:fldCharType="end"/>
      </w:r>
      <w:r w:rsidR="00F07FE8" w:rsidRPr="009B3747">
        <w:rPr>
          <w:rFonts w:eastAsia="Times New Roman" w:cstheme="minorHAnsi"/>
          <w:color w:val="000000"/>
          <w:lang w:eastAsia="en-GB"/>
        </w:rPr>
        <w:t xml:space="preserve">.  </w:t>
      </w:r>
      <w:r w:rsidR="00510940" w:rsidRPr="009B3747">
        <w:rPr>
          <w:rFonts w:eastAsia="Times New Roman" w:cstheme="minorHAnsi"/>
          <w:color w:val="000000"/>
          <w:lang w:eastAsia="en-GB"/>
        </w:rPr>
        <w:t>Stratified purposi</w:t>
      </w:r>
      <w:r w:rsidR="00F07FE8" w:rsidRPr="009B3747">
        <w:rPr>
          <w:rFonts w:eastAsia="Times New Roman" w:cstheme="minorHAnsi"/>
          <w:color w:val="000000"/>
          <w:lang w:eastAsia="en-GB"/>
        </w:rPr>
        <w:t xml:space="preserve">ve sampling aims to </w:t>
      </w:r>
      <w:r w:rsidR="00F07FE8" w:rsidRPr="009B3747">
        <w:rPr>
          <w:rFonts w:eastAsia="Times New Roman" w:cstheme="minorHAnsi"/>
          <w:i/>
          <w:color w:val="000000"/>
          <w:lang w:eastAsia="en-GB"/>
        </w:rPr>
        <w:t>“</w:t>
      </w:r>
      <w:r w:rsidR="00510940" w:rsidRPr="009B3747">
        <w:rPr>
          <w:rFonts w:eastAsia="Times New Roman" w:cstheme="minorHAnsi"/>
          <w:i/>
          <w:color w:val="000000"/>
          <w:lang w:eastAsia="en-GB"/>
        </w:rPr>
        <w:t>capture major variations</w:t>
      </w:r>
      <w:r w:rsidR="00F07FE8" w:rsidRPr="009B3747">
        <w:rPr>
          <w:rFonts w:eastAsia="Times New Roman" w:cstheme="minorHAnsi"/>
          <w:i/>
          <w:color w:val="000000"/>
          <w:lang w:eastAsia="en-GB"/>
        </w:rPr>
        <w:t>”</w:t>
      </w:r>
      <w:r w:rsidR="00F07FE8" w:rsidRPr="009B3747">
        <w:rPr>
          <w:rFonts w:eastAsia="Times New Roman" w:cstheme="minorHAnsi"/>
          <w:color w:val="000000"/>
          <w:lang w:eastAsia="en-GB"/>
        </w:rPr>
        <w:t xml:space="preserve"> </w:t>
      </w:r>
      <w:r w:rsidR="00F07FE8"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"Patton", "given" : "MQ", "non-dropping-particle" : "", "parse-names" : false, "suffix" : "" } ], "id" : "ITEM-1", "issued" : { "date-parts" : [ [ "1990" ] ] }, "publisher" : "SAGE Publications Inc.", "publisher-place" : "Thousand Oaks", "title" : "Qualitative evaluation and research methods .", "type" : "book" }, "uris" : [ "http://www.mendeley.com/documents/?uuid=9225ea63-af32-4b1a-8445-c8d31666b4a7" ] } ], "mendeley" : { "formattedCitation" : "(Patton, 1990)", "manualFormatting" : "(Patton, 1990, p.175)", "plainTextFormattedCitation" : "(Patton, 1990)", "previouslyFormattedCitation" : "(Patton, 1990)" }, "properties" : { "noteIndex" : 0 }, "schema" : "https://github.com/citation-style-language/schema/raw/master/csl-citation.json" }</w:instrText>
      </w:r>
      <w:r w:rsidR="00F07FE8" w:rsidRPr="009B3747">
        <w:rPr>
          <w:rFonts w:eastAsia="Times New Roman" w:cstheme="minorHAnsi"/>
          <w:color w:val="000000"/>
          <w:lang w:eastAsia="en-GB"/>
        </w:rPr>
        <w:fldChar w:fldCharType="separate"/>
      </w:r>
      <w:r w:rsidR="00FB5B00" w:rsidRPr="009B3747">
        <w:rPr>
          <w:rFonts w:eastAsia="Times New Roman" w:cstheme="minorHAnsi"/>
          <w:noProof/>
          <w:color w:val="000000"/>
          <w:lang w:eastAsia="en-GB"/>
        </w:rPr>
        <w:t>(Patton, 1990, p.</w:t>
      </w:r>
      <w:r w:rsidR="00F07FE8" w:rsidRPr="009B3747">
        <w:rPr>
          <w:rFonts w:eastAsia="Times New Roman" w:cstheme="minorHAnsi"/>
          <w:noProof/>
          <w:color w:val="000000"/>
          <w:lang w:eastAsia="en-GB"/>
        </w:rPr>
        <w:t>175)</w:t>
      </w:r>
      <w:r w:rsidR="00F07FE8" w:rsidRPr="009B3747">
        <w:rPr>
          <w:rFonts w:eastAsia="Times New Roman" w:cstheme="minorHAnsi"/>
          <w:color w:val="000000"/>
          <w:lang w:eastAsia="en-GB"/>
        </w:rPr>
        <w:fldChar w:fldCharType="end"/>
      </w:r>
      <w:r w:rsidR="00F07FE8" w:rsidRPr="009B3747">
        <w:rPr>
          <w:rFonts w:eastAsia="Times New Roman" w:cstheme="minorHAnsi"/>
          <w:color w:val="000000"/>
          <w:lang w:eastAsia="en-GB"/>
        </w:rPr>
        <w:t xml:space="preserve"> </w:t>
      </w:r>
      <w:r w:rsidR="00A63F83">
        <w:rPr>
          <w:rFonts w:eastAsia="Times New Roman" w:cstheme="minorHAnsi"/>
          <w:color w:val="000000"/>
          <w:lang w:eastAsia="en-GB"/>
        </w:rPr>
        <w:t xml:space="preserve">in the population under study, </w:t>
      </w:r>
      <w:r w:rsidR="00510940" w:rsidRPr="009B3747">
        <w:rPr>
          <w:rFonts w:eastAsia="Times New Roman" w:cstheme="minorHAnsi"/>
          <w:color w:val="000000"/>
          <w:lang w:eastAsia="en-GB"/>
        </w:rPr>
        <w:t xml:space="preserve">and requires selected cases to be divided into stratas, based on specific characteristics of interest </w:t>
      </w:r>
      <w:r w:rsidR="00F07FE8"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"Teddlie", "given" : "C", "non-dropping-particle" : "", "parse-names" : false, "suffix" : "" }, { "dropping-particle" : "", "family" : "Yu", "given" : "F", "non-dropping-particle" : "", "parse-names" : false, "suffix" : "" } ], "container-title" : "Journal of mixed methods research", "id" : "ITEM-1", "issue" : "1", "issued" : { "date-parts" : [ [ "2007" ] ] }, "page" : "77-100", "title" : "Mixed methods sampling a typology with examples", "type" : "article-journal", "volume" : "1" }, "uris" : [ "http://www.mendeley.com/documents/?uuid=1212856b-d680-46cc-93f2-0f4d53a815f5" ] } ], "mendeley" : { "formattedCitation" : "(Teddlie and Yu, 2007)", "plainTextFormattedCitation" : "(Teddlie and Yu, 2007)", "previouslyFormattedCitation" : "(Teddlie and Yu, 2007)" }, "properties" : { "noteIndex" : 0 }, "schema" : "https://github.com/citation-style-language/schema/raw/master/csl-citation.json" }</w:instrText>
      </w:r>
      <w:r w:rsidR="00F07FE8" w:rsidRPr="009B3747">
        <w:rPr>
          <w:rFonts w:eastAsia="Times New Roman" w:cstheme="minorHAnsi"/>
          <w:color w:val="000000"/>
          <w:lang w:eastAsia="en-GB"/>
        </w:rPr>
        <w:fldChar w:fldCharType="separate"/>
      </w:r>
      <w:r w:rsidR="00F07FE8" w:rsidRPr="009B3747">
        <w:rPr>
          <w:rFonts w:eastAsia="Times New Roman" w:cstheme="minorHAnsi"/>
          <w:noProof/>
          <w:color w:val="000000"/>
          <w:lang w:eastAsia="en-GB"/>
        </w:rPr>
        <w:t>(Teddlie and Yu, 2007)</w:t>
      </w:r>
      <w:r w:rsidR="00F07FE8" w:rsidRPr="009B3747">
        <w:rPr>
          <w:rFonts w:eastAsia="Times New Roman" w:cstheme="minorHAnsi"/>
          <w:color w:val="000000"/>
          <w:lang w:eastAsia="en-GB"/>
        </w:rPr>
        <w:fldChar w:fldCharType="end"/>
      </w:r>
      <w:r w:rsidR="00F07FE8" w:rsidRPr="009B3747">
        <w:rPr>
          <w:rFonts w:eastAsia="Times New Roman" w:cstheme="minorHAnsi"/>
          <w:color w:val="000000"/>
          <w:lang w:eastAsia="en-GB"/>
        </w:rPr>
        <w:t xml:space="preserve">.  By effectively creating </w:t>
      </w:r>
      <w:r w:rsidR="00510940" w:rsidRPr="009B3747">
        <w:rPr>
          <w:rFonts w:eastAsia="Times New Roman" w:cstheme="minorHAnsi"/>
          <w:color w:val="000000"/>
          <w:lang w:eastAsia="en-GB"/>
        </w:rPr>
        <w:t>sample</w:t>
      </w:r>
      <w:r w:rsidR="00F07FE8" w:rsidRPr="009B3747">
        <w:rPr>
          <w:rFonts w:eastAsia="Times New Roman" w:cstheme="minorHAnsi"/>
          <w:color w:val="000000"/>
          <w:lang w:eastAsia="en-GB"/>
        </w:rPr>
        <w:t xml:space="preserve">s within samples </w:t>
      </w:r>
      <w:r w:rsidR="00F07FE8" w:rsidRPr="009B3747">
        <w:rPr>
          <w:rFonts w:eastAsia="Times New Roman" w:cstheme="minorHAnsi"/>
          <w:color w:val="000000"/>
          <w:lang w:eastAsia="en-GB"/>
        </w:rPr>
        <w:fldChar w:fldCharType="begin" w:fldLock="1"/>
      </w:r>
      <w:r w:rsidR="00A84723" w:rsidRPr="009B3747">
        <w:rPr>
          <w:rFonts w:eastAsia="Times New Roman" w:cstheme="minorHAnsi"/>
          <w:color w:val="000000"/>
          <w:lang w:eastAsia="en-GB"/>
        </w:rPr>
        <w:instrText>ADDIN CSL_CITATION { "citationItems" : [ { "id" : "ITEM-1", "itemData" : { "ISBN" : "0761919716", "abstract" : "3 ed. Revised edition of: Qualitative evaluation and research methods. 2nd ed. 1990. This book has been completely revised with hundreds of new examples and stories illuminating all aspects of qualitative inquiry. This third edition has retained and expanded upon the exhibits, which highlight and summarize major issues, guidelines, the summative sections, tables, and figures as well as the sage advice of the Sufi-Zen master, Halcolm. This revision will help readers integrate and make sense of the great volume of qualitative works published in the past decade. New to this edition: integrates and makes sense of the great volume of qualitative works published in the past decade; offers strategies for enhancing quality and credibility of qualitative findings by presenting a new framework for differentiating five contrasting and competing sets of standards for judging the quality and utility of findings; unravels the complexities of mixed methods and triangulation; explains the new issues and approaches to fieldwork as well as providing detailed analytical guidelines, including software and computer-assisted options; explores, compares and contrasts 16 different theoretical and philosophical approaches to qualitative inquiry; examines alternative interviewing strategies and approaches, including focus group interviews, group interviews, and cross-cultural interviews; identifies the latest Internet resources. Preface -- Part 1. Conceptual issues in qualitative inquiry. 1. The nature of qualitative inquiry -- 2. Strategic themes in qualitative inquiry -- 3. Variety in qualitative inquiry : theoretical orientations -- 4. Particularly appropriate qualitative applications -- Part 2. Qualitative designs and data collection. 5. Designing qualitative studies -- 6. Fieldwork strategies and observation methods -- 7. Qualitative interviewing -- Part 3. Analysis, interpretation and reporting. 8. Qualitative analysis and interpretation -- 9. Enhancing the quality and credibility of qualitative analysis -- References -- Author index -- Subject index -- About the author.", "author" : [ { "dropping-particle" : "", "family" : "Patton", "given" : "Michael Quinn.", "non-dropping-particle" : "", "parse-names" : false, "suffix" : "" } ], "edition" : "3rd", "id" : "ITEM-1", "issued" : { "date-parts" : [ [ "2002" ] ] }, "publisher" : "SAGE Publications Ltd", "publisher-place" : "Thousand Oaks", "title" : "Qualitative research and evaluation methods", "type" : "book" }, "uris" : [ "http://www.mendeley.com/documents/?uuid=5ebbdea5-c2c2-3d8d-a15d-4768e55b7330" ] } ], "mendeley" : { "formattedCitation" : "(Patton, 2002a)", "plainTextFormattedCitation" : "(Patton, 2002a)", "previouslyFormattedCitation" : "(Patton, 2002a)" }, "properties" : { "noteIndex" : 0 }, "schema" : "https://github.com/citation-style-language/schema/raw/master/csl-citation.json" }</w:instrText>
      </w:r>
      <w:r w:rsidR="00F07FE8" w:rsidRPr="009B3747">
        <w:rPr>
          <w:rFonts w:eastAsia="Times New Roman" w:cstheme="minorHAnsi"/>
          <w:color w:val="000000"/>
          <w:lang w:eastAsia="en-GB"/>
        </w:rPr>
        <w:fldChar w:fldCharType="separate"/>
      </w:r>
      <w:r w:rsidR="00395650" w:rsidRPr="009B3747">
        <w:rPr>
          <w:rFonts w:eastAsia="Times New Roman" w:cstheme="minorHAnsi"/>
          <w:noProof/>
          <w:color w:val="000000"/>
          <w:lang w:eastAsia="en-GB"/>
        </w:rPr>
        <w:t>(Patton, 2002a)</w:t>
      </w:r>
      <w:r w:rsidR="00F07FE8" w:rsidRPr="009B3747">
        <w:rPr>
          <w:rFonts w:eastAsia="Times New Roman" w:cstheme="minorHAnsi"/>
          <w:color w:val="000000"/>
          <w:lang w:eastAsia="en-GB"/>
        </w:rPr>
        <w:fldChar w:fldCharType="end"/>
      </w:r>
      <w:r w:rsidR="00510940" w:rsidRPr="009B3747">
        <w:rPr>
          <w:rFonts w:eastAsia="Times New Roman" w:cstheme="minorHAnsi"/>
          <w:color w:val="000000"/>
          <w:lang w:eastAsia="en-GB"/>
        </w:rPr>
        <w:t>, features that are similar or different across the stratas can be assessed and compared across the stratified groups</w:t>
      </w:r>
      <w:r w:rsidR="00F07FE8" w:rsidRPr="009B3747">
        <w:rPr>
          <w:rFonts w:eastAsia="Times New Roman" w:cstheme="minorHAnsi"/>
          <w:color w:val="000000"/>
          <w:lang w:eastAsia="en-GB"/>
        </w:rPr>
        <w:t xml:space="preserve"> </w:t>
      </w:r>
      <w:r w:rsidR="00F07FE8" w:rsidRPr="009B3747">
        <w:rPr>
          <w:rFonts w:eastAsia="Times New Roman" w:cstheme="minorHAnsi"/>
          <w:color w:val="000000"/>
          <w:lang w:eastAsia="en-GB"/>
        </w:rPr>
        <w:fldChar w:fldCharType="begin" w:fldLock="1"/>
      </w:r>
      <w:r w:rsidR="00F07FE8" w:rsidRPr="009B3747">
        <w:rPr>
          <w:rFonts w:eastAsia="Times New Roman" w:cstheme="minorHAnsi"/>
          <w:color w:val="000000"/>
          <w:lang w:eastAsia="en-GB"/>
        </w:rPr>
        <w:instrText>ADDIN CSL_CITATION { "citationItems" : [ { "id" : "ITEM-1", "itemData" : { "DOI" : "10.17051/io.2015.07705", "ISBN" : "1412972663", "abstract" : "Surveying the differing viewpoints and disciplinary approaches to using mixed methods, this volume helps readers explore the answers to a wide range of key questions in the field, including \u201cCan using mixed methods offset the disadvantages that certain methods have by themselves?\u201d \u201cWhat criteria can a researcher use to select the best mixed methods design for his or her project?\u201d and \u201cWhat are the points of agreement and controversy regarding design issues in mixed methods research?\u201d This breakthrough Second Edition, containing all new chapters, examines all aspects of mixed methods research across a variety of disciplines.Key Features\u2022 Covers all aspects of inquiry from conceptualizing research to selecting methods, analyzing and interpreting data, and reporting findings\u2022 Draws on the work of a mix of internationally recognized researchers as well as new and emerging researchers to provide a diversity of perspectives\u2022 Gives specific examples from a wide range of disciplines to help readers understand the issues and controversies in this evolving area\u2022 Presents rich material for discussion and new ideas for implementing mixed methods research to provide readers with a cutting-edge resource\u2022 Provides pedagogical tools such as learning objectives, discussion questions and exercises, and extensive cross referencing", "author" : [ { "dropping-particle" : "", "family" : "Tashakkori", "given" : "A", "non-dropping-particle" : "", "parse-names" : false, "suffix" : "" }, { "dropping-particle" : "", "family" : "Teddlie", "given" : "C", "non-dropping-particle" : "", "parse-names" : false, "suffix" : "" } ], "container-title" : "Sage Publication", "id" : "ITEM-1", "issue" : "1", "issued" : { "date-parts" : [ [ "2003" ] ] }, "page" : "893", "title" : "Handbook of Mixed Methods in Social &amp; Behavioral Research", "type" : "article-journal", "volume" : "14" }, "uris" : [ "http://www.mendeley.com/documents/?uuid=8a15ab74-6da5-4667-9b0d-be788bfee1a5" ] } ], "mendeley" : { "formattedCitation" : "(A Tashakkori and Teddlie, 2003)", "plainTextFormattedCitation" : "(A Tashakkori and Teddlie, 2003)", "previouslyFormattedCitation" : "(A Tashakkori and Teddlie, 2003)" }, "properties" : { "noteIndex" : 0 }, "schema" : "https://github.com/citation-style-language/schema/raw/master/csl-citation.json" }</w:instrText>
      </w:r>
      <w:r w:rsidR="00F07FE8" w:rsidRPr="009B3747">
        <w:rPr>
          <w:rFonts w:eastAsia="Times New Roman" w:cstheme="minorHAnsi"/>
          <w:color w:val="000000"/>
          <w:lang w:eastAsia="en-GB"/>
        </w:rPr>
        <w:fldChar w:fldCharType="separate"/>
      </w:r>
      <w:r w:rsidR="00F07FE8" w:rsidRPr="009B3747">
        <w:rPr>
          <w:rFonts w:eastAsia="Times New Roman" w:cstheme="minorHAnsi"/>
          <w:noProof/>
          <w:color w:val="000000"/>
          <w:lang w:eastAsia="en-GB"/>
        </w:rPr>
        <w:t>(A Tashakkori and Teddlie, 2003)</w:t>
      </w:r>
      <w:r w:rsidR="00F07FE8" w:rsidRPr="009B3747">
        <w:rPr>
          <w:rFonts w:eastAsia="Times New Roman" w:cstheme="minorHAnsi"/>
          <w:color w:val="000000"/>
          <w:lang w:eastAsia="en-GB"/>
        </w:rPr>
        <w:fldChar w:fldCharType="end"/>
      </w:r>
      <w:r w:rsidR="00510940" w:rsidRPr="009B3747">
        <w:rPr>
          <w:rFonts w:eastAsia="Times New Roman" w:cstheme="minorHAnsi"/>
          <w:color w:val="000000"/>
          <w:lang w:eastAsia="en-GB"/>
        </w:rPr>
        <w:t>.  </w:t>
      </w:r>
      <w:r w:rsidR="00F07FE8"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"Ritchie", "given" : "J", "non-dropping-particle" : "", "parse-names" : false, "suffix" : "" }, { "dropping-particle" : "", "family" : "Lewis", "given" : "J", "non-dropping-particle" : "", "parse-names" : false, "suffix" : "" }, { "dropping-particle" : "", "family" : "Elam", "given" : "G", "non-dropping-particle" : "", "parse-names" : false, "suffix" : "" } ], "id" : "ITEM-1", "issued" : { "date-parts" : [ [ "2003" ] ] }, "publisher" : "SAGE Publications Ltd", "publisher-place" : "London", "title" : "Qualitative Research Practice: A Guide for Social Science Students and Researchers", "type" : "book" }, "uris" : [ "http://www.mendeley.com/documents/?uuid=f7842906-6a59-474c-9da5-97ef46609046" ] } ], "mendeley" : { "formattedCitation" : "(Ritchie et al., 2003)", "manualFormatting" : "Ritchie and colleagues (Ritchie, et al., 2003)", "plainTextFormattedCitation" : "(Ritchie et al., 2003)", "previouslyFormattedCitation" : "(Ritchie et al., 2003)" }, "properties" : { "noteIndex" : 0 }, "schema" : "https://github.com/citation-style-language/schema/raw/master/csl-citation.json" }</w:instrText>
      </w:r>
      <w:r w:rsidR="00F07FE8" w:rsidRPr="009B3747">
        <w:rPr>
          <w:rFonts w:eastAsia="Times New Roman" w:cstheme="minorHAnsi"/>
          <w:color w:val="000000"/>
          <w:lang w:eastAsia="en-GB"/>
        </w:rPr>
        <w:fldChar w:fldCharType="separate"/>
      </w:r>
      <w:r w:rsidR="00F07FE8" w:rsidRPr="009B3747">
        <w:rPr>
          <w:rFonts w:eastAsia="Times New Roman" w:cstheme="minorHAnsi"/>
          <w:noProof/>
          <w:color w:val="000000"/>
          <w:lang w:eastAsia="en-GB"/>
        </w:rPr>
        <w:t>Ritchie and collea</w:t>
      </w:r>
      <w:r w:rsidR="00FB5B00" w:rsidRPr="009B3747">
        <w:rPr>
          <w:rFonts w:eastAsia="Times New Roman" w:cstheme="minorHAnsi"/>
          <w:noProof/>
          <w:color w:val="000000"/>
          <w:lang w:eastAsia="en-GB"/>
        </w:rPr>
        <w:t>gues (Ritchie, et al., 2003</w:t>
      </w:r>
      <w:r w:rsidR="00F07FE8" w:rsidRPr="009B3747">
        <w:rPr>
          <w:rFonts w:eastAsia="Times New Roman" w:cstheme="minorHAnsi"/>
          <w:noProof/>
          <w:color w:val="000000"/>
          <w:lang w:eastAsia="en-GB"/>
        </w:rPr>
        <w:t>)</w:t>
      </w:r>
      <w:r w:rsidR="00F07FE8" w:rsidRPr="009B3747">
        <w:rPr>
          <w:rFonts w:eastAsia="Times New Roman" w:cstheme="minorHAnsi"/>
          <w:color w:val="000000"/>
          <w:lang w:eastAsia="en-GB"/>
        </w:rPr>
        <w:fldChar w:fldCharType="end"/>
      </w:r>
      <w:r w:rsidR="00F07FE8" w:rsidRPr="009B3747">
        <w:rPr>
          <w:rFonts w:eastAsia="Times New Roman" w:cstheme="minorHAnsi"/>
          <w:color w:val="000000"/>
          <w:lang w:eastAsia="en-GB"/>
        </w:rPr>
        <w:t xml:space="preserve">, argues that this process </w:t>
      </w:r>
      <w:r w:rsidR="00F07FE8" w:rsidRPr="009B3747">
        <w:rPr>
          <w:rFonts w:eastAsia="Times New Roman" w:cstheme="minorHAnsi"/>
          <w:i/>
          <w:color w:val="000000"/>
          <w:lang w:eastAsia="en-GB"/>
        </w:rPr>
        <w:t>“</w:t>
      </w:r>
      <w:r w:rsidR="00510940" w:rsidRPr="009B3747">
        <w:rPr>
          <w:rFonts w:eastAsia="Times New Roman" w:cstheme="minorHAnsi"/>
          <w:i/>
          <w:color w:val="000000"/>
          <w:lang w:eastAsia="en-GB"/>
        </w:rPr>
        <w:t>enables a detailed exploration and understanding of t</w:t>
      </w:r>
      <w:r w:rsidR="00FB5B00" w:rsidRPr="009B3747">
        <w:rPr>
          <w:rFonts w:eastAsia="Times New Roman" w:cstheme="minorHAnsi"/>
          <w:i/>
          <w:color w:val="000000"/>
          <w:lang w:eastAsia="en-GB"/>
        </w:rPr>
        <w:t>he central themes and puzzles”</w:t>
      </w:r>
      <w:r w:rsidR="00FB5B00" w:rsidRPr="009B3747">
        <w:rPr>
          <w:rFonts w:eastAsia="Times New Roman" w:cstheme="minorHAnsi"/>
          <w:color w:val="000000"/>
          <w:lang w:eastAsia="en-GB"/>
        </w:rPr>
        <w:t xml:space="preserve"> (p.78).</w:t>
      </w:r>
      <w:r w:rsidR="00510940" w:rsidRPr="009B3747">
        <w:rPr>
          <w:rFonts w:eastAsia="Times New Roman" w:cstheme="minorHAnsi"/>
          <w:color w:val="000000"/>
          <w:lang w:eastAsia="en-GB"/>
        </w:rPr>
        <w:br/>
      </w:r>
    </w:p>
    <w:p w:rsidR="009D727E" w:rsidRPr="009B3747" w:rsidRDefault="009D727E" w:rsidP="00516326">
      <w:pPr>
        <w:rPr>
          <w:rFonts w:eastAsia="Times New Roman" w:cstheme="minorHAnsi"/>
          <w:color w:val="000000"/>
          <w:lang w:eastAsia="en-GB"/>
        </w:rPr>
      </w:pPr>
    </w:p>
    <w:p w:rsidR="00516326" w:rsidRPr="009B3747" w:rsidRDefault="00782EBA" w:rsidP="00516326">
      <w:pPr>
        <w:rPr>
          <w:rFonts w:eastAsia="Times New Roman" w:cstheme="minorHAnsi"/>
          <w:color w:val="000000"/>
          <w:lang w:eastAsia="en-GB"/>
        </w:rPr>
      </w:pPr>
      <w:r w:rsidRPr="009B3747">
        <w:rPr>
          <w:rFonts w:eastAsia="Times New Roman" w:cstheme="minorHAnsi"/>
          <w:bCs/>
          <w:color w:val="000000"/>
          <w:u w:val="single"/>
          <w:lang w:eastAsia="en-GB"/>
        </w:rPr>
        <w:lastRenderedPageBreak/>
        <w:t>5</w:t>
      </w:r>
      <w:r w:rsidR="00F07FE8" w:rsidRPr="009B3747">
        <w:rPr>
          <w:rFonts w:eastAsia="Times New Roman" w:cstheme="minorHAnsi"/>
          <w:bCs/>
          <w:color w:val="000000"/>
          <w:u w:val="single"/>
          <w:lang w:eastAsia="en-GB"/>
        </w:rPr>
        <w:t>.3</w:t>
      </w:r>
      <w:r w:rsidR="00CF32DA" w:rsidRPr="009B3747">
        <w:rPr>
          <w:rFonts w:eastAsia="Times New Roman" w:cstheme="minorHAnsi"/>
          <w:bCs/>
          <w:color w:val="000000"/>
          <w:u w:val="single"/>
          <w:lang w:eastAsia="en-GB"/>
        </w:rPr>
        <w:t xml:space="preserve">.2 </w:t>
      </w:r>
      <w:r w:rsidR="00510940" w:rsidRPr="009B3747">
        <w:rPr>
          <w:rFonts w:eastAsia="Times New Roman" w:cstheme="minorHAnsi"/>
          <w:bCs/>
          <w:color w:val="000000"/>
          <w:u w:val="single"/>
          <w:lang w:eastAsia="en-GB"/>
        </w:rPr>
        <w:t>Purposive Sample – Stratification</w:t>
      </w:r>
      <w:r w:rsidR="00510940" w:rsidRPr="009B3747">
        <w:rPr>
          <w:rFonts w:eastAsia="Times New Roman" w:cstheme="minorHAnsi"/>
          <w:color w:val="000000"/>
          <w:lang w:eastAsia="en-GB"/>
        </w:rPr>
        <w:br/>
      </w:r>
      <w:r w:rsidR="00510940" w:rsidRPr="009B3747">
        <w:rPr>
          <w:rFonts w:eastAsia="Times New Roman" w:cstheme="minorHAnsi"/>
          <w:color w:val="000000"/>
          <w:lang w:eastAsia="en-GB"/>
        </w:rPr>
        <w:br/>
        <w:t>Two regions of England, Yorkshire and the Humber and the West Midlands were chosen as the geographical focus in order to ensure the qualitative sample phase was drawn from a large diverse pool of secondary schools.  This was also a practical decision, given the researcher’s location, knowledge of each particular geographical area and the limited time and resources available for conducting face to face interviews.</w:t>
      </w:r>
      <w:r w:rsidR="00510940" w:rsidRPr="009B3747">
        <w:rPr>
          <w:rFonts w:eastAsia="Times New Roman" w:cstheme="minorHAnsi"/>
          <w:color w:val="000000"/>
          <w:lang w:eastAsia="en-GB"/>
        </w:rPr>
        <w:br/>
      </w:r>
      <w:r w:rsidR="00510940" w:rsidRPr="009B3747">
        <w:rPr>
          <w:rFonts w:eastAsia="Times New Roman" w:cstheme="minorHAnsi"/>
          <w:color w:val="000000"/>
          <w:lang w:eastAsia="en-GB"/>
        </w:rPr>
        <w:br/>
        <w:t>Stratification of the purposive sample were based on four stratas</w:t>
      </w:r>
      <w:r w:rsidR="007F3CF4">
        <w:rPr>
          <w:rFonts w:eastAsia="Times New Roman" w:cstheme="minorHAnsi"/>
          <w:color w:val="000000"/>
          <w:lang w:eastAsia="en-GB"/>
        </w:rPr>
        <w:t>,</w:t>
      </w:r>
      <w:r w:rsidR="00510940" w:rsidRPr="009B3747">
        <w:rPr>
          <w:rFonts w:eastAsia="Times New Roman" w:cstheme="minorHAnsi"/>
          <w:color w:val="000000"/>
          <w:lang w:eastAsia="en-GB"/>
        </w:rPr>
        <w:t xml:space="preserve"> i.e. school cha</w:t>
      </w:r>
      <w:r w:rsidR="00516326" w:rsidRPr="009B3747">
        <w:rPr>
          <w:rFonts w:eastAsia="Times New Roman" w:cstheme="minorHAnsi"/>
          <w:color w:val="000000"/>
          <w:lang w:eastAsia="en-GB"/>
        </w:rPr>
        <w:t>racteristics of interest:</w:t>
      </w:r>
      <w:r w:rsidR="00516326" w:rsidRPr="009B3747">
        <w:rPr>
          <w:rFonts w:eastAsia="Times New Roman" w:cstheme="minorHAnsi"/>
          <w:color w:val="000000"/>
          <w:lang w:eastAsia="en-GB"/>
        </w:rPr>
        <w:br/>
      </w:r>
      <w:r w:rsidR="00516326" w:rsidRPr="009B3747">
        <w:rPr>
          <w:rFonts w:eastAsia="Times New Roman" w:cstheme="minorHAnsi"/>
          <w:color w:val="000000"/>
          <w:lang w:eastAsia="en-GB"/>
        </w:rPr>
        <w:br/>
        <w:t xml:space="preserve">- </w:t>
      </w:r>
      <w:r w:rsidR="00510940" w:rsidRPr="009B3747">
        <w:rPr>
          <w:rFonts w:eastAsia="Times New Roman" w:cstheme="minorHAnsi"/>
          <w:color w:val="000000"/>
          <w:lang w:eastAsia="en-GB"/>
        </w:rPr>
        <w:t>School type (i.e. community, academy, indep</w:t>
      </w:r>
      <w:r w:rsidR="00516326" w:rsidRPr="009B3747">
        <w:rPr>
          <w:rFonts w:eastAsia="Times New Roman" w:cstheme="minorHAnsi"/>
          <w:color w:val="000000"/>
          <w:lang w:eastAsia="en-GB"/>
        </w:rPr>
        <w:t>endent)</w:t>
      </w:r>
      <w:r w:rsidR="00516326" w:rsidRPr="009B3747">
        <w:rPr>
          <w:rFonts w:eastAsia="Times New Roman" w:cstheme="minorHAnsi"/>
          <w:color w:val="000000"/>
          <w:lang w:eastAsia="en-GB"/>
        </w:rPr>
        <w:br/>
        <w:t xml:space="preserve">- </w:t>
      </w:r>
      <w:r w:rsidR="00510940" w:rsidRPr="009B3747">
        <w:rPr>
          <w:rFonts w:eastAsia="Times New Roman" w:cstheme="minorHAnsi"/>
          <w:color w:val="000000"/>
          <w:lang w:eastAsia="en-GB"/>
        </w:rPr>
        <w:t>Pupil population</w:t>
      </w:r>
      <w:r w:rsidR="00510940" w:rsidRPr="009B3747">
        <w:rPr>
          <w:rFonts w:eastAsia="Times New Roman" w:cstheme="minorHAnsi"/>
          <w:color w:val="000000"/>
          <w:lang w:eastAsia="en-GB"/>
        </w:rPr>
        <w:br/>
      </w:r>
      <w:r w:rsidR="00516326" w:rsidRPr="009B3747">
        <w:rPr>
          <w:rFonts w:eastAsia="Times New Roman" w:cstheme="minorHAnsi"/>
          <w:color w:val="000000"/>
          <w:lang w:eastAsia="en-GB"/>
        </w:rPr>
        <w:t>- F</w:t>
      </w:r>
      <w:r w:rsidR="00510940" w:rsidRPr="009B3747">
        <w:rPr>
          <w:rFonts w:eastAsia="Times New Roman" w:cstheme="minorHAnsi"/>
          <w:color w:val="000000"/>
          <w:lang w:eastAsia="en-GB"/>
        </w:rPr>
        <w:t>ree school meal percentage</w:t>
      </w:r>
      <w:r w:rsidR="00516326" w:rsidRPr="009B3747">
        <w:rPr>
          <w:rFonts w:eastAsia="Times New Roman" w:cstheme="minorHAnsi"/>
          <w:color w:val="000000"/>
          <w:lang w:eastAsia="en-GB"/>
        </w:rPr>
        <w:t xml:space="preserve"> - </w:t>
      </w:r>
      <w:r w:rsidR="006B2E43" w:rsidRPr="009B3747">
        <w:rPr>
          <w:rFonts w:eastAsia="Times New Roman" w:cstheme="minorHAnsi"/>
          <w:color w:val="000000"/>
          <w:lang w:eastAsia="en-GB"/>
        </w:rPr>
        <w:t xml:space="preserve">used as </w:t>
      </w:r>
      <w:r w:rsidR="00516326" w:rsidRPr="009B3747">
        <w:rPr>
          <w:rFonts w:eastAsia="Times New Roman" w:cstheme="minorHAnsi"/>
          <w:color w:val="000000"/>
          <w:lang w:eastAsia="en-GB"/>
        </w:rPr>
        <w:t xml:space="preserve">a proxy for pupil disadvantage </w:t>
      </w:r>
      <w:r w:rsidR="00516326" w:rsidRPr="009B3747">
        <w:rPr>
          <w:rFonts w:eastAsia="Times New Roman" w:cstheme="minorHAnsi"/>
          <w:color w:val="000000"/>
          <w:lang w:eastAsia="en-GB"/>
        </w:rPr>
        <w:fldChar w:fldCharType="begin" w:fldLock="1"/>
      </w:r>
      <w:r w:rsidR="00516326" w:rsidRPr="009B3747">
        <w:rPr>
          <w:rFonts w:eastAsia="Times New Roman" w:cstheme="minorHAnsi"/>
          <w:color w:val="000000"/>
          <w:lang w:eastAsia="en-GB"/>
        </w:rPr>
        <w:instrText>ADDIN CSL_CITATION { "citationItems" : [ { "id" : "ITEM-1", "itemData" : { "URL" : "https://www.gov.uk/government/publications/pupil-premium-conditions-of-grant-2016-to-2017/pupil-premium-2016-to-2017-conditions-of-grant", "author" : [ { "dropping-particle" : "", "family" : "Department for Education", "given" : "", "non-dropping-particle" : "", "parse-names" : false, "suffix" : "" } ], "id" : "ITEM-1", "issued" : { "date-parts" : [ [ "2017" ] ] }, "title" : "Pupil premium 2016 to 2017: conditions of grant", "type" : "webpage" }, "uris" : [ "http://www.mendeley.com/documents/?uuid=e628cc76-7a20-4fad-bcd7-dd84b8165d81" ] } ], "mendeley" : { "formattedCitation" : "(Department for Education, 2017)", "plainTextFormattedCitation" : "(Department for Education, 2017)", "previouslyFormattedCitation" : "(Department for Education, 2017)" }, "properties" : { "noteIndex" : 0 }, "schema" : "https://github.com/citation-style-language/schema/raw/master/csl-citation.json" }</w:instrText>
      </w:r>
      <w:r w:rsidR="00516326" w:rsidRPr="009B3747">
        <w:rPr>
          <w:rFonts w:eastAsia="Times New Roman" w:cstheme="minorHAnsi"/>
          <w:color w:val="000000"/>
          <w:lang w:eastAsia="en-GB"/>
        </w:rPr>
        <w:fldChar w:fldCharType="separate"/>
      </w:r>
      <w:r w:rsidR="00516326" w:rsidRPr="009B3747">
        <w:rPr>
          <w:rFonts w:eastAsia="Times New Roman" w:cstheme="minorHAnsi"/>
          <w:noProof/>
          <w:color w:val="000000"/>
          <w:lang w:eastAsia="en-GB"/>
        </w:rPr>
        <w:t>(Department for Education, 2017)</w:t>
      </w:r>
      <w:r w:rsidR="00516326" w:rsidRPr="009B3747">
        <w:rPr>
          <w:rFonts w:eastAsia="Times New Roman" w:cstheme="minorHAnsi"/>
          <w:color w:val="000000"/>
          <w:lang w:eastAsia="en-GB"/>
        </w:rPr>
        <w:fldChar w:fldCharType="end"/>
      </w:r>
      <w:r w:rsidR="006B2E43" w:rsidRPr="009B3747">
        <w:rPr>
          <w:rFonts w:eastAsia="Times New Roman" w:cstheme="minorHAnsi"/>
          <w:color w:val="000000"/>
          <w:lang w:eastAsia="en-GB"/>
        </w:rPr>
        <w:t xml:space="preserve"> </w:t>
      </w:r>
      <w:r w:rsidR="00510940" w:rsidRPr="009B3747">
        <w:rPr>
          <w:rFonts w:eastAsia="Times New Roman" w:cstheme="minorHAnsi"/>
          <w:color w:val="000000"/>
          <w:lang w:eastAsia="en-GB"/>
        </w:rPr>
        <w:br/>
      </w:r>
      <w:r w:rsidR="00516326" w:rsidRPr="009B3747">
        <w:rPr>
          <w:rFonts w:eastAsia="Times New Roman" w:cstheme="minorHAnsi"/>
          <w:color w:val="000000"/>
          <w:lang w:eastAsia="en-GB"/>
        </w:rPr>
        <w:t>- O</w:t>
      </w:r>
      <w:r w:rsidR="00510940" w:rsidRPr="009B3747">
        <w:rPr>
          <w:rFonts w:eastAsia="Times New Roman" w:cstheme="minorHAnsi"/>
          <w:color w:val="000000"/>
          <w:lang w:eastAsia="en-GB"/>
        </w:rPr>
        <w:t>fsted inspection rating</w:t>
      </w:r>
      <w:r w:rsidR="00516326" w:rsidRPr="009B3747">
        <w:rPr>
          <w:rFonts w:eastAsia="Times New Roman" w:cstheme="minorHAnsi"/>
          <w:color w:val="000000"/>
          <w:lang w:eastAsia="en-GB"/>
        </w:rPr>
        <w:t xml:space="preserve"> </w:t>
      </w:r>
      <w:r w:rsidR="00516326"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"Ofsted", "given" : "", "non-dropping-particle" : "", "parse-names" : false, "suffix" : "" } ], "id" : "ITEM-1", "issued" : { "date-parts" : [ [ "2016" ] ] }, "publisher-place" : "London", "title" : "Ofsted Handbook", "type" : "report" }, "uris" : [ "http://www.mendeley.com/documents/?uuid=b5304491-4b40-4c30-b4f3-8a7173d784f9" ] } ], "mendeley" : { "formattedCitation" : "(Ofsted, 2016)", "plainTextFormattedCitation" : "(Ofsted, 2016)", "previouslyFormattedCitation" : "(Ofsted, 2016)" }, "properties" : { "noteIndex" : 0 }, "schema" : "https://github.com/citation-style-language/schema/raw/master/csl-citation.json" }</w:instrText>
      </w:r>
      <w:r w:rsidR="00516326" w:rsidRPr="009B3747">
        <w:rPr>
          <w:rFonts w:eastAsia="Times New Roman" w:cstheme="minorHAnsi"/>
          <w:color w:val="000000"/>
          <w:lang w:eastAsia="en-GB"/>
        </w:rPr>
        <w:fldChar w:fldCharType="separate"/>
      </w:r>
      <w:r w:rsidR="00516326" w:rsidRPr="009B3747">
        <w:rPr>
          <w:rFonts w:eastAsia="Times New Roman" w:cstheme="minorHAnsi"/>
          <w:noProof/>
          <w:color w:val="000000"/>
          <w:lang w:eastAsia="en-GB"/>
        </w:rPr>
        <w:t>(Ofsted, 2016)</w:t>
      </w:r>
      <w:r w:rsidR="00516326" w:rsidRPr="009B3747">
        <w:rPr>
          <w:rFonts w:eastAsia="Times New Roman" w:cstheme="minorHAnsi"/>
          <w:color w:val="000000"/>
          <w:lang w:eastAsia="en-GB"/>
        </w:rPr>
        <w:fldChar w:fldCharType="end"/>
      </w:r>
    </w:p>
    <w:p w:rsidR="006B2E43" w:rsidRPr="009B3747" w:rsidRDefault="00510940" w:rsidP="00516326">
      <w:pPr>
        <w:pStyle w:val="ListParagraph"/>
        <w:ind w:left="0"/>
        <w:rPr>
          <w:rFonts w:eastAsia="Times New Roman" w:cstheme="minorHAnsi"/>
          <w:sz w:val="24"/>
          <w:szCs w:val="24"/>
          <w:lang w:eastAsia="en-GB"/>
        </w:rPr>
      </w:pPr>
      <w:r w:rsidRPr="009B3747">
        <w:rPr>
          <w:rFonts w:eastAsia="Times New Roman" w:cstheme="minorHAnsi"/>
          <w:color w:val="000000"/>
          <w:lang w:eastAsia="en-GB"/>
        </w:rPr>
        <w:br/>
        <w:t>The selection of stratas was derived both from the literature review (i.e. evidenced link between adolescent obesity and deprivation) and primarily from what wasn’t</w:t>
      </w:r>
      <w:r w:rsidR="00281979">
        <w:rPr>
          <w:rFonts w:eastAsia="Times New Roman" w:cstheme="minorHAnsi"/>
          <w:color w:val="000000"/>
          <w:lang w:eastAsia="en-GB"/>
        </w:rPr>
        <w:t xml:space="preserve"> known in the extant literature, </w:t>
      </w:r>
      <w:r w:rsidRPr="009B3747">
        <w:rPr>
          <w:rFonts w:eastAsia="Times New Roman" w:cstheme="minorHAnsi"/>
          <w:color w:val="000000"/>
          <w:lang w:eastAsia="en-GB"/>
        </w:rPr>
        <w:t xml:space="preserve">but was of interest to the researcher (i.e. adolescent obesity and school </w:t>
      </w:r>
      <w:r w:rsidR="006B2E43" w:rsidRPr="009B3747">
        <w:rPr>
          <w:rFonts w:eastAsia="Times New Roman" w:cstheme="minorHAnsi"/>
          <w:color w:val="000000"/>
          <w:lang w:eastAsia="en-GB"/>
        </w:rPr>
        <w:t>type)</w:t>
      </w:r>
      <w:r w:rsidRPr="009B3747">
        <w:rPr>
          <w:rFonts w:eastAsia="Times New Roman" w:cstheme="minorHAnsi"/>
          <w:color w:val="000000"/>
          <w:lang w:eastAsia="en-GB"/>
        </w:rPr>
        <w:t>.  In addition, a lack of publically accessible information regarding headteachers</w:t>
      </w:r>
      <w:r w:rsidR="00516326" w:rsidRPr="009B3747">
        <w:rPr>
          <w:rFonts w:eastAsia="Times New Roman" w:cstheme="minorHAnsi"/>
          <w:color w:val="000000"/>
          <w:lang w:eastAsia="en-GB"/>
        </w:rPr>
        <w:t>’</w:t>
      </w:r>
      <w:r w:rsidRPr="009B3747">
        <w:rPr>
          <w:rFonts w:eastAsia="Times New Roman" w:cstheme="minorHAnsi"/>
          <w:color w:val="000000"/>
          <w:lang w:eastAsia="en-GB"/>
        </w:rPr>
        <w:t xml:space="preserve"> and chairs of </w:t>
      </w:r>
      <w:r w:rsidR="00516326" w:rsidRPr="009B3747">
        <w:rPr>
          <w:rFonts w:eastAsia="Times New Roman" w:cstheme="minorHAnsi"/>
          <w:color w:val="000000"/>
          <w:lang w:eastAsia="en-GB"/>
        </w:rPr>
        <w:t>governors’</w:t>
      </w:r>
      <w:r w:rsidRPr="009B3747">
        <w:rPr>
          <w:rFonts w:eastAsia="Times New Roman" w:cstheme="minorHAnsi"/>
          <w:color w:val="000000"/>
          <w:lang w:eastAsia="en-GB"/>
        </w:rPr>
        <w:t xml:space="preserve"> demographics, meant stratification based on school characteristics instead of participant demogra</w:t>
      </w:r>
      <w:r w:rsidR="00F82667" w:rsidRPr="009B3747">
        <w:rPr>
          <w:rFonts w:eastAsia="Times New Roman" w:cstheme="minorHAnsi"/>
          <w:color w:val="000000"/>
          <w:lang w:eastAsia="en-GB"/>
        </w:rPr>
        <w:t>phics was necessary.  </w:t>
      </w:r>
    </w:p>
    <w:p w:rsidR="006B2E43" w:rsidRPr="009B3747" w:rsidRDefault="006B2E43" w:rsidP="006B2E43">
      <w:pPr>
        <w:rPr>
          <w:rFonts w:eastAsia="Times New Roman" w:cstheme="minorHAnsi"/>
          <w:sz w:val="24"/>
          <w:szCs w:val="24"/>
          <w:lang w:eastAsia="en-GB"/>
        </w:rPr>
      </w:pPr>
    </w:p>
    <w:p w:rsidR="00510940" w:rsidRPr="00857DAD" w:rsidRDefault="00782EBA" w:rsidP="00510940">
      <w:pPr>
        <w:rPr>
          <w:rFonts w:eastAsia="Times New Roman" w:cstheme="minorHAnsi"/>
          <w:color w:val="000000"/>
          <w:lang w:eastAsia="en-GB"/>
        </w:rPr>
      </w:pPr>
      <w:r w:rsidRPr="009B3747">
        <w:rPr>
          <w:rFonts w:eastAsia="Times New Roman" w:cstheme="minorHAnsi"/>
          <w:bCs/>
          <w:color w:val="000000"/>
          <w:u w:val="single"/>
          <w:lang w:eastAsia="en-GB"/>
        </w:rPr>
        <w:t>5</w:t>
      </w:r>
      <w:r w:rsidR="00CF32DA" w:rsidRPr="009B3747">
        <w:rPr>
          <w:rFonts w:eastAsia="Times New Roman" w:cstheme="minorHAnsi"/>
          <w:bCs/>
          <w:color w:val="000000"/>
          <w:u w:val="single"/>
          <w:lang w:eastAsia="en-GB"/>
        </w:rPr>
        <w:t>.</w:t>
      </w:r>
      <w:r w:rsidR="00516326" w:rsidRPr="009B3747">
        <w:rPr>
          <w:rFonts w:eastAsia="Times New Roman" w:cstheme="minorHAnsi"/>
          <w:bCs/>
          <w:color w:val="000000"/>
          <w:u w:val="single"/>
          <w:lang w:eastAsia="en-GB"/>
        </w:rPr>
        <w:t>3.3</w:t>
      </w:r>
      <w:r w:rsidR="00CF32DA" w:rsidRPr="009B3747">
        <w:rPr>
          <w:rFonts w:eastAsia="Times New Roman" w:cstheme="minorHAnsi"/>
          <w:bCs/>
          <w:color w:val="000000"/>
          <w:u w:val="single"/>
          <w:lang w:eastAsia="en-GB"/>
        </w:rPr>
        <w:t xml:space="preserve"> </w:t>
      </w:r>
      <w:r w:rsidR="00510940" w:rsidRPr="009B3747">
        <w:rPr>
          <w:rFonts w:eastAsia="Times New Roman" w:cstheme="minorHAnsi"/>
          <w:bCs/>
          <w:color w:val="000000"/>
          <w:u w:val="single"/>
          <w:lang w:eastAsia="en-GB"/>
        </w:rPr>
        <w:t>Approach, recruitment and engagement of the sample</w:t>
      </w:r>
      <w:r w:rsidR="00510940" w:rsidRPr="009B3747">
        <w:rPr>
          <w:rFonts w:eastAsia="Times New Roman" w:cstheme="minorHAnsi"/>
          <w:color w:val="000000"/>
          <w:lang w:eastAsia="en-GB"/>
        </w:rPr>
        <w:br/>
      </w:r>
      <w:r w:rsidR="00510940" w:rsidRPr="009B3747">
        <w:rPr>
          <w:rFonts w:eastAsia="Times New Roman" w:cstheme="minorHAnsi"/>
          <w:color w:val="000000"/>
          <w:lang w:eastAsia="en-GB"/>
        </w:rPr>
        <w:br/>
        <w:t>It was envisaged that recruiting participants to the study would be a challenge.  This view was based on the researcher’s previous experience of completing a M</w:t>
      </w:r>
      <w:r w:rsidR="005A045A" w:rsidRPr="009B3747">
        <w:rPr>
          <w:rFonts w:eastAsia="Times New Roman" w:cstheme="minorHAnsi"/>
          <w:color w:val="000000"/>
          <w:lang w:eastAsia="en-GB"/>
        </w:rPr>
        <w:t>PH d</w:t>
      </w:r>
      <w:r w:rsidR="00516326" w:rsidRPr="009B3747">
        <w:rPr>
          <w:rFonts w:eastAsia="Times New Roman" w:cstheme="minorHAnsi"/>
          <w:color w:val="000000"/>
          <w:lang w:eastAsia="en-GB"/>
        </w:rPr>
        <w:t>issertation</w:t>
      </w:r>
      <w:r w:rsidR="00510940" w:rsidRPr="009B3747">
        <w:rPr>
          <w:rFonts w:eastAsia="Times New Roman" w:cstheme="minorHAnsi"/>
          <w:color w:val="000000"/>
          <w:lang w:eastAsia="en-GB"/>
        </w:rPr>
        <w:t xml:space="preserve"> project with prima</w:t>
      </w:r>
      <w:r w:rsidR="00A63F83">
        <w:rPr>
          <w:rFonts w:eastAsia="Times New Roman" w:cstheme="minorHAnsi"/>
          <w:color w:val="000000"/>
          <w:lang w:eastAsia="en-GB"/>
        </w:rPr>
        <w:t>ry school headteachers.  In that</w:t>
      </w:r>
      <w:r w:rsidR="00510940" w:rsidRPr="009B3747">
        <w:rPr>
          <w:rFonts w:eastAsia="Times New Roman" w:cstheme="minorHAnsi"/>
          <w:color w:val="000000"/>
          <w:lang w:eastAsia="en-GB"/>
        </w:rPr>
        <w:t xml:space="preserve"> project a significant number of pote</w:t>
      </w:r>
      <w:r w:rsidR="00281979">
        <w:rPr>
          <w:rFonts w:eastAsia="Times New Roman" w:cstheme="minorHAnsi"/>
          <w:color w:val="000000"/>
          <w:lang w:eastAsia="en-GB"/>
        </w:rPr>
        <w:t xml:space="preserve">ntial participants were invited, </w:t>
      </w:r>
      <w:r w:rsidR="00510940" w:rsidRPr="009B3747">
        <w:rPr>
          <w:rFonts w:eastAsia="Times New Roman" w:cstheme="minorHAnsi"/>
          <w:color w:val="000000"/>
          <w:lang w:eastAsia="en-GB"/>
        </w:rPr>
        <w:t>but either didn’t respond or declined the invitation, with the latter due to headteachers primarily reporting busy complex schedules and a lack of time.  Consequently it was expected that a significant number of secondary schools would need to be approached across both regions</w:t>
      </w:r>
      <w:r w:rsidR="00A63F83">
        <w:rPr>
          <w:rFonts w:eastAsia="Times New Roman" w:cstheme="minorHAnsi"/>
          <w:color w:val="000000"/>
          <w:lang w:eastAsia="en-GB"/>
        </w:rPr>
        <w:t>,</w:t>
      </w:r>
      <w:r w:rsidR="00510940" w:rsidRPr="009B3747">
        <w:rPr>
          <w:rFonts w:eastAsia="Times New Roman" w:cstheme="minorHAnsi"/>
          <w:color w:val="000000"/>
          <w:lang w:eastAsia="en-GB"/>
        </w:rPr>
        <w:t xml:space="preserve"> in order to achieve an appropriate/suitable sample size.</w:t>
      </w:r>
      <w:r w:rsidR="00510940" w:rsidRPr="009B3747">
        <w:rPr>
          <w:rFonts w:eastAsia="Times New Roman" w:cstheme="minorHAnsi"/>
          <w:color w:val="000000"/>
          <w:lang w:eastAsia="en-GB"/>
        </w:rPr>
        <w:br/>
      </w:r>
      <w:r w:rsidR="00510940" w:rsidRPr="009B3747">
        <w:rPr>
          <w:rFonts w:eastAsia="Times New Roman" w:cstheme="minorHAnsi"/>
          <w:color w:val="000000"/>
          <w:lang w:eastAsia="en-GB"/>
        </w:rPr>
        <w:br/>
      </w:r>
      <w:r w:rsidR="00510940" w:rsidRPr="009B3747">
        <w:rPr>
          <w:rFonts w:eastAsia="Times New Roman" w:cstheme="minorHAnsi"/>
          <w:color w:val="000000"/>
          <w:lang w:eastAsia="en-GB"/>
        </w:rPr>
        <w:lastRenderedPageBreak/>
        <w:t>The process of identifying the sampling frame of potential schools, started with obtaining a comprehensive list of all schools in each local authority within the two regions of Yorkshire and the Humber and the West Midlands.  The Edubase2 register</w:t>
      </w:r>
      <w:r w:rsidR="00516326" w:rsidRPr="009B3747">
        <w:rPr>
          <w:rFonts w:eastAsia="Times New Roman" w:cstheme="minorHAnsi"/>
          <w:color w:val="000000"/>
          <w:lang w:eastAsia="en-GB"/>
        </w:rPr>
        <w:t xml:space="preserve"> </w:t>
      </w:r>
      <w:r w:rsidR="00516326" w:rsidRPr="009B3747">
        <w:rPr>
          <w:rFonts w:eastAsia="Times New Roman" w:cstheme="minorHAnsi"/>
          <w:color w:val="000000"/>
          <w:lang w:eastAsia="en-GB"/>
        </w:rPr>
        <w:fldChar w:fldCharType="begin" w:fldLock="1"/>
      </w:r>
      <w:r w:rsidR="00516326" w:rsidRPr="009B3747">
        <w:rPr>
          <w:rFonts w:eastAsia="Times New Roman" w:cstheme="minorHAnsi"/>
          <w:color w:val="000000"/>
          <w:lang w:eastAsia="en-GB"/>
        </w:rPr>
        <w:instrText>ADDIN CSL_CITATION { "citationItems" : [ { "id" : "ITEM-1", "itemData" : { "URL" : "http://www.education.gov.uk/edubase/home.xhtml", "accessed" : { "date-parts" : [ [ "2015", "10", "18" ] ] }, "author" : [ { "dropping-particle" : "", "family" : "Department for Education", "given" : "", "non-dropping-particle" : "", "parse-names" : false, "suffix" : "" } ], "id" : "ITEM-1", "issued" : { "date-parts" : [ [ "2015" ] ] }, "title" : "Edubase2", "type" : "webpage" }, "uris" : [ "http://www.mendeley.com/documents/?uuid=aeee0f82-9752-41eb-89e7-20f0dd1010cd" ] } ], "mendeley" : { "formattedCitation" : "(Department for Education, 2015a)", "plainTextFormattedCitation" : "(Department for Education, 2015a)", "previouslyFormattedCitation" : "(Department for Education, 2015a)" }, "properties" : { "noteIndex" : 0 }, "schema" : "https://github.com/citation-style-language/schema/raw/master/csl-citation.json" }</w:instrText>
      </w:r>
      <w:r w:rsidR="00516326" w:rsidRPr="009B3747">
        <w:rPr>
          <w:rFonts w:eastAsia="Times New Roman" w:cstheme="minorHAnsi"/>
          <w:color w:val="000000"/>
          <w:lang w:eastAsia="en-GB"/>
        </w:rPr>
        <w:fldChar w:fldCharType="separate"/>
      </w:r>
      <w:r w:rsidR="00516326" w:rsidRPr="009B3747">
        <w:rPr>
          <w:rFonts w:eastAsia="Times New Roman" w:cstheme="minorHAnsi"/>
          <w:noProof/>
          <w:color w:val="000000"/>
          <w:lang w:eastAsia="en-GB"/>
        </w:rPr>
        <w:t>(Department for Education, 2015a)</w:t>
      </w:r>
      <w:r w:rsidR="00516326" w:rsidRPr="009B3747">
        <w:rPr>
          <w:rFonts w:eastAsia="Times New Roman" w:cstheme="minorHAnsi"/>
          <w:color w:val="000000"/>
          <w:lang w:eastAsia="en-GB"/>
        </w:rPr>
        <w:fldChar w:fldCharType="end"/>
      </w:r>
      <w:r w:rsidR="00510940" w:rsidRPr="009B3747">
        <w:rPr>
          <w:rFonts w:eastAsia="Times New Roman" w:cstheme="minorHAnsi"/>
          <w:color w:val="000000"/>
          <w:lang w:eastAsia="en-GB"/>
        </w:rPr>
        <w:t xml:space="preserve"> was utilised to access this information and ensure the resultant list was accurate.  Edubase2 is an online register</w:t>
      </w:r>
      <w:r w:rsidR="009025E2">
        <w:rPr>
          <w:rFonts w:eastAsia="Times New Roman" w:cstheme="minorHAnsi"/>
          <w:color w:val="000000"/>
          <w:lang w:eastAsia="en-GB"/>
        </w:rPr>
        <w:t>,</w:t>
      </w:r>
      <w:r w:rsidR="00510940" w:rsidRPr="009B3747">
        <w:rPr>
          <w:rFonts w:eastAsia="Times New Roman" w:cstheme="minorHAnsi"/>
          <w:color w:val="000000"/>
          <w:lang w:eastAsia="en-GB"/>
        </w:rPr>
        <w:t xml:space="preserve"> which authoritatively lists all education establishments in England and Wales and is maintained by the Department for Education.  In addition to assisting in the formation of a school list for each region, the Edubase2 register also provided the researcher with school contact particulars including a link to each school website.</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t>A simple spreadsheet database was used by the researcher to record the details of schools approached, including the local authority and region they were situated in and school specific information regarding the categories for stratification samp</w:t>
      </w:r>
      <w:r w:rsidR="007F3CF4">
        <w:rPr>
          <w:rFonts w:eastAsia="Times New Roman" w:cstheme="minorHAnsi"/>
          <w:color w:val="000000"/>
          <w:lang w:eastAsia="en-GB"/>
        </w:rPr>
        <w:t>ling (stratas)</w:t>
      </w:r>
      <w:r w:rsidR="00AB54FA" w:rsidRPr="009B3747">
        <w:rPr>
          <w:rFonts w:eastAsia="Times New Roman" w:cstheme="minorHAnsi"/>
          <w:color w:val="000000"/>
          <w:lang w:eastAsia="en-GB"/>
        </w:rPr>
        <w:t xml:space="preserve"> i.e. school t</w:t>
      </w:r>
      <w:r w:rsidRPr="009B3747">
        <w:rPr>
          <w:rFonts w:eastAsia="Times New Roman" w:cstheme="minorHAnsi"/>
          <w:color w:val="000000"/>
          <w:lang w:eastAsia="en-GB"/>
        </w:rPr>
        <w:t xml:space="preserve">ype, pupil population, free school meal percentage and Ofsted rating.  The Secondary School Performance Tables </w:t>
      </w:r>
      <w:r w:rsidR="00516326" w:rsidRPr="009B3747">
        <w:rPr>
          <w:rFonts w:eastAsia="Times New Roman" w:cstheme="minorHAnsi"/>
          <w:color w:val="000000"/>
          <w:lang w:eastAsia="en-GB"/>
        </w:rPr>
        <w:fldChar w:fldCharType="begin" w:fldLock="1"/>
      </w:r>
      <w:r w:rsidR="00516326" w:rsidRPr="009B3747">
        <w:rPr>
          <w:rFonts w:eastAsia="Times New Roman" w:cstheme="minorHAnsi"/>
          <w:color w:val="000000"/>
          <w:lang w:eastAsia="en-GB"/>
        </w:rPr>
        <w:instrText>ADDIN CSL_CITATION { "citationItems" : [ { "id" : "ITEM-1", "itemData" : { "URL" : "http://www.education.gov.uk/schools/performance/", "author" : [ { "dropping-particle" : "", "family" : "Department for Education", "given" : "", "non-dropping-particle" : "", "parse-names" : false, "suffix" : "" } ], "id" : "ITEM-1", "issued" : { "date-parts" : [ [ "2015" ] ] }, "title" : "School and college performance tables", "type" : "webpage" }, "uris" : [ "http://www.mendeley.com/documents/?uuid=a69b46e2-594e-4de0-8519-aa156f5f621e" ] } ], "mendeley" : { "formattedCitation" : "(Department for Education, 2015c)", "plainTextFormattedCitation" : "(Department for Education, 2015c)", "previouslyFormattedCitation" : "(Department for Education, 2015c)" }, "properties" : { "noteIndex" : 0 }, "schema" : "https://github.com/citation-style-language/schema/raw/master/csl-citation.json" }</w:instrText>
      </w:r>
      <w:r w:rsidR="00516326" w:rsidRPr="009B3747">
        <w:rPr>
          <w:rFonts w:eastAsia="Times New Roman" w:cstheme="minorHAnsi"/>
          <w:color w:val="000000"/>
          <w:lang w:eastAsia="en-GB"/>
        </w:rPr>
        <w:fldChar w:fldCharType="separate"/>
      </w:r>
      <w:r w:rsidR="00516326" w:rsidRPr="009B3747">
        <w:rPr>
          <w:rFonts w:eastAsia="Times New Roman" w:cstheme="minorHAnsi"/>
          <w:noProof/>
          <w:color w:val="000000"/>
          <w:lang w:eastAsia="en-GB"/>
        </w:rPr>
        <w:t>(Department for Education, 2015c)</w:t>
      </w:r>
      <w:r w:rsidR="00516326" w:rsidRPr="009B3747">
        <w:rPr>
          <w:rFonts w:eastAsia="Times New Roman" w:cstheme="minorHAnsi"/>
          <w:color w:val="000000"/>
          <w:lang w:eastAsia="en-GB"/>
        </w:rPr>
        <w:fldChar w:fldCharType="end"/>
      </w:r>
      <w:r w:rsidRPr="009B3747">
        <w:rPr>
          <w:rFonts w:eastAsia="Times New Roman" w:cstheme="minorHAnsi"/>
          <w:color w:val="000000"/>
          <w:lang w:eastAsia="en-GB"/>
        </w:rPr>
        <w:t>, were used to access publicly available information about the stratas of interest.</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t>Once the final sampling frame had been established, schools in local authorities most conveniently located to the researcher’s location were contacted first.  Depending on whether a response was received and if so whether there was an agreement to take part, schools at greater geographical distance from the researcher were then approached.  Throughout this process, once a headteacher or chair of governor agreed to participate, the researcher reflected on the stratas of interest each willing participant represented in order to guide and target future recruitment.  This was done to assist in ensuring that the final sample would reflect the variations that exist across each strata</w:t>
      </w:r>
      <w:r w:rsidR="007F3CF4">
        <w:rPr>
          <w:rFonts w:eastAsia="Times New Roman" w:cstheme="minorHAnsi"/>
          <w:color w:val="000000"/>
          <w:lang w:eastAsia="en-GB"/>
        </w:rPr>
        <w:t>,</w:t>
      </w:r>
      <w:r w:rsidRPr="009B3747">
        <w:rPr>
          <w:rFonts w:eastAsia="Times New Roman" w:cstheme="minorHAnsi"/>
          <w:color w:val="000000"/>
          <w:lang w:eastAsia="en-GB"/>
        </w:rPr>
        <w:t xml:space="preserve"> i.e. different school types and differences in pupil populations, free school meal percentages and Ofsted ratings. </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t>Approach for the purpose of recruiting headteachers and chairs of governors to become research participants was all done via email.  Schools were individually emailed, primarily through a generic administration email address listed on their school website.  Each individual email included a summary of the intended research, a participant information sheet and a consent form.  In addition, the researcher asked for the email to be forwarded to the school’s corresponding headteacher and/or chair of governors.   </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lastRenderedPageBreak/>
        <w:t>Where publically available,</w:t>
      </w:r>
      <w:r w:rsidR="00DB655F" w:rsidRPr="009B3747">
        <w:rPr>
          <w:rFonts w:eastAsia="Times New Roman" w:cstheme="minorHAnsi"/>
          <w:color w:val="000000"/>
          <w:lang w:eastAsia="en-GB"/>
        </w:rPr>
        <w:t xml:space="preserve"> headteachers’ or chairs of governors’ direct email addresses were used, </w:t>
      </w:r>
      <w:r w:rsidRPr="009B3747">
        <w:rPr>
          <w:rFonts w:eastAsia="Times New Roman" w:cstheme="minorHAnsi"/>
          <w:color w:val="000000"/>
          <w:lang w:eastAsia="en-GB"/>
        </w:rPr>
        <w:t>which assisted in making the email invitation to participate personalised.  If no response either agreeing or declining to participate was received, no further contact was made to the school again.  Based on previous experience a follow up approach did not aid in increasing the likelihood of recruitment.      </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t>It was decided that approaching local governor associations to ask for assistance in distributing the study recruitment information could be of use.  Consequently, the chairs of local governors associations situated across the two regions were contacted.  Each chair was emailed and asked to distribute the summary of the intended research, participant information sheet and consent form to their respective chair of governors members.   </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857DAD" w:rsidRDefault="00510940" w:rsidP="00857DAD">
      <w:pPr>
        <w:jc w:val="both"/>
        <w:rPr>
          <w:sz w:val="20"/>
          <w:szCs w:val="20"/>
        </w:rPr>
      </w:pPr>
      <w:r w:rsidRPr="009B3747">
        <w:rPr>
          <w:rFonts w:eastAsia="Times New Roman" w:cstheme="minorHAnsi"/>
          <w:color w:val="000000"/>
          <w:lang w:eastAsia="en-GB"/>
        </w:rPr>
        <w:t xml:space="preserve">Between the months of January and May 2016, a total of 153 emails were sent to secondary schools and six local governors associations were contacted.  The additional sampling method of snowball sampling was employed during the data collection process.  Argued to be the most widely utilised sampling technique within qualitative research across social sciences </w:t>
      </w:r>
      <w:r w:rsidR="00516326" w:rsidRPr="009B3747">
        <w:rPr>
          <w:rFonts w:eastAsia="Times New Roman" w:cstheme="minorHAnsi"/>
          <w:color w:val="000000"/>
          <w:lang w:eastAsia="en-GB"/>
        </w:rPr>
        <w:fldChar w:fldCharType="begin" w:fldLock="1"/>
      </w:r>
      <w:r w:rsidR="00516326" w:rsidRPr="009B3747">
        <w:rPr>
          <w:rFonts w:eastAsia="Times New Roman" w:cstheme="minorHAnsi"/>
          <w:color w:val="000000"/>
          <w:lang w:eastAsia="en-GB"/>
        </w:rPr>
        <w:instrText>ADDIN CSL_CITATION { "citationItems" : [ { "id" : "ITEM-1", "itemData" : { "DOI" : "10.1080/13645570701401305", "ISBN" : "1364-5579", "ISSN" : "1364-5579", "PMID" : "34245897", "abstract" : "During the past two decades we have witnessed a rather impressive growth of theoretical innovations and conceptual revisions of epistemological and methodological approaches within constructivist-qualitative quarters of the social sciences. Methodological discussions have commonly addressed a variety of methods for collecting and analyzing empirical material, yet the critical grounds upon which these were reformulated have rarely been extended to embrace sampling concepts and procedures. The latter have been overlooked, qualifying only as a \u201a\u00c4\u00f2technical\u201a\u00c4\u00f4 research stage. This article attends to snowball sampling via constructivist and feminist hermeneutics, suggesting that when viewed critically, this popular sampling method can generate a unique type of social knowledge\u201a\u00c4\u00eeknowledge which is emergent, political and interactional. The article reflects upon researches about backpacker tourists and marginalized men, where snowball sampling was successfully employed in investigating these groups' organic social networks and social dynamics. In both studies, interesting interrelations were found between sampling and interviewing facets, leading to a reconceptualization of the method of snowball sampling in terms of power relations, social networks and social capital.", "author" : [ { "dropping-particle" : "", "family" : "Noy", "given" : "Chaim", "non-dropping-particle" : "", "parse-names" : false, "suffix" : "" } ], "container-title" : "International Journal of Social Research Methodology", "id" : "ITEM-1", "issue" : "4", "issued" : { "date-parts" : [ [ "2008" ] ] }, "page" : "327-344", "title" : "Sampling Knowledge: The Hermeneutics of Snowball Sampling in Qualitative Research", "type" : "article-journal", "volume" : "11" }, "uris" : [ "http://www.mendeley.com/documents/?uuid=60e8cd7e-1224-486d-9834-4d0028be161a" ] } ], "mendeley" : { "formattedCitation" : "(Noy, 2008)", "plainTextFormattedCitation" : "(Noy, 2008)", "previouslyFormattedCitation" : "(Noy, 2008)" }, "properties" : { "noteIndex" : 0 }, "schema" : "https://github.com/citation-style-language/schema/raw/master/csl-citation.json" }</w:instrText>
      </w:r>
      <w:r w:rsidR="00516326" w:rsidRPr="009B3747">
        <w:rPr>
          <w:rFonts w:eastAsia="Times New Roman" w:cstheme="minorHAnsi"/>
          <w:color w:val="000000"/>
          <w:lang w:eastAsia="en-GB"/>
        </w:rPr>
        <w:fldChar w:fldCharType="separate"/>
      </w:r>
      <w:r w:rsidR="00516326" w:rsidRPr="009B3747">
        <w:rPr>
          <w:rFonts w:eastAsia="Times New Roman" w:cstheme="minorHAnsi"/>
          <w:noProof/>
          <w:color w:val="000000"/>
          <w:lang w:eastAsia="en-GB"/>
        </w:rPr>
        <w:t>(Noy, 2008)</w:t>
      </w:r>
      <w:r w:rsidR="00516326" w:rsidRPr="009B3747">
        <w:rPr>
          <w:rFonts w:eastAsia="Times New Roman" w:cstheme="minorHAnsi"/>
          <w:color w:val="000000"/>
          <w:lang w:eastAsia="en-GB"/>
        </w:rPr>
        <w:fldChar w:fldCharType="end"/>
      </w:r>
      <w:r w:rsidR="00516326" w:rsidRPr="009B3747">
        <w:rPr>
          <w:rFonts w:eastAsia="Times New Roman" w:cstheme="minorHAnsi"/>
          <w:color w:val="000000"/>
          <w:lang w:eastAsia="en-GB"/>
        </w:rPr>
        <w:t xml:space="preserve">, </w:t>
      </w:r>
      <w:r w:rsidRPr="009B3747">
        <w:rPr>
          <w:rFonts w:eastAsia="Times New Roman" w:cstheme="minorHAnsi"/>
          <w:color w:val="000000"/>
          <w:lang w:eastAsia="en-GB"/>
        </w:rPr>
        <w:t>snowball sampling occurs when a researcher identifies participants through contact information or a direct referral provided by an existing participant</w:t>
      </w:r>
      <w:r w:rsidR="00516326" w:rsidRPr="009B3747">
        <w:rPr>
          <w:rFonts w:eastAsia="Times New Roman" w:cstheme="minorHAnsi"/>
          <w:color w:val="000000"/>
          <w:lang w:eastAsia="en-GB"/>
        </w:rPr>
        <w:t xml:space="preserve"> </w:t>
      </w:r>
      <w:r w:rsidR="00516326" w:rsidRPr="009B3747">
        <w:rPr>
          <w:rFonts w:eastAsia="Times New Roman" w:cstheme="minorHAnsi"/>
          <w:color w:val="000000"/>
          <w:lang w:eastAsia="en-GB"/>
        </w:rPr>
        <w:fldChar w:fldCharType="begin" w:fldLock="1"/>
      </w:r>
      <w:r w:rsidR="0030128E" w:rsidRPr="009B3747">
        <w:rPr>
          <w:rFonts w:eastAsia="Times New Roman" w:cstheme="minorHAnsi"/>
          <w:color w:val="000000"/>
          <w:lang w:eastAsia="en-GB"/>
        </w:rPr>
        <w:instrText>ADDIN CSL_CITATION { "citationItems" : [ { "id" : "ITEM-1", "itemData" : { "DOI" : "Available at: http://sru.soc.surrey.ac.uk/SRU33.html (Accessed: December 2014)", "ISBN" : "0333738683", "ISSN" : "1360-7898", "abstract" : "\u2022\\tIn its simplest formulation snowball sampling consists of identifying respondents who are then used to refer researchers on to other respondents. \\n\u2022\\tSnowball sampling contradicts many of the assumptions underpinning conventional notions of sampling but has a number of advantages for sampling populations such as the deprived, the socially stigmatised and elites. \\n\u2022\\tSnowball sampling has advanced as a technique and the literature contains evidence of a trend toward more sophisticated methods of sampling frame and error estimation. \\n\u2022\\tAlthough they violate the principles of sampling, the use of snowball strategies provides a means of accessing vulnerable and more impenetrable social groupings. However, the nature of similarity within social networks may mean that \u2018isolates\u2019 are ignored.", "author" : [ { "dropping-particle" : "", "family" : "Atkinson", "given" : "R.", "non-dropping-particle" : "", "parse-names" : false, "suffix" : "" }, { "dropping-particle" : "", "family" : "Flint", "given" : "J.", "non-dropping-particle" : "", "parse-names" : false, "suffix" : "" } ], "container-title" : "Social Research Update", "id" : "ITEM-1", "issue" : "1", "issued" : { "date-parts" : [ [ "2001" ] ] }, "page" : "1-4", "title" : "Accessing Hidden and Hard-to-Reach Populations: Snowball Research Strategies", "type" : "article-journal", "volume" : "33" }, "uris" : [ "http://www.mendeley.com/documents/?uuid=43dcf653-7b50-461b-bb18-6b8184c86a25" ] } ], "mendeley" : { "formattedCitation" : "(Atkinson and Flint, 2001)", "plainTextFormattedCitation" : "(Atkinson and Flint, 2001)", "previouslyFormattedCitation" : "(Atkinson and Flint, 2001)" }, "properties" : { "noteIndex" : 0 }, "schema" : "https://github.com/citation-style-language/schema/raw/master/csl-citation.json" }</w:instrText>
      </w:r>
      <w:r w:rsidR="00516326" w:rsidRPr="009B3747">
        <w:rPr>
          <w:rFonts w:eastAsia="Times New Roman" w:cstheme="minorHAnsi"/>
          <w:color w:val="000000"/>
          <w:lang w:eastAsia="en-GB"/>
        </w:rPr>
        <w:fldChar w:fldCharType="separate"/>
      </w:r>
      <w:r w:rsidR="00516326" w:rsidRPr="009B3747">
        <w:rPr>
          <w:rFonts w:eastAsia="Times New Roman" w:cstheme="minorHAnsi"/>
          <w:noProof/>
          <w:color w:val="000000"/>
          <w:lang w:eastAsia="en-GB"/>
        </w:rPr>
        <w:t>(Atkinson and Flint, 2001)</w:t>
      </w:r>
      <w:r w:rsidR="00516326" w:rsidRPr="009B3747">
        <w:rPr>
          <w:rFonts w:eastAsia="Times New Roman" w:cstheme="minorHAnsi"/>
          <w:color w:val="000000"/>
          <w:lang w:eastAsia="en-GB"/>
        </w:rPr>
        <w:fldChar w:fldCharType="end"/>
      </w:r>
      <w:r w:rsidR="00857DAD">
        <w:rPr>
          <w:rFonts w:eastAsia="Times New Roman" w:cstheme="minorHAnsi"/>
          <w:color w:val="000000"/>
          <w:lang w:eastAsia="en-GB"/>
        </w:rPr>
        <w:t>.  Three</w:t>
      </w:r>
      <w:r w:rsidR="00857DAD" w:rsidRPr="009B3747">
        <w:rPr>
          <w:rFonts w:eastAsia="Times New Roman" w:cstheme="minorHAnsi"/>
          <w:color w:val="000000"/>
          <w:lang w:eastAsia="en-GB"/>
        </w:rPr>
        <w:t xml:space="preserve"> headteacher</w:t>
      </w:r>
      <w:r w:rsidR="00857DAD">
        <w:rPr>
          <w:rFonts w:eastAsia="Times New Roman" w:cstheme="minorHAnsi"/>
          <w:color w:val="000000"/>
          <w:lang w:eastAsia="en-GB"/>
        </w:rPr>
        <w:t>s</w:t>
      </w:r>
      <w:r w:rsidR="008D599A">
        <w:rPr>
          <w:rFonts w:eastAsia="Times New Roman" w:cstheme="minorHAnsi"/>
          <w:color w:val="000000"/>
          <w:lang w:eastAsia="en-GB"/>
        </w:rPr>
        <w:t xml:space="preserve"> </w:t>
      </w:r>
      <w:r w:rsidR="00857DAD">
        <w:rPr>
          <w:rFonts w:eastAsia="Times New Roman" w:cstheme="minorHAnsi"/>
          <w:color w:val="000000"/>
          <w:lang w:eastAsia="en-GB"/>
        </w:rPr>
        <w:t>who</w:t>
      </w:r>
      <w:r w:rsidR="00071EBF">
        <w:rPr>
          <w:rFonts w:eastAsia="Times New Roman" w:cstheme="minorHAnsi"/>
          <w:color w:val="000000"/>
          <w:lang w:eastAsia="en-GB"/>
        </w:rPr>
        <w:t xml:space="preserve"> were confirmed as participants</w:t>
      </w:r>
      <w:r w:rsidR="00857DAD">
        <w:rPr>
          <w:rFonts w:eastAsia="Times New Roman" w:cstheme="minorHAnsi"/>
          <w:color w:val="000000"/>
          <w:lang w:eastAsia="en-GB"/>
        </w:rPr>
        <w:t xml:space="preserve"> directly referred the researcher to their </w:t>
      </w:r>
      <w:r w:rsidR="00857DAD" w:rsidRPr="009B3747">
        <w:rPr>
          <w:rFonts w:eastAsia="Times New Roman" w:cstheme="minorHAnsi"/>
          <w:color w:val="000000"/>
          <w:lang w:eastAsia="en-GB"/>
        </w:rPr>
        <w:t xml:space="preserve">school’s </w:t>
      </w:r>
      <w:r w:rsidR="00857DAD">
        <w:rPr>
          <w:rFonts w:eastAsia="Times New Roman" w:cstheme="minorHAnsi"/>
          <w:color w:val="000000"/>
          <w:lang w:eastAsia="en-GB"/>
        </w:rPr>
        <w:t xml:space="preserve">respective chair of governors.  </w:t>
      </w:r>
      <w:r w:rsidR="00857DAD" w:rsidRPr="009B3747">
        <w:rPr>
          <w:rFonts w:eastAsia="Times New Roman" w:cstheme="minorHAnsi"/>
          <w:color w:val="000000"/>
          <w:lang w:eastAsia="en-GB"/>
        </w:rPr>
        <w:t xml:space="preserve">A </w:t>
      </w:r>
      <w:r w:rsidR="00B746E9">
        <w:rPr>
          <w:rFonts w:eastAsia="Times New Roman" w:cstheme="minorHAnsi"/>
          <w:color w:val="000000"/>
          <w:lang w:eastAsia="en-GB"/>
        </w:rPr>
        <w:t>fourth</w:t>
      </w:r>
      <w:r w:rsidR="00857DAD">
        <w:rPr>
          <w:rFonts w:eastAsia="Times New Roman" w:cstheme="minorHAnsi"/>
          <w:color w:val="000000"/>
          <w:lang w:eastAsia="en-GB"/>
        </w:rPr>
        <w:t xml:space="preserve"> </w:t>
      </w:r>
      <w:r w:rsidR="00857DAD" w:rsidRPr="009B3747">
        <w:rPr>
          <w:rFonts w:eastAsia="Times New Roman" w:cstheme="minorHAnsi"/>
          <w:color w:val="000000"/>
          <w:lang w:eastAsia="en-GB"/>
        </w:rPr>
        <w:t>headteacher gave contact information for a headteacher colleague who was employed with</w:t>
      </w:r>
      <w:r w:rsidR="00071EBF">
        <w:rPr>
          <w:rFonts w:eastAsia="Times New Roman" w:cstheme="minorHAnsi"/>
          <w:color w:val="000000"/>
          <w:lang w:eastAsia="en-GB"/>
        </w:rPr>
        <w:t xml:space="preserve">in their school’s </w:t>
      </w:r>
      <w:r w:rsidR="00857DAD">
        <w:rPr>
          <w:rFonts w:eastAsia="Times New Roman" w:cstheme="minorHAnsi"/>
          <w:color w:val="000000"/>
          <w:lang w:eastAsia="en-GB"/>
        </w:rPr>
        <w:t xml:space="preserve">academy network.  </w:t>
      </w:r>
      <w:r w:rsidR="00857DAD" w:rsidRPr="009B3747">
        <w:rPr>
          <w:rFonts w:eastAsia="Times New Roman" w:cstheme="minorHAnsi"/>
          <w:color w:val="000000"/>
          <w:lang w:eastAsia="en-GB"/>
        </w:rPr>
        <w:t>This method</w:t>
      </w:r>
      <w:r w:rsidR="00857DAD">
        <w:rPr>
          <w:rFonts w:eastAsia="Times New Roman" w:cstheme="minorHAnsi"/>
          <w:color w:val="000000"/>
          <w:lang w:eastAsia="en-GB"/>
        </w:rPr>
        <w:t xml:space="preserve"> was effective in recruiting four participants to the qualitative phase.  </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t>The combined sampling, approach and recruitment process resulted in 24 agreeing to participate (14 headteachers and 10 chairs of governors).  Confirmation of willingness to participate resulted in email communication forming the basis of arranging face to face, semi-structured interviews.  After initially agreeing, two participants went on to decline after reporting time commitments.  This resulted in a final sample of 22 participants (13 headteachers and 9 chairs of governors).   Data saturation</w:t>
      </w:r>
      <w:r w:rsidR="0030128E" w:rsidRPr="009B3747">
        <w:rPr>
          <w:rFonts w:eastAsia="Times New Roman" w:cstheme="minorHAnsi"/>
          <w:color w:val="000000"/>
          <w:lang w:eastAsia="en-GB"/>
        </w:rPr>
        <w:t xml:space="preserve"> </w:t>
      </w:r>
      <w:r w:rsidR="0030128E" w:rsidRPr="009B3747">
        <w:rPr>
          <w:rFonts w:eastAsia="Times New Roman" w:cstheme="minorHAnsi"/>
          <w:color w:val="000000"/>
          <w:lang w:eastAsia="en-GB"/>
        </w:rPr>
        <w:fldChar w:fldCharType="begin" w:fldLock="1"/>
      </w:r>
      <w:r w:rsidR="0030128E" w:rsidRPr="009B3747">
        <w:rPr>
          <w:rFonts w:eastAsia="Times New Roman" w:cstheme="minorHAnsi"/>
          <w:color w:val="000000"/>
          <w:lang w:eastAsia="en-GB"/>
        </w:rPr>
        <w:instrText>ADDIN CSL_CITATION { "citationItems" : [ { "id" : "ITEM-1", "itemData" : { "DOI" : "10.1177/1525822X05279903", "ISBN" : "1525822X", "ISSN" : "1525-822X", "PMID" : "19638638", "abstract" : "Guidelines for determining nonprobabilistic sample sizes are virtually nonexistent. Purposive samples are the most commonly used form of nonprobabilistic sampling, and their size typically relies on the concept of \u201csaturation,\u201d or the point at which no new information or themes are observed in the data. Although the idea of saturation is helpful at the conceptual level, it provides little practical guidance for estimating sample sizes, prior to data collection, necessary for conducting quality research. Using data from a study involving sixty in-depth interviews with women in two West African countries, the authors systematically document the degree of data saturation and variability over the course of thematic analysis. They operationalize saturation and make evidence-based recommendations regarding nonprobabilistic sample sizes for interviews. Based on the data set, they found that saturation occurred within the first twelve interviews, although basic elements for metathemes were present as early as six interviews. Variability within the data followed similar patterns.", "author" : [ { "dropping-particle" : "", "family" : "Guest", "given" : "Greg", "non-dropping-particle" : "", "parse-names" : false, "suffix" : "" }, { "dropping-particle" : "", "family" : "Bunce", "given" : "Arwen", "non-dropping-particle" : "", "parse-names" : false, "suffix" : "" }, { "dropping-particle" : "", "family" : "Johnson", "given" : "Laura", "non-dropping-particle" : "", "parse-names" : false, "suffix" : "" } ], "container-title" : "Family Health International", "id" : "ITEM-1", "issue" : "1", "issued" : { "date-parts" : [ [ "2006" ] ] }, "page" : "59-82", "title" : "How Many Interviews Are Enough ? An Experiment with Data Saturation and Variability", "type" : "article-journal", "volume" : "18" }, "uris" : [ "http://www.mendeley.com/documents/?uuid=b95f2389-c910-4c64-8d43-d6a900583183" ] } ], "mendeley" : { "formattedCitation" : "(Guest et al., 2006)", "plainTextFormattedCitation" : "(Guest et al., 2006)", "previouslyFormattedCitation" : "(Guest et al., 2006)" }, "properties" : { "noteIndex" : 0 }, "schema" : "https://github.com/citation-style-language/schema/raw/master/csl-citation.json" }</w:instrText>
      </w:r>
      <w:r w:rsidR="0030128E" w:rsidRPr="009B3747">
        <w:rPr>
          <w:rFonts w:eastAsia="Times New Roman" w:cstheme="minorHAnsi"/>
          <w:color w:val="000000"/>
          <w:lang w:eastAsia="en-GB"/>
        </w:rPr>
        <w:fldChar w:fldCharType="separate"/>
      </w:r>
      <w:r w:rsidR="0030128E" w:rsidRPr="009B3747">
        <w:rPr>
          <w:rFonts w:eastAsia="Times New Roman" w:cstheme="minorHAnsi"/>
          <w:noProof/>
          <w:color w:val="000000"/>
          <w:lang w:eastAsia="en-GB"/>
        </w:rPr>
        <w:t>(Guest et al., 2006)</w:t>
      </w:r>
      <w:r w:rsidR="0030128E" w:rsidRPr="009B3747">
        <w:rPr>
          <w:rFonts w:eastAsia="Times New Roman" w:cstheme="minorHAnsi"/>
          <w:color w:val="000000"/>
          <w:lang w:eastAsia="en-GB"/>
        </w:rPr>
        <w:fldChar w:fldCharType="end"/>
      </w:r>
      <w:r w:rsidR="0030128E" w:rsidRPr="009B3747">
        <w:rPr>
          <w:rFonts w:eastAsia="Times New Roman" w:cstheme="minorHAnsi"/>
          <w:color w:val="000000"/>
          <w:lang w:eastAsia="en-GB"/>
        </w:rPr>
        <w:t xml:space="preserve"> </w:t>
      </w:r>
      <w:r w:rsidRPr="009B3747">
        <w:rPr>
          <w:rFonts w:eastAsia="Times New Roman" w:cstheme="minorHAnsi"/>
          <w:color w:val="000000"/>
          <w:lang w:eastAsia="en-GB"/>
        </w:rPr>
        <w:t>was deemed to have been achieved from conducting 22 interviews</w:t>
      </w:r>
      <w:r w:rsidR="00A63F83">
        <w:rPr>
          <w:rFonts w:eastAsia="Times New Roman" w:cstheme="minorHAnsi"/>
          <w:color w:val="000000"/>
          <w:lang w:eastAsia="en-GB"/>
        </w:rPr>
        <w:t>,</w:t>
      </w:r>
      <w:r w:rsidRPr="009B3747">
        <w:rPr>
          <w:rFonts w:eastAsia="Times New Roman" w:cstheme="minorHAnsi"/>
          <w:color w:val="000000"/>
          <w:lang w:eastAsia="en-GB"/>
        </w:rPr>
        <w:t xml:space="preserve"> and consequently no further recruitment or qualitative data collection was undertaken</w:t>
      </w:r>
      <w:r w:rsidR="0030128E" w:rsidRPr="009B3747">
        <w:rPr>
          <w:rFonts w:eastAsia="Times New Roman" w:cstheme="minorHAnsi"/>
          <w:color w:val="000000"/>
          <w:lang w:eastAsia="en-GB"/>
        </w:rPr>
        <w:t xml:space="preserve"> (see section 5.3.4)</w:t>
      </w:r>
      <w:r w:rsidRPr="009B3747">
        <w:rPr>
          <w:rFonts w:eastAsia="Times New Roman" w:cstheme="minorHAnsi"/>
          <w:color w:val="000000"/>
          <w:lang w:eastAsia="en-GB"/>
        </w:rPr>
        <w:t xml:space="preserve">.  The concept of data saturation and its application in relation to the data collected were extensively discussed with the academic supervisors in addition to reviewing the relevant literature </w:t>
      </w:r>
      <w:r w:rsidR="0030128E" w:rsidRPr="009B3747">
        <w:rPr>
          <w:rFonts w:eastAsia="Times New Roman" w:cstheme="minorHAnsi"/>
          <w:color w:val="000000"/>
          <w:lang w:eastAsia="en-GB"/>
        </w:rPr>
        <w:fldChar w:fldCharType="begin" w:fldLock="1"/>
      </w:r>
      <w:r w:rsidR="0030128E" w:rsidRPr="009B3747">
        <w:rPr>
          <w:rFonts w:eastAsia="Times New Roman" w:cstheme="minorHAnsi"/>
          <w:color w:val="000000"/>
          <w:lang w:eastAsia="en-GB"/>
        </w:rPr>
        <w:instrText>ADDIN CSL_CITATION { "citationItems" : [ { "id" : "ITEM-1", "itemData" : { "DOI" : "10.1177/1525822X05279903", "ISBN" : "1525822X", "ISSN" : "1525-822X", "PMID" : "19638638", "abstract" : "Guidelines for determining nonprobabilistic sample sizes are virtually nonexistent. Purposive samples are the most commonly used form of nonprobabilistic sampling, and their size typically relies on the concept of \u201csaturation,\u201d or the point at which no new information or themes are observed in the data. Although the idea of saturation is helpful at the conceptual level, it provides little practical guidance for estimating sample sizes, prior to data collection, necessary for conducting quality research. Using data from a study involving sixty in-depth interviews with women in two West African countries, the authors systematically document the degree of data saturation and variability over the course of thematic analysis. They operationalize saturation and make evidence-based recommendations regarding nonprobabilistic sample sizes for interviews. Based on the data set, they found that saturation occurred within the first twelve interviews, although basic elements for metathemes were present as early as six interviews. Variability within the data followed similar patterns.", "author" : [ { "dropping-particle" : "", "family" : "Guest", "given" : "Greg", "non-dropping-particle" : "", "parse-names" : false, "suffix" : "" }, { "dropping-particle" : "", "family" : "Bunce", "given" : "Arwen", "non-dropping-particle" : "", "parse-names" : false, "suffix" : "" }, { "dropping-particle" : "", "family" : "Johnson", "given" : "Laura", "non-dropping-particle" : "", "parse-names" : false, "suffix" : "" } ], "container-title" : "Family Health International", "id" : "ITEM-1", "issue" : "1", "issued" : { "date-parts" : [ [ "2006" ] ] }, "page" : "59-82", "title" : "How Many Interviews Are Enough ? An Experiment with Data Saturation and Variability", "type" : "article-journal", "volume" : "18" }, "uris" : [ "http://www.mendeley.com/documents/?uuid=b95f2389-c910-4c64-8d43-d6a900583183" ] }, { "id" : "ITEM-2", "itemData" : { "DOI" : "10.1177/1468794107085301", "ISBN" : "1468-7941", "ISSN" : "1468-7941", "PMID" : "25246403", "abstract" : "Saturation is mentioned in many qualitative research reports without any explanation of what it means and how it occurred. Recognizing the saturation point presents a challenge to qualitative researchers, especially in the absence of explicit guidelines for determining data or theoretical saturation. This research note examines the saturation concept in naturalistic inquiry and the challenges it presents. In particular, it summarizes the saturation process in a grounded theory study of community-based antipovery projects. The main argument advanced in this research note is that claims of saturatin should be supported by an explanation of how saturation was achieved and substantiated by clear evidence of its occurence.", "author" : [ { "dropping-particle" : "", "family" : "Bowen", "given" : "G. a.", "non-dropping-particle" : "", "parse-names" : false, "suffix" : "" } ], "container-title" : "Qualitative Research", "id" : "ITEM-2", "issue" : "1", "issued" : { "date-parts" : [ [ "2008" ] ] }, "page" : "137-152", "title" : "Naturalistic inquiry and the saturation concept: a research note", "type" : "article-journal", "volume" : "8" }, "uris" : [ "http://www.mendeley.com/documents/?uuid=eea0465a-4a72-4221-be40-b549500448a2" ] } ], "mendeley" : { "formattedCitation" : "(Guest et al., 2006; Bowen, 2008)", "plainTextFormattedCitation" : "(Guest et al., 2006; Bowen, 2008)", "previouslyFormattedCitation" : "(Guest et al., 2006; Bowen, 2008)" }, "properties" : { "noteIndex" : 0 }, "schema" : "https://github.com/citation-style-language/schema/raw/master/csl-citation.json" }</w:instrText>
      </w:r>
      <w:r w:rsidR="0030128E" w:rsidRPr="009B3747">
        <w:rPr>
          <w:rFonts w:eastAsia="Times New Roman" w:cstheme="minorHAnsi"/>
          <w:color w:val="000000"/>
          <w:lang w:eastAsia="en-GB"/>
        </w:rPr>
        <w:fldChar w:fldCharType="separate"/>
      </w:r>
      <w:r w:rsidR="0030128E" w:rsidRPr="009B3747">
        <w:rPr>
          <w:rFonts w:eastAsia="Times New Roman" w:cstheme="minorHAnsi"/>
          <w:noProof/>
          <w:color w:val="000000"/>
          <w:lang w:eastAsia="en-GB"/>
        </w:rPr>
        <w:t>(Guest et al., 2006; Bowen, 2008)</w:t>
      </w:r>
      <w:r w:rsidR="0030128E" w:rsidRPr="009B3747">
        <w:rPr>
          <w:rFonts w:eastAsia="Times New Roman" w:cstheme="minorHAnsi"/>
          <w:color w:val="000000"/>
          <w:lang w:eastAsia="en-GB"/>
        </w:rPr>
        <w:fldChar w:fldCharType="end"/>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lastRenderedPageBreak/>
        <w:t>A total of 23 people responded to the email invitation by indicating they or their respective headteacher or chair of governors were unable or unwilling to participate in the research.  The primary reasons for de</w:t>
      </w:r>
      <w:r w:rsidR="0083682E" w:rsidRPr="009B3747">
        <w:rPr>
          <w:rFonts w:eastAsia="Times New Roman" w:cstheme="minorHAnsi"/>
          <w:color w:val="000000"/>
          <w:lang w:eastAsia="en-GB"/>
        </w:rPr>
        <w:t>clining to take part included:</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C27072">
      <w:pPr>
        <w:numPr>
          <w:ilvl w:val="0"/>
          <w:numId w:val="34"/>
        </w:numPr>
        <w:textAlignment w:val="baseline"/>
        <w:rPr>
          <w:rFonts w:eastAsia="Times New Roman" w:cstheme="minorHAnsi"/>
          <w:color w:val="000000"/>
          <w:lang w:eastAsia="en-GB"/>
        </w:rPr>
      </w:pPr>
      <w:r w:rsidRPr="009B3747">
        <w:rPr>
          <w:rFonts w:eastAsia="Times New Roman" w:cstheme="minorHAnsi"/>
          <w:color w:val="000000"/>
          <w:lang w:eastAsia="en-GB"/>
        </w:rPr>
        <w:t>Time pressures related to their role</w:t>
      </w:r>
    </w:p>
    <w:p w:rsidR="00510940" w:rsidRPr="009B3747" w:rsidRDefault="00510940" w:rsidP="00C27072">
      <w:pPr>
        <w:numPr>
          <w:ilvl w:val="0"/>
          <w:numId w:val="34"/>
        </w:numPr>
        <w:textAlignment w:val="baseline"/>
        <w:rPr>
          <w:rFonts w:eastAsia="Times New Roman" w:cstheme="minorHAnsi"/>
          <w:color w:val="000000"/>
          <w:lang w:eastAsia="en-GB"/>
        </w:rPr>
      </w:pPr>
      <w:r w:rsidRPr="009B3747">
        <w:rPr>
          <w:rFonts w:eastAsia="Times New Roman" w:cstheme="minorHAnsi"/>
          <w:color w:val="000000"/>
          <w:lang w:eastAsia="en-GB"/>
        </w:rPr>
        <w:t>Number and frequency of requests to participate in research projects</w:t>
      </w:r>
    </w:p>
    <w:p w:rsidR="00510940" w:rsidRPr="009B3747" w:rsidRDefault="00510940" w:rsidP="00C27072">
      <w:pPr>
        <w:numPr>
          <w:ilvl w:val="0"/>
          <w:numId w:val="34"/>
        </w:numPr>
        <w:textAlignment w:val="baseline"/>
        <w:rPr>
          <w:rFonts w:eastAsia="Times New Roman" w:cstheme="minorHAnsi"/>
          <w:color w:val="000000"/>
          <w:lang w:eastAsia="en-GB"/>
        </w:rPr>
      </w:pPr>
      <w:r w:rsidRPr="009B3747">
        <w:rPr>
          <w:rFonts w:eastAsia="Times New Roman" w:cstheme="minorHAnsi"/>
          <w:color w:val="000000"/>
          <w:lang w:eastAsia="en-GB"/>
        </w:rPr>
        <w:t>Research topic not perceived to be of relevance to the school</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30128E" w:rsidRPr="009B3747" w:rsidRDefault="00782EBA" w:rsidP="00510940">
      <w:pPr>
        <w:rPr>
          <w:rFonts w:eastAsia="Times New Roman" w:cstheme="minorHAnsi"/>
          <w:color w:val="000000"/>
          <w:lang w:eastAsia="en-GB"/>
        </w:rPr>
      </w:pPr>
      <w:r w:rsidRPr="009B3747">
        <w:rPr>
          <w:rFonts w:eastAsia="Times New Roman" w:cstheme="minorHAnsi"/>
          <w:bCs/>
          <w:color w:val="000000"/>
          <w:u w:val="single"/>
          <w:lang w:eastAsia="en-GB"/>
        </w:rPr>
        <w:t>5</w:t>
      </w:r>
      <w:r w:rsidR="002977A1" w:rsidRPr="009B3747">
        <w:rPr>
          <w:rFonts w:eastAsia="Times New Roman" w:cstheme="minorHAnsi"/>
          <w:bCs/>
          <w:color w:val="000000"/>
          <w:u w:val="single"/>
          <w:lang w:eastAsia="en-GB"/>
        </w:rPr>
        <w:t>.3</w:t>
      </w:r>
      <w:r w:rsidR="00CF32DA" w:rsidRPr="009B3747">
        <w:rPr>
          <w:rFonts w:eastAsia="Times New Roman" w:cstheme="minorHAnsi"/>
          <w:bCs/>
          <w:color w:val="000000"/>
          <w:u w:val="single"/>
          <w:lang w:eastAsia="en-GB"/>
        </w:rPr>
        <w:t xml:space="preserve">.4 </w:t>
      </w:r>
      <w:r w:rsidR="00510940" w:rsidRPr="009B3747">
        <w:rPr>
          <w:rFonts w:eastAsia="Times New Roman" w:cstheme="minorHAnsi"/>
          <w:bCs/>
          <w:color w:val="000000"/>
          <w:u w:val="single"/>
          <w:lang w:eastAsia="en-GB"/>
        </w:rPr>
        <w:t>Sample Size and Data saturation</w:t>
      </w:r>
      <w:r w:rsidR="00510940" w:rsidRPr="009B3747">
        <w:rPr>
          <w:rFonts w:eastAsia="Times New Roman" w:cstheme="minorHAnsi"/>
          <w:color w:val="000000"/>
          <w:u w:val="single"/>
          <w:lang w:eastAsia="en-GB"/>
        </w:rPr>
        <w:br/>
      </w:r>
      <w:r w:rsidR="00510940" w:rsidRPr="009B3747">
        <w:rPr>
          <w:rFonts w:eastAsia="Times New Roman" w:cstheme="minorHAnsi"/>
          <w:color w:val="000000"/>
          <w:u w:val="single"/>
          <w:lang w:eastAsia="en-GB"/>
        </w:rPr>
        <w:br/>
      </w:r>
      <w:r w:rsidR="00510940" w:rsidRPr="009B3747">
        <w:rPr>
          <w:rFonts w:eastAsia="Times New Roman" w:cstheme="minorHAnsi"/>
          <w:color w:val="000000"/>
          <w:lang w:eastAsia="en-GB"/>
        </w:rPr>
        <w:t>Purposive samples as utilised in the first phase of this research, are the most common type of non-probabilistic sampling (Guest et al, 2006).  Identifying the correct purposive sample size required to answer a proposed research question either prior to or during the research process is extremely challenging</w:t>
      </w:r>
      <w:r w:rsidR="0030128E" w:rsidRPr="009B3747">
        <w:rPr>
          <w:rFonts w:eastAsia="Times New Roman" w:cstheme="minorHAnsi"/>
          <w:color w:val="000000"/>
          <w:lang w:eastAsia="en-GB"/>
        </w:rPr>
        <w:t xml:space="preserve"> </w:t>
      </w:r>
      <w:r w:rsidR="0030128E" w:rsidRPr="009B3747">
        <w:rPr>
          <w:rFonts w:eastAsia="Times New Roman" w:cstheme="minorHAnsi"/>
          <w:color w:val="000000"/>
          <w:lang w:eastAsia="en-GB"/>
        </w:rPr>
        <w:fldChar w:fldCharType="begin" w:fldLock="1"/>
      </w:r>
      <w:r w:rsidR="0030128E" w:rsidRPr="009B3747">
        <w:rPr>
          <w:rFonts w:eastAsia="Times New Roman" w:cstheme="minorHAnsi"/>
          <w:color w:val="000000"/>
          <w:lang w:eastAsia="en-GB"/>
        </w:rPr>
        <w:instrText>ADDIN CSL_CITATION { "citationItems" : [ { "id" : "ITEM-1", "itemData" : { "DOI" : "10.1177/1525822X05279903", "ISBN" : "1525822X", "ISSN" : "1525-822X", "PMID" : "2273", "abstract" : "Students conducting a piece of qualitative research frequently ask \u2018how many interviews is enough?\u2019 Early career researchers and established academics also consider this question when designing research projects. In this NCRM Methods Review paper we gather and review responses to the question of \u2018how many\u2019 from 14 renowned social scientists and 5 early career researchers. The riposte to the question of \u2018how many\u2019 from most contributors is \u2018it depends\u2019. In considering what \u2018it depends upon\u2019 however, the responses offer guidance on the epistemological, methodological and practical issues to take into account when conducting research projects. This includes advice about assessing research aims and objectives, validity within epistemic communities and available time and resources.", "author" : [ { "dropping-particle" : "", "family" : "Baker", "given" : "Sarah Elsie", "non-dropping-particle" : "", "parse-names" : false, "suffix" : "" }, { "dropping-particle" : "", "family" : "Edwards", "given" : "Rosalind", "non-dropping-particle" : "", "parse-names" : false, "suffix" : "" } ], "container-title" : "National Centre for Research Methods Review Paper", "id" : "ITEM-1", "issued" : { "date-parts" : [ [ "2012" ] ] }, "page" : "1 - 42", "title" : "How many qualitative interviews is enough ?", "type" : "article-journal" }, "uris" : [ "http://www.mendeley.com/documents/?uuid=0a940e9c-471f-43a4-add0-3bdf991b2a7f" ] } ], "mendeley" : { "formattedCitation" : "(Baker and Edwards, 2012)", "plainTextFormattedCitation" : "(Baker and Edwards, 2012)", "previouslyFormattedCitation" : "(Baker and Edwards, 2012)" }, "properties" : { "noteIndex" : 0 }, "schema" : "https://github.com/citation-style-language/schema/raw/master/csl-citation.json" }</w:instrText>
      </w:r>
      <w:r w:rsidR="0030128E" w:rsidRPr="009B3747">
        <w:rPr>
          <w:rFonts w:eastAsia="Times New Roman" w:cstheme="minorHAnsi"/>
          <w:color w:val="000000"/>
          <w:lang w:eastAsia="en-GB"/>
        </w:rPr>
        <w:fldChar w:fldCharType="separate"/>
      </w:r>
      <w:r w:rsidR="0030128E" w:rsidRPr="009B3747">
        <w:rPr>
          <w:rFonts w:eastAsia="Times New Roman" w:cstheme="minorHAnsi"/>
          <w:noProof/>
          <w:color w:val="000000"/>
          <w:lang w:eastAsia="en-GB"/>
        </w:rPr>
        <w:t>(Baker and Edwards, 2012)</w:t>
      </w:r>
      <w:r w:rsidR="0030128E" w:rsidRPr="009B3747">
        <w:rPr>
          <w:rFonts w:eastAsia="Times New Roman" w:cstheme="minorHAnsi"/>
          <w:color w:val="000000"/>
          <w:lang w:eastAsia="en-GB"/>
        </w:rPr>
        <w:fldChar w:fldCharType="end"/>
      </w:r>
      <w:r w:rsidR="0030128E" w:rsidRPr="009B3747">
        <w:rPr>
          <w:rFonts w:eastAsia="Times New Roman" w:cstheme="minorHAnsi"/>
          <w:color w:val="000000"/>
          <w:lang w:eastAsia="en-GB"/>
        </w:rPr>
        <w:t xml:space="preserve">.  </w:t>
      </w:r>
      <w:r w:rsidR="00510940" w:rsidRPr="009B3747">
        <w:rPr>
          <w:rFonts w:eastAsia="Times New Roman" w:cstheme="minorHAnsi"/>
          <w:color w:val="000000"/>
          <w:lang w:eastAsia="en-GB"/>
        </w:rPr>
        <w:t>Sample sizes within qualitative research are broadly speaking smaller than that utilised within quantitative research (Ritchie et al., 2003).  Whereas quantitative research is typically focused on frequency of occurrences in order to make and test generalised hypotheses, qualitative research is concerned with exploring and understanding meaning (Creswell, 2013).  Consequently, one occurrence is as potentially important as multiple occurrences when undertaking a qualitative inquiry of a topic area</w:t>
      </w:r>
      <w:r w:rsidR="0030128E" w:rsidRPr="009B3747">
        <w:rPr>
          <w:rFonts w:eastAsia="Times New Roman" w:cstheme="minorHAnsi"/>
          <w:color w:val="000000"/>
          <w:lang w:eastAsia="en-GB"/>
        </w:rPr>
        <w:t xml:space="preserve"> </w:t>
      </w:r>
      <w:r w:rsidR="0030128E" w:rsidRPr="009B3747">
        <w:rPr>
          <w:rFonts w:eastAsia="Times New Roman" w:cstheme="minorHAnsi"/>
          <w:color w:val="000000"/>
          <w:lang w:eastAsia="en-GB"/>
        </w:rPr>
        <w:fldChar w:fldCharType="begin" w:fldLock="1"/>
      </w:r>
      <w:r w:rsidR="0030128E" w:rsidRPr="009B3747">
        <w:rPr>
          <w:rFonts w:eastAsia="Times New Roman" w:cstheme="minorHAnsi"/>
          <w:color w:val="000000"/>
          <w:lang w:eastAsia="en-GB"/>
        </w:rPr>
        <w:instrText>ADDIN CSL_CITATION { "citationItems" : [ { "id" : "ITEM-1", "itemData" : { "author" : [ { "dropping-particle" : "", "family" : "Mason", "given" : "M", "non-dropping-particle" : "", "parse-names" : false, "suffix" : "" } ], "container-title" : "Forum qualitative Sozialforschung/Forum: qualitative social research", "id" : "ITEM-1", "issue" : "3", "issued" : { "date-parts" : [ [ "2010" ] ] }, "title" : "Sample Size and Saturation in PhD Studies Using Qualitative Interviews", "type" : "article-journal", "volume" : "11" }, "uris" : [ "http://www.mendeley.com/documents/?uuid=9249f9b3-a0dd-4893-9414-6a920c7dd075" ] } ], "mendeley" : { "formattedCitation" : "(Mason, 2010)", "plainTextFormattedCitation" : "(Mason, 2010)", "previouslyFormattedCitation" : "(Mason, 2010)" }, "properties" : { "noteIndex" : 0 }, "schema" : "https://github.com/citation-style-language/schema/raw/master/csl-citation.json" }</w:instrText>
      </w:r>
      <w:r w:rsidR="0030128E" w:rsidRPr="009B3747">
        <w:rPr>
          <w:rFonts w:eastAsia="Times New Roman" w:cstheme="minorHAnsi"/>
          <w:color w:val="000000"/>
          <w:lang w:eastAsia="en-GB"/>
        </w:rPr>
        <w:fldChar w:fldCharType="separate"/>
      </w:r>
      <w:r w:rsidR="0030128E" w:rsidRPr="009B3747">
        <w:rPr>
          <w:rFonts w:eastAsia="Times New Roman" w:cstheme="minorHAnsi"/>
          <w:noProof/>
          <w:color w:val="000000"/>
          <w:lang w:eastAsia="en-GB"/>
        </w:rPr>
        <w:t>(Mason, 2010)</w:t>
      </w:r>
      <w:r w:rsidR="0030128E" w:rsidRPr="009B3747">
        <w:rPr>
          <w:rFonts w:eastAsia="Times New Roman" w:cstheme="minorHAnsi"/>
          <w:color w:val="000000"/>
          <w:lang w:eastAsia="en-GB"/>
        </w:rPr>
        <w:fldChar w:fldCharType="end"/>
      </w:r>
      <w:r w:rsidR="0030128E" w:rsidRPr="009B3747">
        <w:rPr>
          <w:rFonts w:eastAsia="Times New Roman" w:cstheme="minorHAnsi"/>
          <w:color w:val="000000"/>
          <w:lang w:eastAsia="en-GB"/>
        </w:rPr>
        <w:t>.</w:t>
      </w:r>
    </w:p>
    <w:p w:rsidR="00510940" w:rsidRPr="009B3747" w:rsidRDefault="00510940" w:rsidP="00510940">
      <w:pPr>
        <w:rPr>
          <w:rFonts w:eastAsia="Times New Roman" w:cstheme="minorHAnsi"/>
          <w:color w:val="000000"/>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t xml:space="preserve">Despite this, it remains crucial for qualitative researchers to establish and ensure their data set is both comprehensive and complete in order to enhance the validity and reliability of the research </w:t>
      </w:r>
      <w:r w:rsidR="0030128E" w:rsidRPr="009B3747">
        <w:rPr>
          <w:rFonts w:eastAsia="Times New Roman" w:cstheme="minorHAnsi"/>
          <w:color w:val="000000"/>
          <w:lang w:eastAsia="en-GB"/>
        </w:rPr>
        <w:fldChar w:fldCharType="begin" w:fldLock="1"/>
      </w:r>
      <w:r w:rsidR="002977A1" w:rsidRPr="009B3747">
        <w:rPr>
          <w:rFonts w:eastAsia="Times New Roman" w:cstheme="minorHAnsi"/>
          <w:color w:val="000000"/>
          <w:lang w:eastAsia="en-GB"/>
        </w:rPr>
        <w:instrText>ADDIN CSL_CITATION { "citationItems" : [ { "id" : "ITEM-1", "itemData" : { "DOI" : "10.1177/160940690200100202", "ISSN" : "1609-4069", "abstract" : "The rejection of reliability and validity in qualitative inquiry in the 1980s has resulted in an interesting shift for \u201censuring rigor\u201d from the investigator's actions during the course of the research, to the reader or consumer of qualitative inquiry. The emphasis on strategies that are implemented during the research process has been replaced by strategies for evaluating trustworthiness and utility that are implemented once a study is completed. In this article, we argue that reliability and validity remain appropriate concepts for attaining rigor in qualitative research. We argue that qualitative researchers should reclaim responsibility for reliability and validity by implementing verification strategies integral and self-correcting during the conduct of inquiry itself. This ensures the attainment of rigor using strategies inherent within each qualitative design, and moves the responsibility for incorporating and maintaining reliability and validity from external reviewers' judgements to the investiga...", "author" : [ { "dropping-particle" : "", "family" : "Morse", "given" : "Janice M.", "non-dropping-particle" : "", "parse-names" : false, "suffix" : "" }, { "dropping-particle" : "", "family" : "Barrett", "given" : "Michael", "non-dropping-particle" : "", "parse-names" : false, "suffix" : "" }, { "dropping-particle" : "", "family" : "Mayan", "given" : "Maria", "non-dropping-particle" : "", "parse-names" : false, "suffix" : "" }, { "dropping-particle" : "", "family" : "Olson", "given" : "Karin", "non-dropping-particle" : "", "parse-names" : false, "suffix" : "" }, { "dropping-particle" : "", "family" : "Spiers", "given" : "Jude", "non-dropping-particle" : "", "parse-names" : false, "suffix" : "" } ], "container-title" : "International Journal of Qualitative Methods", "id" : "ITEM-1", "issue" : "2", "issued" : { "date-parts" : [ [ "2002", "6", "30" ] ] }, "page" : "13-22", "publisher" : "SAGE PublicationsSage CA: Los Angeles, CA", "title" : "Verification Strategies for Establishing Reliability and Validity in Qualitative Research", "type" : "article-journal", "volume" : "1" }, "uris" : [ "http://www.mendeley.com/documents/?uuid=1bb0513b-1eb6-3194-9547-8a7ed80b45c2" ] } ], "mendeley" : { "formattedCitation" : "(Morse et al., 2002)", "plainTextFormattedCitation" : "(Morse et al., 2002)", "previouslyFormattedCitation" : "(Morse et al., 2002)" }, "properties" : { "noteIndex" : 0 }, "schema" : "https://github.com/citation-style-language/schema/raw/master/csl-citation.json" }</w:instrText>
      </w:r>
      <w:r w:rsidR="0030128E" w:rsidRPr="009B3747">
        <w:rPr>
          <w:rFonts w:eastAsia="Times New Roman" w:cstheme="minorHAnsi"/>
          <w:color w:val="000000"/>
          <w:lang w:eastAsia="en-GB"/>
        </w:rPr>
        <w:fldChar w:fldCharType="separate"/>
      </w:r>
      <w:r w:rsidR="002977A1" w:rsidRPr="009B3747">
        <w:rPr>
          <w:rFonts w:eastAsia="Times New Roman" w:cstheme="minorHAnsi"/>
          <w:noProof/>
          <w:color w:val="000000"/>
          <w:lang w:eastAsia="en-GB"/>
        </w:rPr>
        <w:t>(Morse et al., 2002)</w:t>
      </w:r>
      <w:r w:rsidR="0030128E" w:rsidRPr="009B3747">
        <w:rPr>
          <w:rFonts w:eastAsia="Times New Roman" w:cstheme="minorHAnsi"/>
          <w:color w:val="000000"/>
          <w:lang w:eastAsia="en-GB"/>
        </w:rPr>
        <w:fldChar w:fldCharType="end"/>
      </w:r>
      <w:r w:rsidRPr="009B3747">
        <w:rPr>
          <w:rFonts w:eastAsia="Times New Roman" w:cstheme="minorHAnsi"/>
          <w:color w:val="000000"/>
          <w:lang w:eastAsia="en-GB"/>
        </w:rPr>
        <w:t>.  The concept of data saturation is proposed as th</w:t>
      </w:r>
      <w:r w:rsidR="005A045A" w:rsidRPr="009B3747">
        <w:rPr>
          <w:rFonts w:eastAsia="Times New Roman" w:cstheme="minorHAnsi"/>
          <w:color w:val="000000"/>
          <w:lang w:eastAsia="en-GB"/>
        </w:rPr>
        <w:t xml:space="preserve">e stage of collection in which </w:t>
      </w:r>
      <w:r w:rsidRPr="009B3747">
        <w:rPr>
          <w:rFonts w:eastAsia="Times New Roman" w:cstheme="minorHAnsi"/>
          <w:color w:val="000000"/>
          <w:lang w:eastAsia="en-GB"/>
        </w:rPr>
        <w:t>co</w:t>
      </w:r>
      <w:r w:rsidR="005A045A" w:rsidRPr="009B3747">
        <w:rPr>
          <w:rFonts w:eastAsia="Times New Roman" w:cstheme="minorHAnsi"/>
          <w:color w:val="000000"/>
          <w:lang w:eastAsia="en-GB"/>
        </w:rPr>
        <w:t>mpleteness</w:t>
      </w:r>
      <w:r w:rsidR="0030128E" w:rsidRPr="009B3747">
        <w:rPr>
          <w:rFonts w:eastAsia="Times New Roman" w:cstheme="minorHAnsi"/>
          <w:color w:val="000000"/>
          <w:lang w:eastAsia="en-GB"/>
        </w:rPr>
        <w:t xml:space="preserve"> occurs (Guest et al.,</w:t>
      </w:r>
      <w:r w:rsidRPr="009B3747">
        <w:rPr>
          <w:rFonts w:eastAsia="Times New Roman" w:cstheme="minorHAnsi"/>
          <w:color w:val="000000"/>
          <w:lang w:eastAsia="en-GB"/>
        </w:rPr>
        <w:t xml:space="preserve"> 2006), where a resea</w:t>
      </w:r>
      <w:r w:rsidR="0030128E" w:rsidRPr="009B3747">
        <w:rPr>
          <w:rFonts w:eastAsia="Times New Roman" w:cstheme="minorHAnsi"/>
          <w:color w:val="000000"/>
          <w:lang w:eastAsia="en-GB"/>
        </w:rPr>
        <w:t xml:space="preserve">rcher is gathering data to the </w:t>
      </w:r>
      <w:r w:rsidR="0030128E" w:rsidRPr="009B3747">
        <w:rPr>
          <w:rFonts w:eastAsia="Times New Roman" w:cstheme="minorHAnsi"/>
          <w:i/>
          <w:color w:val="000000"/>
          <w:lang w:eastAsia="en-GB"/>
        </w:rPr>
        <w:t>“</w:t>
      </w:r>
      <w:r w:rsidRPr="009B3747">
        <w:rPr>
          <w:rFonts w:eastAsia="Times New Roman" w:cstheme="minorHAnsi"/>
          <w:i/>
          <w:color w:val="000000"/>
          <w:lang w:eastAsia="en-GB"/>
        </w:rPr>
        <w:t>point of di</w:t>
      </w:r>
      <w:r w:rsidR="0030128E" w:rsidRPr="009B3747">
        <w:rPr>
          <w:rFonts w:eastAsia="Times New Roman" w:cstheme="minorHAnsi"/>
          <w:i/>
          <w:color w:val="000000"/>
          <w:lang w:eastAsia="en-GB"/>
        </w:rPr>
        <w:t xml:space="preserve">minishing returns” </w:t>
      </w:r>
      <w:r w:rsidR="0030128E" w:rsidRPr="009B3747">
        <w:rPr>
          <w:rFonts w:eastAsia="Times New Roman" w:cstheme="minorHAnsi"/>
          <w:color w:val="000000"/>
          <w:lang w:eastAsia="en-GB"/>
        </w:rPr>
        <w:t>(Bowe</w:t>
      </w:r>
      <w:r w:rsidR="00FB5B00" w:rsidRPr="009B3747">
        <w:rPr>
          <w:rFonts w:eastAsia="Times New Roman" w:cstheme="minorHAnsi"/>
          <w:color w:val="000000"/>
          <w:lang w:eastAsia="en-GB"/>
        </w:rPr>
        <w:t>n, 2008, p.1</w:t>
      </w:r>
      <w:r w:rsidRPr="009B3747">
        <w:rPr>
          <w:rFonts w:eastAsia="Times New Roman" w:cstheme="minorHAnsi"/>
          <w:color w:val="000000"/>
          <w:lang w:eastAsia="en-GB"/>
        </w:rPr>
        <w:t>40) and nothing new is being added</w:t>
      </w:r>
      <w:r w:rsidR="0030128E" w:rsidRPr="009B3747">
        <w:rPr>
          <w:rFonts w:eastAsia="Times New Roman" w:cstheme="minorHAnsi"/>
          <w:color w:val="000000"/>
          <w:lang w:eastAsia="en-GB"/>
        </w:rPr>
        <w:t xml:space="preserve"> </w:t>
      </w:r>
      <w:r w:rsidR="0030128E"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"Huberman", "given" : "AM", "non-dropping-particle" : "", "parse-names" : false, "suffix" : "" }, { "dropping-particle" : "", "family" : "Miles", "given" : "MB", "non-dropping-particle" : "", "parse-names" : false, "suffix" : "" } ], "container-title" : "Handbook of Qualitative Research", "editor" : [ { "dropping-particle" : "", "family" : "Denzin", "given" : "N", "non-dropping-particle" : "", "parse-names" : false, "suffix" : "" }, { "dropping-particle" : "", "family" : "Lincoln", "given" : "Y", "non-dropping-particle" : "", "parse-names" : false, "suffix" : "" } ], "id" : "ITEM-1", "issued" : { "date-parts" : [ [ "1994" ] ] }, "page" : "428-444", "publisher" : "SAGE Publications Inc.", "publisher-place" : "Thousand Oaks", "title" : "Data management and analysis methods.", "type" : "chapter" }, "uris" : [ "http://www.mendeley.com/documents/?uuid=53873740-1c63-4954-a785-3373bda1fdb5" ] }, { "id" : "ITEM-2", "itemData" : { "author" : [ { "dropping-particle" : "", "family" : "Corbin", "given" : "J", "non-dropping-particle" : "", "parse-names" : false, "suffix" : "" }, { "dropping-particle" : "", "family" : "Strauss", "given" : "A", "non-dropping-particle" : "", "parse-names" : false, "suffix" : "" } ], "edition" : "4th", "id" : "ITEM-2", "issued" : { "date-parts" : [ [ "2015" ] ] }, "publisher" : "SAGE Publications Inc.", "publisher-place" : "Los Angeles", "title" : "Basics of qualitative research: Techniques and procedures for developing grounded theory", "type" : "book" }, "uris" : [ "http://www.mendeley.com/documents/?uuid=12bb17b3-69bc-42eb-9b8e-27e84b42a382" ] } ], "mendeley" : { "formattedCitation" : "(Huberman and Miles, 1994; Corbin and Strauss, 2015)", "plainTextFormattedCitation" : "(Huberman and Miles, 1994; Corbin and Strauss, 2015)", "previouslyFormattedCitation" : "(Huberman and Miles, 1994; Corbin and Strauss, 2015)" }, "properties" : { "noteIndex" : 0 }, "schema" : "https://github.com/citation-style-language/schema/raw/master/csl-citation.json" }</w:instrText>
      </w:r>
      <w:r w:rsidR="0030128E" w:rsidRPr="009B3747">
        <w:rPr>
          <w:rFonts w:eastAsia="Times New Roman" w:cstheme="minorHAnsi"/>
          <w:color w:val="000000"/>
          <w:lang w:eastAsia="en-GB"/>
        </w:rPr>
        <w:fldChar w:fldCharType="separate"/>
      </w:r>
      <w:r w:rsidR="0047189B" w:rsidRPr="009B3747">
        <w:rPr>
          <w:rFonts w:eastAsia="Times New Roman" w:cstheme="minorHAnsi"/>
          <w:noProof/>
          <w:color w:val="000000"/>
          <w:lang w:eastAsia="en-GB"/>
        </w:rPr>
        <w:t>(Huberman and Miles, 1994; Corbin and Strauss, 2015)</w:t>
      </w:r>
      <w:r w:rsidR="0030128E" w:rsidRPr="009B3747">
        <w:rPr>
          <w:rFonts w:eastAsia="Times New Roman" w:cstheme="minorHAnsi"/>
          <w:color w:val="000000"/>
          <w:lang w:eastAsia="en-GB"/>
        </w:rPr>
        <w:fldChar w:fldCharType="end"/>
      </w:r>
      <w:r w:rsidRPr="009B3747">
        <w:rPr>
          <w:rFonts w:eastAsia="Times New Roman" w:cstheme="minorHAnsi"/>
          <w:color w:val="000000"/>
          <w:lang w:eastAsia="en-GB"/>
        </w:rPr>
        <w:t>.  Despit</w:t>
      </w:r>
      <w:r w:rsidR="0030128E" w:rsidRPr="009B3747">
        <w:rPr>
          <w:rFonts w:eastAsia="Times New Roman" w:cstheme="minorHAnsi"/>
          <w:color w:val="000000"/>
          <w:lang w:eastAsia="en-GB"/>
        </w:rPr>
        <w:t xml:space="preserve">e the fact that saturation has </w:t>
      </w:r>
      <w:r w:rsidR="0030128E" w:rsidRPr="009B3747">
        <w:rPr>
          <w:rFonts w:eastAsia="Times New Roman" w:cstheme="minorHAnsi"/>
          <w:i/>
          <w:color w:val="000000"/>
          <w:lang w:eastAsia="en-GB"/>
        </w:rPr>
        <w:t>“</w:t>
      </w:r>
      <w:r w:rsidRPr="009B3747">
        <w:rPr>
          <w:rFonts w:eastAsia="Times New Roman" w:cstheme="minorHAnsi"/>
          <w:i/>
          <w:color w:val="000000"/>
          <w:lang w:eastAsia="en-GB"/>
        </w:rPr>
        <w:t>become the gold standard by which purposive sample sizes are determ</w:t>
      </w:r>
      <w:r w:rsidR="0030128E" w:rsidRPr="009B3747">
        <w:rPr>
          <w:rFonts w:eastAsia="Times New Roman" w:cstheme="minorHAnsi"/>
          <w:i/>
          <w:color w:val="000000"/>
          <w:lang w:eastAsia="en-GB"/>
        </w:rPr>
        <w:t>ined in health science research”</w:t>
      </w:r>
      <w:r w:rsidRPr="009B3747">
        <w:rPr>
          <w:rFonts w:eastAsia="Times New Roman" w:cstheme="minorHAnsi"/>
          <w:color w:val="000000"/>
          <w:lang w:eastAsia="en-GB"/>
        </w:rPr>
        <w:t xml:space="preserve"> (Guest et al, 2006, p</w:t>
      </w:r>
      <w:r w:rsidR="00FB5B00" w:rsidRPr="009B3747">
        <w:rPr>
          <w:rFonts w:eastAsia="Times New Roman" w:cstheme="minorHAnsi"/>
          <w:color w:val="000000"/>
          <w:lang w:eastAsia="en-GB"/>
        </w:rPr>
        <w:t>.</w:t>
      </w:r>
      <w:r w:rsidRPr="009B3747">
        <w:rPr>
          <w:rFonts w:eastAsia="Times New Roman" w:cstheme="minorHAnsi"/>
          <w:color w:val="000000"/>
          <w:lang w:eastAsia="en-GB"/>
        </w:rPr>
        <w:t>60), it remains a debated and contested concept in qualitative research.  This is highlighte</w:t>
      </w:r>
      <w:r w:rsidR="0030128E" w:rsidRPr="009B3747">
        <w:rPr>
          <w:rFonts w:eastAsia="Times New Roman" w:cstheme="minorHAnsi"/>
          <w:color w:val="000000"/>
          <w:lang w:eastAsia="en-GB"/>
        </w:rPr>
        <w:t xml:space="preserve">d by the lack of </w:t>
      </w:r>
      <w:r w:rsidR="0030128E" w:rsidRPr="009B3747">
        <w:rPr>
          <w:rFonts w:eastAsia="Times New Roman" w:cstheme="minorHAnsi"/>
          <w:i/>
          <w:color w:val="000000"/>
          <w:lang w:eastAsia="en-GB"/>
        </w:rPr>
        <w:t>“</w:t>
      </w:r>
      <w:r w:rsidRPr="009B3747">
        <w:rPr>
          <w:rFonts w:eastAsia="Times New Roman" w:cstheme="minorHAnsi"/>
          <w:i/>
          <w:color w:val="000000"/>
          <w:lang w:eastAsia="en-GB"/>
        </w:rPr>
        <w:t>published guidelines or tests of adequacy for estimating the sample si</w:t>
      </w:r>
      <w:r w:rsidR="0030128E" w:rsidRPr="009B3747">
        <w:rPr>
          <w:rFonts w:eastAsia="Times New Roman" w:cstheme="minorHAnsi"/>
          <w:i/>
          <w:color w:val="000000"/>
          <w:lang w:eastAsia="en-GB"/>
        </w:rPr>
        <w:t>ze required to reach saturation”</w:t>
      </w:r>
      <w:r w:rsidRPr="009B3747">
        <w:rPr>
          <w:rFonts w:eastAsia="Times New Roman" w:cstheme="minorHAnsi"/>
          <w:color w:val="000000"/>
          <w:lang w:eastAsia="en-GB"/>
        </w:rPr>
        <w:t xml:space="preserve"> </w:t>
      </w:r>
      <w:r w:rsidR="0030128E" w:rsidRPr="009B3747">
        <w:rPr>
          <w:rFonts w:eastAsia="Times New Roman" w:cstheme="minorHAnsi"/>
          <w:color w:val="000000"/>
          <w:lang w:eastAsia="en-GB"/>
        </w:rPr>
        <w:fldChar w:fldCharType="begin" w:fldLock="1"/>
      </w:r>
      <w:r w:rsidR="00224C9C" w:rsidRPr="009B3747">
        <w:rPr>
          <w:rFonts w:eastAsia="Times New Roman" w:cstheme="minorHAnsi"/>
          <w:color w:val="000000"/>
          <w:lang w:eastAsia="en-GB"/>
        </w:rPr>
        <w:instrText>ADDIN CSL_CITATION { "citationItems" : [ { "id" : "ITEM-1", "itemData" : { "DOI" : "10.1177/104973239500500201", "ISSN" : "1049-7323", "author" : [ { "dropping-particle" : "", "family" : "Morse", "given" : "J. M.", "non-dropping-particle" : "", "parse-names" : false, "suffix" : "" } ], "container-title" : "Qualitative Health Research", "id" : "ITEM-1", "issue" : "2", "issued" : { "date-parts" : [ [ "1995", "5", "1" ] ] }, "page" : "147-149", "publisher" : "SAGE Publications Inc.", "title" : "The Significance of Saturation", "type" : "article-journal", "volume" : "5" }, "uris" : [ "http://www.mendeley.com/documents/?uuid=f769cb43-50d8-3670-8139-c5fef5430907" ] } ], "mendeley" : { "formattedCitation" : "(J. M. Morse, 1995)", "manualFormatting" : "(Morse, 1995, p.147)", "plainTextFormattedCitation" : "(J. M. Morse, 1995)", "previouslyFormattedCitation" : "(J. M. Morse, 1995)" }, "properties" : { "noteIndex" : 0 }, "schema" : "https://github.com/citation-style-language/schema/raw/master/csl-citation.json" }</w:instrText>
      </w:r>
      <w:r w:rsidR="0030128E" w:rsidRPr="009B3747">
        <w:rPr>
          <w:rFonts w:eastAsia="Times New Roman" w:cstheme="minorHAnsi"/>
          <w:color w:val="000000"/>
          <w:lang w:eastAsia="en-GB"/>
        </w:rPr>
        <w:fldChar w:fldCharType="separate"/>
      </w:r>
      <w:r w:rsidR="0030128E" w:rsidRPr="009B3747">
        <w:rPr>
          <w:rFonts w:eastAsia="Times New Roman" w:cstheme="minorHAnsi"/>
          <w:noProof/>
          <w:color w:val="000000"/>
          <w:lang w:eastAsia="en-GB"/>
        </w:rPr>
        <w:t>(Morse, 1995</w:t>
      </w:r>
      <w:r w:rsidR="00FB5B00" w:rsidRPr="009B3747">
        <w:rPr>
          <w:rFonts w:eastAsia="Times New Roman" w:cstheme="minorHAnsi"/>
          <w:noProof/>
          <w:color w:val="000000"/>
          <w:lang w:eastAsia="en-GB"/>
        </w:rPr>
        <w:t>, p.</w:t>
      </w:r>
      <w:r w:rsidR="0030128E" w:rsidRPr="009B3747">
        <w:rPr>
          <w:rFonts w:eastAsia="Times New Roman" w:cstheme="minorHAnsi"/>
          <w:noProof/>
          <w:color w:val="000000"/>
          <w:lang w:eastAsia="en-GB"/>
        </w:rPr>
        <w:t>147)</w:t>
      </w:r>
      <w:r w:rsidR="0030128E" w:rsidRPr="009B3747">
        <w:rPr>
          <w:rFonts w:eastAsia="Times New Roman" w:cstheme="minorHAnsi"/>
          <w:color w:val="000000"/>
          <w:lang w:eastAsia="en-GB"/>
        </w:rPr>
        <w:fldChar w:fldCharType="end"/>
      </w:r>
      <w:r w:rsidR="002977A1" w:rsidRPr="009B3747">
        <w:rPr>
          <w:rFonts w:eastAsia="Times New Roman" w:cstheme="minorHAnsi"/>
          <w:color w:val="000000"/>
          <w:lang w:eastAsia="en-GB"/>
        </w:rPr>
        <w:t>.</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t>Academics have argued that an extensive range of factors determine data saturation (Mason, 2010; Baker and Edwards, 2012), including the type of data collection methods, the heterogeneity of the study population and the breadth and scope of the research question</w:t>
      </w:r>
      <w:r w:rsidR="002977A1" w:rsidRPr="009B3747">
        <w:rPr>
          <w:rFonts w:eastAsia="Times New Roman" w:cstheme="minorHAnsi"/>
          <w:color w:val="000000"/>
          <w:lang w:eastAsia="en-GB"/>
        </w:rPr>
        <w:t xml:space="preserve"> </w:t>
      </w:r>
      <w:r w:rsidR="002977A1" w:rsidRPr="009B3747">
        <w:rPr>
          <w:rFonts w:eastAsia="Times New Roman" w:cstheme="minorHAnsi"/>
          <w:color w:val="000000"/>
          <w:lang w:eastAsia="en-GB"/>
        </w:rPr>
        <w:fldChar w:fldCharType="begin" w:fldLock="1"/>
      </w:r>
      <w:r w:rsidR="002977A1" w:rsidRPr="009B3747">
        <w:rPr>
          <w:rFonts w:eastAsia="Times New Roman" w:cstheme="minorHAnsi"/>
          <w:color w:val="000000"/>
          <w:lang w:eastAsia="en-GB"/>
        </w:rPr>
        <w:instrText>ADDIN CSL_CITATION { "citationItems" : [ { "id" : "ITEM-1", "itemData" : { "DOI" : "10.1177/104973200129118183", "ISSN" : "1049-7323", "author" : [ { "dropping-particle" : "", "family" : "Morse", "given" : "J. M.", "non-dropping-particle" : "", "parse-names" : false, "suffix" : "" } ], "container-title" : "Qualitative Health Research", "id" : "ITEM-1", "issue" : "1", "issued" : { "date-parts" : [ [ "2000", "1", "1" ] ] }, "page" : "3-5", "publisher" : "Sage PublicationsSage CA: Thousand Oaks, CA", "title" : "Determining Sample Size", "type" : "article-journal", "volume" : "10" }, "uris" : [ "http://www.mendeley.com/documents/?uuid=1fd16db6-f8d1-3f9e-8980-688f3d04dce4" ] }, { "id" : "ITEM-2", "itemData" : { "author" : [ { "dropping-particle" : "", "family" : "Mason", "given" : "M", "non-dropping-particle" : "", "parse-names" : false, "suffix" : "" } ], "container-title" : "Forum qualitative Sozialforschung/Forum: qualitative social research", "id" : "ITEM-2", "issue" : "3", "issued" : { "date-parts" : [ [ "2010" ] ] }, "title" : "Sample Size and Saturation in PhD Studies Using Qualitative Interviews", "type" : "article-journal", "volume" : "11" }, "uris" : [ "http://www.mendeley.com/documents/?uuid=9249f9b3-a0dd-4893-9414-6a920c7dd075" ] } ], "mendeley" : { "formattedCitation" : "(Morse, 2000; Mason, 2010)", "plainTextFormattedCitation" : "(Morse, 2000; Mason, 2010)", "previouslyFormattedCitation" : "(Morse, 2000; Mason, 2010)" }, "properties" : { "noteIndex" : 0 }, "schema" : "https://github.com/citation-style-language/schema/raw/master/csl-citation.json" }</w:instrText>
      </w:r>
      <w:r w:rsidR="002977A1" w:rsidRPr="009B3747">
        <w:rPr>
          <w:rFonts w:eastAsia="Times New Roman" w:cstheme="minorHAnsi"/>
          <w:color w:val="000000"/>
          <w:lang w:eastAsia="en-GB"/>
        </w:rPr>
        <w:fldChar w:fldCharType="separate"/>
      </w:r>
      <w:r w:rsidR="002977A1" w:rsidRPr="009B3747">
        <w:rPr>
          <w:rFonts w:eastAsia="Times New Roman" w:cstheme="minorHAnsi"/>
          <w:noProof/>
          <w:color w:val="000000"/>
          <w:lang w:eastAsia="en-GB"/>
        </w:rPr>
        <w:t>(Morse, 2000; Mason, 2010)</w:t>
      </w:r>
      <w:r w:rsidR="002977A1"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w:t>
      </w:r>
      <w:r w:rsidRPr="009B3747">
        <w:rPr>
          <w:rFonts w:eastAsia="Times New Roman" w:cstheme="minorHAnsi"/>
          <w:color w:val="000000"/>
          <w:lang w:eastAsia="en-GB"/>
        </w:rPr>
        <w:lastRenderedPageBreak/>
        <w:t>The substantial variation in how and when data saturation is arrived at, has led to academics claiming an inability to firmly answer a question frequently posed by less experienced researchers</w:t>
      </w:r>
      <w:r w:rsidR="007F3CF4">
        <w:rPr>
          <w:rFonts w:eastAsia="Times New Roman" w:cstheme="minorHAnsi"/>
          <w:color w:val="000000"/>
          <w:lang w:eastAsia="en-GB"/>
        </w:rPr>
        <w:t>,</w:t>
      </w:r>
      <w:r w:rsidRPr="009B3747">
        <w:rPr>
          <w:rFonts w:eastAsia="Times New Roman" w:cstheme="minorHAnsi"/>
          <w:color w:val="000000"/>
          <w:lang w:eastAsia="en-GB"/>
        </w:rPr>
        <w:t xml:space="preserve"> i.e. ‘how many interviews is enough?’ (Baker and Edwards, 2012).  A standard figure doesn’t exist to address this question, despite multiple researchers attempting to quantify an answer or at least provide overarching guidance (Mason, 2010, Baker and Edwards, 2012).  Therefore whilst data saturation can be of use at a conceptual level, </w:t>
      </w:r>
      <w:r w:rsidR="00461D3C" w:rsidRPr="009B3747">
        <w:rPr>
          <w:rFonts w:eastAsia="Times New Roman" w:cstheme="minorHAnsi"/>
          <w:color w:val="000000"/>
          <w:lang w:eastAsia="en-GB"/>
        </w:rPr>
        <w:t>its</w:t>
      </w:r>
      <w:r w:rsidRPr="009B3747">
        <w:rPr>
          <w:rFonts w:eastAsia="Times New Roman" w:cstheme="minorHAnsi"/>
          <w:color w:val="000000"/>
          <w:lang w:eastAsia="en-GB"/>
        </w:rPr>
        <w:t xml:space="preserve"> illusive nature and the lack of associated practical guidelines can pose a frustrating challenge, especially for novice researchers who are attempting to conduct quality research. </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t>In relation to this study, the familiar questions often asked by early-career researchers of ‘how many interviews should I do?’, ‘how will I know when I have done enough?’, ‘when do I stop?’ (Baker and Edwards, 2012) were posed at the point of developing the research proposal.  To support the process of answering these questions within this phase of the research, three approaches were undertaken.  Firstly a theoretical understanding of data saturation was obtained from reviewing relevant research literature.  Secondly, the researcher committed to concurrently collecting and analysing the data in order to support the easier and earlier recognition of saturation</w:t>
      </w:r>
      <w:r w:rsidR="002977A1" w:rsidRPr="009B3747">
        <w:rPr>
          <w:rFonts w:eastAsia="Times New Roman" w:cstheme="minorHAnsi"/>
          <w:color w:val="000000"/>
          <w:lang w:eastAsia="en-GB"/>
        </w:rPr>
        <w:t xml:space="preserve"> </w:t>
      </w:r>
      <w:r w:rsidR="002977A1" w:rsidRPr="009B3747">
        <w:rPr>
          <w:rFonts w:eastAsia="Times New Roman" w:cstheme="minorHAnsi"/>
          <w:color w:val="000000"/>
          <w:lang w:eastAsia="en-GB"/>
        </w:rPr>
        <w:fldChar w:fldCharType="begin" w:fldLock="1"/>
      </w:r>
      <w:r w:rsidR="002977A1" w:rsidRPr="009B3747">
        <w:rPr>
          <w:rFonts w:eastAsia="Times New Roman" w:cstheme="minorHAnsi"/>
          <w:color w:val="000000"/>
          <w:lang w:eastAsia="en-GB"/>
        </w:rPr>
        <w:instrText>ADDIN CSL_CITATION { "citationItems" : [ { "id" : "ITEM-1", "itemData" : { "DOI" : "10.1002/nur.4770180211", "ISSN" : "01606891", "author" : [ { "dropping-particle" : "", "family" : "Sandelowski", "given" : "Margarete", "non-dropping-particle" : "", "parse-names" : false, "suffix" : "" } ], "container-title" : "Research in Nursing &amp; Health", "id" : "ITEM-1", "issue" : "2", "issued" : { "date-parts" : [ [ "1995", "4", "1" ] ] }, "page" : "179-183", "publisher" : "Wiley Subscription Services, Inc., A Wiley Company", "title" : "Sample size in qualitative research", "type" : "article-journal", "volume" : "18" }, "uris" : [ "http://www.mendeley.com/documents/?uuid=058baf47-4503-3cf0-bc0b-a58fe4d81cce" ] }, { "id" : "ITEM-2", "itemData" : { "DOI" : "10.1002/nur.1025", "ISSN" : "0160-6891", "author" : [ { "dropping-particle" : "", "family" : "Sandelowski", "given" : "Margarete", "non-dropping-particle" : "", "parse-names" : false, "suffix" : "" } ], "container-title" : "Research in Nursing &amp; Health", "id" : "ITEM-2", "issue" : "3", "issued" : { "date-parts" : [ [ "2001", "6", "1" ] ] }, "page" : "230-240", "publisher" : "John Wiley &amp; Sons, Inc.", "title" : "Real qualitative researchers do not count: The use of numbers in qualitative research", "type" : "article-journal", "volume" : "24" }, "uris" : [ "http://www.mendeley.com/documents/?uuid=cfab6140-6e9c-3c53-a141-7f0fa6349266" ] }, { "id" : "ITEM-3", "itemData" : { "DOI" : "10.1108/14691930410533704", "ISSN" : "1469-1930", "abstract" : "Increasingly, researchers in the field of intellectual capital (IC) need to be able to justify the specific research methods they use to collect the empirical data that they examine to support and test opinions regarding the merit of different approaches to managing and reporting IC. Of the various methods available to researchers seeking to understand intellectual capital reporting (ICR), content analysis is the most popular. The aim of this paper is to review the use of content analysis as a research method in understanding ICR and to offer some observations on the practical utility of the method. Further, the paper examines several research method issues relating to the use of content analysis that have been discussed in the social environmental accounting literature, but not as yet in the IC literature, which we believe are relevant to investigations underway in the field of ICR. This paper reports on several developmental issues we have confronted when using content analysis to examine the voluntary ...", "author" : [ { "dropping-particle" : "", "family" : "Guthrie", "given" : "J.", "non-dropping-particle" : "", "parse-names" : false, "suffix" : "" }, { "dropping-particle" : "", "family" : "Petty", "given" : "R.", "non-dropping-particle" : "", "parse-names" : false, "suffix" : "" }, { "dropping-particle" : "", "family" : "Yongvanich", "given" : "K.", "non-dropping-particle" : "", "parse-names" : false, "suffix" : "" }, { "dropping-particle" : "", "family" : "Ricceri", "given" : "F.", "non-dropping-particle" : "", "parse-names" : false, "suffix" : "" } ], "container-title" : "Journal of Intellectual Capital", "id" : "ITEM-3", "issue" : "2", "issued" : { "date-parts" : [ [ "2004", "6", "12" ] ] }, "page" : "282-293", "publisher" : "Emerald Group Publishing Limited", "title" : "Using content analysis as a research method to inquire into intellectual capital reporting", "type" : "article-journal", "volume" : "5" }, "uris" : [ "http://www.mendeley.com/documents/?uuid=6e90c1cb-1823-3d15-84f4-dcf1ce4ad667" ] } ], "mendeley" : { "formattedCitation" : "(Sandelowski, 1995, 2001; Guthrie et al., 2004)", "plainTextFormattedCitation" : "(Sandelowski, 1995, 2001; Guthrie et al., 2004)", "previouslyFormattedCitation" : "(Sandelowski, 1995, 2001; Guthrie et al., 2004)" }, "properties" : { "noteIndex" : 0 }, "schema" : "https://github.com/citation-style-language/schema/raw/master/csl-citation.json" }</w:instrText>
      </w:r>
      <w:r w:rsidR="002977A1" w:rsidRPr="009B3747">
        <w:rPr>
          <w:rFonts w:eastAsia="Times New Roman" w:cstheme="minorHAnsi"/>
          <w:color w:val="000000"/>
          <w:lang w:eastAsia="en-GB"/>
        </w:rPr>
        <w:fldChar w:fldCharType="separate"/>
      </w:r>
      <w:r w:rsidR="002977A1" w:rsidRPr="009B3747">
        <w:rPr>
          <w:rFonts w:eastAsia="Times New Roman" w:cstheme="minorHAnsi"/>
          <w:noProof/>
          <w:color w:val="000000"/>
          <w:lang w:eastAsia="en-GB"/>
        </w:rPr>
        <w:t>(Sandelowski, 1995, 2001; Guthrie et al., 2004)</w:t>
      </w:r>
      <w:r w:rsidR="002977A1" w:rsidRPr="009B3747">
        <w:rPr>
          <w:rFonts w:eastAsia="Times New Roman" w:cstheme="minorHAnsi"/>
          <w:color w:val="000000"/>
          <w:lang w:eastAsia="en-GB"/>
        </w:rPr>
        <w:fldChar w:fldCharType="end"/>
      </w:r>
      <w:r w:rsidRPr="009B3747">
        <w:rPr>
          <w:rFonts w:eastAsia="Times New Roman" w:cstheme="minorHAnsi"/>
          <w:color w:val="000000"/>
          <w:lang w:eastAsia="en-GB"/>
        </w:rPr>
        <w:t>.  This involved undertaking preliminary analysis by transcribing interviews within a week of each interview taking place and reading and re-reading the data obtained.  This approach, enabled an exploration of what was starting to be known in the data</w:t>
      </w:r>
      <w:r w:rsidR="00281979">
        <w:rPr>
          <w:rFonts w:eastAsia="Times New Roman" w:cstheme="minorHAnsi"/>
          <w:color w:val="000000"/>
          <w:lang w:eastAsia="en-GB"/>
        </w:rPr>
        <w:t>,</w:t>
      </w:r>
      <w:r w:rsidRPr="009B3747">
        <w:rPr>
          <w:rFonts w:eastAsia="Times New Roman" w:cstheme="minorHAnsi"/>
          <w:color w:val="000000"/>
          <w:lang w:eastAsia="en-GB"/>
        </w:rPr>
        <w:t xml:space="preserve"> but also what the researcher felt needed to be known going forward.</w:t>
      </w:r>
      <w:r w:rsidR="002977A1" w:rsidRPr="009B3747">
        <w:rPr>
          <w:rFonts w:eastAsia="Times New Roman" w:cstheme="minorHAnsi"/>
          <w:color w:val="000000"/>
          <w:lang w:eastAsia="en-GB"/>
        </w:rPr>
        <w:t xml:space="preserve">  Morse and colleagues (</w:t>
      </w:r>
      <w:r w:rsidR="002977A1" w:rsidRPr="009B3747">
        <w:rPr>
          <w:rFonts w:eastAsia="Times New Roman" w:cstheme="minorHAnsi"/>
          <w:color w:val="000000"/>
          <w:lang w:eastAsia="en-GB"/>
        </w:rPr>
        <w:fldChar w:fldCharType="begin" w:fldLock="1"/>
      </w:r>
      <w:r w:rsidR="002977A1" w:rsidRPr="009B3747">
        <w:rPr>
          <w:rFonts w:eastAsia="Times New Roman" w:cstheme="minorHAnsi"/>
          <w:color w:val="000000"/>
          <w:lang w:eastAsia="en-GB"/>
        </w:rPr>
        <w:instrText>ADDIN CSL_CITATION { "citationItems" : [ { "id" : "ITEM-1", "itemData" : { "DOI" : "10.1177/160940690200100202", "ISSN" : "1609-4069", "abstract" : "The rejection of reliability and validity in qualitative inquiry in the 1980s has resulted in an interesting shift for \u201censuring rigor\u201d from the investigator's actions during the course of the research, to the reader or consumer of qualitative inquiry. The emphasis on strategies that are implemented during the research process has been replaced by strategies for evaluating trustworthiness and utility that are implemented once a study is completed. In this article, we argue that reliability and validity remain appropriate concepts for attaining rigor in qualitative research. We argue that qualitative researchers should reclaim responsibility for reliability and validity by implementing verification strategies integral and self-correcting during the conduct of inquiry itself. This ensures the attainment of rigor using strategies inherent within each qualitative design, and moves the responsibility for incorporating and maintaining reliability and validity from external reviewers' judgements to the investiga...", "author" : [ { "dropping-particle" : "", "family" : "Morse", "given" : "Janice M.", "non-dropping-particle" : "", "parse-names" : false, "suffix" : "" }, { "dropping-particle" : "", "family" : "Barrett", "given" : "Michael", "non-dropping-particle" : "", "parse-names" : false, "suffix" : "" }, { "dropping-particle" : "", "family" : "Mayan", "given" : "Maria", "non-dropping-particle" : "", "parse-names" : false, "suffix" : "" }, { "dropping-particle" : "", "family" : "Olson", "given" : "Karin", "non-dropping-particle" : "", "parse-names" : false, "suffix" : "" }, { "dropping-particle" : "", "family" : "Spiers", "given" : "Jude", "non-dropping-particle" : "", "parse-names" : false, "suffix" : "" } ], "container-title" : "International Journal of Qualitative Methods", "id" : "ITEM-1", "issue" : "2", "issued" : { "date-parts" : [ [ "2002", "6", "30" ] ] }, "page" : "13-22", "publisher" : "SAGE PublicationsSage CA: Los Angeles, CA", "title" : "Verification Strategies for Establishing Reliability and Validity in Qualitative Research", "type" : "article-journal", "volume" : "1" }, "uris" : [ "http://www.mendeley.com/documents/?uuid=1bb0513b-1eb6-3194-9547-8a7ed80b45c2" ] } ], "mendeley" : { "formattedCitation" : "(Morse et al., 2002)", "manualFormatting" : "Morse et al., 2002)", "plainTextFormattedCitation" : "(Morse et al., 2002)", "previouslyFormattedCitation" : "(Morse et al., 2002)" }, "properties" : { "noteIndex" : 0 }, "schema" : "https://github.com/citation-style-language/schema/raw/master/csl-citation.json" }</w:instrText>
      </w:r>
      <w:r w:rsidR="002977A1" w:rsidRPr="009B3747">
        <w:rPr>
          <w:rFonts w:eastAsia="Times New Roman" w:cstheme="minorHAnsi"/>
          <w:color w:val="000000"/>
          <w:lang w:eastAsia="en-GB"/>
        </w:rPr>
        <w:fldChar w:fldCharType="separate"/>
      </w:r>
      <w:r w:rsidR="002977A1" w:rsidRPr="009B3747">
        <w:rPr>
          <w:rFonts w:eastAsia="Times New Roman" w:cstheme="minorHAnsi"/>
          <w:noProof/>
          <w:color w:val="000000"/>
          <w:lang w:eastAsia="en-GB"/>
        </w:rPr>
        <w:t>Morse et al., 2002)</w:t>
      </w:r>
      <w:r w:rsidR="002977A1" w:rsidRPr="009B3747">
        <w:rPr>
          <w:rFonts w:eastAsia="Times New Roman" w:cstheme="minorHAnsi"/>
          <w:color w:val="000000"/>
          <w:lang w:eastAsia="en-GB"/>
        </w:rPr>
        <w:fldChar w:fldCharType="end"/>
      </w:r>
      <w:r w:rsidR="002977A1" w:rsidRPr="009B3747">
        <w:rPr>
          <w:rFonts w:eastAsia="Times New Roman" w:cstheme="minorHAnsi"/>
          <w:color w:val="000000"/>
          <w:lang w:eastAsia="en-GB"/>
        </w:rPr>
        <w:t xml:space="preserve"> refers to this as an </w:t>
      </w:r>
      <w:r w:rsidRPr="009B3747">
        <w:rPr>
          <w:rFonts w:eastAsia="Times New Roman" w:cstheme="minorHAnsi"/>
          <w:color w:val="000000"/>
          <w:lang w:eastAsia="en-GB"/>
        </w:rPr>
        <w:t>iterative interaction between data and analysis.  Thirdly, throughout the data collection and early analysis stages, a reflective process was undertaken in conjunction with academic supervision.  This enabled the researcher to discuss the data in greater depth and generate initial mind-maps through the identification of emerging themes.</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t>The combination of the three approaches, led the researcher to assess under academic supervision that conducting further interviews after the 22</w:t>
      </w:r>
      <w:r w:rsidRPr="009B3747">
        <w:rPr>
          <w:rFonts w:eastAsia="Times New Roman" w:cstheme="minorHAnsi"/>
          <w:color w:val="000000"/>
          <w:vertAlign w:val="superscript"/>
          <w:lang w:eastAsia="en-GB"/>
        </w:rPr>
        <w:t>nd</w:t>
      </w:r>
      <w:r w:rsidRPr="009B3747">
        <w:rPr>
          <w:rFonts w:eastAsia="Times New Roman" w:cstheme="minorHAnsi"/>
          <w:color w:val="000000"/>
          <w:lang w:eastAsia="en-GB"/>
        </w:rPr>
        <w:t>, would hold minimal value and that nothing new would be learned that would contribute to answering the research question.  </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782EBA" w:rsidP="00510940">
      <w:pPr>
        <w:rPr>
          <w:rFonts w:eastAsia="Times New Roman" w:cstheme="minorHAnsi"/>
          <w:sz w:val="24"/>
          <w:szCs w:val="24"/>
          <w:lang w:eastAsia="en-GB"/>
        </w:rPr>
      </w:pPr>
      <w:r w:rsidRPr="009B3747">
        <w:rPr>
          <w:rFonts w:eastAsia="Times New Roman" w:cstheme="minorHAnsi"/>
          <w:b/>
          <w:bCs/>
          <w:color w:val="000000"/>
          <w:sz w:val="24"/>
          <w:szCs w:val="24"/>
          <w:u w:val="single"/>
          <w:lang w:eastAsia="en-GB"/>
        </w:rPr>
        <w:t>5</w:t>
      </w:r>
      <w:r w:rsidR="00CF32DA" w:rsidRPr="009B3747">
        <w:rPr>
          <w:rFonts w:eastAsia="Times New Roman" w:cstheme="minorHAnsi"/>
          <w:b/>
          <w:bCs/>
          <w:color w:val="000000"/>
          <w:sz w:val="24"/>
          <w:szCs w:val="24"/>
          <w:u w:val="single"/>
          <w:lang w:eastAsia="en-GB"/>
        </w:rPr>
        <w:t>.</w:t>
      </w:r>
      <w:r w:rsidR="002977A1" w:rsidRPr="009B3747">
        <w:rPr>
          <w:rFonts w:eastAsia="Times New Roman" w:cstheme="minorHAnsi"/>
          <w:b/>
          <w:bCs/>
          <w:color w:val="000000"/>
          <w:sz w:val="24"/>
          <w:szCs w:val="24"/>
          <w:u w:val="single"/>
          <w:lang w:eastAsia="en-GB"/>
        </w:rPr>
        <w:t>4</w:t>
      </w:r>
      <w:r w:rsidR="00CF32DA" w:rsidRPr="009B3747">
        <w:rPr>
          <w:rFonts w:eastAsia="Times New Roman" w:cstheme="minorHAnsi"/>
          <w:b/>
          <w:bCs/>
          <w:color w:val="000000"/>
          <w:sz w:val="24"/>
          <w:szCs w:val="24"/>
          <w:u w:val="single"/>
          <w:lang w:eastAsia="en-GB"/>
        </w:rPr>
        <w:t xml:space="preserve"> </w:t>
      </w:r>
      <w:r w:rsidR="00510940" w:rsidRPr="009B3747">
        <w:rPr>
          <w:rFonts w:eastAsia="Times New Roman" w:cstheme="minorHAnsi"/>
          <w:b/>
          <w:bCs/>
          <w:color w:val="000000"/>
          <w:sz w:val="24"/>
          <w:szCs w:val="24"/>
          <w:u w:val="single"/>
          <w:lang w:eastAsia="en-GB"/>
        </w:rPr>
        <w:t>Data collection</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t>Selecting an appropriate method to collect data is a crucial decision, one which is based not only on the research question, aims and objectives</w:t>
      </w:r>
      <w:r w:rsidR="00281979">
        <w:rPr>
          <w:rFonts w:eastAsia="Times New Roman" w:cstheme="minorHAnsi"/>
          <w:color w:val="000000"/>
          <w:lang w:eastAsia="en-GB"/>
        </w:rPr>
        <w:t>,</w:t>
      </w:r>
      <w:r w:rsidRPr="009B3747">
        <w:rPr>
          <w:rFonts w:eastAsia="Times New Roman" w:cstheme="minorHAnsi"/>
          <w:color w:val="000000"/>
          <w:lang w:eastAsia="en-GB"/>
        </w:rPr>
        <w:t xml:space="preserve"> but also the practicalities, capacity and resources of the researcher</w:t>
      </w:r>
      <w:r w:rsidR="002977A1" w:rsidRPr="009B3747">
        <w:rPr>
          <w:rFonts w:eastAsia="Times New Roman" w:cstheme="minorHAnsi"/>
          <w:color w:val="000000"/>
          <w:lang w:eastAsia="en-GB"/>
        </w:rPr>
        <w:t xml:space="preserve"> </w:t>
      </w:r>
      <w:r w:rsidR="002977A1"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"Bryman", "given" : "Alan", "non-dropping-particle" : "", "parse-names" : false, "suffix" : "" } ], "edition" : "5th", "id" : "ITEM-1", "issued" : { "date-parts" : [ [ "2016" ] ] }, "publisher" : "Open University Press", "publisher-place" : "Oxford", "title" : "Social research methods Bryman", "type" : "book" }, "uris" : [ "http://www.mendeley.com/documents/?uuid=0692fe00-046b-4dd5-8926-ccb7f7ef6057" ] } ], "mendeley" : { "formattedCitation" : "(Bryman, 2016)", "plainTextFormattedCitation" : "(Bryman, 2016)", "previouslyFormattedCitation" : "(Bryman, 2016)" }, "properties" : { "noteIndex" : 0 }, "schema" : "https://github.com/citation-style-language/schema/raw/master/csl-citation.json" }</w:instrText>
      </w:r>
      <w:r w:rsidR="002977A1" w:rsidRPr="009B3747">
        <w:rPr>
          <w:rFonts w:eastAsia="Times New Roman" w:cstheme="minorHAnsi"/>
          <w:color w:val="000000"/>
          <w:lang w:eastAsia="en-GB"/>
        </w:rPr>
        <w:fldChar w:fldCharType="separate"/>
      </w:r>
      <w:r w:rsidR="002977A1" w:rsidRPr="009B3747">
        <w:rPr>
          <w:rFonts w:eastAsia="Times New Roman" w:cstheme="minorHAnsi"/>
          <w:noProof/>
          <w:color w:val="000000"/>
          <w:lang w:eastAsia="en-GB"/>
        </w:rPr>
        <w:t>(Bryman, 2016)</w:t>
      </w:r>
      <w:r w:rsidR="002977A1"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Within the three overarching categories of qualitative data collection, </w:t>
      </w:r>
      <w:r w:rsidRPr="009B3747">
        <w:rPr>
          <w:rFonts w:eastAsia="Times New Roman" w:cstheme="minorHAnsi"/>
          <w:color w:val="000000"/>
          <w:lang w:eastAsia="en-GB"/>
        </w:rPr>
        <w:lastRenderedPageBreak/>
        <w:t>namely interviews, observations and document reviews, a variety of methods exist (Creswell, 2014).  To support the exploratory nature of the first phase of the mixed methods study design, semi-structured face to face interviews were used to collect study data.  </w:t>
      </w:r>
    </w:p>
    <w:p w:rsidR="00510940" w:rsidRPr="009B3747" w:rsidRDefault="00510940" w:rsidP="00510940">
      <w:pPr>
        <w:rPr>
          <w:rFonts w:eastAsia="Times New Roman" w:cstheme="minorHAnsi"/>
          <w:sz w:val="24"/>
          <w:szCs w:val="24"/>
          <w:u w:val="single"/>
          <w:lang w:eastAsia="en-GB"/>
        </w:rPr>
      </w:pPr>
      <w:r w:rsidRPr="009B3747">
        <w:rPr>
          <w:rFonts w:eastAsia="Times New Roman" w:cstheme="minorHAnsi"/>
          <w:bCs/>
          <w:color w:val="000000"/>
          <w:u w:val="single"/>
          <w:lang w:eastAsia="en-GB"/>
        </w:rPr>
        <w:br/>
      </w:r>
      <w:r w:rsidR="00782EBA" w:rsidRPr="009B3747">
        <w:rPr>
          <w:rFonts w:eastAsia="Times New Roman" w:cstheme="minorHAnsi"/>
          <w:bCs/>
          <w:color w:val="000000"/>
          <w:u w:val="single"/>
          <w:lang w:eastAsia="en-GB"/>
        </w:rPr>
        <w:t>5</w:t>
      </w:r>
      <w:r w:rsidR="00AB5071" w:rsidRPr="009B3747">
        <w:rPr>
          <w:rFonts w:eastAsia="Times New Roman" w:cstheme="minorHAnsi"/>
          <w:bCs/>
          <w:color w:val="000000"/>
          <w:u w:val="single"/>
          <w:lang w:eastAsia="en-GB"/>
        </w:rPr>
        <w:t>.4</w:t>
      </w:r>
      <w:r w:rsidR="00CF32DA" w:rsidRPr="009B3747">
        <w:rPr>
          <w:rFonts w:eastAsia="Times New Roman" w:cstheme="minorHAnsi"/>
          <w:bCs/>
          <w:color w:val="000000"/>
          <w:u w:val="single"/>
          <w:lang w:eastAsia="en-GB"/>
        </w:rPr>
        <w:t xml:space="preserve">.1 </w:t>
      </w:r>
      <w:r w:rsidRPr="009B3747">
        <w:rPr>
          <w:rFonts w:eastAsia="Times New Roman" w:cstheme="minorHAnsi"/>
          <w:bCs/>
          <w:color w:val="000000"/>
          <w:u w:val="single"/>
          <w:lang w:eastAsia="en-GB"/>
        </w:rPr>
        <w:t xml:space="preserve">Interviews </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AB5071" w:rsidRPr="009B3747" w:rsidRDefault="00510940" w:rsidP="00510940">
      <w:pPr>
        <w:rPr>
          <w:rFonts w:eastAsia="Times New Roman" w:cstheme="minorHAnsi"/>
          <w:color w:val="000000"/>
          <w:lang w:eastAsia="en-GB"/>
        </w:rPr>
      </w:pPr>
      <w:r w:rsidRPr="009B3747">
        <w:rPr>
          <w:rFonts w:eastAsia="Times New Roman" w:cstheme="minorHAnsi"/>
          <w:color w:val="000000"/>
          <w:lang w:eastAsia="en-GB"/>
        </w:rPr>
        <w:t>Interviews are considered to be the gold s</w:t>
      </w:r>
      <w:r w:rsidR="002977A1" w:rsidRPr="009B3747">
        <w:rPr>
          <w:rFonts w:eastAsia="Times New Roman" w:cstheme="minorHAnsi"/>
          <w:color w:val="000000"/>
          <w:lang w:eastAsia="en-GB"/>
        </w:rPr>
        <w:t xml:space="preserve">tandard of qualitative research </w:t>
      </w:r>
      <w:r w:rsidR="00AB5071"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"ISBN" : "9781446260142", "abstract" : "Fourth edition. \"In the fourth edition of his best-selling textbook, David Silverman provides a step-by-step guide to planning and conducting qualitative research. Using real examples from real postgraduate students, the book makes it easy to link theory to methods and shows how to move from understanding the principles of qualitative research to doing it yourself. The new edition has been fully updated and now includes: a brand new chapter on formulating a research question appropriate for qualitative research - an expanded discussion of the role of theory in research - extended discussion of case study research and the number of cases needed for effective qualitative research - further coverage of focus groups and analyzing internet data - new student examples from around the world - a new section on the common pitfalls encountered in qualitative research - an expanded companion website with more student examples and videos. Filled with exercises to test your understanding and develop your skills, as well as David's own tips for research success based on years of experience, this book is essential reading for anyone doing qualitative research.\"--Publisher's website. Preface to the Fourth Edition -- Companion Website -- Part 1: Introduction. How to Use This Book ; What You Can (and Can't) Do with Qualitative Research ; Focusing Research Project ; Issues in Research Design ; What Counts as 'Originality'?. -- Part 2: Starting Out. Formulating a Research Question ; Using Theories ; Choosing a Methodology ; How Many Cases Do You Need? ; Ethical Research ; Writing a Research Proposal. -- Part 3: Collecting and analyzing your data. Collecting Your Data ; Developing Data Analysis ; Using Computers to Analyse Qualitative Data Clive Seale ; Quality in Qualitative Research ; Evaluating Qualitative Research ; Effective Qualitative Research. -- Part 4: Writing up. The First Few Pages ; The Literature Review Chapter ; The Methodology Chapter ; Writing Your Data Chapters ; Your Concluding Chapter. -- Part 5: Getting support. Making Good Use of Your Supervisor ; Getting Feedback ; Surviving an Oral Examination ; Getting Published ; Audiences ; Appendix: Transcription Symbols ; Glossary ; References ; Author Index ; Subject Index.", "author" : [ { "dropping-particle" : "", "family" : "Silverman", "given" : "David", "non-dropping-particle" : "", "parse-names" : false, "suffix" : "" } ], "edition" : "4th", "id" : "ITEM-1", "issued" : { "date-parts" : [ [ "2013" ] ] }, "number-of-pages" : "470", "publisher" : "SAGE Publications Ltd", "publisher-place" : "London", "title" : "Doing qualitative research: A practical handbook", "type" : "book" }, "uris" : [ "http://www.mendeley.com/documents/?uuid=22d58823-a1e1-33ea-a2e5-5ab44e2d6297" ] } ], "mendeley" : { "formattedCitation" : "(Silverman, 2013)", "plainTextFormattedCitation" : "(Silverman, 2013)", "previouslyFormattedCitation" : "(Silverman, 2013)" }, "properties" : { "noteIndex" : 0 }, "schema" : "https://github.com/citation-style-language/schema/raw/master/csl-citation.json" }</w:instrText>
      </w:r>
      <w:r w:rsidR="00AB5071" w:rsidRPr="009B3747">
        <w:rPr>
          <w:rFonts w:eastAsia="Times New Roman" w:cstheme="minorHAnsi"/>
          <w:color w:val="000000"/>
          <w:lang w:eastAsia="en-GB"/>
        </w:rPr>
        <w:fldChar w:fldCharType="separate"/>
      </w:r>
      <w:r w:rsidR="00AB5071" w:rsidRPr="009B3747">
        <w:rPr>
          <w:rFonts w:eastAsia="Times New Roman" w:cstheme="minorHAnsi"/>
          <w:noProof/>
          <w:color w:val="000000"/>
          <w:lang w:eastAsia="en-GB"/>
        </w:rPr>
        <w:t>(Silverman, 2013)</w:t>
      </w:r>
      <w:r w:rsidR="00AB5071" w:rsidRPr="009B3747">
        <w:rPr>
          <w:rFonts w:eastAsia="Times New Roman" w:cstheme="minorHAnsi"/>
          <w:color w:val="000000"/>
          <w:lang w:eastAsia="en-GB"/>
        </w:rPr>
        <w:fldChar w:fldCharType="end"/>
      </w:r>
      <w:r w:rsidR="003931E6">
        <w:rPr>
          <w:rFonts w:eastAsia="Times New Roman" w:cstheme="minorHAnsi"/>
          <w:color w:val="000000"/>
          <w:lang w:eastAsia="en-GB"/>
        </w:rPr>
        <w:t xml:space="preserve">, </w:t>
      </w:r>
      <w:r w:rsidRPr="009B3747">
        <w:rPr>
          <w:rFonts w:eastAsia="Times New Roman" w:cstheme="minorHAnsi"/>
          <w:color w:val="000000"/>
          <w:lang w:eastAsia="en-GB"/>
        </w:rPr>
        <w:t>and</w:t>
      </w:r>
      <w:r w:rsidR="003931E6">
        <w:rPr>
          <w:rFonts w:eastAsia="Times New Roman" w:cstheme="minorHAnsi"/>
          <w:color w:val="000000"/>
          <w:lang w:eastAsia="en-GB"/>
        </w:rPr>
        <w:t xml:space="preserve"> are</w:t>
      </w:r>
      <w:r w:rsidRPr="009B3747">
        <w:rPr>
          <w:rFonts w:eastAsia="Times New Roman" w:cstheme="minorHAnsi"/>
          <w:color w:val="000000"/>
          <w:lang w:eastAsia="en-GB"/>
        </w:rPr>
        <w:t xml:space="preserve"> argued to be the most commonly used method to generate qualitative research data</w:t>
      </w:r>
      <w:r w:rsidR="00AB5071" w:rsidRPr="009B3747">
        <w:rPr>
          <w:rFonts w:eastAsia="Times New Roman" w:cstheme="minorHAnsi"/>
          <w:color w:val="000000"/>
          <w:lang w:eastAsia="en-GB"/>
        </w:rPr>
        <w:t xml:space="preserve"> </w:t>
      </w:r>
      <w:r w:rsidR="00AB5071"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"Nunkoosing", "given" : "K", "non-dropping-particle" : "", "parse-names" : false, "suffix" : "" } ], "container-title" : "Qualitative health research", "id" : "ITEM-1", "issue" : "15", "issued" : { "date-parts" : [ [ "2005" ] ] }, "page" : "698-706", "title" : "The problems with interviews", "type" : "article-journal", "volume" : "15" }, "uris" : [ "http://www.mendeley.com/documents/?uuid=43f6db8c-031b-4e48-8318-eccaf2937979" ] } ], "mendeley" : { "formattedCitation" : "(Nunkoosing, 2005)", "plainTextFormattedCitation" : "(Nunkoosing, 2005)", "previouslyFormattedCitation" : "(Nunkoosing, 2005)" }, "properties" : { "noteIndex" : 0 }, "schema" : "https://github.com/citation-style-language/schema/raw/master/csl-citation.json" }</w:instrText>
      </w:r>
      <w:r w:rsidR="00AB5071" w:rsidRPr="009B3747">
        <w:rPr>
          <w:rFonts w:eastAsia="Times New Roman" w:cstheme="minorHAnsi"/>
          <w:color w:val="000000"/>
          <w:lang w:eastAsia="en-GB"/>
        </w:rPr>
        <w:fldChar w:fldCharType="separate"/>
      </w:r>
      <w:r w:rsidR="00AB5071" w:rsidRPr="009B3747">
        <w:rPr>
          <w:rFonts w:eastAsia="Times New Roman" w:cstheme="minorHAnsi"/>
          <w:noProof/>
          <w:color w:val="000000"/>
          <w:lang w:eastAsia="en-GB"/>
        </w:rPr>
        <w:t>(Nunkoosing, 2005)</w:t>
      </w:r>
      <w:r w:rsidR="00AB5071"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Interviews aim to capture in-depth </w:t>
      </w:r>
      <w:r w:rsidR="00CF32DA" w:rsidRPr="009B3747">
        <w:rPr>
          <w:rFonts w:eastAsia="Times New Roman" w:cstheme="minorHAnsi"/>
          <w:color w:val="000000"/>
          <w:lang w:eastAsia="en-GB"/>
        </w:rPr>
        <w:t xml:space="preserve">information about participant’s </w:t>
      </w:r>
      <w:r w:rsidRPr="009B3747">
        <w:rPr>
          <w:rFonts w:eastAsia="Times New Roman" w:cstheme="minorHAnsi"/>
          <w:color w:val="000000"/>
          <w:lang w:eastAsia="en-GB"/>
        </w:rPr>
        <w:t>perspectives, meanings and experiences for interpretation and analysis by the interviewer</w:t>
      </w:r>
      <w:r w:rsidR="00AB5071" w:rsidRPr="009B3747">
        <w:rPr>
          <w:rFonts w:eastAsia="Times New Roman" w:cstheme="minorHAnsi"/>
          <w:color w:val="000000"/>
          <w:lang w:eastAsia="en-GB"/>
        </w:rPr>
        <w:t xml:space="preserve"> </w:t>
      </w:r>
      <w:r w:rsidR="00AB5071"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"Warren", "given" : "C", "non-dropping-particle" : "", "parse-names" : false, "suffix" : "" }, { "dropping-particle" : "", "family" : "Karner", "given" : "T", "non-dropping-particle" : "", "parse-names" : false, "suffix" : "" } ], "container-title" : "Discovering Qualitative Methods: Field Research, Interviews, and Analysis", "id" : "ITEM-1", "issued" : { "date-parts" : [ [ "2005" ] ] }, "publisher" : "Roxbury Publishing Company", "publisher-place" : "Los Angeles", "title" : "The interview", "type" : "book" }, "uris" : [ "http://www.mendeley.com/documents/?uuid=ae01bf2f-a749-450d-9abf-ff8f47d99ac6" ] }, { "id" : "ITEM-2", "itemData" : { "author" : [ { "dropping-particle" : "", "family" : "Bowling", "given" : "A", "non-dropping-particle" : "", "parse-names" : false, "suffix" : "" } ], "edition" : "4th", "id" : "ITEM-2", "issued" : { "date-parts" : [ [ "2014" ] ] }, "publisher" : "Open University Press", "publisher-place" : "Maidenhead, UK", "title" : "Research methods in health: investigating health and health services", "type" : "book" }, "uris" : [ "http://www.mendeley.com/documents/?uuid=50092966-af1d-4766-bf38-8a55db776f74" ] } ], "mendeley" : { "formattedCitation" : "(Warren and Karner, 2005; Bowling, 2014)", "plainTextFormattedCitation" : "(Warren and Karner, 2005; Bowling, 2014)", "previouslyFormattedCitation" : "(Warren and Karner, 2005; Bowling, 2014)" }, "properties" : { "noteIndex" : 0 }, "schema" : "https://github.com/citation-style-language/schema/raw/master/csl-citation.json" }</w:instrText>
      </w:r>
      <w:r w:rsidR="00AB5071" w:rsidRPr="009B3747">
        <w:rPr>
          <w:rFonts w:eastAsia="Times New Roman" w:cstheme="minorHAnsi"/>
          <w:color w:val="000000"/>
          <w:lang w:eastAsia="en-GB"/>
        </w:rPr>
        <w:fldChar w:fldCharType="separate"/>
      </w:r>
      <w:r w:rsidR="00AB5071" w:rsidRPr="009B3747">
        <w:rPr>
          <w:rFonts w:eastAsia="Times New Roman" w:cstheme="minorHAnsi"/>
          <w:noProof/>
          <w:color w:val="000000"/>
          <w:lang w:eastAsia="en-GB"/>
        </w:rPr>
        <w:t>(Warren and Karner, 2005; Bowling, 2014)</w:t>
      </w:r>
      <w:r w:rsidR="00AB5071" w:rsidRPr="009B3747">
        <w:rPr>
          <w:rFonts w:eastAsia="Times New Roman" w:cstheme="minorHAnsi"/>
          <w:color w:val="000000"/>
          <w:lang w:eastAsia="en-GB"/>
        </w:rPr>
        <w:fldChar w:fldCharType="end"/>
      </w:r>
      <w:r w:rsidRPr="009B3747">
        <w:rPr>
          <w:rFonts w:eastAsia="Times New Roman" w:cstheme="minorHAnsi"/>
          <w:color w:val="000000"/>
          <w:lang w:eastAsia="en-GB"/>
        </w:rPr>
        <w:t>.  The choice of interview type (structured, semi-structured and unstructured) and interviewing method (individual, group, face to face or telephone) depends upon the nature</w:t>
      </w:r>
      <w:r w:rsidR="003931E6">
        <w:rPr>
          <w:rFonts w:eastAsia="Times New Roman" w:cstheme="minorHAnsi"/>
          <w:color w:val="000000"/>
          <w:lang w:eastAsia="en-GB"/>
        </w:rPr>
        <w:t xml:space="preserve"> of the research (Punch, 2013), a</w:t>
      </w:r>
      <w:r w:rsidRPr="009B3747">
        <w:rPr>
          <w:rFonts w:eastAsia="Times New Roman" w:cstheme="minorHAnsi"/>
          <w:color w:val="000000"/>
          <w:lang w:eastAsia="en-GB"/>
        </w:rPr>
        <w:t>nd can influence the relationship between researcher, participants and the knowledge produced</w:t>
      </w:r>
      <w:r w:rsidR="00AB5071" w:rsidRPr="009B3747">
        <w:rPr>
          <w:rFonts w:eastAsia="Times New Roman" w:cstheme="minorHAnsi"/>
          <w:color w:val="000000"/>
          <w:lang w:eastAsia="en-GB"/>
        </w:rPr>
        <w:t xml:space="preserve"> </w:t>
      </w:r>
      <w:r w:rsidR="00AB5071"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"Pope", "given" : "C", "non-dropping-particle" : "", "parse-names" : false, "suffix" : "" }, { "dropping-particle" : "", "family" : "Mays", "given" : "N", "non-dropping-particle" : "", "parse-names" : false, "suffix" : "" } ], "container-title" : "Qualitative Research in Health Care", "edition" : "3rd", "editor" : [ { "dropping-particle" : "", "family" : "Pope", "given" : "C", "non-dropping-particle" : "", "parse-names" : false, "suffix" : "" }, { "dropping-particle" : "", "family" : "Mays", "given" : "N", "non-dropping-particle" : "", "parse-names" : false, "suffix" : "" } ], "id" : "ITEM-1", "issued" : { "date-parts" : [ [ "2006" ] ] }, "page" : "1-11", "publisher-place" : "Malden", "title" : "Qualitative Methods in Health Research", "type" : "chapter" }, "uris" : [ "http://www.mendeley.com/documents/?uuid=6de6e72d-2aeb-44ba-bec2-1e2a3c103a01" ] } ], "mendeley" : { "formattedCitation" : "(Pope and Mays, 2006)", "plainTextFormattedCitation" : "(Pope and Mays, 2006)", "previouslyFormattedCitation" : "(Pope and Mays, 2006)" }, "properties" : { "noteIndex" : 0 }, "schema" : "https://github.com/citation-style-language/schema/raw/master/csl-citation.json" }</w:instrText>
      </w:r>
      <w:r w:rsidR="00AB5071" w:rsidRPr="009B3747">
        <w:rPr>
          <w:rFonts w:eastAsia="Times New Roman" w:cstheme="minorHAnsi"/>
          <w:color w:val="000000"/>
          <w:lang w:eastAsia="en-GB"/>
        </w:rPr>
        <w:fldChar w:fldCharType="separate"/>
      </w:r>
      <w:r w:rsidR="009C2ECF" w:rsidRPr="009B3747">
        <w:rPr>
          <w:rFonts w:eastAsia="Times New Roman" w:cstheme="minorHAnsi"/>
          <w:noProof/>
          <w:color w:val="000000"/>
          <w:lang w:eastAsia="en-GB"/>
        </w:rPr>
        <w:t>(Pope and Mays, 2006)</w:t>
      </w:r>
      <w:r w:rsidR="00AB5071" w:rsidRPr="009B3747">
        <w:rPr>
          <w:rFonts w:eastAsia="Times New Roman" w:cstheme="minorHAnsi"/>
          <w:color w:val="000000"/>
          <w:lang w:eastAsia="en-GB"/>
        </w:rPr>
        <w:fldChar w:fldCharType="end"/>
      </w:r>
      <w:r w:rsidR="00AB5071" w:rsidRPr="009B3747">
        <w:rPr>
          <w:rFonts w:eastAsia="Times New Roman" w:cstheme="minorHAnsi"/>
          <w:color w:val="000000"/>
          <w:lang w:eastAsia="en-GB"/>
        </w:rPr>
        <w:t>.</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color w:val="000000"/>
          <w:lang w:eastAsia="en-GB"/>
        </w:rPr>
      </w:pPr>
      <w:r w:rsidRPr="009B3747">
        <w:rPr>
          <w:rFonts w:eastAsia="Times New Roman" w:cstheme="minorHAnsi"/>
          <w:color w:val="000000"/>
          <w:lang w:eastAsia="en-GB"/>
        </w:rPr>
        <w:t>In relation to interview type, the number, format and delivery of interview questions determines its classification as either unstructured, se</w:t>
      </w:r>
      <w:r w:rsidR="00461D3C" w:rsidRPr="009B3747">
        <w:rPr>
          <w:rFonts w:eastAsia="Times New Roman" w:cstheme="minorHAnsi"/>
          <w:color w:val="000000"/>
          <w:lang w:eastAsia="en-GB"/>
        </w:rPr>
        <w:t>mi-structured or structured (Bryman, 2016</w:t>
      </w:r>
      <w:r w:rsidRPr="009B3747">
        <w:rPr>
          <w:rFonts w:eastAsia="Times New Roman" w:cstheme="minorHAnsi"/>
          <w:color w:val="000000"/>
          <w:lang w:eastAsia="en-GB"/>
        </w:rPr>
        <w:t>).  Whilst it is argued that no interview can be completely devoid of structure</w:t>
      </w:r>
      <w:r w:rsidR="00AB5071" w:rsidRPr="009B3747">
        <w:rPr>
          <w:rFonts w:eastAsia="Times New Roman" w:cstheme="minorHAnsi"/>
          <w:color w:val="000000"/>
          <w:lang w:eastAsia="en-GB"/>
        </w:rPr>
        <w:t xml:space="preserve"> </w:t>
      </w:r>
      <w:r w:rsidR="00AB5071" w:rsidRPr="009B3747">
        <w:rPr>
          <w:rFonts w:eastAsia="Times New Roman" w:cstheme="minorHAnsi"/>
          <w:color w:val="000000"/>
          <w:lang w:eastAsia="en-GB"/>
        </w:rPr>
        <w:fldChar w:fldCharType="begin" w:fldLock="1"/>
      </w:r>
      <w:r w:rsidR="00AB5071" w:rsidRPr="009B3747">
        <w:rPr>
          <w:rFonts w:eastAsia="Times New Roman" w:cstheme="minorHAnsi"/>
          <w:color w:val="000000"/>
          <w:lang w:eastAsia="en-GB"/>
        </w:rPr>
        <w:instrText>ADDIN CSL_CITATION { "citationItems" : [ { "id" : "ITEM-1", "itemData" : { "DOI" : "10.1111/j.1365-2929.2006.02418.x", "ISBN" : "1365-2923", "ISSN" : "03080110", "PMID" : "16573666", "abstract" : "BACKGROUND: Interviews are among the most familiar strategies for collecting qualitative data. The different qualitative interviewing strategies in common use emerged from diverse disciplinary perspectives resulting in a wide variation among interviewing approaches. Unlike the highly structured survey interviews and questionnaires used in epidemiology and most health services research, we examine less structured interview strategies in which the person interviewed is more a participant in meaning making than a conduit from which information is retrieved. PURPOSE: In this article we briefly review the more common qualitative interview methods and then focus on the widely used individual face-to-face in-depth interview, which seeks to foster learning about individual experiences and perspectives on a given set of issues. We discuss methods for conducting in-depth interviews and consider relevant ethical issues with particular regard to the rights and protection of the participants.", "author" : [ { "dropping-particle" : "", "family" : "DiCicco-Bloom", "given" : "Barbara", "non-dropping-particle" : "", "parse-names" : false, "suffix" : "" }, { "dropping-particle" : "", "family" : "Crabtree", "given" : "Benjamin F.", "non-dropping-particle" : "", "parse-names" : false, "suffix" : "" } ], "container-title" : "Medical Education", "id" : "ITEM-1", "issue" : "4", "issued" : { "date-parts" : [ [ "2006" ] ] }, "page" : "314-321", "title" : "The qualitative research interview", "type" : "article", "volume" : "40" }, "uris" : [ "http://www.mendeley.com/documents/?uuid=6aebd5ec-217a-4fcf-8ff7-c9828dfa69b3" ] } ], "mendeley" : { "formattedCitation" : "(DiCicco-Bloom and Crabtree, 2006)", "plainTextFormattedCitation" : "(DiCicco-Bloom and Crabtree, 2006)", "previouslyFormattedCitation" : "(DiCicco-Bloom and Crabtree, 2006)" }, "properties" : { "noteIndex" : 0 }, "schema" : "https://github.com/citation-style-language/schema/raw/master/csl-citation.json" }</w:instrText>
      </w:r>
      <w:r w:rsidR="00AB5071" w:rsidRPr="009B3747">
        <w:rPr>
          <w:rFonts w:eastAsia="Times New Roman" w:cstheme="minorHAnsi"/>
          <w:color w:val="000000"/>
          <w:lang w:eastAsia="en-GB"/>
        </w:rPr>
        <w:fldChar w:fldCharType="separate"/>
      </w:r>
      <w:r w:rsidR="00AB5071" w:rsidRPr="009B3747">
        <w:rPr>
          <w:rFonts w:eastAsia="Times New Roman" w:cstheme="minorHAnsi"/>
          <w:noProof/>
          <w:color w:val="000000"/>
          <w:lang w:eastAsia="en-GB"/>
        </w:rPr>
        <w:t>(DiCicco-Bloom and Crabtree, 2006)</w:t>
      </w:r>
      <w:r w:rsidR="00AB5071" w:rsidRPr="009B3747">
        <w:rPr>
          <w:rFonts w:eastAsia="Times New Roman" w:cstheme="minorHAnsi"/>
          <w:color w:val="000000"/>
          <w:lang w:eastAsia="en-GB"/>
        </w:rPr>
        <w:fldChar w:fldCharType="end"/>
      </w:r>
      <w:r w:rsidR="00AB5071" w:rsidRPr="009B3747">
        <w:rPr>
          <w:rFonts w:eastAsia="Times New Roman" w:cstheme="minorHAnsi"/>
          <w:color w:val="000000"/>
          <w:lang w:eastAsia="en-GB"/>
        </w:rPr>
        <w:t xml:space="preserve">, </w:t>
      </w:r>
      <w:r w:rsidRPr="009B3747">
        <w:rPr>
          <w:rFonts w:eastAsia="Times New Roman" w:cstheme="minorHAnsi"/>
          <w:color w:val="000000"/>
          <w:lang w:eastAsia="en-GB"/>
        </w:rPr>
        <w:t>unstructured interviews prescribe no or minimal organisation to how or</w:t>
      </w:r>
      <w:r w:rsidR="003931E6">
        <w:rPr>
          <w:rFonts w:eastAsia="Times New Roman" w:cstheme="minorHAnsi"/>
          <w:color w:val="000000"/>
          <w:lang w:eastAsia="en-GB"/>
        </w:rPr>
        <w:t xml:space="preserve"> whether questions are posed.  They are</w:t>
      </w:r>
      <w:r w:rsidRPr="009B3747">
        <w:rPr>
          <w:rFonts w:eastAsia="Times New Roman" w:cstheme="minorHAnsi"/>
          <w:color w:val="000000"/>
          <w:lang w:eastAsia="en-GB"/>
        </w:rPr>
        <w:t xml:space="preserve"> therefore </w:t>
      </w:r>
      <w:r w:rsidR="003931E6">
        <w:rPr>
          <w:rFonts w:eastAsia="Times New Roman" w:cstheme="minorHAnsi"/>
          <w:color w:val="000000"/>
          <w:lang w:eastAsia="en-GB"/>
        </w:rPr>
        <w:t xml:space="preserve">argued to </w:t>
      </w:r>
      <w:r w:rsidRPr="009B3747">
        <w:rPr>
          <w:rFonts w:eastAsia="Times New Roman" w:cstheme="minorHAnsi"/>
          <w:color w:val="000000"/>
          <w:lang w:eastAsia="en-GB"/>
        </w:rPr>
        <w:t>often res</w:t>
      </w:r>
      <w:r w:rsidR="00461D3C" w:rsidRPr="009B3747">
        <w:rPr>
          <w:rFonts w:eastAsia="Times New Roman" w:cstheme="minorHAnsi"/>
          <w:color w:val="000000"/>
          <w:lang w:eastAsia="en-GB"/>
        </w:rPr>
        <w:t xml:space="preserve">emble a guided conversation </w:t>
      </w:r>
      <w:r w:rsidR="00AB5071" w:rsidRPr="009B3747">
        <w:rPr>
          <w:rFonts w:eastAsia="Times New Roman" w:cstheme="minorHAnsi"/>
          <w:color w:val="000000"/>
          <w:lang w:eastAsia="en-GB"/>
        </w:rPr>
        <w:t>(Bry</w:t>
      </w:r>
      <w:r w:rsidR="00461D3C" w:rsidRPr="009B3747">
        <w:rPr>
          <w:rFonts w:eastAsia="Times New Roman" w:cstheme="minorHAnsi"/>
          <w:color w:val="000000"/>
          <w:lang w:eastAsia="en-GB"/>
        </w:rPr>
        <w:t>man, 2016</w:t>
      </w:r>
      <w:r w:rsidRPr="009B3747">
        <w:rPr>
          <w:rFonts w:eastAsia="Times New Roman" w:cstheme="minorHAnsi"/>
          <w:color w:val="000000"/>
          <w:lang w:eastAsia="en-GB"/>
        </w:rPr>
        <w:t>).  In comparison, structured interviews apply a pre-determined set of questions, frequently with the inclusion of closed questions and often with a fixed se</w:t>
      </w:r>
      <w:r w:rsidR="00461D3C" w:rsidRPr="009B3747">
        <w:rPr>
          <w:rFonts w:eastAsia="Times New Roman" w:cstheme="minorHAnsi"/>
          <w:color w:val="000000"/>
          <w:lang w:eastAsia="en-GB"/>
        </w:rPr>
        <w:t>t of answers to choose from (Bryman, 2016</w:t>
      </w:r>
      <w:r w:rsidRPr="009B3747">
        <w:rPr>
          <w:rFonts w:eastAsia="Times New Roman" w:cstheme="minorHAnsi"/>
          <w:color w:val="000000"/>
          <w:lang w:eastAsia="en-GB"/>
        </w:rPr>
        <w:t xml:space="preserve">).   As a novice researcher, the challenge and concern of retaining a clear focus </w:t>
      </w:r>
      <w:r w:rsidR="003931E6">
        <w:rPr>
          <w:rFonts w:eastAsia="Times New Roman" w:cstheme="minorHAnsi"/>
          <w:color w:val="000000"/>
          <w:lang w:eastAsia="en-GB"/>
        </w:rPr>
        <w:t xml:space="preserve">without a defined structure led to the use of </w:t>
      </w:r>
      <w:r w:rsidRPr="009B3747">
        <w:rPr>
          <w:rFonts w:eastAsia="Times New Roman" w:cstheme="minorHAnsi"/>
          <w:color w:val="000000"/>
          <w:lang w:eastAsia="en-GB"/>
        </w:rPr>
        <w:t>unstructured interviews being discounted.  In addition, and in direct contrast, the highly prescriptive nature of structured interviews in terms of what, how and when interview questions should be asked</w:t>
      </w:r>
      <w:r w:rsidR="003931E6">
        <w:rPr>
          <w:rFonts w:eastAsia="Times New Roman" w:cstheme="minorHAnsi"/>
          <w:color w:val="000000"/>
          <w:lang w:eastAsia="en-GB"/>
        </w:rPr>
        <w:t>,</w:t>
      </w:r>
      <w:r w:rsidRPr="009B3747">
        <w:rPr>
          <w:rFonts w:eastAsia="Times New Roman" w:cstheme="minorHAnsi"/>
          <w:color w:val="000000"/>
          <w:lang w:eastAsia="en-GB"/>
        </w:rPr>
        <w:t xml:space="preserve"> felt inappropriate given the necessity to flexibly yet purposely explore participants perspectives.</w:t>
      </w:r>
    </w:p>
    <w:p w:rsidR="00CF32DA" w:rsidRPr="009B3747" w:rsidRDefault="00CF32DA" w:rsidP="00510940">
      <w:pPr>
        <w:rPr>
          <w:rFonts w:eastAsia="Times New Roman" w:cstheme="minorHAnsi"/>
          <w:sz w:val="24"/>
          <w:szCs w:val="24"/>
          <w:lang w:eastAsia="en-GB"/>
        </w:rPr>
      </w:pP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t xml:space="preserve">The remaining interview type, semi-structured interviews, are commonly used by qualitative researchers.  They typically resemble more naturally occurring conversations, whilst allowing some standardisation and comparability through elaboration and elucidation of participant-led dialogue </w:t>
      </w:r>
      <w:r w:rsidR="00AB5071" w:rsidRPr="009B3747">
        <w:rPr>
          <w:rFonts w:eastAsia="Times New Roman" w:cstheme="minorHAnsi"/>
          <w:color w:val="000000"/>
          <w:lang w:eastAsia="en-GB"/>
        </w:rPr>
        <w:fldChar w:fldCharType="begin" w:fldLock="1"/>
      </w:r>
      <w:r w:rsidR="002D0012">
        <w:rPr>
          <w:rFonts w:eastAsia="Times New Roman" w:cstheme="minorHAnsi"/>
          <w:color w:val="000000"/>
          <w:lang w:eastAsia="en-GB"/>
        </w:rPr>
        <w:instrText>ADDIN CSL_CITATION { "citationItems" : [ { "id" : "ITEM-1", "itemData" : { "author" : [ { "dropping-particle" : "", "family" : "Warren", "given" : "C", "non-dropping-particle" : "", "parse-names" : false, "suffix" : "" }, { "dropping-particle" : "", "family" : "Karner", "given" : "T", "non-dropping-particle" : "", "parse-names" : false, "suffix" : "" } ], "container-title" : "Discovering Qualitative Methods: Field Research, Interviews, and Analysis", "id" : "ITEM-1", "issued" : { "date-parts" : [ [ "2005" ] ] }, "publisher" : "Roxbury Publishing Company", "publisher-place" : "Los Angeles", "title" : "The interview", "type" : "book" }, "uris" : [ "http://www.mendeley.com/documents/?uuid=ae01bf2f-a749-450d-9abf-ff8f47d99ac6" ] }, { "id" : "ITEM-2", "itemData" : { "DOI" : "10.1111/j.1365-2929.2006.02418.x", "ISBN" : "1365-2923", "ISSN" : "03080110", "PMID" : "16573666", "abstract" : "BACKGROUND: Interviews are among the most familiar strategies for collecting qualitative data. The different qualitative interviewing strategies in common use emerged from diverse disciplinary perspectives resulting in a wide variation among interviewing approaches. Unlike the highly structured survey interviews and questionnaires used in epidemiology and most health services research, we examine less structured interview strategies in which the person interviewed is more a participant in meaning making than a conduit from which information is retrieved. PURPOSE: In this article we briefly review the more common qualitative interview methods and then focus on the widely used individual face-to-face in-depth interview, which seeks to foster learning about individual experiences and perspectives on a given set of issues. We discuss methods for conducting in-depth interviews and consider relevant ethical issues with particular regard to the rights and protection of the participants.", "author" : [ { "dropping-particle" : "", "family" : "DiCicco-Bloom", "given" : "Barbara", "non-dropping-particle" : "", "parse-names" : false, "suffix" : "" }, { "dropping-particle" : "", "family" : "Crabtree", "given" : "Benjamin F.", "non-dropping-particle" : "", "parse-names" : false, "suffix" : "" } ], "container-title" : "Medical Education", "id" : "ITEM-2", "issue" : "4", "issued" : { "date-parts" : [ [ "2006" ] ] }, "page" : "314-321", "title" : "The qualitative research interview", "type" : "article", "volume" : "40" }, "uris" : [ "http://www.mendeley.com/documents/?uuid=6aebd5ec-217a-4fcf-8ff7-c9828dfa69b3" ] }, { "id" : "ITEM-3", "itemData" : { "ISBN" : "1446296164", "abstract" : "3rd ed. Previous edition: 2005. In the new edition of Introduction to Social Resarch, Keith Punch takes a fresh look at the entire research process, from formulating a research question to writing up your research. Introduction -- Theory and method in social science research -- Ethics in social science research -- Research questions -- From research questions to data -- Literature searching and reviewing -- Qualitative research design -- Collecting qualitative data -- Analysing qualitative data -- Quantitative research design -- Collecting quatitative data -- Analysing quantitative data -- The internet and research -- Mixed methods and evaluation -- Research writing.", "author" : [ { "dropping-particle" : "", "family" : "Punch", "given" : "K", "non-dropping-particle" : "", "parse-names" : false, "suffix" : "" } ], "edition" : "3rd", "id" : "ITEM-3", "issued" : { "date-parts" : [ [ "2014" ] ] }, "number-of-pages" : "386", "publisher" : "SAGE Publications Ltd", "publisher-place" : "London", "title" : "Introduction to social research : Quantitative and qualitative approaches", "type" : "book" }, "uris" : [ "http://www.mendeley.com/documents/?uuid=7e80c4f6-afa1-3067-9430-96a282ce3e85" ] } ], "mendeley" : { "formattedCitation" : "(Warren and Karner, 2005; DiCicco-Bloom and Crabtree, 2006; Punch, 2014)", "plainTextFormattedCitation" : "(Warren and Karner, 2005; DiCicco-Bloom and Crabtree, 2006; Punch, 2014)", "previouslyFormattedCitation" : "(Warren and Karner, 2005; DiCicco-Bloom and Crabtree, 2006; Punch, 2014)" }, "properties" : { "noteIndex" : 0 }, "schema" : "https://github.com/citation-style-language/schema/raw/master/csl-citation.json" }</w:instrText>
      </w:r>
      <w:r w:rsidR="00AB5071" w:rsidRPr="009B3747">
        <w:rPr>
          <w:rFonts w:eastAsia="Times New Roman" w:cstheme="minorHAnsi"/>
          <w:color w:val="000000"/>
          <w:lang w:eastAsia="en-GB"/>
        </w:rPr>
        <w:fldChar w:fldCharType="separate"/>
      </w:r>
      <w:r w:rsidR="00AB10E7" w:rsidRPr="00AB10E7">
        <w:rPr>
          <w:rFonts w:eastAsia="Times New Roman" w:cstheme="minorHAnsi"/>
          <w:noProof/>
          <w:color w:val="000000"/>
          <w:lang w:eastAsia="en-GB"/>
        </w:rPr>
        <w:t>(Warren and Karner, 2005; DiCicco-Bloom and Crabtree, 2006; Punch, 2014)</w:t>
      </w:r>
      <w:r w:rsidR="00AB5071" w:rsidRPr="009B3747">
        <w:rPr>
          <w:rFonts w:eastAsia="Times New Roman" w:cstheme="minorHAnsi"/>
          <w:color w:val="000000"/>
          <w:lang w:eastAsia="en-GB"/>
        </w:rPr>
        <w:fldChar w:fldCharType="end"/>
      </w:r>
      <w:r w:rsidR="00AB5071" w:rsidRPr="009B3747">
        <w:rPr>
          <w:rFonts w:eastAsia="Times New Roman" w:cstheme="minorHAnsi"/>
          <w:color w:val="000000"/>
          <w:lang w:eastAsia="en-GB"/>
        </w:rPr>
        <w:t xml:space="preserve">.  </w:t>
      </w:r>
      <w:r w:rsidRPr="009B3747">
        <w:rPr>
          <w:rFonts w:eastAsia="Times New Roman" w:cstheme="minorHAnsi"/>
          <w:color w:val="000000"/>
          <w:lang w:eastAsia="en-GB"/>
        </w:rPr>
        <w:t>In addition to covering set topics and asking fixed questions, semi-structured interviews allow participants to talk freely and interviewers to dynamically probe around the issues salient to each interview</w:t>
      </w:r>
      <w:r w:rsidR="00AB5071" w:rsidRPr="009B3747">
        <w:rPr>
          <w:rFonts w:eastAsia="Times New Roman" w:cstheme="minorHAnsi"/>
          <w:color w:val="000000"/>
          <w:lang w:eastAsia="en-GB"/>
        </w:rPr>
        <w:t xml:space="preserve"> </w:t>
      </w:r>
      <w:r w:rsidR="00AB5071"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"Polit", "given" : "D", "non-dropping-particle" : "", "parse-names" : false, "suffix" : "" }, { "dropping-particle" : "", "family" : "Beck", "given" : "C", "non-dropping-particle" : "", "parse-names" : false, "suffix" : "" } ], "id" : "ITEM-1", "issued" : { "date-parts" : [ [ "2013" ] ] }, "publisher" : "Lippincott Williams &amp; Wilkins", "publisher-place" : "Philadelphia", "title" : "Essentials of nursing research", "type" : "book" }, "uris" : [ "http://www.mendeley.com/documents/?uuid=26bf6987-bd05-41ba-b33d-0465d0d897f6" ] }, { "id" : "ITEM-2", "itemData" : { "author" : [ { "dropping-particle" : "", "family" : "Ritchie", "given" : "J", "non-dropping-particle" : "", "parse-names" : false, "suffix" : "" }, { "dropping-particle" : "", "family" : "Lewis", "given" : "J", "non-dropping-particle" : "", "parse-names" : false, "suffix" : "" }, { "dropping-particle" : "", "family" : "Nicholls", "given" : "CMN", "non-dropping-particle" : "", "parse-names" : false, "suffix" : "" }, { "dropping-particle" : "", "family" : "Ormston", "given" : "R", "non-dropping-particle" : "", "parse-names" : false, "suffix" : "" } ], "id" : "ITEM-2", "issued" : { "date-parts" : [ [ "2013" ] ] }, "publisher" : "SAGE Publications Ltd", "publisher-place" : "London", "title" : "Qualitative research practice: A guide for social science students and researchers", "type" : "book" }, "uris" : [ "http://www.mendeley.com/documents/?uuid=800eed61-d46d-49e8-9b3e-325021a38d6e" ] }, { "id" : "ITEM-3", "itemData" : { "author" : [ { "dropping-particle" : "", "family" : "Bowling", "given" : "A", "non-dropping-particle" : "", "parse-names" : false, "suffix" : "" } ], "edition" : "4th", "id" : "ITEM-3", "issued" : { "date-parts" : [ [ "2014" ] ] }, "publisher" : "Open University Press", "publisher-place" : "Maidenhead, UK", "title" : "Research methods in health: investigating health and health services", "type" : "book" }, "uris" : [ "http://www.mendeley.com/documents/?uuid=50092966-af1d-4766-bf38-8a55db776f74" ] } ], "mendeley" : { "formattedCitation" : "(Polit and Beck, 2013; Ritchie et al., 2013; Bowling, 2014)", "plainTextFormattedCitation" : "(Polit and Beck, 2013; Ritchie et al., 2013; Bowling, 2014)", "previouslyFormattedCitation" : "(Polit and Beck, 2013; Ritchie et al., 2013; Bowling, 2014)" }, "properties" : { "noteIndex" : 0 }, "schema" : "https://github.com/citation-style-language/schema/raw/master/csl-citation.json" }</w:instrText>
      </w:r>
      <w:r w:rsidR="00AB5071" w:rsidRPr="009B3747">
        <w:rPr>
          <w:rFonts w:eastAsia="Times New Roman" w:cstheme="minorHAnsi"/>
          <w:color w:val="000000"/>
          <w:lang w:eastAsia="en-GB"/>
        </w:rPr>
        <w:fldChar w:fldCharType="separate"/>
      </w:r>
      <w:r w:rsidR="009C2ECF" w:rsidRPr="009B3747">
        <w:rPr>
          <w:rFonts w:eastAsia="Times New Roman" w:cstheme="minorHAnsi"/>
          <w:noProof/>
          <w:color w:val="000000"/>
          <w:lang w:eastAsia="en-GB"/>
        </w:rPr>
        <w:t xml:space="preserve">(Polit and Beck, 2013; </w:t>
      </w:r>
      <w:r w:rsidR="009C2ECF" w:rsidRPr="009B3747">
        <w:rPr>
          <w:rFonts w:eastAsia="Times New Roman" w:cstheme="minorHAnsi"/>
          <w:noProof/>
          <w:color w:val="000000"/>
          <w:lang w:eastAsia="en-GB"/>
        </w:rPr>
        <w:lastRenderedPageBreak/>
        <w:t>Ritchie et al., 2013; Bowling, 2014)</w:t>
      </w:r>
      <w:r w:rsidR="00AB5071" w:rsidRPr="009B3747">
        <w:rPr>
          <w:rFonts w:eastAsia="Times New Roman" w:cstheme="minorHAnsi"/>
          <w:color w:val="000000"/>
          <w:lang w:eastAsia="en-GB"/>
        </w:rPr>
        <w:fldChar w:fldCharType="end"/>
      </w:r>
      <w:r w:rsidRPr="009B3747">
        <w:rPr>
          <w:rFonts w:eastAsia="Times New Roman" w:cstheme="minorHAnsi"/>
          <w:color w:val="000000"/>
          <w:lang w:eastAsia="en-GB"/>
        </w:rPr>
        <w:t>.  Semi-structured interviews were chosen, as having a loose structure supported the exploratory nature of the initial qualitative phase, whilst still ensuring core topics were covered (Polit and Beck, 2012).  Semi-structured interviews are based on a list of questions or defined areas to be explored, usually referred to as an interview guide or sched</w:t>
      </w:r>
      <w:r w:rsidR="00461D3C" w:rsidRPr="009B3747">
        <w:rPr>
          <w:rFonts w:eastAsia="Times New Roman" w:cstheme="minorHAnsi"/>
          <w:color w:val="000000"/>
          <w:lang w:eastAsia="en-GB"/>
        </w:rPr>
        <w:t>ule (Bryman, 2012, Bowling, 2014</w:t>
      </w:r>
      <w:r w:rsidRPr="009B3747">
        <w:rPr>
          <w:rFonts w:eastAsia="Times New Roman" w:cstheme="minorHAnsi"/>
          <w:color w:val="000000"/>
          <w:lang w:eastAsia="en-GB"/>
        </w:rPr>
        <w:t xml:space="preserve">). </w:t>
      </w:r>
      <w:r w:rsidR="003931E6">
        <w:rPr>
          <w:rFonts w:eastAsia="Times New Roman" w:cstheme="minorHAnsi"/>
          <w:color w:val="000000"/>
          <w:lang w:eastAsia="en-GB"/>
        </w:rPr>
        <w:t xml:space="preserve"> </w:t>
      </w:r>
      <w:r w:rsidRPr="009B3747">
        <w:rPr>
          <w:rFonts w:eastAsia="Times New Roman" w:cstheme="minorHAnsi"/>
          <w:color w:val="000000"/>
          <w:lang w:eastAsia="en-GB"/>
        </w:rPr>
        <w:t xml:space="preserve">In comparison to structured interviews where questions are asked in </w:t>
      </w:r>
      <w:r w:rsidR="003931E6">
        <w:rPr>
          <w:rFonts w:eastAsia="Times New Roman" w:cstheme="minorHAnsi"/>
          <w:color w:val="000000"/>
          <w:lang w:eastAsia="en-GB"/>
        </w:rPr>
        <w:t>an exact order each time, semi-s</w:t>
      </w:r>
      <w:r w:rsidRPr="009B3747">
        <w:rPr>
          <w:rFonts w:eastAsia="Times New Roman" w:cstheme="minorHAnsi"/>
          <w:color w:val="000000"/>
          <w:lang w:eastAsia="en-GB"/>
        </w:rPr>
        <w:t xml:space="preserve">tructured interviews allow the researcher the flexibility to determine which order to ask each question dependant on the </w:t>
      </w:r>
      <w:r w:rsidR="00461D3C" w:rsidRPr="009B3747">
        <w:rPr>
          <w:rFonts w:eastAsia="Times New Roman" w:cstheme="minorHAnsi"/>
          <w:color w:val="000000"/>
          <w:lang w:eastAsia="en-GB"/>
        </w:rPr>
        <w:t>participants’</w:t>
      </w:r>
      <w:r w:rsidR="00AB5071" w:rsidRPr="009B3747">
        <w:rPr>
          <w:rFonts w:eastAsia="Times New Roman" w:cstheme="minorHAnsi"/>
          <w:color w:val="000000"/>
          <w:lang w:eastAsia="en-GB"/>
        </w:rPr>
        <w:t xml:space="preserve"> responses and answers (B</w:t>
      </w:r>
      <w:r w:rsidR="00461D3C" w:rsidRPr="009B3747">
        <w:rPr>
          <w:rFonts w:eastAsia="Times New Roman" w:cstheme="minorHAnsi"/>
          <w:color w:val="000000"/>
          <w:lang w:eastAsia="en-GB"/>
        </w:rPr>
        <w:t>r</w:t>
      </w:r>
      <w:r w:rsidR="00AB5071" w:rsidRPr="009B3747">
        <w:rPr>
          <w:rFonts w:eastAsia="Times New Roman" w:cstheme="minorHAnsi"/>
          <w:color w:val="000000"/>
          <w:lang w:eastAsia="en-GB"/>
        </w:rPr>
        <w:t>y</w:t>
      </w:r>
      <w:r w:rsidR="00461D3C" w:rsidRPr="009B3747">
        <w:rPr>
          <w:rFonts w:eastAsia="Times New Roman" w:cstheme="minorHAnsi"/>
          <w:color w:val="000000"/>
          <w:lang w:eastAsia="en-GB"/>
        </w:rPr>
        <w:t>man, 2016</w:t>
      </w:r>
      <w:r w:rsidRPr="009B3747">
        <w:rPr>
          <w:rFonts w:eastAsia="Times New Roman" w:cstheme="minorHAnsi"/>
          <w:color w:val="000000"/>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9D727E" w:rsidRPr="009B3747" w:rsidRDefault="00510940" w:rsidP="00510940">
      <w:pPr>
        <w:rPr>
          <w:rFonts w:eastAsia="Times New Roman" w:cstheme="minorHAnsi"/>
          <w:color w:val="000000"/>
          <w:lang w:eastAsia="en-GB"/>
        </w:rPr>
      </w:pPr>
      <w:r w:rsidRPr="009B3747">
        <w:rPr>
          <w:rFonts w:eastAsia="Times New Roman" w:cstheme="minorHAnsi"/>
          <w:color w:val="000000"/>
          <w:lang w:eastAsia="en-GB"/>
        </w:rPr>
        <w:t>In respect to interviewing method</w:t>
      </w:r>
      <w:r w:rsidR="007F3CF4">
        <w:rPr>
          <w:rFonts w:eastAsia="Times New Roman" w:cstheme="minorHAnsi"/>
          <w:color w:val="000000"/>
          <w:lang w:eastAsia="en-GB"/>
        </w:rPr>
        <w:t>,</w:t>
      </w:r>
      <w:r w:rsidRPr="009B3747">
        <w:rPr>
          <w:rFonts w:eastAsia="Times New Roman" w:cstheme="minorHAnsi"/>
          <w:color w:val="000000"/>
          <w:lang w:eastAsia="en-GB"/>
        </w:rPr>
        <w:t xml:space="preserve"> i.e. telephone, group, face to face, the advantages and disadvantages of each were reflected upon when designing the data collection methodology.  Group interviews also known as focus groups</w:t>
      </w:r>
      <w:r w:rsidR="00AB5071" w:rsidRPr="009B3747">
        <w:rPr>
          <w:rFonts w:eastAsia="Times New Roman" w:cstheme="minorHAnsi"/>
          <w:color w:val="000000"/>
          <w:lang w:eastAsia="en-GB"/>
        </w:rPr>
        <w:t xml:space="preserve"> </w:t>
      </w:r>
      <w:r w:rsidR="00AB5071" w:rsidRPr="009B3747">
        <w:rPr>
          <w:rFonts w:eastAsia="Times New Roman" w:cstheme="minorHAnsi"/>
          <w:color w:val="000000"/>
          <w:lang w:eastAsia="en-GB"/>
        </w:rPr>
        <w:fldChar w:fldCharType="begin" w:fldLock="1"/>
      </w:r>
      <w:r w:rsidR="00AB5071" w:rsidRPr="009B3747">
        <w:rPr>
          <w:rFonts w:eastAsia="Times New Roman" w:cstheme="minorHAnsi"/>
          <w:color w:val="000000"/>
          <w:lang w:eastAsia="en-GB"/>
        </w:rPr>
        <w:instrText>ADDIN CSL_CITATION { "citationItems" : [ { "id" : "ITEM-1", "itemData" : { "DOI" : "10.4135/9781412984287", "ISBN" : "9780761903437", "ISSN" : "18733778", "PMID" : "20471020", "abstract" : "Morgan, D. L. (1997). Focus groups as qualitative research. Thousand Oaks, CA: Sage.", "author" : [ { "dropping-particle" : "", "family" : "Morgan", "given" : "D. L.", "non-dropping-particle" : "", "parse-names" : false, "suffix" : "" } ], "container-title" : "Sage Publications", "id" : "ITEM-1", "issued" : { "date-parts" : [ [ "1997" ] ] }, "page" : "32-46", "title" : "Focus Groups as Qualitative Research.", "type" : "article-journal" }, "uris" : [ "http://www.mendeley.com/documents/?uuid=175bf7c2-4db3-450e-ac46-1103aebe2fe0" ] } ], "mendeley" : { "formattedCitation" : "(Morgan, 1997)", "plainTextFormattedCitation" : "(Morgan, 1997)", "previouslyFormattedCitation" : "(Morgan, 1997)" }, "properties" : { "noteIndex" : 0 }, "schema" : "https://github.com/citation-style-language/schema/raw/master/csl-citation.json" }</w:instrText>
      </w:r>
      <w:r w:rsidR="00AB5071" w:rsidRPr="009B3747">
        <w:rPr>
          <w:rFonts w:eastAsia="Times New Roman" w:cstheme="minorHAnsi"/>
          <w:color w:val="000000"/>
          <w:lang w:eastAsia="en-GB"/>
        </w:rPr>
        <w:fldChar w:fldCharType="separate"/>
      </w:r>
      <w:r w:rsidR="00AB5071" w:rsidRPr="009B3747">
        <w:rPr>
          <w:rFonts w:eastAsia="Times New Roman" w:cstheme="minorHAnsi"/>
          <w:noProof/>
          <w:color w:val="000000"/>
          <w:lang w:eastAsia="en-GB"/>
        </w:rPr>
        <w:t>(Morgan, 1997)</w:t>
      </w:r>
      <w:r w:rsidR="00AB5071" w:rsidRPr="009B3747">
        <w:rPr>
          <w:rFonts w:eastAsia="Times New Roman" w:cstheme="minorHAnsi"/>
          <w:color w:val="000000"/>
          <w:lang w:eastAsia="en-GB"/>
        </w:rPr>
        <w:fldChar w:fldCharType="end"/>
      </w:r>
      <w:r w:rsidR="00AB5071" w:rsidRPr="009B3747">
        <w:rPr>
          <w:rFonts w:eastAsia="Times New Roman" w:cstheme="minorHAnsi"/>
          <w:color w:val="000000"/>
          <w:lang w:eastAsia="en-GB"/>
        </w:rPr>
        <w:t xml:space="preserve"> </w:t>
      </w:r>
      <w:r w:rsidRPr="009B3747">
        <w:rPr>
          <w:rFonts w:eastAsia="Times New Roman" w:cstheme="minorHAnsi"/>
          <w:color w:val="000000"/>
          <w:lang w:eastAsia="en-GB"/>
        </w:rPr>
        <w:t>were initially considered as a potential option for data collection during phase one.  This was due to the perceived advantages that interaction between participants during focus groups could yield</w:t>
      </w:r>
      <w:r w:rsidR="003931E6">
        <w:rPr>
          <w:rFonts w:eastAsia="Times New Roman" w:cstheme="minorHAnsi"/>
          <w:color w:val="000000"/>
          <w:lang w:eastAsia="en-GB"/>
        </w:rPr>
        <w:t xml:space="preserve">, in relation to understanding </w:t>
      </w:r>
      <w:r w:rsidRPr="009B3747">
        <w:rPr>
          <w:rFonts w:eastAsia="Times New Roman" w:cstheme="minorHAnsi"/>
          <w:color w:val="000000"/>
          <w:lang w:eastAsia="en-GB"/>
        </w:rPr>
        <w:t>the extent to which consensus or diversity exists across the study population</w:t>
      </w:r>
      <w:r w:rsidR="00AB5071" w:rsidRPr="009B3747">
        <w:rPr>
          <w:rFonts w:eastAsia="Times New Roman" w:cstheme="minorHAnsi"/>
          <w:color w:val="000000"/>
          <w:lang w:eastAsia="en-GB"/>
        </w:rPr>
        <w:t xml:space="preserve"> </w:t>
      </w:r>
      <w:r w:rsidR="00AB5071" w:rsidRPr="009B3747">
        <w:rPr>
          <w:rFonts w:eastAsia="Times New Roman" w:cstheme="minorHAnsi"/>
          <w:color w:val="000000"/>
          <w:lang w:eastAsia="en-GB"/>
        </w:rPr>
        <w:fldChar w:fldCharType="begin" w:fldLock="1"/>
      </w:r>
      <w:r w:rsidR="007239F8" w:rsidRPr="009B3747">
        <w:rPr>
          <w:rFonts w:eastAsia="Times New Roman" w:cstheme="minorHAnsi"/>
          <w:color w:val="000000"/>
          <w:lang w:eastAsia="en-GB"/>
        </w:rPr>
        <w:instrText>ADDIN CSL_CITATION { "citationItems" : [ { "id" : "ITEM-1", "itemData" : { "ISBN" : "0803948743 (pbk) : \u00b917.50", "PMID" : "803948743", "abstract" : "consider some of the situations for which focus groups may be a particularly desirable [social science] research method", "author" : [ { "dropping-particle" : "", "family" : "Morgan", "given" : "David L.", "non-dropping-particle" : "", "parse-names" : false, "suffix" : "" }, { "dropping-particle" : "", "family" : "Krueger", "given" : "Richard A.", "non-dropping-particle" : "", "parse-names" : false, "suffix" : "" } ], "container-title" : "Successful focus groups: Advancing the state of the art.", "id" : "ITEM-1", "issued" : { "date-parts" : [ [ "1993" ] ] }, "page" : "3-19", "title" : "When to use focus groups and why.", "type" : "chapter" }, "uris" : [ "http://www.mendeley.com/documents/?uuid=bad1f7ff-2c8d-487e-ba46-3bc3852bef93" ] } ], "mendeley" : { "formattedCitation" : "(Morgan and Krueger, 1993)", "plainTextFormattedCitation" : "(Morgan and Krueger, 1993)", "previouslyFormattedCitation" : "(Morgan and Krueger, 1993)" }, "properties" : { "noteIndex" : 0 }, "schema" : "https://github.com/citation-style-language/schema/raw/master/csl-citation.json" }</w:instrText>
      </w:r>
      <w:r w:rsidR="00AB5071" w:rsidRPr="009B3747">
        <w:rPr>
          <w:rFonts w:eastAsia="Times New Roman" w:cstheme="minorHAnsi"/>
          <w:color w:val="000000"/>
          <w:lang w:eastAsia="en-GB"/>
        </w:rPr>
        <w:fldChar w:fldCharType="separate"/>
      </w:r>
      <w:r w:rsidR="00AB5071" w:rsidRPr="009B3747">
        <w:rPr>
          <w:rFonts w:eastAsia="Times New Roman" w:cstheme="minorHAnsi"/>
          <w:noProof/>
          <w:color w:val="000000"/>
          <w:lang w:eastAsia="en-GB"/>
        </w:rPr>
        <w:t>(Morgan and Krueger, 1993)</w:t>
      </w:r>
      <w:r w:rsidR="00AB5071" w:rsidRPr="009B3747">
        <w:rPr>
          <w:rFonts w:eastAsia="Times New Roman" w:cstheme="minorHAnsi"/>
          <w:color w:val="000000"/>
          <w:lang w:eastAsia="en-GB"/>
        </w:rPr>
        <w:fldChar w:fldCharType="end"/>
      </w:r>
      <w:r w:rsidR="007239F8" w:rsidRPr="009B3747">
        <w:rPr>
          <w:rFonts w:eastAsia="Times New Roman" w:cstheme="minorHAnsi"/>
          <w:color w:val="000000"/>
          <w:lang w:eastAsia="en-GB"/>
        </w:rPr>
        <w:t xml:space="preserve">.  </w:t>
      </w:r>
      <w:r w:rsidRPr="009B3747">
        <w:rPr>
          <w:rFonts w:eastAsia="Times New Roman" w:cstheme="minorHAnsi"/>
          <w:color w:val="000000"/>
          <w:lang w:eastAsia="en-GB"/>
        </w:rPr>
        <w:t>However, based on the researcher’s experience of engaging with the study population both professionally and in an academic capacity, focus groups were deemed impractical to conduct given the time pressures and complex work schedules of school leaders.  Telephone interviews have been advocated for use in qualitative research inquiry</w:t>
      </w:r>
      <w:r w:rsidR="007239F8" w:rsidRPr="009B3747">
        <w:rPr>
          <w:rFonts w:eastAsia="Times New Roman" w:cstheme="minorHAnsi"/>
          <w:color w:val="000000"/>
          <w:lang w:eastAsia="en-GB"/>
        </w:rPr>
        <w:t xml:space="preserve"> </w:t>
      </w:r>
      <w:r w:rsidR="007239F8" w:rsidRPr="009B3747">
        <w:rPr>
          <w:rFonts w:eastAsia="Times New Roman" w:cstheme="minorHAnsi"/>
          <w:color w:val="000000"/>
          <w:lang w:eastAsia="en-GB"/>
        </w:rPr>
        <w:fldChar w:fldCharType="begin" w:fldLock="1"/>
      </w:r>
      <w:r w:rsidR="007239F8" w:rsidRPr="009B3747">
        <w:rPr>
          <w:rFonts w:eastAsia="Times New Roman" w:cstheme="minorHAnsi"/>
          <w:color w:val="000000"/>
          <w:lang w:eastAsia="en-GB"/>
        </w:rPr>
        <w:instrText>ADDIN CSL_CITATION { "citationItems" : [ { "id" : "ITEM-1", "itemData" : { "DOI" : "10.1177/1468794104041110", "ISSN" : "14687941", "abstract" : "This research note reports the results of a comparison of face-to-face interviewing with telephone interviewing in a qualitative study. The study was designed to learn   visitors' and correctional officers' perceptions of visiting county jail inmates. The original study design called for all face-to-face interviews, but the contingencies of fieldwork required an adaptation and half of the interviews were conducted by phone. Prior literature suggested that the interview modes might yield different results. However, comparison of the interview transcripts revealed no significant differences in the interviews. With some qualifications, we conclude that telephone interviews can be used productively in qualitative research.", "author" : [ { "dropping-particle" : "", "family" : "Sturges", "given" : "Judith E.", "non-dropping-particle" : "", "parse-names" : false, "suffix" : "" }, { "dropping-particle" : "", "family" : "Hanrahan", "given" : "Kathleen J.", "non-dropping-particle" : "", "parse-names" : false, "suffix" : "" } ], "container-title" : "Qualitative Research", "id" : "ITEM-1", "issue" : "1", "issued" : { "date-parts" : [ [ "2004", "4", "1" ] ] }, "page" : "107-118", "title" : "Comparing Telephone and Face-to-Face Qualitative Interviewing: a Research Note", "type" : "article-journal", "volume" : "4" }, "uris" : [ "http://www.mendeley.com/documents/?uuid=6897ea9d-fc77-49bc-b2fe-44865d478bef" ] } ], "mendeley" : { "formattedCitation" : "(Sturges and Hanrahan, 2004)", "plainTextFormattedCitation" : "(Sturges and Hanrahan, 2004)", "previouslyFormattedCitation" : "(Sturges and Hanrahan, 2004)" }, "properties" : { "noteIndex" : 0 }, "schema" : "https://github.com/citation-style-language/schema/raw/master/csl-citation.json" }</w:instrText>
      </w:r>
      <w:r w:rsidR="007239F8" w:rsidRPr="009B3747">
        <w:rPr>
          <w:rFonts w:eastAsia="Times New Roman" w:cstheme="minorHAnsi"/>
          <w:color w:val="000000"/>
          <w:lang w:eastAsia="en-GB"/>
        </w:rPr>
        <w:fldChar w:fldCharType="separate"/>
      </w:r>
      <w:r w:rsidR="007239F8" w:rsidRPr="009B3747">
        <w:rPr>
          <w:rFonts w:eastAsia="Times New Roman" w:cstheme="minorHAnsi"/>
          <w:noProof/>
          <w:color w:val="000000"/>
          <w:lang w:eastAsia="en-GB"/>
        </w:rPr>
        <w:t>(Sturges and Hanrahan, 2004)</w:t>
      </w:r>
      <w:r w:rsidR="007239F8" w:rsidRPr="009B3747">
        <w:rPr>
          <w:rFonts w:eastAsia="Times New Roman" w:cstheme="minorHAnsi"/>
          <w:color w:val="000000"/>
          <w:lang w:eastAsia="en-GB"/>
        </w:rPr>
        <w:fldChar w:fldCharType="end"/>
      </w:r>
      <w:r w:rsidR="007239F8" w:rsidRPr="009B3747">
        <w:rPr>
          <w:rFonts w:eastAsia="Times New Roman" w:cstheme="minorHAnsi"/>
          <w:color w:val="000000"/>
          <w:lang w:eastAsia="en-GB"/>
        </w:rPr>
        <w:t xml:space="preserve">.  </w:t>
      </w:r>
      <w:r w:rsidR="003931E6">
        <w:rPr>
          <w:rFonts w:eastAsia="Times New Roman" w:cstheme="minorHAnsi"/>
          <w:color w:val="000000"/>
          <w:lang w:eastAsia="en-GB"/>
        </w:rPr>
        <w:t xml:space="preserve">Their use in this study could </w:t>
      </w:r>
      <w:r w:rsidRPr="009B3747">
        <w:rPr>
          <w:rFonts w:eastAsia="Times New Roman" w:cstheme="minorHAnsi"/>
          <w:color w:val="000000"/>
          <w:lang w:eastAsia="en-GB"/>
        </w:rPr>
        <w:t>have enabled access to a wider geographical pool of participants and significantly reduced both the time and financial resour</w:t>
      </w:r>
      <w:r w:rsidR="003931E6">
        <w:rPr>
          <w:rFonts w:eastAsia="Times New Roman" w:cstheme="minorHAnsi"/>
          <w:color w:val="000000"/>
          <w:lang w:eastAsia="en-GB"/>
        </w:rPr>
        <w:t>ces committed by the researcher</w:t>
      </w:r>
      <w:r w:rsidR="007239F8" w:rsidRPr="009B3747">
        <w:rPr>
          <w:rFonts w:eastAsia="Times New Roman" w:cstheme="minorHAnsi"/>
          <w:color w:val="000000"/>
          <w:lang w:eastAsia="en-GB"/>
        </w:rPr>
        <w:t xml:space="preserve"> </w:t>
      </w:r>
      <w:r w:rsidR="007239F8"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"ISSN" : "1609-4069", "abstract" : "Traditionally, methodological textbooks have advised that the telephone mode is not well suited to the task of qualitative interviewing. At the same time, there are well-rehearsed arguments as to why telephone interviews may be a useful option in some circumstances. Despite this debate, there remains very limited systematic empirical exploration of differences in the process and outcomes of qualitative telephone vs. face-to-face interviews. Based on a recent \u2018mode comparison\u2019 study that sought to contribute to this gap in methodological knowledge, analysis of the overall duration, dominance and depth of talk between researcher and participant in a small set of telephone and face-to-face interviews revealed the following findings. (i) Despite much variation in individual interview length, telephone interviews were typically, and on average, shorter than those conducted face-to-face. (ii) The shorter duration of telephone interviews was a result of the participant speaking for less time, rather than a proportional reduction in talk from both parties. Additionally, in telephone interviews, participants generally held the floor for shorter stretches at a time. (iii) The researcher did slightly more talking during telephone interviews than in face-to-face interactions. Combined with the reduced amount of participant talk, this meant that the researcher tended to hold the floor for a greater proportion of the time in telephone interviews. (iv) To a moderate degree, the shorter length of telephone interviews could be accounted for by a reduction in coverage of themes. However, the principal explanation appeared to lie in a tendency for telephone interview participants to provide relatively less detail or elaboration. In this article, we consider why these differences may occur, if and how they might matter to the research, and how we might wish to modify interview practices in response.", "author" : [ { "dropping-particle" : "", "family" : "Irvine", "given" : "Annie", "non-dropping-particle" : "", "parse-names" : false, "suffix" : "" } ], "container-title" : "International Journal of Qualitative Methods - ARCHIVE", "id" : "ITEM-1", "issue" : "3", "issued" : { "date-parts" : [ [ "2011", "9", "12" ] ] }, "page" : "202-220", "title" : "Duration, Dominance and Depth in Telephone and Face-to-Face Interviews: A Comparative Exploration", "type" : "article", "volume" : "10" }, "uris" : [ "http://www.mendeley.com/documents/?uuid=9a7e3679-b730-4b29-a5ce-aa27c937b706" ] } ], "mendeley" : { "formattedCitation" : "(Irvine, 2011)", "plainTextFormattedCitation" : "(Irvine, 2011)", "previouslyFormattedCitation" : "(Irvine, 2011)" }, "properties" : { "noteIndex" : 0 }, "schema" : "https://github.com/citation-style-language/schema/raw/master/csl-citation.json" }</w:instrText>
      </w:r>
      <w:r w:rsidR="007239F8" w:rsidRPr="009B3747">
        <w:rPr>
          <w:rFonts w:eastAsia="Times New Roman" w:cstheme="minorHAnsi"/>
          <w:color w:val="000000"/>
          <w:lang w:eastAsia="en-GB"/>
        </w:rPr>
        <w:fldChar w:fldCharType="separate"/>
      </w:r>
      <w:r w:rsidR="007239F8" w:rsidRPr="009B3747">
        <w:rPr>
          <w:rFonts w:eastAsia="Times New Roman" w:cstheme="minorHAnsi"/>
          <w:noProof/>
          <w:color w:val="000000"/>
          <w:lang w:eastAsia="en-GB"/>
        </w:rPr>
        <w:t>(Irvine, 2011)</w:t>
      </w:r>
      <w:r w:rsidR="007239F8" w:rsidRPr="009B3747">
        <w:rPr>
          <w:rFonts w:eastAsia="Times New Roman" w:cstheme="minorHAnsi"/>
          <w:color w:val="000000"/>
          <w:lang w:eastAsia="en-GB"/>
        </w:rPr>
        <w:fldChar w:fldCharType="end"/>
      </w:r>
      <w:r w:rsidR="007239F8" w:rsidRPr="009B3747">
        <w:rPr>
          <w:rFonts w:eastAsia="Times New Roman" w:cstheme="minorHAnsi"/>
          <w:color w:val="000000"/>
          <w:lang w:eastAsia="en-GB"/>
        </w:rPr>
        <w:t xml:space="preserve">.  </w:t>
      </w:r>
    </w:p>
    <w:p w:rsidR="009D727E" w:rsidRPr="009B3747" w:rsidRDefault="009D727E" w:rsidP="00510940">
      <w:pPr>
        <w:rPr>
          <w:rFonts w:eastAsia="Times New Roman" w:cstheme="minorHAnsi"/>
          <w:color w:val="000000"/>
          <w:lang w:eastAsia="en-GB"/>
        </w:rPr>
      </w:pP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t>Despite these advantages, it was deemed that face to face interviews would foster a greater rapport with participants in com</w:t>
      </w:r>
      <w:r w:rsidR="009025E2">
        <w:rPr>
          <w:rFonts w:eastAsia="Times New Roman" w:cstheme="minorHAnsi"/>
          <w:color w:val="000000"/>
          <w:lang w:eastAsia="en-GB"/>
        </w:rPr>
        <w:t xml:space="preserve">parison to telephone interviews, </w:t>
      </w:r>
      <w:r w:rsidRPr="009B3747">
        <w:rPr>
          <w:rFonts w:eastAsia="Times New Roman" w:cstheme="minorHAnsi"/>
          <w:color w:val="000000"/>
          <w:lang w:eastAsia="en-GB"/>
        </w:rPr>
        <w:t>which could potentially</w:t>
      </w:r>
      <w:r w:rsidR="007239F8" w:rsidRPr="009B3747">
        <w:rPr>
          <w:rFonts w:eastAsia="Times New Roman" w:cstheme="minorHAnsi"/>
          <w:color w:val="000000"/>
          <w:lang w:eastAsia="en-GB"/>
        </w:rPr>
        <w:t xml:space="preserve"> assist in achieving a greater </w:t>
      </w:r>
      <w:r w:rsidR="007239F8" w:rsidRPr="009B3747">
        <w:rPr>
          <w:rFonts w:eastAsia="Times New Roman" w:cstheme="minorHAnsi"/>
          <w:i/>
          <w:color w:val="000000"/>
          <w:lang w:eastAsia="en-GB"/>
        </w:rPr>
        <w:t>“</w:t>
      </w:r>
      <w:r w:rsidRPr="009B3747">
        <w:rPr>
          <w:rFonts w:eastAsia="Times New Roman" w:cstheme="minorHAnsi"/>
          <w:i/>
          <w:color w:val="000000"/>
          <w:lang w:eastAsia="en-GB"/>
        </w:rPr>
        <w:t>depth o</w:t>
      </w:r>
      <w:r w:rsidR="007239F8" w:rsidRPr="009B3747">
        <w:rPr>
          <w:rFonts w:eastAsia="Times New Roman" w:cstheme="minorHAnsi"/>
          <w:i/>
          <w:color w:val="000000"/>
          <w:lang w:eastAsia="en-GB"/>
        </w:rPr>
        <w:t>f coverage and depth of detail”</w:t>
      </w:r>
      <w:r w:rsidR="007239F8" w:rsidRPr="009B3747">
        <w:rPr>
          <w:rFonts w:eastAsia="Times New Roman" w:cstheme="minorHAnsi"/>
          <w:color w:val="000000"/>
          <w:lang w:eastAsia="en-GB"/>
        </w:rPr>
        <w:t xml:space="preserve"> </w:t>
      </w:r>
      <w:r w:rsidR="007239F8"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"ISSN" : "1609-4069", "abstract" : "Traditionally, methodological textbooks have advised that the telephone mode is not well suited to the task of qualitative interviewing. At the same time, there are well-rehearsed arguments as to why telephone interviews may be a useful option in some circumstances. Despite this debate, there remains very limited systematic empirical exploration of differences in the process and outcomes of qualitative telephone vs. face-to-face interviews. Based on a recent \u2018mode comparison\u2019 study that sought to contribute to this gap in methodological knowledge, analysis of the overall duration, dominance and depth of talk between researcher and participant in a small set of telephone and face-to-face interviews revealed the following findings. (i) Despite much variation in individual interview length, telephone interviews were typically, and on average, shorter than those conducted face-to-face. (ii) The shorter duration of telephone interviews was a result of the participant speaking for less time, rather than a proportional reduction in talk from both parties. Additionally, in telephone interviews, participants generally held the floor for shorter stretches at a time. (iii) The researcher did slightly more talking during telephone interviews than in face-to-face interactions. Combined with the reduced amount of participant talk, this meant that the researcher tended to hold the floor for a greater proportion of the time in telephone interviews. (iv) To a moderate degree, the shorter length of telephone interviews could be accounted for by a reduction in coverage of themes. However, the principal explanation appeared to lie in a tendency for telephone interview participants to provide relatively less detail or elaboration. In this article, we consider why these differences may occur, if and how they might matter to the research, and how we might wish to modify interview practices in response.", "author" : [ { "dropping-particle" : "", "family" : "Irvine", "given" : "Annie", "non-dropping-particle" : "", "parse-names" : false, "suffix" : "" } ], "container-title" : "International Journal of Qualitative Methods - ARCHIVE", "id" : "ITEM-1", "issue" : "3", "issued" : { "date-parts" : [ [ "2011", "9", "12" ] ] }, "page" : "202-220", "title" : "Duration, Dominance and Depth in Telephone and Face-to-Face Interviews: A Comparative Exploration", "type" : "article", "volume" : "10" }, "uris" : [ "http://www.mendeley.com/documents/?uuid=9a7e3679-b730-4b29-a5ce-aa27c937b706" ] } ], "mendeley" : { "formattedCitation" : "(Irvine, 2011)", "manualFormatting" : "(Irvine, 2011, p. 211)", "plainTextFormattedCitation" : "(Irvine, 2011)", "previouslyFormattedCitation" : "(Irvine, 2011)" }, "properties" : { "noteIndex" : 0 }, "schema" : "https://github.com/citation-style-language/schema/raw/master/csl-citation.json" }</w:instrText>
      </w:r>
      <w:r w:rsidR="007239F8" w:rsidRPr="009B3747">
        <w:rPr>
          <w:rFonts w:eastAsia="Times New Roman" w:cstheme="minorHAnsi"/>
          <w:color w:val="000000"/>
          <w:lang w:eastAsia="en-GB"/>
        </w:rPr>
        <w:fldChar w:fldCharType="separate"/>
      </w:r>
      <w:r w:rsidR="007239F8" w:rsidRPr="009B3747">
        <w:rPr>
          <w:rFonts w:eastAsia="Times New Roman" w:cstheme="minorHAnsi"/>
          <w:noProof/>
          <w:color w:val="000000"/>
          <w:lang w:eastAsia="en-GB"/>
        </w:rPr>
        <w:t>(Irvine, 2011</w:t>
      </w:r>
      <w:r w:rsidR="00FB5B00" w:rsidRPr="009B3747">
        <w:rPr>
          <w:rFonts w:eastAsia="Times New Roman" w:cstheme="minorHAnsi"/>
          <w:noProof/>
          <w:color w:val="000000"/>
          <w:lang w:eastAsia="en-GB"/>
        </w:rPr>
        <w:t>, p.</w:t>
      </w:r>
      <w:r w:rsidR="007239F8" w:rsidRPr="009B3747">
        <w:rPr>
          <w:rFonts w:eastAsia="Times New Roman" w:cstheme="minorHAnsi"/>
          <w:noProof/>
          <w:color w:val="000000"/>
          <w:lang w:eastAsia="en-GB"/>
        </w:rPr>
        <w:t xml:space="preserve"> 211)</w:t>
      </w:r>
      <w:r w:rsidR="007239F8" w:rsidRPr="009B3747">
        <w:rPr>
          <w:rFonts w:eastAsia="Times New Roman" w:cstheme="minorHAnsi"/>
          <w:color w:val="000000"/>
          <w:lang w:eastAsia="en-GB"/>
        </w:rPr>
        <w:fldChar w:fldCharType="end"/>
      </w:r>
      <w:r w:rsidR="007239F8" w:rsidRPr="009B3747">
        <w:rPr>
          <w:rFonts w:eastAsia="Times New Roman" w:cstheme="minorHAnsi"/>
          <w:color w:val="000000"/>
          <w:lang w:eastAsia="en-GB"/>
        </w:rPr>
        <w:t xml:space="preserve">.  </w:t>
      </w:r>
      <w:r w:rsidRPr="009B3747">
        <w:rPr>
          <w:rFonts w:eastAsia="Times New Roman" w:cstheme="minorHAnsi"/>
          <w:color w:val="000000"/>
          <w:lang w:eastAsia="en-GB"/>
        </w:rPr>
        <w:t>Furthermore, the use</w:t>
      </w:r>
      <w:r w:rsidR="003931E6">
        <w:rPr>
          <w:rFonts w:eastAsia="Times New Roman" w:cstheme="minorHAnsi"/>
          <w:color w:val="000000"/>
          <w:lang w:eastAsia="en-GB"/>
        </w:rPr>
        <w:t xml:space="preserve"> of</w:t>
      </w:r>
      <w:r w:rsidRPr="009B3747">
        <w:rPr>
          <w:rFonts w:eastAsia="Times New Roman" w:cstheme="minorHAnsi"/>
          <w:color w:val="000000"/>
          <w:lang w:eastAsia="en-GB"/>
        </w:rPr>
        <w:t xml:space="preserve"> face to face interviews in the initial phase of the study was also chosen to provide the researcher with a useful understanding of each participant's local setting.  </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F62D86" w:rsidRDefault="00782EBA" w:rsidP="00510940">
      <w:pPr>
        <w:rPr>
          <w:rFonts w:eastAsia="Times New Roman" w:cstheme="minorHAnsi"/>
          <w:color w:val="000000"/>
          <w:lang w:eastAsia="en-GB"/>
        </w:rPr>
      </w:pPr>
      <w:r w:rsidRPr="009B3747">
        <w:rPr>
          <w:rFonts w:eastAsia="Times New Roman" w:cstheme="minorHAnsi"/>
          <w:bCs/>
          <w:color w:val="000000"/>
          <w:u w:val="single"/>
          <w:lang w:eastAsia="en-GB"/>
        </w:rPr>
        <w:t>5</w:t>
      </w:r>
      <w:r w:rsidR="007239F8" w:rsidRPr="009B3747">
        <w:rPr>
          <w:rFonts w:eastAsia="Times New Roman" w:cstheme="minorHAnsi"/>
          <w:bCs/>
          <w:color w:val="000000"/>
          <w:u w:val="single"/>
          <w:lang w:eastAsia="en-GB"/>
        </w:rPr>
        <w:t>.4</w:t>
      </w:r>
      <w:r w:rsidR="00CF32DA" w:rsidRPr="009B3747">
        <w:rPr>
          <w:rFonts w:eastAsia="Times New Roman" w:cstheme="minorHAnsi"/>
          <w:bCs/>
          <w:color w:val="000000"/>
          <w:u w:val="single"/>
          <w:lang w:eastAsia="en-GB"/>
        </w:rPr>
        <w:t xml:space="preserve">.2 </w:t>
      </w:r>
      <w:r w:rsidR="00510940" w:rsidRPr="009B3747">
        <w:rPr>
          <w:rFonts w:eastAsia="Times New Roman" w:cstheme="minorHAnsi"/>
          <w:bCs/>
          <w:color w:val="000000"/>
          <w:u w:val="single"/>
          <w:lang w:eastAsia="en-GB"/>
        </w:rPr>
        <w:t xml:space="preserve">Interview </w:t>
      </w:r>
      <w:r w:rsidR="00CF32DA" w:rsidRPr="009B3747">
        <w:rPr>
          <w:rFonts w:eastAsia="Times New Roman" w:cstheme="minorHAnsi"/>
          <w:bCs/>
          <w:color w:val="000000"/>
          <w:u w:val="single"/>
          <w:lang w:eastAsia="en-GB"/>
        </w:rPr>
        <w:t>schedule</w:t>
      </w:r>
      <w:r w:rsidR="00CF32DA" w:rsidRPr="009B3747">
        <w:rPr>
          <w:rFonts w:eastAsia="Times New Roman" w:cstheme="minorHAnsi"/>
          <w:b/>
          <w:bCs/>
          <w:color w:val="000000"/>
          <w:lang w:eastAsia="en-GB"/>
        </w:rPr>
        <w:t xml:space="preserve"> </w:t>
      </w:r>
      <w:r w:rsidR="00510940" w:rsidRPr="009B3747">
        <w:rPr>
          <w:rFonts w:eastAsia="Times New Roman" w:cstheme="minorHAnsi"/>
          <w:color w:val="000000"/>
          <w:lang w:eastAsia="en-GB"/>
        </w:rPr>
        <w:br/>
      </w:r>
      <w:r w:rsidR="00510940" w:rsidRPr="009B3747">
        <w:rPr>
          <w:rFonts w:eastAsia="Times New Roman" w:cstheme="minorHAnsi"/>
          <w:color w:val="000000"/>
          <w:lang w:eastAsia="en-GB"/>
        </w:rPr>
        <w:br/>
        <w:t>An int</w:t>
      </w:r>
      <w:r w:rsidR="007239F8" w:rsidRPr="009B3747">
        <w:rPr>
          <w:rFonts w:eastAsia="Times New Roman" w:cstheme="minorHAnsi"/>
          <w:color w:val="000000"/>
          <w:lang w:eastAsia="en-GB"/>
        </w:rPr>
        <w:t>erview schedule was created (</w:t>
      </w:r>
      <w:r w:rsidR="00510940" w:rsidRPr="009B3747">
        <w:rPr>
          <w:rFonts w:eastAsia="Times New Roman" w:cstheme="minorHAnsi"/>
          <w:color w:val="000000"/>
          <w:lang w:eastAsia="en-GB"/>
        </w:rPr>
        <w:t>Appendix</w:t>
      </w:r>
      <w:r w:rsidR="0051772A" w:rsidRPr="009B3747">
        <w:rPr>
          <w:rFonts w:eastAsia="Times New Roman" w:cstheme="minorHAnsi"/>
          <w:color w:val="000000"/>
          <w:lang w:eastAsia="en-GB"/>
        </w:rPr>
        <w:t xml:space="preserve"> F)</w:t>
      </w:r>
      <w:r w:rsidR="003931E6">
        <w:rPr>
          <w:rFonts w:eastAsia="Times New Roman" w:cstheme="minorHAnsi"/>
          <w:color w:val="000000"/>
          <w:lang w:eastAsia="en-GB"/>
        </w:rPr>
        <w:t>,</w:t>
      </w:r>
      <w:r w:rsidR="00510940" w:rsidRPr="009B3747">
        <w:rPr>
          <w:rFonts w:eastAsia="Times New Roman" w:cstheme="minorHAnsi"/>
          <w:color w:val="000000"/>
          <w:lang w:eastAsia="en-GB"/>
        </w:rPr>
        <w:t xml:space="preserve"> to provide what</w:t>
      </w:r>
      <w:r w:rsidR="007239F8" w:rsidRPr="009B3747">
        <w:rPr>
          <w:rFonts w:eastAsia="Times New Roman" w:cstheme="minorHAnsi"/>
          <w:color w:val="000000"/>
          <w:lang w:eastAsia="en-GB"/>
        </w:rPr>
        <w:t xml:space="preserve"> </w:t>
      </w:r>
      <w:r w:rsidR="007239F8"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"ISBN" : "0803933533", "abstract" : "The Long Interview provides a systematic guide to the theory and methods of the long qualitative interview or intensive interviewing. It gives a clear explanation of one of the most powerful tools of the qualitative researcher. The volume begins with a general overview of the character and purpose of qualitative inquiry and a review of key issues. The author outlines the four steps of the long qualitative interview and how to judge quality. He then offers practical advice for those who commission and administer this research, including sample questionnaires and budgets to help readers design their own. The author introduces key theoretical and methodological issues, various research strategies, and a simple four-stage model of inquiry, from the design of an open-ended questionnaire to the write up of results.", "author" : [ { "dropping-particle" : "", "family" : "McCracken", "given" : "Grant", "non-dropping-particle" : "", "parse-names" : false, "suffix" : "" } ], "id" : "ITEM-1", "issued" : { "date-parts" : [ [ "1988" ] ] }, "number-of-pages" : "88", "publisher" : "SAGE Publications", "publisher-place" : "Thousand Oaks", "title" : "The Long Interview", "type" : "book" }, "uris" : [ "http://www.mendeley.com/documents/?uuid=1517de18-d4c8-4595-9fa3-fee48bde9336" ] } ], "mendeley" : { "formattedCitation" : "(McCracken, 1988)", "manualFormatting" : "McCracken (1988, p.37)", "plainTextFormattedCitation" : "(McCracken, 1988)", "previouslyFormattedCitation" : "(McCracken, 1988)" }, "properties" : { "noteIndex" : 0 }, "schema" : "https://github.com/citation-style-language/schema/raw/master/csl-citation.json" }</w:instrText>
      </w:r>
      <w:r w:rsidR="007239F8" w:rsidRPr="009B3747">
        <w:rPr>
          <w:rFonts w:eastAsia="Times New Roman" w:cstheme="minorHAnsi"/>
          <w:color w:val="000000"/>
          <w:lang w:eastAsia="en-GB"/>
        </w:rPr>
        <w:fldChar w:fldCharType="separate"/>
      </w:r>
      <w:r w:rsidR="007239F8" w:rsidRPr="009B3747">
        <w:rPr>
          <w:rFonts w:eastAsia="Times New Roman" w:cstheme="minorHAnsi"/>
          <w:noProof/>
          <w:color w:val="000000"/>
          <w:lang w:eastAsia="en-GB"/>
        </w:rPr>
        <w:t>McCracken (1988</w:t>
      </w:r>
      <w:r w:rsidR="00FB5B00" w:rsidRPr="009B3747">
        <w:rPr>
          <w:rFonts w:eastAsia="Times New Roman" w:cstheme="minorHAnsi"/>
          <w:noProof/>
          <w:color w:val="000000"/>
          <w:lang w:eastAsia="en-GB"/>
        </w:rPr>
        <w:t>, p.</w:t>
      </w:r>
      <w:r w:rsidR="007239F8" w:rsidRPr="009B3747">
        <w:rPr>
          <w:rFonts w:eastAsia="Times New Roman" w:cstheme="minorHAnsi"/>
          <w:noProof/>
          <w:color w:val="000000"/>
          <w:lang w:eastAsia="en-GB"/>
        </w:rPr>
        <w:t>37)</w:t>
      </w:r>
      <w:r w:rsidR="007239F8" w:rsidRPr="009B3747">
        <w:rPr>
          <w:rFonts w:eastAsia="Times New Roman" w:cstheme="minorHAnsi"/>
          <w:color w:val="000000"/>
          <w:lang w:eastAsia="en-GB"/>
        </w:rPr>
        <w:fldChar w:fldCharType="end"/>
      </w:r>
      <w:r w:rsidR="00510940" w:rsidRPr="009B3747">
        <w:rPr>
          <w:rFonts w:eastAsia="Times New Roman" w:cstheme="minorHAnsi"/>
          <w:color w:val="000000"/>
          <w:lang w:eastAsia="en-GB"/>
        </w:rPr>
        <w:t xml:space="preserve"> </w:t>
      </w:r>
      <w:r w:rsidR="007239F8" w:rsidRPr="009B3747">
        <w:rPr>
          <w:rFonts w:eastAsia="Times New Roman" w:cstheme="minorHAnsi"/>
          <w:color w:val="000000"/>
          <w:lang w:eastAsia="en-GB"/>
        </w:rPr>
        <w:t xml:space="preserve">describes as, a </w:t>
      </w:r>
      <w:r w:rsidR="007239F8" w:rsidRPr="009B3747">
        <w:rPr>
          <w:rFonts w:eastAsia="Times New Roman" w:cstheme="minorHAnsi"/>
          <w:i/>
          <w:color w:val="000000"/>
          <w:lang w:eastAsia="en-GB"/>
        </w:rPr>
        <w:t>“</w:t>
      </w:r>
      <w:r w:rsidR="00510940" w:rsidRPr="009B3747">
        <w:rPr>
          <w:rFonts w:eastAsia="Times New Roman" w:cstheme="minorHAnsi"/>
          <w:i/>
          <w:color w:val="000000"/>
          <w:lang w:eastAsia="en-GB"/>
        </w:rPr>
        <w:t>travel itinerary with w</w:t>
      </w:r>
      <w:r w:rsidR="007239F8" w:rsidRPr="009B3747">
        <w:rPr>
          <w:rFonts w:eastAsia="Times New Roman" w:cstheme="minorHAnsi"/>
          <w:i/>
          <w:color w:val="000000"/>
          <w:lang w:eastAsia="en-GB"/>
        </w:rPr>
        <w:t>hich to negotiate the interview”</w:t>
      </w:r>
      <w:r w:rsidR="00510940" w:rsidRPr="009B3747">
        <w:rPr>
          <w:rFonts w:eastAsia="Times New Roman" w:cstheme="minorHAnsi"/>
          <w:i/>
          <w:color w:val="000000"/>
          <w:lang w:eastAsia="en-GB"/>
        </w:rPr>
        <w:t>,</w:t>
      </w:r>
      <w:r w:rsidR="00510940" w:rsidRPr="009B3747">
        <w:rPr>
          <w:rFonts w:eastAsia="Times New Roman" w:cstheme="minorHAnsi"/>
          <w:color w:val="000000"/>
          <w:lang w:eastAsia="en-GB"/>
        </w:rPr>
        <w:t xml:space="preserve"> both enhancing the consistency of data collection and ensuring topics are covered systematically</w:t>
      </w:r>
      <w:r w:rsidR="007239F8" w:rsidRPr="009B3747">
        <w:rPr>
          <w:rFonts w:eastAsia="Times New Roman" w:cstheme="minorHAnsi"/>
          <w:color w:val="000000"/>
          <w:lang w:eastAsia="en-GB"/>
        </w:rPr>
        <w:t xml:space="preserve"> </w:t>
      </w:r>
      <w:r w:rsidR="007239F8"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"Ritchie", "given" : "J", "non-dropping-particle" : "", "parse-names" : false, "suffix" : "" }, { "dropping-particle" : "", "family" : "Lewis", "given" : "J", "non-dropping-particle" : "", "parse-names" : false, "suffix" : "" }, { "dropping-particle" : "", "family" : "Nicholls", "given" : "CMN", "non-dropping-particle" : "", "parse-names" : false, "suffix" : "" }, { "dropping-particle" : "", "family" : "Ormston", "given" : "R", "non-dropping-particle" : "", "parse-names" : false, "suffix" : "" } ], "id" : "ITEM-1", "issued" : { "date-parts" : [ [ "2013" ] ] }, "publisher" : "SAGE Publications Ltd", "publisher-place" : "London", "title" : "Qualitative research practice: A guide for social science students and researchers", "type" : "book" }, "uris" : [ "http://www.mendeley.com/documents/?uuid=800eed61-d46d-49e8-9b3e-325021a38d6e" ] } ], "mendeley" : { "formattedCitation" : "(Ritchie et al., 2013)", "plainTextFormattedCitation" : "(Ritchie et al., 2013)", "previouslyFormattedCitation" : "(Ritchie et al., 2013)" }, "properties" : { "noteIndex" : 0 }, "schema" : "https://github.com/citation-style-language/schema/raw/master/csl-citation.json" }</w:instrText>
      </w:r>
      <w:r w:rsidR="007239F8" w:rsidRPr="009B3747">
        <w:rPr>
          <w:rFonts w:eastAsia="Times New Roman" w:cstheme="minorHAnsi"/>
          <w:color w:val="000000"/>
          <w:lang w:eastAsia="en-GB"/>
        </w:rPr>
        <w:fldChar w:fldCharType="separate"/>
      </w:r>
      <w:r w:rsidR="007239F8" w:rsidRPr="009B3747">
        <w:rPr>
          <w:rFonts w:eastAsia="Times New Roman" w:cstheme="minorHAnsi"/>
          <w:noProof/>
          <w:color w:val="000000"/>
          <w:lang w:eastAsia="en-GB"/>
        </w:rPr>
        <w:t>(Ritchie et al., 2013)</w:t>
      </w:r>
      <w:r w:rsidR="007239F8" w:rsidRPr="009B3747">
        <w:rPr>
          <w:rFonts w:eastAsia="Times New Roman" w:cstheme="minorHAnsi"/>
          <w:color w:val="000000"/>
          <w:lang w:eastAsia="en-GB"/>
        </w:rPr>
        <w:fldChar w:fldCharType="end"/>
      </w:r>
      <w:r w:rsidR="00510940" w:rsidRPr="009B3747">
        <w:rPr>
          <w:rFonts w:eastAsia="Times New Roman" w:cstheme="minorHAnsi"/>
          <w:color w:val="000000"/>
          <w:lang w:eastAsia="en-GB"/>
        </w:rPr>
        <w:t xml:space="preserve">.  Based on the researcher's previous experience with a similar school stakeholder group (primary school </w:t>
      </w:r>
      <w:r w:rsidR="003931E6">
        <w:rPr>
          <w:rFonts w:eastAsia="Times New Roman" w:cstheme="minorHAnsi"/>
          <w:color w:val="000000"/>
          <w:lang w:eastAsia="en-GB"/>
        </w:rPr>
        <w:lastRenderedPageBreak/>
        <w:t xml:space="preserve">headteachers), </w:t>
      </w:r>
      <w:r w:rsidR="00510940" w:rsidRPr="009B3747">
        <w:rPr>
          <w:rFonts w:eastAsia="Times New Roman" w:cstheme="minorHAnsi"/>
          <w:color w:val="000000"/>
          <w:lang w:eastAsia="en-GB"/>
        </w:rPr>
        <w:t>and evidenced good practice</w:t>
      </w:r>
      <w:r w:rsidR="007239F8" w:rsidRPr="009B3747">
        <w:rPr>
          <w:rFonts w:eastAsia="Times New Roman" w:cstheme="minorHAnsi"/>
          <w:color w:val="000000"/>
          <w:lang w:eastAsia="en-GB"/>
        </w:rPr>
        <w:t xml:space="preserve"> </w:t>
      </w:r>
      <w:r w:rsidR="007239F8"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"Cohen", "given" : "L", "non-dropping-particle" : "", "parse-names" : false, "suffix" : "" }, { "dropping-particle" : "", "family" : "Manion", "given" : "L", "non-dropping-particle" : "", "parse-names" : false, "suffix" : "" }, { "dropping-particle" : "", "family" : "Morrison", "given" : "K", "non-dropping-particle" : "", "parse-names" : false, "suffix" : "" } ], "edition" : "5th", "id" : "ITEM-1", "issued" : { "date-parts" : [ [ "2004" ] ] }, "publisher" : "Routledge", "publisher-place" : "London", "title" : "A guide to teaching practice", "type" : "book" }, "uris" : [ "http://www.mendeley.com/documents/?uuid=10248e79-1e4a-4f01-a83b-e78259801472" ] }, { "id" : "ITEM-2", "itemData" : { "author" : [ { "dropping-particle" : "", "family" : "Pope", "given" : "C", "non-dropping-particle" : "", "parse-names" : false, "suffix" : "" }, { "dropping-particle" : "", "family" : "Mays", "given" : "N", "non-dropping-particle" : "", "parse-names" : false, "suffix" : "" } ], "container-title" : "Qualitative Research in Health Care", "edition" : "3rd", "editor" : [ { "dropping-particle" : "", "family" : "Pope", "given" : "C", "non-dropping-particle" : "", "parse-names" : false, "suffix" : "" }, { "dropping-particle" : "", "family" : "Mays", "given" : "N", "non-dropping-particle" : "", "parse-names" : false, "suffix" : "" } ], "id" : "ITEM-2", "issued" : { "date-parts" : [ [ "2006" ] ] }, "page" : "1-11", "publisher-place" : "Malden", "title" : "Qualitative Methods in Health Research", "type" : "chapter" }, "uris" : [ "http://www.mendeley.com/documents/?uuid=6de6e72d-2aeb-44ba-bec2-1e2a3c103a01" ] } ], "mendeley" : { "formattedCitation" : "(Cohen et al., 2004; Pope and Mays, 2006)", "plainTextFormattedCitation" : "(Cohen et al., 2004; Pope and Mays, 2006)", "previouslyFormattedCitation" : "(Cohen et al., 2004; Pope and Mays, 2006)" }, "properties" : { "noteIndex" : 0 }, "schema" : "https://github.com/citation-style-language/schema/raw/master/csl-citation.json" }</w:instrText>
      </w:r>
      <w:r w:rsidR="007239F8" w:rsidRPr="009B3747">
        <w:rPr>
          <w:rFonts w:eastAsia="Times New Roman" w:cstheme="minorHAnsi"/>
          <w:color w:val="000000"/>
          <w:lang w:eastAsia="en-GB"/>
        </w:rPr>
        <w:fldChar w:fldCharType="separate"/>
      </w:r>
      <w:r w:rsidR="009C2ECF" w:rsidRPr="009B3747">
        <w:rPr>
          <w:rFonts w:eastAsia="Times New Roman" w:cstheme="minorHAnsi"/>
          <w:noProof/>
          <w:color w:val="000000"/>
          <w:lang w:eastAsia="en-GB"/>
        </w:rPr>
        <w:t>(Cohen et al., 2004; Pope and Mays, 2006)</w:t>
      </w:r>
      <w:r w:rsidR="007239F8" w:rsidRPr="009B3747">
        <w:rPr>
          <w:rFonts w:eastAsia="Times New Roman" w:cstheme="minorHAnsi"/>
          <w:color w:val="000000"/>
          <w:lang w:eastAsia="en-GB"/>
        </w:rPr>
        <w:fldChar w:fldCharType="end"/>
      </w:r>
      <w:r w:rsidR="003931E6">
        <w:rPr>
          <w:rFonts w:eastAsia="Times New Roman" w:cstheme="minorHAnsi"/>
          <w:color w:val="000000"/>
          <w:lang w:eastAsia="en-GB"/>
        </w:rPr>
        <w:t xml:space="preserve">, </w:t>
      </w:r>
      <w:r w:rsidR="00510940" w:rsidRPr="009B3747">
        <w:rPr>
          <w:rFonts w:eastAsia="Times New Roman" w:cstheme="minorHAnsi"/>
          <w:color w:val="000000"/>
          <w:lang w:eastAsia="en-GB"/>
        </w:rPr>
        <w:t xml:space="preserve">the interview schedule comprised of a mixture of closed and open-ended questions.  The first two questions asked factual demographic information, i.e. participant age and length of time within their respective leadership roles, to allow comparisons to be drawn between </w:t>
      </w:r>
      <w:r w:rsidR="00461D3C" w:rsidRPr="009B3747">
        <w:rPr>
          <w:rFonts w:eastAsia="Times New Roman" w:cstheme="minorHAnsi"/>
          <w:color w:val="000000"/>
          <w:lang w:eastAsia="en-GB"/>
        </w:rPr>
        <w:t>participant’s</w:t>
      </w:r>
      <w:r w:rsidR="00510940" w:rsidRPr="009B3747">
        <w:rPr>
          <w:rFonts w:eastAsia="Times New Roman" w:cstheme="minorHAnsi"/>
          <w:color w:val="000000"/>
          <w:lang w:eastAsia="en-GB"/>
        </w:rPr>
        <w:t xml:space="preserve"> responses.  The third question, asked participants to describe an account of their journey to becoming either a headteacher or chair of governors.  </w:t>
      </w:r>
    </w:p>
    <w:p w:rsidR="00F62D86" w:rsidRDefault="00F62D86" w:rsidP="00510940">
      <w:pPr>
        <w:rPr>
          <w:rFonts w:eastAsia="Times New Roman" w:cstheme="minorHAnsi"/>
          <w:color w:val="000000"/>
          <w:lang w:eastAsia="en-GB"/>
        </w:rPr>
      </w:pP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t>Asking participants to share familiar information and personal experiences prior to questions related to the research topic, was done to facilitate participant di</w:t>
      </w:r>
      <w:r w:rsidR="00E12833" w:rsidRPr="009B3747">
        <w:rPr>
          <w:rFonts w:eastAsia="Times New Roman" w:cstheme="minorHAnsi"/>
          <w:color w:val="000000"/>
          <w:lang w:eastAsia="en-GB"/>
        </w:rPr>
        <w:t xml:space="preserve">alogue, put them at ease and </w:t>
      </w:r>
      <w:r w:rsidR="00E12833" w:rsidRPr="009B3747">
        <w:rPr>
          <w:rFonts w:eastAsia="Times New Roman" w:cstheme="minorHAnsi"/>
          <w:i/>
          <w:color w:val="000000"/>
          <w:lang w:eastAsia="en-GB"/>
        </w:rPr>
        <w:t>“</w:t>
      </w:r>
      <w:r w:rsidRPr="009B3747">
        <w:rPr>
          <w:rFonts w:eastAsia="Times New Roman" w:cstheme="minorHAnsi"/>
          <w:i/>
          <w:color w:val="000000"/>
          <w:lang w:eastAsia="en-GB"/>
        </w:rPr>
        <w:t xml:space="preserve">rapidly </w:t>
      </w:r>
      <w:r w:rsidR="00E12833" w:rsidRPr="009B3747">
        <w:rPr>
          <w:rFonts w:eastAsia="Times New Roman" w:cstheme="minorHAnsi"/>
          <w:i/>
          <w:color w:val="000000"/>
          <w:lang w:eastAsia="en-GB"/>
        </w:rPr>
        <w:t>develop a positive relationship”</w:t>
      </w:r>
      <w:r w:rsidR="00E12833" w:rsidRPr="009B3747">
        <w:rPr>
          <w:rFonts w:eastAsia="Times New Roman" w:cstheme="minorHAnsi"/>
          <w:color w:val="000000"/>
          <w:lang w:eastAsia="en-GB"/>
        </w:rPr>
        <w:t xml:space="preserve"> </w:t>
      </w:r>
      <w:r w:rsidR="00E12833" w:rsidRPr="009B3747">
        <w:rPr>
          <w:rFonts w:eastAsia="Times New Roman" w:cstheme="minorHAnsi"/>
          <w:color w:val="000000"/>
          <w:lang w:eastAsia="en-GB"/>
        </w:rPr>
        <w:fldChar w:fldCharType="begin" w:fldLock="1"/>
      </w:r>
      <w:r w:rsidR="00224C9C" w:rsidRPr="009B3747">
        <w:rPr>
          <w:rFonts w:eastAsia="Times New Roman" w:cstheme="minorHAnsi"/>
          <w:color w:val="000000"/>
          <w:lang w:eastAsia="en-GB"/>
        </w:rPr>
        <w:instrText>ADDIN CSL_CITATION { "citationItems" : [ { "id" : "ITEM-1", "itemData" : { "DOI" : "10.1111/j.1365-2929.2006.02418.x", "ISBN" : "1365-2923", "ISSN" : "03080110", "PMID" : "16573666", "abstract" : "BACKGROUND: Interviews are among the most familiar strategies for collecting qualitative data. The different qualitative interviewing strategies in common use emerged from diverse disciplinary perspectives resulting in a wide variation among interviewing approaches. Unlike the highly structured survey interviews and questionnaires used in epidemiology and most health services research, we examine less structured interview strategies in which the person interviewed is more a participant in meaning making than a conduit from which information is retrieved. PURPOSE: In this article we briefly review the more common qualitative interview methods and then focus on the widely used individual face-to-face in-depth interview, which seeks to foster learning about individual experiences and perspectives on a given set of issues. We discuss methods for conducting in-depth interviews and consider relevant ethical issues with particular regard to the rights and protection of the participants.", "author" : [ { "dropping-particle" : "", "family" : "DiCicco-Bloom", "given" : "Barbara", "non-dropping-particle" : "", "parse-names" : false, "suffix" : "" }, { "dropping-particle" : "", "family" : "Crabtree", "given" : "Benjamin F.", "non-dropping-particle" : "", "parse-names" : false, "suffix" : "" } ], "container-title" : "Medical Education", "id" : "ITEM-1", "issue" : "4", "issued" : { "date-parts" : [ [ "2006" ] ] }, "page" : "314-321", "title" : "The qualitative research interview", "type" : "article", "volume" : "40" }, "uris" : [ "http://www.mendeley.com/documents/?uuid=6aebd5ec-217a-4fcf-8ff7-c9828dfa69b3" ] } ], "mendeley" : { "formattedCitation" : "(DiCicco-Bloom and Crabtree, 2006)", "manualFormatting" : "(DiCicco-Bloom and Crabtree, 2006, p.40)", "plainTextFormattedCitation" : "(DiCicco-Bloom and Crabtree, 2006)", "previouslyFormattedCitation" : "(DiCicco-Bloom and Crabtree, 2006)" }, "properties" : { "noteIndex" : 0 }, "schema" : "https://github.com/citation-style-language/schema/raw/master/csl-citation.json" }</w:instrText>
      </w:r>
      <w:r w:rsidR="00E12833" w:rsidRPr="009B3747">
        <w:rPr>
          <w:rFonts w:eastAsia="Times New Roman" w:cstheme="minorHAnsi"/>
          <w:color w:val="000000"/>
          <w:lang w:eastAsia="en-GB"/>
        </w:rPr>
        <w:fldChar w:fldCharType="separate"/>
      </w:r>
      <w:r w:rsidR="00E12833" w:rsidRPr="009B3747">
        <w:rPr>
          <w:rFonts w:eastAsia="Times New Roman" w:cstheme="minorHAnsi"/>
          <w:noProof/>
          <w:color w:val="000000"/>
          <w:lang w:eastAsia="en-GB"/>
        </w:rPr>
        <w:t>(DiCicco-Bloom and Crabtree, 2006</w:t>
      </w:r>
      <w:r w:rsidR="00FB5B00" w:rsidRPr="009B3747">
        <w:rPr>
          <w:rFonts w:eastAsia="Times New Roman" w:cstheme="minorHAnsi"/>
          <w:noProof/>
          <w:color w:val="000000"/>
          <w:lang w:eastAsia="en-GB"/>
        </w:rPr>
        <w:t>, p.</w:t>
      </w:r>
      <w:r w:rsidR="00E12833" w:rsidRPr="009B3747">
        <w:rPr>
          <w:rFonts w:eastAsia="Times New Roman" w:cstheme="minorHAnsi"/>
          <w:noProof/>
          <w:color w:val="000000"/>
          <w:lang w:eastAsia="en-GB"/>
        </w:rPr>
        <w:t>40)</w:t>
      </w:r>
      <w:r w:rsidR="00E12833" w:rsidRPr="009B3747">
        <w:rPr>
          <w:rFonts w:eastAsia="Times New Roman" w:cstheme="minorHAnsi"/>
          <w:color w:val="000000"/>
          <w:lang w:eastAsia="en-GB"/>
        </w:rPr>
        <w:fldChar w:fldCharType="end"/>
      </w:r>
      <w:r w:rsidRPr="009B3747">
        <w:rPr>
          <w:rFonts w:eastAsia="Times New Roman" w:cstheme="minorHAnsi"/>
          <w:color w:val="000000"/>
          <w:lang w:eastAsia="en-GB"/>
        </w:rPr>
        <w:t>.  Furthermore, this question, whilst not about the research topic under study and therefore not formally analysed, enabled the researcher to position and understand participants perspectives within the context of their wider previous personal, professional and social experiences.    </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t>The remainder of the interview schedule focused on asking open-ended questions that were directly connected to the research topic.  Two main areas of consideration shaped the development of the questions content.  Firstly, reviewing the rel</w:t>
      </w:r>
      <w:r w:rsidR="00461D3C" w:rsidRPr="009B3747">
        <w:rPr>
          <w:rFonts w:eastAsia="Times New Roman" w:cstheme="minorHAnsi"/>
          <w:color w:val="000000"/>
          <w:lang w:eastAsia="en-GB"/>
        </w:rPr>
        <w:t xml:space="preserve">evant literature </w:t>
      </w:r>
      <w:r w:rsidRPr="009B3747">
        <w:rPr>
          <w:rFonts w:eastAsia="Times New Roman" w:cstheme="minorHAnsi"/>
          <w:color w:val="000000"/>
          <w:lang w:eastAsia="en-GB"/>
        </w:rPr>
        <w:t>was essential so that areas of specific interest and relevance identified in the existing evidence base could be explored and uncovered.  Secondly, it was crucial to review the research aims and objectives to ensure that the interview questions posed would address the overall research purpose.  </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t>In addition to utilising the interview schedule to guide each interview, the process of concurrently undertaking data collection and prelimina</w:t>
      </w:r>
      <w:r w:rsidR="00E12833" w:rsidRPr="009B3747">
        <w:rPr>
          <w:rFonts w:eastAsia="Times New Roman" w:cstheme="minorHAnsi"/>
          <w:color w:val="000000"/>
          <w:lang w:eastAsia="en-GB"/>
        </w:rPr>
        <w:t>ry data analysis (see section 5.5</w:t>
      </w:r>
      <w:r w:rsidRPr="009B3747">
        <w:rPr>
          <w:rFonts w:eastAsia="Times New Roman" w:cstheme="minorHAnsi"/>
          <w:color w:val="000000"/>
          <w:lang w:eastAsia="en-GB"/>
        </w:rPr>
        <w:t>), led to additional questions being posed to subsequent participants.  The process of transcribing and reading data from completed interviews whilst still undertaking data collection meant that initial impressions or evolving areas of interest could be explored with new participants.  New questions not o</w:t>
      </w:r>
      <w:r w:rsidR="003931E6">
        <w:rPr>
          <w:rFonts w:eastAsia="Times New Roman" w:cstheme="minorHAnsi"/>
          <w:color w:val="000000"/>
          <w:lang w:eastAsia="en-GB"/>
        </w:rPr>
        <w:t xml:space="preserve">n the schedule were often posed, </w:t>
      </w:r>
      <w:r w:rsidRPr="009B3747">
        <w:rPr>
          <w:rFonts w:eastAsia="Times New Roman" w:cstheme="minorHAnsi"/>
          <w:color w:val="000000"/>
          <w:lang w:eastAsia="en-GB"/>
        </w:rPr>
        <w:t>with the aim of identifying confirmation or deviation from any early emerging themes</w:t>
      </w:r>
      <w:r w:rsidR="00E12833" w:rsidRPr="009B3747">
        <w:rPr>
          <w:rFonts w:eastAsia="Times New Roman" w:cstheme="minorHAnsi"/>
          <w:color w:val="000000"/>
          <w:lang w:eastAsia="en-GB"/>
        </w:rPr>
        <w:t xml:space="preserve"> </w:t>
      </w:r>
      <w:r w:rsidR="00E12833" w:rsidRPr="009B3747">
        <w:rPr>
          <w:rFonts w:eastAsia="Times New Roman" w:cstheme="minorHAnsi"/>
          <w:color w:val="000000"/>
          <w:lang w:eastAsia="en-GB"/>
        </w:rPr>
        <w:fldChar w:fldCharType="begin" w:fldLock="1"/>
      </w:r>
      <w:r w:rsidR="00C456CB" w:rsidRPr="009B3747">
        <w:rPr>
          <w:rFonts w:eastAsia="Times New Roman" w:cstheme="minorHAnsi"/>
          <w:color w:val="000000"/>
          <w:lang w:eastAsia="en-GB"/>
        </w:rPr>
        <w:instrText>ADDIN CSL_CITATION { "citationItems" : [ { "id" : "ITEM-1", "itemData" : { "ISSN" : "0959-8138", "PMID" : "10617534", "author" : [ { "dropping-particle" : "", "family" : "Mays", "given" : "N", "non-dropping-particle" : "", "parse-names" : false, "suffix" : "" }, { "dropping-particle" : "", "family" : "Pope", "given" : "C", "non-dropping-particle" : "", "parse-names" : false, "suffix" : "" } ], "container-title" : "BMJ (Clinical research ed.)", "id" : "ITEM-1", "issue" : "7226", "issued" : { "date-parts" : [ [ "2000", "1", "1" ] ] }, "page" : "50-2", "title" : "Qualitative research in health care. Assessing quality in qualitative research.", "type" : "article-journal", "volume" : "320" }, "uris" : [ "http://www.mendeley.com/documents/?uuid=ddb014bf-34e5-3715-854d-d643d2db0234" ] } ], "mendeley" : { "formattedCitation" : "(Mays and Pope, 2000)", "plainTextFormattedCitation" : "(Mays and Pope, 2000)", "previouslyFormattedCitation" : "(Mays and Pope, 2000)" }, "properties" : { "noteIndex" : 0 }, "schema" : "https://github.com/citation-style-language/schema/raw/master/csl-citation.json" }</w:instrText>
      </w:r>
      <w:r w:rsidR="00E12833" w:rsidRPr="009B3747">
        <w:rPr>
          <w:rFonts w:eastAsia="Times New Roman" w:cstheme="minorHAnsi"/>
          <w:color w:val="000000"/>
          <w:lang w:eastAsia="en-GB"/>
        </w:rPr>
        <w:fldChar w:fldCharType="separate"/>
      </w:r>
      <w:r w:rsidR="00E12833" w:rsidRPr="009B3747">
        <w:rPr>
          <w:rFonts w:eastAsia="Times New Roman" w:cstheme="minorHAnsi"/>
          <w:noProof/>
          <w:color w:val="000000"/>
          <w:lang w:eastAsia="en-GB"/>
        </w:rPr>
        <w:t>(Mays and Pope, 2000)</w:t>
      </w:r>
      <w:r w:rsidR="00E12833" w:rsidRPr="009B3747">
        <w:rPr>
          <w:rFonts w:eastAsia="Times New Roman" w:cstheme="minorHAnsi"/>
          <w:color w:val="000000"/>
          <w:lang w:eastAsia="en-GB"/>
        </w:rPr>
        <w:fldChar w:fldCharType="end"/>
      </w:r>
      <w:r w:rsidRPr="009B3747">
        <w:rPr>
          <w:rFonts w:eastAsia="Times New Roman" w:cstheme="minorHAnsi"/>
          <w:color w:val="000000"/>
          <w:lang w:eastAsia="en-GB"/>
        </w:rPr>
        <w:t>.  A question posed as an example, was ‘some headteachers have reported they believe a link exists between poor eating habits and deprivation, what, if a</w:t>
      </w:r>
      <w:r w:rsidR="00DB655F" w:rsidRPr="009B3747">
        <w:rPr>
          <w:rFonts w:eastAsia="Times New Roman" w:cstheme="minorHAnsi"/>
          <w:color w:val="000000"/>
          <w:lang w:eastAsia="en-GB"/>
        </w:rPr>
        <w:t>nything is your opinion on this</w:t>
      </w:r>
      <w:r w:rsidRPr="009B3747">
        <w:rPr>
          <w:rFonts w:eastAsia="Times New Roman" w:cstheme="minorHAnsi"/>
          <w:color w:val="000000"/>
          <w:lang w:eastAsia="en-GB"/>
        </w:rPr>
        <w:t>?</w:t>
      </w:r>
      <w:r w:rsidR="00DB655F" w:rsidRPr="009B3747">
        <w:rPr>
          <w:rFonts w:eastAsia="Times New Roman" w:cstheme="minorHAnsi"/>
          <w:color w:val="000000"/>
          <w:lang w:eastAsia="en-GB"/>
        </w:rPr>
        <w:t>’</w:t>
      </w:r>
    </w:p>
    <w:p w:rsidR="009D727E" w:rsidRDefault="009D727E" w:rsidP="00510940">
      <w:pPr>
        <w:rPr>
          <w:rFonts w:eastAsia="Times New Roman" w:cstheme="minorHAnsi"/>
          <w:color w:val="000000"/>
          <w:lang w:eastAsia="en-GB"/>
        </w:rPr>
      </w:pPr>
    </w:p>
    <w:p w:rsidR="00F62D86" w:rsidRDefault="00F62D86" w:rsidP="00510940">
      <w:pPr>
        <w:rPr>
          <w:rFonts w:eastAsia="Times New Roman" w:cstheme="minorHAnsi"/>
          <w:color w:val="000000"/>
          <w:lang w:eastAsia="en-GB"/>
        </w:rPr>
      </w:pPr>
    </w:p>
    <w:p w:rsidR="00F62D86" w:rsidRDefault="00F62D86" w:rsidP="00510940">
      <w:pPr>
        <w:rPr>
          <w:rFonts w:eastAsia="Times New Roman" w:cstheme="minorHAnsi"/>
          <w:color w:val="000000"/>
          <w:lang w:eastAsia="en-GB"/>
        </w:rPr>
      </w:pPr>
    </w:p>
    <w:p w:rsidR="00F62D86" w:rsidRPr="009B3747" w:rsidRDefault="00F62D86" w:rsidP="00510940">
      <w:pPr>
        <w:rPr>
          <w:rFonts w:eastAsia="Times New Roman" w:cstheme="minorHAnsi"/>
          <w:color w:val="000000"/>
          <w:lang w:eastAsia="en-GB"/>
        </w:rPr>
      </w:pPr>
    </w:p>
    <w:p w:rsidR="00510940" w:rsidRPr="009B3747" w:rsidRDefault="00782EBA" w:rsidP="00510940">
      <w:pPr>
        <w:rPr>
          <w:rFonts w:eastAsia="Times New Roman" w:cstheme="minorHAnsi"/>
          <w:sz w:val="24"/>
          <w:szCs w:val="24"/>
          <w:u w:val="single"/>
          <w:lang w:eastAsia="en-GB"/>
        </w:rPr>
      </w:pPr>
      <w:r w:rsidRPr="009B3747">
        <w:rPr>
          <w:rFonts w:eastAsia="Times New Roman" w:cstheme="minorHAnsi"/>
          <w:bCs/>
          <w:color w:val="000000"/>
          <w:u w:val="single"/>
          <w:lang w:eastAsia="en-GB"/>
        </w:rPr>
        <w:lastRenderedPageBreak/>
        <w:t>5</w:t>
      </w:r>
      <w:r w:rsidR="00E12833" w:rsidRPr="009B3747">
        <w:rPr>
          <w:rFonts w:eastAsia="Times New Roman" w:cstheme="minorHAnsi"/>
          <w:bCs/>
          <w:color w:val="000000"/>
          <w:u w:val="single"/>
          <w:lang w:eastAsia="en-GB"/>
        </w:rPr>
        <w:t>.4</w:t>
      </w:r>
      <w:r w:rsidR="00CF32DA" w:rsidRPr="009B3747">
        <w:rPr>
          <w:rFonts w:eastAsia="Times New Roman" w:cstheme="minorHAnsi"/>
          <w:bCs/>
          <w:color w:val="000000"/>
          <w:u w:val="single"/>
          <w:lang w:eastAsia="en-GB"/>
        </w:rPr>
        <w:t xml:space="preserve">.3 </w:t>
      </w:r>
      <w:r w:rsidR="00510940" w:rsidRPr="009B3747">
        <w:rPr>
          <w:rFonts w:eastAsia="Times New Roman" w:cstheme="minorHAnsi"/>
          <w:bCs/>
          <w:color w:val="000000"/>
          <w:u w:val="single"/>
          <w:lang w:eastAsia="en-GB"/>
        </w:rPr>
        <w:t>Interview procedure</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t>The data collection period started in January 2016 and continued until May 2016, lasting a period of 14 weeks.  Out of 22 interviews, 18 were conducted within a participant's school setting, predominantly in a headteachers office or a private meeting room.  By request, four participants, all chairs of governors asked to hold the meeting outside of their school.  This was due to convenience given their location or the accessibility of appropriate space at their school.  Three interviews were conducted in a private room in the department of the School of Health and Related Research at The University of Sheffield.  One was undertaken in a quiet area within a gallery cafe in Sheffield city centre (as requested by the participant).  The average length of time was 49 minutes.</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t>At the start of each interview, the researcher thanked the participant for committing their time and provided a brief overview of the research purpose, interview procedure and how their valuable contribution would form part of the overall study.  The participant information sheet</w:t>
      </w:r>
      <w:r w:rsidR="003F4A2E" w:rsidRPr="009B3747">
        <w:rPr>
          <w:rFonts w:eastAsia="Times New Roman" w:cstheme="minorHAnsi"/>
          <w:color w:val="000000"/>
          <w:lang w:eastAsia="en-GB"/>
        </w:rPr>
        <w:t xml:space="preserve"> (Appendix I</w:t>
      </w:r>
      <w:r w:rsidR="00C456CB" w:rsidRPr="009B3747">
        <w:rPr>
          <w:rFonts w:eastAsia="Times New Roman" w:cstheme="minorHAnsi"/>
          <w:color w:val="000000"/>
          <w:lang w:eastAsia="en-GB"/>
        </w:rPr>
        <w:t>)</w:t>
      </w:r>
      <w:r w:rsidRPr="009B3747">
        <w:rPr>
          <w:rFonts w:eastAsia="Times New Roman" w:cstheme="minorHAnsi"/>
          <w:color w:val="000000"/>
          <w:lang w:eastAsia="en-GB"/>
        </w:rPr>
        <w:t xml:space="preserve"> and consent forms </w:t>
      </w:r>
      <w:r w:rsidR="003F4A2E" w:rsidRPr="009B3747">
        <w:rPr>
          <w:rFonts w:eastAsia="Times New Roman" w:cstheme="minorHAnsi"/>
          <w:color w:val="000000"/>
          <w:lang w:eastAsia="en-GB"/>
        </w:rPr>
        <w:t>(Appendix J</w:t>
      </w:r>
      <w:r w:rsidR="00C456CB" w:rsidRPr="009B3747">
        <w:rPr>
          <w:rFonts w:eastAsia="Times New Roman" w:cstheme="minorHAnsi"/>
          <w:color w:val="000000"/>
          <w:lang w:eastAsia="en-GB"/>
        </w:rPr>
        <w:t xml:space="preserve">) </w:t>
      </w:r>
      <w:r w:rsidRPr="009B3747">
        <w:rPr>
          <w:rFonts w:eastAsia="Times New Roman" w:cstheme="minorHAnsi"/>
          <w:color w:val="000000"/>
          <w:lang w:eastAsia="en-GB"/>
        </w:rPr>
        <w:t>were discussed, ensuring that the participant had a) received and read a copy of each prior to the interview, b) agreed to the intervi</w:t>
      </w:r>
      <w:r w:rsidR="00C456CB" w:rsidRPr="009B3747">
        <w:rPr>
          <w:rFonts w:eastAsia="Times New Roman" w:cstheme="minorHAnsi"/>
          <w:color w:val="000000"/>
          <w:lang w:eastAsia="en-GB"/>
        </w:rPr>
        <w:t>ew being recorded</w:t>
      </w:r>
      <w:r w:rsidRPr="009B3747">
        <w:rPr>
          <w:rFonts w:eastAsia="Times New Roman" w:cstheme="minorHAnsi"/>
          <w:color w:val="000000"/>
          <w:lang w:eastAsia="en-GB"/>
        </w:rPr>
        <w:t xml:space="preserve"> and c) signed the written consent form agreeing to be i</w:t>
      </w:r>
      <w:r w:rsidR="00C456CB" w:rsidRPr="009B3747">
        <w:rPr>
          <w:rFonts w:eastAsia="Times New Roman" w:cstheme="minorHAnsi"/>
          <w:color w:val="000000"/>
          <w:lang w:eastAsia="en-GB"/>
        </w:rPr>
        <w:t>nterviewed</w:t>
      </w:r>
      <w:r w:rsidRPr="009B3747">
        <w:rPr>
          <w:rFonts w:eastAsia="Times New Roman" w:cstheme="minorHAnsi"/>
          <w:color w:val="000000"/>
          <w:lang w:eastAsia="en-GB"/>
        </w:rPr>
        <w:t>.  Assurances were given regarding confidentiality and data management procedures and the participant was then given the opportunity to ask any questions.  Once the interview was completed, the researcher again thanked participants for their contribution and assured participants that should any publications arise from the study, they would be emailed a copy for their records.  </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CF32DA" w:rsidRPr="009B3747" w:rsidRDefault="00782EBA" w:rsidP="00CF32DA">
      <w:pPr>
        <w:rPr>
          <w:rFonts w:eastAsia="Times New Roman" w:cstheme="minorHAnsi"/>
          <w:color w:val="000000"/>
          <w:lang w:eastAsia="en-GB"/>
        </w:rPr>
      </w:pPr>
      <w:r w:rsidRPr="009B3747">
        <w:rPr>
          <w:rFonts w:eastAsia="Times New Roman" w:cstheme="minorHAnsi"/>
          <w:bCs/>
          <w:color w:val="000000"/>
          <w:u w:val="single"/>
          <w:lang w:eastAsia="en-GB"/>
        </w:rPr>
        <w:t>5</w:t>
      </w:r>
      <w:r w:rsidR="00E12833" w:rsidRPr="009B3747">
        <w:rPr>
          <w:rFonts w:eastAsia="Times New Roman" w:cstheme="minorHAnsi"/>
          <w:bCs/>
          <w:color w:val="000000"/>
          <w:u w:val="single"/>
          <w:lang w:eastAsia="en-GB"/>
        </w:rPr>
        <w:t>.4</w:t>
      </w:r>
      <w:r w:rsidR="00CF32DA" w:rsidRPr="009B3747">
        <w:rPr>
          <w:rFonts w:eastAsia="Times New Roman" w:cstheme="minorHAnsi"/>
          <w:bCs/>
          <w:color w:val="000000"/>
          <w:u w:val="single"/>
          <w:lang w:eastAsia="en-GB"/>
        </w:rPr>
        <w:t xml:space="preserve">.4 </w:t>
      </w:r>
      <w:r w:rsidR="00510940" w:rsidRPr="009B3747">
        <w:rPr>
          <w:rFonts w:eastAsia="Times New Roman" w:cstheme="minorHAnsi"/>
          <w:bCs/>
          <w:color w:val="000000"/>
          <w:u w:val="single"/>
          <w:lang w:eastAsia="en-GB"/>
        </w:rPr>
        <w:t>The interviewer and interviewing skills</w:t>
      </w:r>
      <w:r w:rsidR="00510940" w:rsidRPr="009B3747">
        <w:rPr>
          <w:rFonts w:eastAsia="Times New Roman" w:cstheme="minorHAnsi"/>
          <w:color w:val="000000"/>
          <w:lang w:eastAsia="en-GB"/>
        </w:rPr>
        <w:br/>
      </w:r>
      <w:r w:rsidR="00510940" w:rsidRPr="009B3747">
        <w:rPr>
          <w:rFonts w:eastAsia="Times New Roman" w:cstheme="minorHAnsi"/>
          <w:color w:val="000000"/>
          <w:lang w:eastAsia="en-GB"/>
        </w:rPr>
        <w:br/>
        <w:t xml:space="preserve">An important aspect of qualitative research and interviews, is an interviewer’s ability to facilitate a participant’s willingness to reveal and disclose information (Punch, 2013).  This is achieved through developing a co-equal relationship based on mutual trust, respect and rapport between the researcher and the researched </w:t>
      </w:r>
      <w:r w:rsidR="00C456CB" w:rsidRPr="009B3747">
        <w:rPr>
          <w:rFonts w:eastAsia="Times New Roman" w:cstheme="minorHAnsi"/>
          <w:color w:val="000000"/>
          <w:lang w:eastAsia="en-GB"/>
        </w:rPr>
        <w:fldChar w:fldCharType="begin" w:fldLock="1"/>
      </w:r>
      <w:r w:rsidR="002D0012">
        <w:rPr>
          <w:rFonts w:eastAsia="Times New Roman" w:cstheme="minorHAnsi"/>
          <w:color w:val="000000"/>
          <w:lang w:eastAsia="en-GB"/>
        </w:rPr>
        <w:instrText>ADDIN CSL_CITATION { "citationItems" : [ { "id" : "ITEM-1", "itemData" : { "author" : [ { "dropping-particle" : "", "family" : "Pope", "given" : "C", "non-dropping-particle" : "", "parse-names" : false, "suffix" : "" }, { "dropping-particle" : "", "family" : "Mays", "given" : "N", "non-dropping-particle" : "", "parse-names" : false, "suffix" : "" } ], "container-title" : "Qualitative Research in Health Care", "edition" : "3rd", "editor" : [ { "dropping-particle" : "", "family" : "Pope", "given" : "C", "non-dropping-particle" : "", "parse-names" : false, "suffix" : "" }, { "dropping-particle" : "", "family" : "Mays", "given" : "N", "non-dropping-particle" : "", "parse-names" : false, "suffix" : "" } ], "id" : "ITEM-1", "issued" : { "date-parts" : [ [ "2006" ] ] }, "page" : "1-11", "publisher-place" : "Malden", "title" : "Qualitative Methods in Health Research", "type" : "chapter" }, "uris" : [ "http://www.mendeley.com/documents/?uuid=6de6e72d-2aeb-44ba-bec2-1e2a3c103a01" ] }, { "id" : "ITEM-2", "itemData" : { "ISBN" : "1446296164", "abstract" : "3rd ed. Previous edition: 2005. In the new edition of Introduction to Social Resarch, Keith Punch takes a fresh look at the entire research process, from formulating a research question to writing up your research. Introduction -- Theory and method in social science research -- Ethics in social science research -- Research questions -- From research questions to data -- Literature searching and reviewing -- Qualitative research design -- Collecting qualitative data -- Analysing qualitative data -- Quantitative research design -- Collecting quatitative data -- Analysing quantitative data -- The internet and research -- Mixed methods and evaluation -- Research writing.", "author" : [ { "dropping-particle" : "", "family" : "Punch", "given" : "K", "non-dropping-particle" : "", "parse-names" : false, "suffix" : "" } ], "edition" : "3rd", "id" : "ITEM-2", "issued" : { "date-parts" : [ [ "2014" ] ] }, "number-of-pages" : "386", "publisher" : "SAGE Publications Ltd", "publisher-place" : "London", "title" : "Introduction to social research : Quantitative and qualitative approaches", "type" : "book" }, "uris" : [ "http://www.mendeley.com/documents/?uuid=7e80c4f6-afa1-3067-9430-96a282ce3e85" ] } ], "mendeley" : { "formattedCitation" : "(Pope and Mays, 2006; Punch, 2014)", "plainTextFormattedCitation" : "(Pope and Mays, 2006; Punch, 2014)", "previouslyFormattedCitation" : "(Pope and Mays, 2006; Punch, 2014)" }, "properties" : { "noteIndex" : 0 }, "schema" : "https://github.com/citation-style-language/schema/raw/master/csl-citation.json" }</w:instrText>
      </w:r>
      <w:r w:rsidR="00C456CB" w:rsidRPr="009B3747">
        <w:rPr>
          <w:rFonts w:eastAsia="Times New Roman" w:cstheme="minorHAnsi"/>
          <w:color w:val="000000"/>
          <w:lang w:eastAsia="en-GB"/>
        </w:rPr>
        <w:fldChar w:fldCharType="separate"/>
      </w:r>
      <w:r w:rsidR="00AB10E7" w:rsidRPr="00AB10E7">
        <w:rPr>
          <w:rFonts w:eastAsia="Times New Roman" w:cstheme="minorHAnsi"/>
          <w:noProof/>
          <w:color w:val="000000"/>
          <w:lang w:eastAsia="en-GB"/>
        </w:rPr>
        <w:t>(Pope and Mays, 2006; Punch, 2014)</w:t>
      </w:r>
      <w:r w:rsidR="00C456CB" w:rsidRPr="009B3747">
        <w:rPr>
          <w:rFonts w:eastAsia="Times New Roman" w:cstheme="minorHAnsi"/>
          <w:color w:val="000000"/>
          <w:lang w:eastAsia="en-GB"/>
        </w:rPr>
        <w:fldChar w:fldCharType="end"/>
      </w:r>
      <w:r w:rsidR="00510940" w:rsidRPr="009B3747">
        <w:rPr>
          <w:rFonts w:eastAsia="Times New Roman" w:cstheme="minorHAnsi"/>
          <w:color w:val="000000"/>
          <w:lang w:eastAsia="en-GB"/>
        </w:rPr>
        <w:t>.  In order to maximise this process, a number of approaches were u</w:t>
      </w:r>
      <w:r w:rsidR="00EC4081" w:rsidRPr="009B3747">
        <w:rPr>
          <w:rFonts w:eastAsia="Times New Roman" w:cstheme="minorHAnsi"/>
          <w:color w:val="000000"/>
          <w:lang w:eastAsia="en-GB"/>
        </w:rPr>
        <w:t>sed within each interview:</w:t>
      </w:r>
      <w:r w:rsidR="00CF32DA" w:rsidRPr="009B3747">
        <w:rPr>
          <w:rFonts w:eastAsia="Times New Roman" w:cstheme="minorHAnsi"/>
          <w:color w:val="000000"/>
          <w:lang w:eastAsia="en-GB"/>
        </w:rPr>
        <w:t xml:space="preserve"> </w:t>
      </w:r>
    </w:p>
    <w:p w:rsidR="00CF32DA" w:rsidRPr="009B3747" w:rsidRDefault="00CF32DA" w:rsidP="00CF32DA">
      <w:pPr>
        <w:rPr>
          <w:rFonts w:eastAsia="Times New Roman" w:cstheme="minorHAnsi"/>
          <w:color w:val="000000"/>
          <w:lang w:eastAsia="en-GB"/>
        </w:rPr>
      </w:pPr>
    </w:p>
    <w:p w:rsidR="00CF32DA" w:rsidRPr="009B3747" w:rsidRDefault="00CF32DA" w:rsidP="00C27072">
      <w:pPr>
        <w:pStyle w:val="ListParagraph"/>
        <w:numPr>
          <w:ilvl w:val="0"/>
          <w:numId w:val="41"/>
        </w:numPr>
        <w:rPr>
          <w:rFonts w:eastAsia="Times New Roman" w:cstheme="minorHAnsi"/>
          <w:color w:val="000000"/>
          <w:lang w:eastAsia="en-GB"/>
        </w:rPr>
      </w:pPr>
      <w:r w:rsidRPr="009B3747">
        <w:rPr>
          <w:rFonts w:eastAsia="Times New Roman" w:cstheme="minorHAnsi"/>
          <w:color w:val="000000"/>
          <w:lang w:eastAsia="en-GB"/>
        </w:rPr>
        <w:t>I</w:t>
      </w:r>
      <w:r w:rsidR="00510940" w:rsidRPr="009B3747">
        <w:rPr>
          <w:rFonts w:eastAsia="Times New Roman" w:cstheme="minorHAnsi"/>
          <w:color w:val="000000"/>
          <w:lang w:eastAsia="en-GB"/>
        </w:rPr>
        <w:t>n addition to holding interviews at venues convenient to each participant, dates and times of each interview were arranged around participants existing schedule and commitments in order t</w:t>
      </w:r>
      <w:r w:rsidRPr="009B3747">
        <w:rPr>
          <w:rFonts w:eastAsia="Times New Roman" w:cstheme="minorHAnsi"/>
          <w:color w:val="000000"/>
          <w:lang w:eastAsia="en-GB"/>
        </w:rPr>
        <w:t>o reduce barriers to engagement</w:t>
      </w:r>
      <w:r w:rsidR="003931E6">
        <w:rPr>
          <w:rFonts w:eastAsia="Times New Roman" w:cstheme="minorHAnsi"/>
          <w:color w:val="000000"/>
          <w:lang w:eastAsia="en-GB"/>
        </w:rPr>
        <w:t>.</w:t>
      </w:r>
      <w:r w:rsidR="00510940" w:rsidRPr="009B3747">
        <w:rPr>
          <w:rFonts w:eastAsia="Times New Roman" w:cstheme="minorHAnsi"/>
          <w:color w:val="000000"/>
          <w:lang w:eastAsia="en-GB"/>
        </w:rPr>
        <w:t xml:space="preserve"> </w:t>
      </w:r>
    </w:p>
    <w:p w:rsidR="00CF32DA" w:rsidRPr="009B3747" w:rsidRDefault="00510940" w:rsidP="00C27072">
      <w:pPr>
        <w:pStyle w:val="ListParagraph"/>
        <w:numPr>
          <w:ilvl w:val="0"/>
          <w:numId w:val="41"/>
        </w:numPr>
        <w:rPr>
          <w:rFonts w:eastAsia="Times New Roman" w:cstheme="minorHAnsi"/>
          <w:color w:val="000000"/>
          <w:lang w:eastAsia="en-GB"/>
        </w:rPr>
      </w:pPr>
      <w:r w:rsidRPr="009B3747">
        <w:rPr>
          <w:rFonts w:eastAsia="Times New Roman" w:cstheme="minorHAnsi"/>
          <w:color w:val="000000"/>
          <w:lang w:eastAsia="en-GB"/>
        </w:rPr>
        <w:lastRenderedPageBreak/>
        <w:t>The researcher dressed in smart casual clothes, appropriate to conducting interviews within a school setting or chosen venue and in order to aid in developing a profession</w:t>
      </w:r>
      <w:r w:rsidR="00CF32DA" w:rsidRPr="009B3747">
        <w:rPr>
          <w:rFonts w:eastAsia="Times New Roman" w:cstheme="minorHAnsi"/>
          <w:color w:val="000000"/>
          <w:lang w:eastAsia="en-GB"/>
        </w:rPr>
        <w:t>al yet informal atmosphere</w:t>
      </w:r>
      <w:r w:rsidR="003931E6">
        <w:rPr>
          <w:rFonts w:eastAsia="Times New Roman" w:cstheme="minorHAnsi"/>
          <w:color w:val="000000"/>
          <w:lang w:eastAsia="en-GB"/>
        </w:rPr>
        <w:t>.</w:t>
      </w:r>
    </w:p>
    <w:p w:rsidR="00CF32DA" w:rsidRPr="009B3747" w:rsidRDefault="00510940" w:rsidP="00C27072">
      <w:pPr>
        <w:pStyle w:val="ListParagraph"/>
        <w:numPr>
          <w:ilvl w:val="0"/>
          <w:numId w:val="41"/>
        </w:numPr>
        <w:rPr>
          <w:rFonts w:eastAsia="Times New Roman" w:cstheme="minorHAnsi"/>
          <w:color w:val="000000"/>
          <w:lang w:eastAsia="en-GB"/>
        </w:rPr>
      </w:pPr>
      <w:r w:rsidRPr="009B3747">
        <w:rPr>
          <w:rFonts w:eastAsia="Times New Roman" w:cstheme="minorHAnsi"/>
          <w:color w:val="000000"/>
          <w:lang w:eastAsia="en-GB"/>
        </w:rPr>
        <w:t xml:space="preserve">Where relevant and appropriate, the researcher disclosed and shared personal experiences in order that interviewees felt a reciprocal relationship existed with the interviewer </w:t>
      </w:r>
      <w:r w:rsidR="00C456CB"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"Reinharz", "given" : "S", "non-dropping-particle" : "", "parse-names" : false, "suffix" : "" }, { "dropping-particle" : "", "family" : "Davidman", "given" : "L", "non-dropping-particle" : "", "parse-names" : false, "suffix" : "" } ], "id" : "ITEM-1", "issued" : { "date-parts" : [ [ "1992" ] ] }, "publisher" : "Oxford University Press", "publisher-place" : "New York", "title" : "Feminist methods in social research.", "type" : "book" }, "uris" : [ "http://www.mendeley.com/documents/?uuid=093f0272-df21-49a0-a2a5-645b62f84afc" ] } ], "mendeley" : { "formattedCitation" : "(Reinharz and Davidman, 1992)", "plainTextFormattedCitation" : "(Reinharz and Davidman, 1992)", "previouslyFormattedCitation" : "(Reinharz and Davidman, 1992)" }, "properties" : { "noteIndex" : 0 }, "schema" : "https://github.com/citation-style-language/schema/raw/master/csl-citation.json" }</w:instrText>
      </w:r>
      <w:r w:rsidR="00C456CB" w:rsidRPr="009B3747">
        <w:rPr>
          <w:rFonts w:eastAsia="Times New Roman" w:cstheme="minorHAnsi"/>
          <w:color w:val="000000"/>
          <w:lang w:eastAsia="en-GB"/>
        </w:rPr>
        <w:fldChar w:fldCharType="separate"/>
      </w:r>
      <w:r w:rsidR="00C456CB" w:rsidRPr="009B3747">
        <w:rPr>
          <w:rFonts w:eastAsia="Times New Roman" w:cstheme="minorHAnsi"/>
          <w:noProof/>
          <w:color w:val="000000"/>
          <w:lang w:eastAsia="en-GB"/>
        </w:rPr>
        <w:t>(Reinharz and Davidman, 1992)</w:t>
      </w:r>
      <w:r w:rsidR="00C456CB" w:rsidRPr="009B3747">
        <w:rPr>
          <w:rFonts w:eastAsia="Times New Roman" w:cstheme="minorHAnsi"/>
          <w:color w:val="000000"/>
          <w:lang w:eastAsia="en-GB"/>
        </w:rPr>
        <w:fldChar w:fldCharType="end"/>
      </w:r>
      <w:r w:rsidRPr="009B3747">
        <w:rPr>
          <w:rFonts w:eastAsia="Times New Roman" w:cstheme="minorHAnsi"/>
          <w:color w:val="000000"/>
          <w:lang w:eastAsia="en-GB"/>
        </w:rPr>
        <w:t>.  This was frequently done through informal conversations before each interview, to ‘break the ice’ and were typically not re</w:t>
      </w:r>
      <w:r w:rsidR="00CF32DA" w:rsidRPr="009B3747">
        <w:rPr>
          <w:rFonts w:eastAsia="Times New Roman" w:cstheme="minorHAnsi"/>
          <w:color w:val="000000"/>
          <w:lang w:eastAsia="en-GB"/>
        </w:rPr>
        <w:t>lated to the research topic.</w:t>
      </w:r>
    </w:p>
    <w:p w:rsidR="00CF32DA" w:rsidRPr="009B3747" w:rsidRDefault="00510940" w:rsidP="00C27072">
      <w:pPr>
        <w:pStyle w:val="ListParagraph"/>
        <w:numPr>
          <w:ilvl w:val="0"/>
          <w:numId w:val="41"/>
        </w:numPr>
        <w:rPr>
          <w:rFonts w:eastAsia="Times New Roman" w:cstheme="minorHAnsi"/>
          <w:color w:val="000000"/>
          <w:lang w:eastAsia="en-GB"/>
        </w:rPr>
      </w:pPr>
      <w:r w:rsidRPr="009B3747">
        <w:rPr>
          <w:rFonts w:eastAsia="Times New Roman" w:cstheme="minorHAnsi"/>
          <w:color w:val="000000"/>
          <w:lang w:eastAsia="en-GB"/>
        </w:rPr>
        <w:t>Appropriate, sensitive and reflective probes or ‘checking questions’ were used to gain a better understanding, remove ambiguity and to show a genuine interest in understanding participants perspectives</w:t>
      </w:r>
      <w:r w:rsidR="00C456CB" w:rsidRPr="009B3747">
        <w:rPr>
          <w:rFonts w:eastAsia="Times New Roman" w:cstheme="minorHAnsi"/>
          <w:color w:val="000000"/>
          <w:lang w:eastAsia="en-GB"/>
        </w:rPr>
        <w:t xml:space="preserve"> </w:t>
      </w:r>
      <w:r w:rsidR="00C456CB"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"Denscombe", "given" : "M", "non-dropping-particle" : "", "parse-names" : false, "suffix" : "" } ], "edition" : "2nd", "id" : "ITEM-1", "issued" : { "date-parts" : [ [ "2009" ] ] }, "publisher" : "Open University Press/McGraw-Hill", "publisher-place" : "Maidenhead", "title" : "Ground rules for social research: Guidelines for good practice", "type" : "book" }, "uris" : [ "http://www.mendeley.com/documents/?uuid=42049e6a-8949-4a99-b693-506876c43564" ] }, { "id" : "ITEM-2", "itemData" : { "author" : [ { "dropping-particle" : "", "family" : "Denscombe", "given" : "M", "non-dropping-particle" : "", "parse-names" : false, "suffix" : "" } ], "edition" : "5th", "id" : "ITEM-2", "issued" : { "date-parts" : [ [ "2014" ] ] }, "publisher" : "Open University Press/McGraw-Hill", "publisher-place" : "Maidenhead", "title" : "The good research guide: for small-scale social research projects", "type" : "book" }, "uris" : [ "http://www.mendeley.com/documents/?uuid=d7aa7311-6e9a-4fb4-bf19-410aedf93a78" ] } ], "mendeley" : { "formattedCitation" : "(Denscombe, 2009, 2014)", "plainTextFormattedCitation" : "(Denscombe, 2009, 2014)", "previouslyFormattedCitation" : "(Denscombe, 2009, 2014)" }, "properties" : { "noteIndex" : 0 }, "schema" : "https://github.com/citation-style-language/schema/raw/master/csl-citation.json" }</w:instrText>
      </w:r>
      <w:r w:rsidR="00C456CB" w:rsidRPr="009B3747">
        <w:rPr>
          <w:rFonts w:eastAsia="Times New Roman" w:cstheme="minorHAnsi"/>
          <w:color w:val="000000"/>
          <w:lang w:eastAsia="en-GB"/>
        </w:rPr>
        <w:fldChar w:fldCharType="separate"/>
      </w:r>
      <w:r w:rsidR="00C456CB" w:rsidRPr="009B3747">
        <w:rPr>
          <w:rFonts w:eastAsia="Times New Roman" w:cstheme="minorHAnsi"/>
          <w:noProof/>
          <w:color w:val="000000"/>
          <w:lang w:eastAsia="en-GB"/>
        </w:rPr>
        <w:t>(Denscombe, 2009, 2014)</w:t>
      </w:r>
      <w:r w:rsidR="00C456CB" w:rsidRPr="009B3747">
        <w:rPr>
          <w:rFonts w:eastAsia="Times New Roman" w:cstheme="minorHAnsi"/>
          <w:color w:val="000000"/>
          <w:lang w:eastAsia="en-GB"/>
        </w:rPr>
        <w:fldChar w:fldCharType="end"/>
      </w:r>
      <w:r w:rsidR="003931E6">
        <w:rPr>
          <w:rFonts w:eastAsia="Times New Roman" w:cstheme="minorHAnsi"/>
          <w:color w:val="000000"/>
          <w:lang w:eastAsia="en-GB"/>
        </w:rPr>
        <w:t>.</w:t>
      </w:r>
    </w:p>
    <w:p w:rsidR="00510940" w:rsidRPr="009B3747" w:rsidRDefault="00510940" w:rsidP="00C27072">
      <w:pPr>
        <w:pStyle w:val="ListParagraph"/>
        <w:numPr>
          <w:ilvl w:val="0"/>
          <w:numId w:val="41"/>
        </w:numPr>
        <w:rPr>
          <w:rFonts w:eastAsia="Times New Roman" w:cstheme="minorHAnsi"/>
          <w:color w:val="000000"/>
          <w:lang w:eastAsia="en-GB"/>
        </w:rPr>
      </w:pPr>
      <w:r w:rsidRPr="009B3747">
        <w:rPr>
          <w:rFonts w:eastAsia="Times New Roman" w:cstheme="minorHAnsi"/>
          <w:color w:val="000000"/>
          <w:lang w:eastAsia="en-GB"/>
        </w:rPr>
        <w:t>The researcher consciously adopted a positive and open body language, maintaining frequent eye contact, with the use of confirmatory words or motions to indicate active listening</w:t>
      </w:r>
      <w:r w:rsidR="003931E6">
        <w:rPr>
          <w:rFonts w:eastAsia="Times New Roman" w:cstheme="minorHAnsi"/>
          <w:color w:val="000000"/>
          <w:lang w:eastAsia="en-GB"/>
        </w:rPr>
        <w:t>.</w:t>
      </w:r>
      <w:r w:rsidRPr="009B3747">
        <w:rPr>
          <w:rFonts w:eastAsia="Times New Roman" w:cstheme="minorHAnsi"/>
          <w:color w:val="000000"/>
          <w:lang w:eastAsia="en-GB"/>
        </w:rPr>
        <w:t xml:space="preserve"> </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782EBA" w:rsidP="00510940">
      <w:pPr>
        <w:rPr>
          <w:rFonts w:eastAsia="Times New Roman" w:cstheme="minorHAnsi"/>
          <w:sz w:val="24"/>
          <w:szCs w:val="24"/>
          <w:lang w:eastAsia="en-GB"/>
        </w:rPr>
      </w:pPr>
      <w:r w:rsidRPr="009B3747">
        <w:rPr>
          <w:rFonts w:eastAsia="Times New Roman" w:cstheme="minorHAnsi"/>
          <w:bCs/>
          <w:color w:val="000000"/>
          <w:u w:val="single"/>
          <w:lang w:eastAsia="en-GB"/>
        </w:rPr>
        <w:t>5</w:t>
      </w:r>
      <w:r w:rsidR="00E12833" w:rsidRPr="009B3747">
        <w:rPr>
          <w:rFonts w:eastAsia="Times New Roman" w:cstheme="minorHAnsi"/>
          <w:bCs/>
          <w:color w:val="000000"/>
          <w:u w:val="single"/>
          <w:lang w:eastAsia="en-GB"/>
        </w:rPr>
        <w:t>.4</w:t>
      </w:r>
      <w:r w:rsidR="00CF32DA" w:rsidRPr="009B3747">
        <w:rPr>
          <w:rFonts w:eastAsia="Times New Roman" w:cstheme="minorHAnsi"/>
          <w:bCs/>
          <w:color w:val="000000"/>
          <w:u w:val="single"/>
          <w:lang w:eastAsia="en-GB"/>
        </w:rPr>
        <w:t xml:space="preserve">.5 </w:t>
      </w:r>
      <w:r w:rsidR="00510940" w:rsidRPr="009B3747">
        <w:rPr>
          <w:rFonts w:eastAsia="Times New Roman" w:cstheme="minorHAnsi"/>
          <w:bCs/>
          <w:color w:val="000000"/>
          <w:u w:val="single"/>
          <w:lang w:eastAsia="en-GB"/>
        </w:rPr>
        <w:t>Recording of Interviews</w:t>
      </w:r>
      <w:r w:rsidR="00510940" w:rsidRPr="009B3747">
        <w:rPr>
          <w:rFonts w:eastAsia="Times New Roman" w:cstheme="minorHAnsi"/>
          <w:color w:val="000000"/>
          <w:lang w:eastAsia="en-GB"/>
        </w:rPr>
        <w:br/>
      </w:r>
      <w:r w:rsidR="00510940" w:rsidRPr="009B3747">
        <w:rPr>
          <w:rFonts w:eastAsia="Times New Roman" w:cstheme="minorHAnsi"/>
          <w:color w:val="000000"/>
          <w:lang w:eastAsia="en-GB"/>
        </w:rPr>
        <w:br/>
        <w:t>With each participant's’ explicit and written permission, each interview was recorded with a digital audio-recorder application on the researchers smart phone. Consent to be recorded and the management of audio files is detailed in section</w:t>
      </w:r>
      <w:r w:rsidR="00C456CB" w:rsidRPr="009B3747">
        <w:rPr>
          <w:rFonts w:eastAsia="Times New Roman" w:cstheme="minorHAnsi"/>
          <w:color w:val="000000"/>
          <w:lang w:eastAsia="en-GB"/>
        </w:rPr>
        <w:t xml:space="preserve"> 5.7</w:t>
      </w:r>
      <w:r w:rsidR="00510940" w:rsidRPr="009B3747">
        <w:rPr>
          <w:rFonts w:eastAsia="Times New Roman" w:cstheme="minorHAnsi"/>
          <w:color w:val="000000"/>
          <w:lang w:eastAsia="en-GB"/>
        </w:rPr>
        <w:t>.  Brief field notes were only taken where absolutely necessary to support the audio recordings, typically summarising the main impressions after the interview was completed.  This approach was employed based on experiences in conducting the pilot interviews.  Where field notes were undertaken, data sources were cross-referenced as a means of enhancing the reliability and validity of the findings obtained</w:t>
      </w:r>
      <w:r w:rsidR="00C456CB" w:rsidRPr="009B3747">
        <w:rPr>
          <w:rFonts w:eastAsia="Times New Roman" w:cstheme="minorHAnsi"/>
          <w:color w:val="000000"/>
          <w:lang w:eastAsia="en-GB"/>
        </w:rPr>
        <w:t xml:space="preserve"> </w:t>
      </w:r>
      <w:r w:rsidR="00C456CB" w:rsidRPr="009B3747">
        <w:rPr>
          <w:rFonts w:eastAsia="Times New Roman" w:cstheme="minorHAnsi"/>
          <w:color w:val="000000"/>
          <w:lang w:eastAsia="en-GB"/>
        </w:rPr>
        <w:fldChar w:fldCharType="begin" w:fldLock="1"/>
      </w:r>
      <w:r w:rsidR="002D0012">
        <w:rPr>
          <w:rFonts w:eastAsia="Times New Roman" w:cstheme="minorHAnsi"/>
          <w:color w:val="000000"/>
          <w:lang w:eastAsia="en-GB"/>
        </w:rPr>
        <w:instrText>ADDIN CSL_CITATION { "citationItems" : [ { "id" : "ITEM-1", "itemData" : { "author" : [ { "dropping-particle" : "", "family" : "Seale", "given" : "C", "non-dropping-particle" : "", "parse-names" : false, "suffix" : "" }, { "dropping-particle" : "", "family" : "Silverman", "given" : "D", "non-dropping-particle" : "", "parse-names" : false, "suffix" : "" } ], "container-title" : "The European Journal of Public Health", "id" : "ITEM-1", "issue" : "4", "issued" : { "date-parts" : [ [ "1997" ] ] }, "page" : "379-384", "title" : "Ensuring rigour in qualitative research", "type" : "article-journal", "volume" : "7" }, "uris" : [ "http://www.mendeley.com/documents/?uuid=1c7e76d0-193f-4033-a016-93523af99a87" ] }, { "id" : "ITEM-2", "itemData" : { "DOI" : "10.1177/104973200129118651", "ISBN" : "10497323", "ISSN" : "1049-7323", "PMID" : "11066874", "abstract" : "The subjective nature of qualitative research necessitates scrupulous scientific methods to ensure valid results. Although qualitative methods such as grounded theory, phenomenology, and ethnography yield rich data, consumers of research need to be able to trust the findings reported in such studies. Researchers are responsible for establishing the trustworthiness of qualitative research through a variety of ways. Specific challenges faced in the field can seriously threaten the dependability of the data. However, by minimizing potential errors that can occur when doing fieldwork, researchers can increase the trustworthiness of the study. The purpose of this article is to present three of the pitfalls that can occur in qualitative research during data collection and transcription: equipment failure, environmental hazards, and transcription errors. Specific strategies to minimize the risk for avoidable errors will be discussed.", "author" : [ { "dropping-particle" : "", "family" : "Easton", "given" : "K L", "non-dropping-particle" : "", "parse-names" : false, "suffix" : "" }, { "dropping-particle" : "", "family" : "McComish", "given" : "J F", "non-dropping-particle" : "", "parse-names" : false, "suffix" : "" }, { "dropping-particle" : "", "family" : "Greenberg", "given" : "R", "non-dropping-particle" : "", "parse-names" : false, "suffix" : "" } ], "container-title" : "Qualitative health research", "id" : "ITEM-2", "issue" : "5", "issued" : { "date-parts" : [ [ "2000" ] ] }, "page" : "703-707", "title" : "Avoiding common pitfalls in qualitative data collection and transcription.", "type" : "article-journal", "volume" : "10" }, "uris" : [ "http://www.mendeley.com/documents/?uuid=31384947-49c0-46bd-b122-48d8589e99ac" ] }, { "id" : "ITEM-3", "itemData" : { "ISBN" : "1446296164", "abstract" : "3rd ed. Previous edition: 2005. In the new edition of Introduction to Social Resarch, Keith Punch takes a fresh look at the entire research process, from formulating a research question to writing up your research. Introduction -- Theory and method in social science research -- Ethics in social science research -- Research questions -- From research questions to data -- Literature searching and reviewing -- Qualitative research design -- Collecting qualitative data -- Analysing qualitative data -- Quantitative research design -- Collecting quatitative data -- Analysing quantitative data -- The internet and research -- Mixed methods and evaluation -- Research writing.", "author" : [ { "dropping-particle" : "", "family" : "Punch", "given" : "K", "non-dropping-particle" : "", "parse-names" : false, "suffix" : "" } ], "edition" : "3rd", "id" : "ITEM-3", "issued" : { "date-parts" : [ [ "2014" ] ] }, "number-of-pages" : "386", "publisher" : "SAGE Publications Ltd", "publisher-place" : "London", "title" : "Introduction to social research : Quantitative and qualitative approaches", "type" : "book" }, "uris" : [ "http://www.mendeley.com/documents/?uuid=7e80c4f6-afa1-3067-9430-96a282ce3e85" ] }, { "id" : "ITEM-4", "itemData" : { "author" : [ { "dropping-particle" : "", "family" : "Bowling", "given" : "A", "non-dropping-particle" : "", "parse-names" : false, "suffix" : "" } ], "edition" : "4th", "id" : "ITEM-4", "issued" : { "date-parts" : [ [ "2014" ] ] }, "publisher" : "Open University Press", "publisher-place" : "Maidenhead, UK", "title" : "Research methods in health: investigating health and health services", "type" : "book" }, "uris" : [ "http://www.mendeley.com/documents/?uuid=50092966-af1d-4766-bf38-8a55db776f74" ] } ], "mendeley" : { "formattedCitation" : "(Seale and Silverman, 1997; Easton et al., 2000; Punch, 2014; Bowling, 2014)", "plainTextFormattedCitation" : "(Seale and Silverman, 1997; Easton et al., 2000; Punch, 2014; Bowling, 2014)", "previouslyFormattedCitation" : "(Seale and Silverman, 1997; Easton et al., 2000; Punch, 2014; Bowling, 2014)" }, "properties" : { "noteIndex" : 0 }, "schema" : "https://github.com/citation-style-language/schema/raw/master/csl-citation.json" }</w:instrText>
      </w:r>
      <w:r w:rsidR="00C456CB" w:rsidRPr="009B3747">
        <w:rPr>
          <w:rFonts w:eastAsia="Times New Roman" w:cstheme="minorHAnsi"/>
          <w:color w:val="000000"/>
          <w:lang w:eastAsia="en-GB"/>
        </w:rPr>
        <w:fldChar w:fldCharType="separate"/>
      </w:r>
      <w:r w:rsidR="00AB10E7" w:rsidRPr="00AB10E7">
        <w:rPr>
          <w:rFonts w:eastAsia="Times New Roman" w:cstheme="minorHAnsi"/>
          <w:noProof/>
          <w:color w:val="000000"/>
          <w:lang w:eastAsia="en-GB"/>
        </w:rPr>
        <w:t>(Seale and Silverman, 1997; Easton et al., 2000; Punch, 2014; Bowling, 2014)</w:t>
      </w:r>
      <w:r w:rsidR="00C456CB" w:rsidRPr="009B3747">
        <w:rPr>
          <w:rFonts w:eastAsia="Times New Roman" w:cstheme="minorHAnsi"/>
          <w:color w:val="000000"/>
          <w:lang w:eastAsia="en-GB"/>
        </w:rPr>
        <w:fldChar w:fldCharType="end"/>
      </w:r>
      <w:r w:rsidR="00C456CB" w:rsidRPr="009B3747">
        <w:rPr>
          <w:rFonts w:eastAsia="Times New Roman" w:cstheme="minorHAnsi"/>
          <w:color w:val="000000"/>
          <w:lang w:eastAsia="en-GB"/>
        </w:rPr>
        <w:t>.</w:t>
      </w:r>
      <w:r w:rsidR="00510940" w:rsidRPr="009B3747">
        <w:rPr>
          <w:rFonts w:eastAsia="Times New Roman" w:cstheme="minorHAnsi"/>
          <w:color w:val="000000"/>
          <w:lang w:eastAsia="en-GB"/>
        </w:rPr>
        <w:br/>
      </w:r>
      <w:r w:rsidR="00510940" w:rsidRPr="009B3747">
        <w:rPr>
          <w:rFonts w:eastAsia="Times New Roman" w:cstheme="minorHAnsi"/>
          <w:color w:val="000000"/>
          <w:lang w:eastAsia="en-GB"/>
        </w:rPr>
        <w:br/>
      </w:r>
      <w:r w:rsidRPr="009B3747">
        <w:rPr>
          <w:rFonts w:eastAsia="Times New Roman" w:cstheme="minorHAnsi"/>
          <w:bCs/>
          <w:color w:val="000000"/>
          <w:u w:val="single"/>
          <w:lang w:eastAsia="en-GB"/>
        </w:rPr>
        <w:t>5</w:t>
      </w:r>
      <w:r w:rsidR="00E12833" w:rsidRPr="009B3747">
        <w:rPr>
          <w:rFonts w:eastAsia="Times New Roman" w:cstheme="minorHAnsi"/>
          <w:bCs/>
          <w:color w:val="000000"/>
          <w:u w:val="single"/>
          <w:lang w:eastAsia="en-GB"/>
        </w:rPr>
        <w:t>.4</w:t>
      </w:r>
      <w:r w:rsidR="00CF32DA" w:rsidRPr="009B3747">
        <w:rPr>
          <w:rFonts w:eastAsia="Times New Roman" w:cstheme="minorHAnsi"/>
          <w:bCs/>
          <w:color w:val="000000"/>
          <w:u w:val="single"/>
          <w:lang w:eastAsia="en-GB"/>
        </w:rPr>
        <w:t xml:space="preserve">.6 </w:t>
      </w:r>
      <w:r w:rsidR="00510940" w:rsidRPr="009B3747">
        <w:rPr>
          <w:rFonts w:eastAsia="Times New Roman" w:cstheme="minorHAnsi"/>
          <w:bCs/>
          <w:color w:val="000000"/>
          <w:u w:val="single"/>
          <w:lang w:eastAsia="en-GB"/>
        </w:rPr>
        <w:t>Pilot interview</w:t>
      </w:r>
      <w:r w:rsidR="00510940" w:rsidRPr="009B3747">
        <w:rPr>
          <w:rFonts w:eastAsia="Times New Roman" w:cstheme="minorHAnsi"/>
          <w:color w:val="000000"/>
          <w:u w:val="single"/>
          <w:lang w:eastAsia="en-GB"/>
        </w:rPr>
        <w:br/>
      </w:r>
      <w:r w:rsidR="00510940" w:rsidRPr="009B3747">
        <w:rPr>
          <w:rFonts w:eastAsia="Times New Roman" w:cstheme="minorHAnsi"/>
          <w:color w:val="000000"/>
          <w:lang w:eastAsia="en-GB"/>
        </w:rPr>
        <w:br/>
        <w:t>In order to trial the qualitative data collection instrument, the interviewer’s skills and the suitability of the practical arrangements, two pilot interviews were undertaken and transcribed</w:t>
      </w:r>
      <w:r w:rsidR="00C456CB" w:rsidRPr="009B3747">
        <w:rPr>
          <w:rFonts w:eastAsia="Times New Roman" w:cstheme="minorHAnsi"/>
          <w:color w:val="000000"/>
          <w:lang w:eastAsia="en-GB"/>
        </w:rPr>
        <w:t xml:space="preserve"> </w:t>
      </w:r>
      <w:r w:rsidR="00C456CB" w:rsidRPr="009B3747">
        <w:rPr>
          <w:rFonts w:eastAsia="Times New Roman" w:cstheme="minorHAnsi"/>
          <w:color w:val="000000"/>
          <w:lang w:eastAsia="en-GB"/>
        </w:rPr>
        <w:fldChar w:fldCharType="begin" w:fldLock="1"/>
      </w:r>
      <w:r w:rsidR="00A84723" w:rsidRPr="009B3747">
        <w:rPr>
          <w:rFonts w:eastAsia="Times New Roman" w:cstheme="minorHAnsi"/>
          <w:color w:val="000000"/>
          <w:lang w:eastAsia="en-GB"/>
        </w:rPr>
        <w:instrText>ADDIN CSL_CITATION { "citationItems" : [ { "id" : "ITEM-1", "itemData" : { "author" : [ { "dropping-particle" : "", "family" : "Vaus", "given" : "D.A", "non-dropping-particle" : "de", "parse-names" : false, "suffix" : "" } ], "id" : "ITEM-1", "issued" : { "date-parts" : [ [ "2001" ] ] }, "publisher" : "SAGE Publications Ltd", "publisher-place" : "London", "title" : "Research design in social research", "type" : "book" }, "uris" : [ "http://www.mendeley.com/documents/?uuid=a580a665-d3fd-43b3-8316-fbbcb0519d57" ] } ], "mendeley" : { "formattedCitation" : "(de Vaus, 2001)", "plainTextFormattedCitation" : "(de Vaus, 2001)", "previouslyFormattedCitation" : "(de Vaus, 2001)" }, "properties" : { "noteIndex" : 0 }, "schema" : "https://github.com/citation-style-language/schema/raw/master/csl-citation.json" }</w:instrText>
      </w:r>
      <w:r w:rsidR="00C456CB" w:rsidRPr="009B3747">
        <w:rPr>
          <w:rFonts w:eastAsia="Times New Roman" w:cstheme="minorHAnsi"/>
          <w:color w:val="000000"/>
          <w:lang w:eastAsia="en-GB"/>
        </w:rPr>
        <w:fldChar w:fldCharType="separate"/>
      </w:r>
      <w:r w:rsidR="00395650" w:rsidRPr="009B3747">
        <w:rPr>
          <w:rFonts w:eastAsia="Times New Roman" w:cstheme="minorHAnsi"/>
          <w:noProof/>
          <w:color w:val="000000"/>
          <w:lang w:eastAsia="en-GB"/>
        </w:rPr>
        <w:t>(de Vaus, 2001)</w:t>
      </w:r>
      <w:r w:rsidR="00C456CB" w:rsidRPr="009B3747">
        <w:rPr>
          <w:rFonts w:eastAsia="Times New Roman" w:cstheme="minorHAnsi"/>
          <w:color w:val="000000"/>
          <w:lang w:eastAsia="en-GB"/>
        </w:rPr>
        <w:fldChar w:fldCharType="end"/>
      </w:r>
      <w:r w:rsidR="00C456CB" w:rsidRPr="009B3747">
        <w:rPr>
          <w:rFonts w:eastAsia="Times New Roman" w:cstheme="minorHAnsi"/>
          <w:color w:val="000000"/>
          <w:lang w:eastAsia="en-GB"/>
        </w:rPr>
        <w:t xml:space="preserve">.  </w:t>
      </w:r>
      <w:r w:rsidR="00510940" w:rsidRPr="009B3747">
        <w:rPr>
          <w:rFonts w:eastAsia="Times New Roman" w:cstheme="minorHAnsi"/>
          <w:color w:val="000000"/>
          <w:lang w:eastAsia="en-GB"/>
        </w:rPr>
        <w:t>In general, it was viewed that the interview schedule and procedures would be both appropriate and effective in meeting the aims and objectives of this phase of the research.  The two pilot interviews indicated that participants understood the questions that were posed.</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lastRenderedPageBreak/>
        <w:t>As a result of undertaking the pilot interviews the following amendments were made to the in</w:t>
      </w:r>
      <w:r w:rsidR="00EC4081" w:rsidRPr="009B3747">
        <w:rPr>
          <w:rFonts w:eastAsia="Times New Roman" w:cstheme="minorHAnsi"/>
          <w:color w:val="000000"/>
          <w:lang w:eastAsia="en-GB"/>
        </w:rPr>
        <w:t>terview schedule and procedure:</w:t>
      </w:r>
      <w:r w:rsidRPr="009B3747">
        <w:rPr>
          <w:rFonts w:eastAsia="Times New Roman" w:cstheme="minorHAnsi"/>
          <w:color w:val="000000"/>
          <w:lang w:eastAsia="en-GB"/>
        </w:rPr>
        <w:t xml:space="preserve"> </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C27072">
      <w:pPr>
        <w:numPr>
          <w:ilvl w:val="0"/>
          <w:numId w:val="35"/>
        </w:numPr>
        <w:textAlignment w:val="baseline"/>
        <w:rPr>
          <w:rFonts w:eastAsia="Times New Roman" w:cstheme="minorHAnsi"/>
          <w:color w:val="000000"/>
          <w:lang w:eastAsia="en-GB"/>
        </w:rPr>
      </w:pPr>
      <w:r w:rsidRPr="009B3747">
        <w:rPr>
          <w:rFonts w:eastAsia="Times New Roman" w:cstheme="minorHAnsi"/>
          <w:color w:val="000000"/>
          <w:lang w:eastAsia="en-GB"/>
        </w:rPr>
        <w:t xml:space="preserve">The phrase ‘childhood obesity’ utilised across the schedule was changed to ‘excess in weight in children’.  It was perceived that the latter phrase better depicted all adolescents that are above a healthy weight, whereas the word ‘obesity’ presented clinical connotations of extreme weight gain.  In reality, participants themselves used a variety of words or phrases interchangeably when referring to school pupils </w:t>
      </w:r>
      <w:r w:rsidR="007F3CF4">
        <w:rPr>
          <w:rFonts w:eastAsia="Times New Roman" w:cstheme="minorHAnsi"/>
          <w:color w:val="000000"/>
          <w:lang w:eastAsia="en-GB"/>
        </w:rPr>
        <w:t>(</w:t>
      </w:r>
      <w:r w:rsidRPr="009B3747">
        <w:rPr>
          <w:rFonts w:eastAsia="Times New Roman" w:cstheme="minorHAnsi"/>
          <w:color w:val="000000"/>
          <w:lang w:eastAsia="en-GB"/>
        </w:rPr>
        <w:t>i.e. adolescents, kids, children, students</w:t>
      </w:r>
      <w:r w:rsidR="007F3CF4">
        <w:rPr>
          <w:rFonts w:eastAsia="Times New Roman" w:cstheme="minorHAnsi"/>
          <w:color w:val="000000"/>
          <w:lang w:eastAsia="en-GB"/>
        </w:rPr>
        <w:t>)</w:t>
      </w:r>
      <w:r w:rsidRPr="009B3747">
        <w:rPr>
          <w:rFonts w:eastAsia="Times New Roman" w:cstheme="minorHAnsi"/>
          <w:color w:val="000000"/>
          <w:lang w:eastAsia="en-GB"/>
        </w:rPr>
        <w:t xml:space="preserve"> or making reference to obesity </w:t>
      </w:r>
      <w:r w:rsidR="007F3CF4">
        <w:rPr>
          <w:rFonts w:eastAsia="Times New Roman" w:cstheme="minorHAnsi"/>
          <w:color w:val="000000"/>
          <w:lang w:eastAsia="en-GB"/>
        </w:rPr>
        <w:t>(</w:t>
      </w:r>
      <w:r w:rsidRPr="009B3747">
        <w:rPr>
          <w:rFonts w:eastAsia="Times New Roman" w:cstheme="minorHAnsi"/>
          <w:color w:val="000000"/>
          <w:lang w:eastAsia="en-GB"/>
        </w:rPr>
        <w:t>i.e. excess weight, unhealthy weight, overweight, fat</w:t>
      </w:r>
      <w:r w:rsidR="007F3CF4">
        <w:rPr>
          <w:rFonts w:eastAsia="Times New Roman" w:cstheme="minorHAnsi"/>
          <w:color w:val="000000"/>
          <w:lang w:eastAsia="en-GB"/>
        </w:rPr>
        <w:t>)</w:t>
      </w:r>
      <w:r w:rsidRPr="009B3747">
        <w:rPr>
          <w:rFonts w:eastAsia="Times New Roman" w:cstheme="minorHAnsi"/>
          <w:color w:val="000000"/>
          <w:lang w:eastAsia="en-GB"/>
        </w:rPr>
        <w:t>.</w:t>
      </w:r>
    </w:p>
    <w:p w:rsidR="00510940" w:rsidRPr="009B3747" w:rsidRDefault="00510940" w:rsidP="00C27072">
      <w:pPr>
        <w:numPr>
          <w:ilvl w:val="0"/>
          <w:numId w:val="35"/>
        </w:numPr>
        <w:textAlignment w:val="baseline"/>
        <w:rPr>
          <w:rFonts w:eastAsia="Times New Roman" w:cstheme="minorHAnsi"/>
          <w:color w:val="000000"/>
          <w:lang w:eastAsia="en-GB"/>
        </w:rPr>
      </w:pPr>
      <w:r w:rsidRPr="009B3747">
        <w:rPr>
          <w:rFonts w:eastAsia="Times New Roman" w:cstheme="minorHAnsi"/>
          <w:color w:val="000000"/>
          <w:lang w:eastAsia="en-GB"/>
        </w:rPr>
        <w:t>The volume of the audio recorder application was increased during subsequent interviews, due to background noise within the school affecting the ability to hear the participant at times on the recording.</w:t>
      </w:r>
    </w:p>
    <w:p w:rsidR="00510940" w:rsidRPr="009B3747" w:rsidRDefault="00510940" w:rsidP="00C27072">
      <w:pPr>
        <w:numPr>
          <w:ilvl w:val="0"/>
          <w:numId w:val="35"/>
        </w:numPr>
        <w:textAlignment w:val="baseline"/>
        <w:rPr>
          <w:rFonts w:eastAsia="Times New Roman" w:cstheme="minorHAnsi"/>
          <w:color w:val="000000"/>
          <w:lang w:eastAsia="en-GB"/>
        </w:rPr>
      </w:pPr>
      <w:r w:rsidRPr="009B3747">
        <w:rPr>
          <w:rFonts w:eastAsia="Times New Roman" w:cstheme="minorHAnsi"/>
          <w:color w:val="000000"/>
          <w:lang w:eastAsia="en-GB"/>
        </w:rPr>
        <w:t xml:space="preserve">The researcher asked her academic supervisors to review the transcripts from the two pilot interviews in order to make an objective assessment on her interviewer skills.  Whilst no major improvements were said to be required, the researcher was identified as having a tendency to ‘fill the gaps’ of any silence.  Therefore the researcher was encouraged in subsequent interviews to allow a longer space for interviewees to reflect on what they had said or allow them to potentially add something further. </w:t>
      </w:r>
    </w:p>
    <w:p w:rsidR="00510940" w:rsidRPr="009B3747" w:rsidRDefault="00510940" w:rsidP="00C27072">
      <w:pPr>
        <w:numPr>
          <w:ilvl w:val="0"/>
          <w:numId w:val="35"/>
        </w:numPr>
        <w:textAlignment w:val="baseline"/>
        <w:rPr>
          <w:rFonts w:eastAsia="Times New Roman" w:cstheme="minorHAnsi"/>
          <w:color w:val="000000"/>
          <w:lang w:eastAsia="en-GB"/>
        </w:rPr>
      </w:pPr>
      <w:r w:rsidRPr="009B3747">
        <w:rPr>
          <w:rFonts w:eastAsia="Times New Roman" w:cstheme="minorHAnsi"/>
          <w:color w:val="000000"/>
          <w:lang w:eastAsia="en-GB"/>
        </w:rPr>
        <w:t xml:space="preserve">During the pilot interviews, the researcher found that attempting to write full and detailed field notes during the interviews became a distraction for both the interviewer and interviewee. It also posed a challenge in maintaining open and </w:t>
      </w:r>
      <w:r w:rsidR="007F3CF4">
        <w:rPr>
          <w:rFonts w:eastAsia="Times New Roman" w:cstheme="minorHAnsi"/>
          <w:color w:val="000000"/>
          <w:lang w:eastAsia="en-GB"/>
        </w:rPr>
        <w:t xml:space="preserve">positive language, </w:t>
      </w:r>
      <w:r w:rsidRPr="009B3747">
        <w:rPr>
          <w:rFonts w:eastAsia="Times New Roman" w:cstheme="minorHAnsi"/>
          <w:color w:val="000000"/>
          <w:lang w:eastAsia="en-GB"/>
        </w:rPr>
        <w:t>i.e. eye contact.  Consequently, by relying predominantly on the audio recorder and only making brief field notes occasionally, the researcher was able to actively listen, reflect and focus on areas needing to be explored rather than trying to remember what had been said.  This developed a more conversational and engaging style</w:t>
      </w:r>
      <w:r w:rsidR="009025E2">
        <w:rPr>
          <w:rFonts w:eastAsia="Times New Roman" w:cstheme="minorHAnsi"/>
          <w:color w:val="000000"/>
          <w:lang w:eastAsia="en-GB"/>
        </w:rPr>
        <w:t>,</w:t>
      </w:r>
      <w:r w:rsidRPr="009B3747">
        <w:rPr>
          <w:rFonts w:eastAsia="Times New Roman" w:cstheme="minorHAnsi"/>
          <w:color w:val="000000"/>
          <w:lang w:eastAsia="en-GB"/>
        </w:rPr>
        <w:t xml:space="preserve"> which appeared to strengthen the rapport with each interviewee.</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t>Overall, aside from the minor amendments above, there were no significant alterations to the structure and content of the interview guide or the practical arrangements for conducting the interviews.  Based on the perceived quality of the data obtaine</w:t>
      </w:r>
      <w:r w:rsidR="00EF3C3E" w:rsidRPr="009B3747">
        <w:rPr>
          <w:rFonts w:eastAsia="Times New Roman" w:cstheme="minorHAnsi"/>
          <w:color w:val="000000"/>
          <w:lang w:eastAsia="en-GB"/>
        </w:rPr>
        <w:t xml:space="preserve">d from the pilot interviews, </w:t>
      </w:r>
      <w:r w:rsidRPr="009B3747">
        <w:rPr>
          <w:rFonts w:eastAsia="Times New Roman" w:cstheme="minorHAnsi"/>
          <w:color w:val="000000"/>
          <w:lang w:eastAsia="en-GB"/>
        </w:rPr>
        <w:t xml:space="preserve">the two pilot interview transcripts were incorporated into study findings to make maximum use of the research time and data. </w:t>
      </w:r>
    </w:p>
    <w:p w:rsidR="003931E6" w:rsidRDefault="003931E6" w:rsidP="00510940">
      <w:pPr>
        <w:rPr>
          <w:rFonts w:eastAsia="Times New Roman" w:cstheme="minorHAnsi"/>
          <w:b/>
          <w:bCs/>
          <w:color w:val="000000"/>
          <w:sz w:val="24"/>
          <w:szCs w:val="24"/>
          <w:u w:val="single"/>
          <w:lang w:eastAsia="en-GB"/>
        </w:rPr>
      </w:pPr>
    </w:p>
    <w:p w:rsidR="00F62D86" w:rsidRDefault="00F62D86" w:rsidP="00510940">
      <w:pPr>
        <w:rPr>
          <w:rFonts w:eastAsia="Times New Roman" w:cstheme="minorHAnsi"/>
          <w:b/>
          <w:bCs/>
          <w:color w:val="000000"/>
          <w:sz w:val="24"/>
          <w:szCs w:val="24"/>
          <w:u w:val="single"/>
          <w:lang w:eastAsia="en-GB"/>
        </w:rPr>
      </w:pPr>
    </w:p>
    <w:p w:rsidR="00510940" w:rsidRPr="009B3747" w:rsidRDefault="00782EBA" w:rsidP="00510940">
      <w:pPr>
        <w:rPr>
          <w:rFonts w:eastAsia="Times New Roman" w:cstheme="minorHAnsi"/>
          <w:sz w:val="24"/>
          <w:szCs w:val="24"/>
          <w:lang w:eastAsia="en-GB"/>
        </w:rPr>
      </w:pPr>
      <w:r w:rsidRPr="009B3747">
        <w:rPr>
          <w:rFonts w:eastAsia="Times New Roman" w:cstheme="minorHAnsi"/>
          <w:b/>
          <w:bCs/>
          <w:color w:val="000000"/>
          <w:sz w:val="24"/>
          <w:szCs w:val="24"/>
          <w:u w:val="single"/>
          <w:lang w:eastAsia="en-GB"/>
        </w:rPr>
        <w:lastRenderedPageBreak/>
        <w:t>5</w:t>
      </w:r>
      <w:r w:rsidR="00E12833" w:rsidRPr="009B3747">
        <w:rPr>
          <w:rFonts w:eastAsia="Times New Roman" w:cstheme="minorHAnsi"/>
          <w:b/>
          <w:bCs/>
          <w:color w:val="000000"/>
          <w:sz w:val="24"/>
          <w:szCs w:val="24"/>
          <w:u w:val="single"/>
          <w:lang w:eastAsia="en-GB"/>
        </w:rPr>
        <w:t>.5</w:t>
      </w:r>
      <w:r w:rsidR="00CF32DA" w:rsidRPr="009B3747">
        <w:rPr>
          <w:rFonts w:eastAsia="Times New Roman" w:cstheme="minorHAnsi"/>
          <w:b/>
          <w:bCs/>
          <w:color w:val="000000"/>
          <w:sz w:val="24"/>
          <w:szCs w:val="24"/>
          <w:u w:val="single"/>
          <w:lang w:eastAsia="en-GB"/>
        </w:rPr>
        <w:t xml:space="preserve"> </w:t>
      </w:r>
      <w:r w:rsidR="00510940" w:rsidRPr="009B3747">
        <w:rPr>
          <w:rFonts w:eastAsia="Times New Roman" w:cstheme="minorHAnsi"/>
          <w:b/>
          <w:bCs/>
          <w:color w:val="000000"/>
          <w:sz w:val="24"/>
          <w:szCs w:val="24"/>
          <w:u w:val="single"/>
          <w:lang w:eastAsia="en-GB"/>
        </w:rPr>
        <w:t>Data Analysis</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461D3C" w:rsidP="00510940">
      <w:pPr>
        <w:rPr>
          <w:rFonts w:eastAsia="Times New Roman" w:cstheme="minorHAnsi"/>
          <w:sz w:val="24"/>
          <w:szCs w:val="24"/>
          <w:lang w:eastAsia="en-GB"/>
        </w:rPr>
      </w:pPr>
      <w:r w:rsidRPr="009B3747">
        <w:rPr>
          <w:rFonts w:eastAsia="Times New Roman" w:cstheme="minorHAnsi"/>
          <w:color w:val="000000"/>
          <w:lang w:eastAsia="en-GB"/>
        </w:rPr>
        <w:t>As discussed in chapter three,</w:t>
      </w:r>
      <w:r w:rsidR="00510940" w:rsidRPr="009B3747">
        <w:rPr>
          <w:rFonts w:eastAsia="Times New Roman" w:cstheme="minorHAnsi"/>
          <w:color w:val="000000"/>
          <w:lang w:eastAsia="en-GB"/>
        </w:rPr>
        <w:t xml:space="preserve"> how data is</w:t>
      </w:r>
      <w:r w:rsidR="00EF3C3E" w:rsidRPr="009B3747">
        <w:rPr>
          <w:rFonts w:eastAsia="Times New Roman" w:cstheme="minorHAnsi"/>
          <w:color w:val="000000"/>
          <w:lang w:eastAsia="en-GB"/>
        </w:rPr>
        <w:t xml:space="preserve"> analysed within mixed methods research</w:t>
      </w:r>
      <w:r w:rsidR="00510940" w:rsidRPr="009B3747">
        <w:rPr>
          <w:rFonts w:eastAsia="Times New Roman" w:cstheme="minorHAnsi"/>
          <w:color w:val="000000"/>
          <w:lang w:eastAsia="en-GB"/>
        </w:rPr>
        <w:t xml:space="preserve"> depends on the design selected.  The adoption of a mixed methods exploratory sequential design, requires the two distinct qualitative and quantitative phases to be analysed separately and sequentially prior to an overarching interpretation of the connected results can take place (Creswell, 2014).  </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t xml:space="preserve">The growth in application of qualitative research methods over the last two decades, has resulted in an extensive range of analytical methods being developed to analyse qualitative data (Silverman, </w:t>
      </w:r>
      <w:r w:rsidR="00522084" w:rsidRPr="009B3747">
        <w:rPr>
          <w:rFonts w:eastAsia="Times New Roman" w:cstheme="minorHAnsi"/>
          <w:color w:val="000000"/>
          <w:lang w:eastAsia="en-GB"/>
        </w:rPr>
        <w:t>2013</w:t>
      </w:r>
      <w:r w:rsidRPr="009B3747">
        <w:rPr>
          <w:rFonts w:eastAsia="Times New Roman" w:cstheme="minorHAnsi"/>
          <w:color w:val="000000"/>
          <w:lang w:eastAsia="en-GB"/>
        </w:rPr>
        <w:t>).  Due to their diversity and complexity</w:t>
      </w:r>
      <w:r w:rsidR="00522084" w:rsidRPr="009B3747">
        <w:rPr>
          <w:rFonts w:eastAsia="Times New Roman" w:cstheme="minorHAnsi"/>
          <w:color w:val="000000"/>
          <w:lang w:eastAsia="en-GB"/>
        </w:rPr>
        <w:t xml:space="preserve"> </w:t>
      </w:r>
      <w:r w:rsidR="00522084" w:rsidRPr="009B3747">
        <w:rPr>
          <w:rFonts w:eastAsia="Times New Roman" w:cstheme="minorHAnsi"/>
          <w:color w:val="000000"/>
          <w:lang w:eastAsia="en-GB"/>
        </w:rPr>
        <w:fldChar w:fldCharType="begin" w:fldLock="1"/>
      </w:r>
      <w:r w:rsidR="00522084" w:rsidRPr="009B3747">
        <w:rPr>
          <w:rFonts w:eastAsia="Times New Roman" w:cstheme="minorHAnsi"/>
          <w:color w:val="000000"/>
          <w:lang w:eastAsia="en-GB"/>
        </w:rPr>
        <w:instrText>ADDIN CSL_CITATION { "citationItems" : [ { "id" : "ITEM-1", "itemData" : { "DOI" : "10.1177/1468794103033004", "ISSN" : "14687941", "abstract" : "Many elements of qualitative research are shared between the variety of approaches, and often the overlap of epistemology, ethics and procedures encourages a generic and flexible view of this type of inquiry. This article argues that there is an essential tension between flexibility on the one hand, and consistency and coherence on the other. Such tension may encourage qualitative researchers to consider the intentions and philosophical underpinnings of the different approaches in greater depth in order to arrive at an epistemological position that can coherently underpin its empirical claims. This article is intended to encourage a more thoughtful engagement with different qualitative approaches by highlighting distinctive elements of three of the most common approaches. We suggest that the researcher be contextsensitive and flexible as well as considerate of the inner consistency and coherence that is needed when engaged in qualitative research.", "author" : [ { "dropping-particle" : "", "family" : "Holloway", "given" : "Immy", "non-dropping-particle" : "", "parse-names" : false, "suffix" : "" }, { "dropping-particle" : "", "family" : "Todres", "given" : "Les", "non-dropping-particle" : "", "parse-names" : false, "suffix" : "" } ], "container-title" : "Qualitative Research", "id" : "ITEM-1", "issue" : "3", "issued" : { "date-parts" : [ [ "2003", "12", "1" ] ] }, "page" : "345-357", "publisher" : "SAGE Publications", "title" : "The Status of Method: Flexibility, Consistency and Coherence", "type" : "article-journal", "volume" : "3" }, "uris" : [ "http://www.mendeley.com/documents/?uuid=9d81a934-c0a2-3109-8dac-96b40b673823" ] } ], "mendeley" : { "formattedCitation" : "(Holloway and Todres, 2003)", "plainTextFormattedCitation" : "(Holloway and Todres, 2003)", "previouslyFormattedCitation" : "(Holloway and Todres, 2003)" }, "properties" : { "noteIndex" : 0 }, "schema" : "https://github.com/citation-style-language/schema/raw/master/csl-citation.json" }</w:instrText>
      </w:r>
      <w:r w:rsidR="00522084" w:rsidRPr="009B3747">
        <w:rPr>
          <w:rFonts w:eastAsia="Times New Roman" w:cstheme="minorHAnsi"/>
          <w:color w:val="000000"/>
          <w:lang w:eastAsia="en-GB"/>
        </w:rPr>
        <w:fldChar w:fldCharType="separate"/>
      </w:r>
      <w:r w:rsidR="00522084" w:rsidRPr="009B3747">
        <w:rPr>
          <w:rFonts w:eastAsia="Times New Roman" w:cstheme="minorHAnsi"/>
          <w:noProof/>
          <w:color w:val="000000"/>
          <w:lang w:eastAsia="en-GB"/>
        </w:rPr>
        <w:t>(Holloway and Todres, 2003)</w:t>
      </w:r>
      <w:r w:rsidR="00522084" w:rsidRPr="009B3747">
        <w:rPr>
          <w:rFonts w:eastAsia="Times New Roman" w:cstheme="minorHAnsi"/>
          <w:color w:val="000000"/>
          <w:lang w:eastAsia="en-GB"/>
        </w:rPr>
        <w:fldChar w:fldCharType="end"/>
      </w:r>
      <w:r w:rsidR="00522084"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a large number of research texts have been written to inform and guide the process of qualitative data analysis </w:t>
      </w:r>
      <w:r w:rsidR="00522084"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"ISBN" : "0761919716", "abstract" : "3 ed. Revised edition of: Qualitative evaluation and research methods. 2nd ed. 1990. This book has been completely revised with hundreds of new examples and stories illuminating all aspects of qualitative inquiry. This third edition has retained and expanded upon the exhibits, which highlight and summarize major issues, guidelines, the summative sections, tables, and figures as well as the sage advice of the Sufi-Zen master, Halcolm. This revision will help readers integrate and make sense of the great volume of qualitative works published in the past decade. New to this edition: integrates and makes sense of the great volume of qualitative works published in the past decade; offers strategies for enhancing quality and credibility of qualitative findings by presenting a new framework for differentiating five contrasting and competing sets of standards for judging the quality and utility of findings; unravels the complexities of mixed methods and triangulation; explains the new issues and approaches to fieldwork as well as providing detailed analytical guidelines, including software and computer-assisted options; explores, compares and contrasts 16 different theoretical and philosophical approaches to qualitative inquiry; examines alternative interviewing strategies and approaches, including focus group interviews, group interviews, and cross-cultural interviews; identifies the latest Internet resources. Preface -- Part 1. Conceptual issues in qualitative inquiry. 1. The nature of qualitative inquiry -- 2. Strategic themes in qualitative inquiry -- 3. Variety in qualitative inquiry : theoretical orientations -- 4. Particularly appropriate qualitative applications -- Part 2. Qualitative designs and data collection. 5. Designing qualitative studies -- 6. Fieldwork strategies and observation methods -- 7. Qualitative interviewing -- Part 3. Analysis, interpretation and reporting. 8. Qualitative analysis and interpretation -- 9. Enhancing the quality and credibility of qualitative analysis -- References -- Author index -- Subject index -- About the author.", "author" : [ { "dropping-particle" : "", "family" : "Patton", "given" : "Michael Quinn.", "non-dropping-particle" : "", "parse-names" : false, "suffix" : "" } ], "edition" : "3rd", "id" : "ITEM-1", "issued" : { "date-parts" : [ [ "2002" ] ] }, "publisher" : "SAGE Publications Inc.", "publisher-place" : "Thousand Oaks", "title" : "Qualitative research and evaluation methods", "type" : "book" }, "uris" : [ "http://www.mendeley.com/documents/?uuid=6feda69f-5570-3681-960b-d7c13d667998" ] }, { "id" : "ITEM-2", "itemData" : { "ISBN" : "9781446260142", "abstract" : "Fourth edition. \"In the fourth edition of his best-selling textbook, David Silverman provides a step-by-step guide to planning and conducting qualitative research. Using real examples from real postgraduate students, the book makes it easy to link theory to methods and shows how to move from understanding the principles of qualitative research to doing it yourself. The new edition has been fully updated and now includes: a brand new chapter on formulating a research question appropriate for qualitative research - an expanded discussion of the role of theory in research - extended discussion of case study research and the number of cases needed for effective qualitative research - further coverage of focus groups and analyzing internet data - new student examples from around the world - a new section on the common pitfalls encountered in qualitative research - an expanded companion website with more student examples and videos. Filled with exercises to test your understanding and develop your skills, as well as David's own tips for research success based on years of experience, this book is essential reading for anyone doing qualitative research.\"--Publisher's website. Preface to the Fourth Edition -- Companion Website -- Part 1: Introduction. How to Use This Book ; What You Can (and Can't) Do with Qualitative Research ; Focusing Research Project ; Issues in Research Design ; What Counts as 'Originality'?. -- Part 2: Starting Out. Formulating a Research Question ; Using Theories ; Choosing a Methodology ; How Many Cases Do You Need? ; Ethical Research ; Writing a Research Proposal. -- Part 3: Collecting and analyzing your data. Collecting Your Data ; Developing Data Analysis ; Using Computers to Analyse Qualitative Data Clive Seale ; Quality in Qualitative Research ; Evaluating Qualitative Research ; Effective Qualitative Research. -- Part 4: Writing up. The First Few Pages ; The Literature Review Chapter ; The Methodology Chapter ; Writing Your Data Chapters ; Your Concluding Chapter. -- Part 5: Getting support. Making Good Use of Your Supervisor ; Getting Feedback ; Surviving an Oral Examination ; Getting Published ; Audiences ; Appendix: Transcription Symbols ; Glossary ; References ; Author Index ; Subject Index.", "author" : [ { "dropping-particle" : "", "family" : "Silverman", "given" : "David", "non-dropping-particle" : "", "parse-names" : false, "suffix" : "" } ], "edition" : "4th", "id" : "ITEM-2", "issued" : { "date-parts" : [ [ "2013" ] ] }, "number-of-pages" : "470", "publisher" : "SAGE Publications Ltd", "publisher-place" : "London", "title" : "Doing qualitative research: A practical handbook", "type" : "book" }, "uris" : [ "http://www.mendeley.com/documents/?uuid=22d58823-a1e1-33ea-a2e5-5ab44e2d6297" ] }, { "id" : "ITEM-3", "itemData" : { "author" : [ { "dropping-particle" : "", "family" : "Creswell", "given" : "JW", "non-dropping-particle" : "", "parse-names" : false, "suffix" : "" } ], "edition" : "4th", "id" : "ITEM-3", "issued" : { "date-parts" : [ [ "2013" ] ] }, "publisher" : "SAGE Publications Inc.", "publisher-place" : "Los Angeles", "title" : "Research design: Qualitative, quantitative, and mixed methods approaches", "type" : "book" }, "uris" : [ "http://www.mendeley.com/documents/?uuid=c87311ab-131f-4fb8-99d2-ce0c3deef686" ] }, { "id" : "ITEM-4", "itemData" : { "ISBN" : "9781452257877", "abstract" : "Third edition. \"The Third Edition of Miles &amp; Huberman's classic research methods text is updated and streamlined by Johnny Saldan\u0303a, author of The Coding Manual for Qualitative Researchers. Several of the data display strategies from previous editions are now presented in re-envisioned and reorganized formats to enhance reader accessibility and comprehension. The Third Edition's presentation of the fundamentals of research design and data management is followed by five distinct methods of analysis: exploring, describing, ordering, explaining, and predicting. Miles and Huberman's original research studies are profiled and accompanied with new examples from Saldan\u0303a's recent qualitative work. The book's most celebrated chapter, \"Drawing and Verifying Conclusions,\" is retained and revised, and the chapter on report writing has been greatly expanded, and is now called \"Writing About Qualitative Research.\" Comprehensive and authoritative, Qualitative Data Analysis has been elegantly revised for a new generation of qualitative researchers.\" -- Publisher's description Introduction -- Research design and management -- Ethical issues in analysis -- Fundamentals of qualitative data analysis -- Designing matrix and network displays -- Methods of exploring -- Methods of describing -- Methods of ordering -- Methods of explaining -- Methods of predicting -- Drawing and verifying conclusions -- Writing about qualitative research -- Closure.", "author" : [ { "dropping-particle" : "", "family" : "Miles", "given" : "Matthew B.", "non-dropping-particle" : "", "parse-names" : false, "suffix" : "" }, { "dropping-particle" : "", "family" : "Huberman", "given" : "A. M.", "non-dropping-particle" : "", "parse-names" : false, "suffix" : "" }, { "dropping-particle" : "", "family" : "Saldan\u0303a", "given" : "Johnny.", "non-dropping-particle" : "", "parse-names" : false, "suffix" : "" } ], "edition" : "3rd", "id" : "ITEM-4", "issued" : { "date-parts" : [ [ "2014" ] ] }, "number-of-pages" : "381", "publisher" : "SAGE Publications Inc.", "publisher-place" : "Thousand Oaks", "title" : "Qualitative data analysis : a methods sourcebook", "type" : "book" }, "uris" : [ "http://www.mendeley.com/documents/?uuid=853f1e91-0328-31f0-bf25-7e8a0f88b0e8" ] } ], "mendeley" : { "formattedCitation" : "(Patton, 2002b; Silverman, 2013; Creswell, 2013; Miles et al., 2014)", "manualFormatting" : "(Patton, 2002; Silverman, 2013; Creswell, 2013; Miles et al., 2014)", "plainTextFormattedCitation" : "(Patton, 2002b; Silverman, 2013; Creswell, 2013; Miles et al., 2014)", "previouslyFormattedCitation" : "(Patton, 2002b; Silverman, 2013; Creswell, 2013; Miles et al., 2014)" }, "properties" : { "noteIndex" : 0 }, "schema" : "https://github.com/citation-style-language/schema/raw/master/csl-citation.json" }</w:instrText>
      </w:r>
      <w:r w:rsidR="00522084" w:rsidRPr="009B3747">
        <w:rPr>
          <w:rFonts w:eastAsia="Times New Roman" w:cstheme="minorHAnsi"/>
          <w:color w:val="000000"/>
          <w:lang w:eastAsia="en-GB"/>
        </w:rPr>
        <w:fldChar w:fldCharType="separate"/>
      </w:r>
      <w:r w:rsidR="00522084" w:rsidRPr="009B3747">
        <w:rPr>
          <w:rFonts w:eastAsia="Times New Roman" w:cstheme="minorHAnsi"/>
          <w:noProof/>
          <w:color w:val="000000"/>
          <w:lang w:eastAsia="en-GB"/>
        </w:rPr>
        <w:t>(Patton, 2002; Silverman, 2013; Creswell, 2013; Miles et al., 2014)</w:t>
      </w:r>
      <w:r w:rsidR="00522084" w:rsidRPr="009B3747">
        <w:rPr>
          <w:rFonts w:eastAsia="Times New Roman" w:cstheme="minorHAnsi"/>
          <w:color w:val="000000"/>
          <w:lang w:eastAsia="en-GB"/>
        </w:rPr>
        <w:fldChar w:fldCharType="end"/>
      </w:r>
      <w:r w:rsidR="00522084" w:rsidRPr="009B3747">
        <w:rPr>
          <w:rFonts w:eastAsia="Times New Roman" w:cstheme="minorHAnsi"/>
          <w:color w:val="000000"/>
          <w:lang w:eastAsia="en-GB"/>
        </w:rPr>
        <w:t>.</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2651EC" w:rsidRPr="009B3747" w:rsidRDefault="00510940" w:rsidP="00510940">
      <w:pPr>
        <w:rPr>
          <w:rFonts w:eastAsia="Times New Roman" w:cstheme="minorHAnsi"/>
          <w:color w:val="000000"/>
          <w:lang w:eastAsia="en-GB"/>
        </w:rPr>
      </w:pPr>
      <w:r w:rsidRPr="009B3747">
        <w:rPr>
          <w:rFonts w:eastAsia="Times New Roman" w:cstheme="minorHAnsi"/>
          <w:color w:val="000000"/>
          <w:lang w:eastAsia="en-GB"/>
        </w:rPr>
        <w:t>Although evidenced as offering significant insight into social phenomena (Pope and Mays, 2000), the substantial volume of data generated when employing qualitative methods</w:t>
      </w:r>
      <w:r w:rsidR="003931E6">
        <w:rPr>
          <w:rFonts w:eastAsia="Times New Roman" w:cstheme="minorHAnsi"/>
          <w:color w:val="000000"/>
          <w:lang w:eastAsia="en-GB"/>
        </w:rPr>
        <w:t>,</w:t>
      </w:r>
      <w:r w:rsidRPr="009B3747">
        <w:rPr>
          <w:rFonts w:eastAsia="Times New Roman" w:cstheme="minorHAnsi"/>
          <w:color w:val="000000"/>
          <w:lang w:eastAsia="en-GB"/>
        </w:rPr>
        <w:t xml:space="preserve"> and the iterative nature of analytical methods can present a complex and time consuming proposition</w:t>
      </w:r>
      <w:r w:rsidR="00522084" w:rsidRPr="009B3747">
        <w:rPr>
          <w:rFonts w:eastAsia="Times New Roman" w:cstheme="minorHAnsi"/>
          <w:color w:val="000000"/>
          <w:lang w:eastAsia="en-GB"/>
        </w:rPr>
        <w:t xml:space="preserve"> </w:t>
      </w:r>
      <w:r w:rsidR="00522084" w:rsidRPr="009B3747">
        <w:rPr>
          <w:rFonts w:eastAsia="Times New Roman" w:cstheme="minorHAnsi"/>
          <w:color w:val="000000"/>
          <w:lang w:eastAsia="en-GB"/>
        </w:rPr>
        <w:fldChar w:fldCharType="begin" w:fldLock="1"/>
      </w:r>
      <w:r w:rsidR="000F2429" w:rsidRPr="009B3747">
        <w:rPr>
          <w:rFonts w:eastAsia="Times New Roman" w:cstheme="minorHAnsi"/>
          <w:color w:val="000000"/>
          <w:lang w:eastAsia="en-GB"/>
        </w:rPr>
        <w:instrText>ADDIN CSL_CITATION { "citationItems" : [ { "id" : "ITEM-1", "itemData" : { "ISBN" : "0335206441", "abstract" : "2nd ed. Investigating health services and health: the scope of research -- Evaluating health services: multidisciplinary collaboration -- Social research on health: sociological and psychological concepts and approaches -- Health needs and their assessment: demography and epidemiology -- Costing health services: health economics -- Philosophy, theory and practice of research -- Philosophical framework of measurement -- Principles of research -- Quantitative research: sampling and research methods -- Sample size and sampling of quantitative research -- Quantitative research: surveys -- Quantitative research: experiments and other analytic methods of investigation -- Sample selection and group assignment methods in experiments and other analytic methods -- Tools of quantitative research -- Data collection methods in quantitative research: questionnaires, interviews and their response rates -- Questionnaire design -- Techniques of survey interviewing -- Preparation of quantitative data for coding and analysis -- Qualitative and combined research methods, and their analysis -- Unstructured and structured observational studies -- Unstructured interviewing and focus groups -- Other methods using both qualitative and quantitative approaches: case studies, consensus methods, action research and document research.", "author" : [ { "dropping-particle" : "", "family" : "Bowling", "given" : "Ann.", "non-dropping-particle" : "", "parse-names" : false, "suffix" : "" } ], "edition" : "2nd", "id" : "ITEM-1", "issued" : { "date-parts" : [ [ "2002" ] ] }, "number-of-pages" : "486", "publisher" : "Open University Press", "publisher-place" : "Buckingham, UK", "title" : "Research methods in health : investigating health and health services", "type" : "book" }, "uris" : [ "http://www.mendeley.com/documents/?uuid=accfae3d-bd62-3d22-965c-15bf996cadaf" ] }, { "id" : "ITEM-2", "itemData" : { "DOI" : "10.1177/1468794103033004", "ISSN" : "14687941", "abstract" : "Many elements of qualitative research are shared between the variety of approaches, and often the overlap of epistemology, ethics and procedures encourages a generic and flexible view of this type of inquiry. This article argues that there is an essential tension between flexibility on the one hand, and consistency and coherence on the other. Such tension may encourage qualitative researchers to consider the intentions and philosophical underpinnings of the different approaches in greater depth in order to arrive at an epistemological position that can coherently underpin its empirical claims. This article is intended to encourage a more thoughtful engagement with different qualitative approaches by highlighting distinctive elements of three of the most common approaches. We suggest that the researcher be contextsensitive and flexible as well as considerate of the inner consistency and coherence that is needed when engaged in qualitative research.", "author" : [ { "dropping-particle" : "", "family" : "Holloway", "given" : "Immy", "non-dropping-particle" : "", "parse-names" : false, "suffix" : "" }, { "dropping-particle" : "", "family" : "Todres", "given" : "Les", "non-dropping-particle" : "", "parse-names" : false, "suffix" : "" } ], "container-title" : "Qualitative Research", "id" : "ITEM-2", "issue" : "3", "issued" : { "date-parts" : [ [ "2003", "12", "1" ] ] }, "page" : "345-357", "publisher" : "SAGE Publications", "title" : "The Status of Method: Flexibility, Consistency and Coherence", "type" : "article-journal", "volume" : "3" }, "uris" : [ "http://www.mendeley.com/documents/?uuid=9d81a934-c0a2-3109-8dac-96b40b673823" ] } ], "mendeley" : { "formattedCitation" : "(Bowling, 2002; Holloway and Todres, 2003)", "plainTextFormattedCitation" : "(Bowling, 2002; Holloway and Todres, 2003)", "previouslyFormattedCitation" : "(Bowling, 2002; Holloway and Todres, 2003)" }, "properties" : { "noteIndex" : 0 }, "schema" : "https://github.com/citation-style-language/schema/raw/master/csl-citation.json" }</w:instrText>
      </w:r>
      <w:r w:rsidR="00522084" w:rsidRPr="009B3747">
        <w:rPr>
          <w:rFonts w:eastAsia="Times New Roman" w:cstheme="minorHAnsi"/>
          <w:color w:val="000000"/>
          <w:lang w:eastAsia="en-GB"/>
        </w:rPr>
        <w:fldChar w:fldCharType="separate"/>
      </w:r>
      <w:r w:rsidR="00522084" w:rsidRPr="009B3747">
        <w:rPr>
          <w:rFonts w:eastAsia="Times New Roman" w:cstheme="minorHAnsi"/>
          <w:noProof/>
          <w:color w:val="000000"/>
          <w:lang w:eastAsia="en-GB"/>
        </w:rPr>
        <w:t>(Bowling, 2002; Holloway and Todres, 2003)</w:t>
      </w:r>
      <w:r w:rsidR="00522084" w:rsidRPr="009B3747">
        <w:rPr>
          <w:rFonts w:eastAsia="Times New Roman" w:cstheme="minorHAnsi"/>
          <w:color w:val="000000"/>
          <w:lang w:eastAsia="en-GB"/>
        </w:rPr>
        <w:fldChar w:fldCharType="end"/>
      </w:r>
      <w:r w:rsidR="00522084" w:rsidRPr="009B3747">
        <w:rPr>
          <w:rFonts w:eastAsia="Times New Roman" w:cstheme="minorHAnsi"/>
          <w:color w:val="000000"/>
          <w:lang w:eastAsia="en-GB"/>
        </w:rPr>
        <w:t xml:space="preserve">.  </w:t>
      </w:r>
      <w:r w:rsidRPr="009B3747">
        <w:rPr>
          <w:rFonts w:eastAsia="Times New Roman" w:cstheme="minorHAnsi"/>
          <w:color w:val="000000"/>
          <w:lang w:eastAsia="en-GB"/>
        </w:rPr>
        <w:t>An additional challenge lies in the fact that no agreement exists that explicit</w:t>
      </w:r>
      <w:r w:rsidR="00EC4081" w:rsidRPr="009B3747">
        <w:rPr>
          <w:rFonts w:eastAsia="Times New Roman" w:cstheme="minorHAnsi"/>
          <w:color w:val="000000"/>
          <w:lang w:eastAsia="en-GB"/>
        </w:rPr>
        <w:t xml:space="preserve">ly states the best method or a </w:t>
      </w:r>
      <w:r w:rsidR="00EC4081" w:rsidRPr="009B3747">
        <w:rPr>
          <w:rFonts w:eastAsia="Times New Roman" w:cstheme="minorHAnsi"/>
          <w:i/>
          <w:color w:val="000000"/>
          <w:lang w:eastAsia="en-GB"/>
        </w:rPr>
        <w:t>“singularly appropriate”</w:t>
      </w:r>
      <w:r w:rsidRPr="009B3747">
        <w:rPr>
          <w:rFonts w:eastAsia="Times New Roman" w:cstheme="minorHAnsi"/>
          <w:color w:val="000000"/>
          <w:lang w:eastAsia="en-GB"/>
        </w:rPr>
        <w:t xml:space="preserve"> way for analysing qualitative data </w:t>
      </w:r>
      <w:r w:rsidR="00A25C50" w:rsidRPr="009B3747">
        <w:rPr>
          <w:rFonts w:eastAsia="Times New Roman" w:cstheme="minorHAnsi"/>
          <w:color w:val="000000"/>
          <w:lang w:eastAsia="en-GB"/>
        </w:rPr>
        <w:fldChar w:fldCharType="begin" w:fldLock="1"/>
      </w:r>
      <w:r w:rsidR="00224C9C" w:rsidRPr="009B3747">
        <w:rPr>
          <w:rFonts w:eastAsia="Times New Roman" w:cstheme="minorHAnsi"/>
          <w:color w:val="000000"/>
          <w:lang w:eastAsia="en-GB"/>
        </w:rPr>
        <w:instrText>ADDIN CSL_CITATION { "citationItems" : [ { "id" : "ITEM-1", "itemData" : { "DOI" : "10.1111/j.1475-6773.2006.00684.x", "ISSN" : "0017-9124", "PMID" : "17286625", "abstract" : "OBJECTIVE: To provide practical strategies for conducting and evaluating analyses of qualitative data applicable for health services researchers. DATA SOURCES AND DESIGN: We draw on extant qualitative methodological literature to describe practical approaches to qualitative data analysis. Approaches to data analysis vary by discipline and analytic tradition; however, we focus on qualitative data analysis that has as a goal the generation of taxonomy, themes, and theory germane to health services research.\n\nPRINCIPLE FINDINGS: We describe an approach to qualitative data analysis that applies the principles of inductive reasoning while also employing predetermined code types to guide data analysis and interpretation. These code types (conceptual, relationship, perspective, participant characteristics, and setting codes) define a structure that is appropriate for generation of taxonomy, themes, and theory. Conceptual codes and subcodes facilitate the development of taxonomies. Relationship and perspective codes facilitate the development of themes and theory. Intersectional analyses with data coded for participant characteristics and setting codes can facilitate comparative analyses.\n\nCONCLUSIONS: Qualitative inquiry can improve the description and explanation of complex, real-world phenomena pertinent to health services research. Greater understanding of the processes of qualitative data analysis can be helpful for health services researchers as they use these methods themselves or collaborate with qualitative researchers from a wide range of disciplines.", "author" : [ { "dropping-particle" : "", "family" : "Bradley", "given" : "Elizabeth H", "non-dropping-particle" : "", "parse-names" : false, "suffix" : "" }, { "dropping-particle" : "", "family" : "Curry", "given" : "Leslie A", "non-dropping-particle" : "", "parse-names" : false, "suffix" : "" }, { "dropping-particle" : "", "family" : "Devers", "given" : "Kelly J", "non-dropping-particle" : "", "parse-names" : false, "suffix" : "" } ], "container-title" : "Health services research", "id" : "ITEM-1", "issue" : "4", "issued" : { "date-parts" : [ [ "2007", "8" ] ] }, "page" : "1758-72", "title" : "Qualitative data analysis for health services research: developing taxonomy, themes, and theory.", "type" : "article-journal", "volume" : "42" }, "uris" : [ "http://www.mendeley.com/documents/?uuid=0603c290-a9eb-40b6-8f37-e38c6fb46aa7" ] } ], "mendeley" : { "formattedCitation" : "(Bradley et al., 2007)", "manualFormatting" : "(Bradley et al., 2007, p.1760)", "plainTextFormattedCitation" : "(Bradley et al., 2007)", "previouslyFormattedCitation" : "(Bradley et al., 2007)" }, "properties" : { "noteIndex" : 0 }, "schema" : "https://github.com/citation-style-language/schema/raw/master/csl-citation.json" }</w:instrText>
      </w:r>
      <w:r w:rsidR="00A25C50" w:rsidRPr="009B3747">
        <w:rPr>
          <w:rFonts w:eastAsia="Times New Roman" w:cstheme="minorHAnsi"/>
          <w:color w:val="000000"/>
          <w:lang w:eastAsia="en-GB"/>
        </w:rPr>
        <w:fldChar w:fldCharType="separate"/>
      </w:r>
      <w:r w:rsidR="00A25C50" w:rsidRPr="009B3747">
        <w:rPr>
          <w:rFonts w:eastAsia="Times New Roman" w:cstheme="minorHAnsi"/>
          <w:noProof/>
          <w:color w:val="000000"/>
          <w:lang w:eastAsia="en-GB"/>
        </w:rPr>
        <w:t>(Bradley et al., 2007</w:t>
      </w:r>
      <w:r w:rsidR="00FB5B00" w:rsidRPr="009B3747">
        <w:rPr>
          <w:rFonts w:eastAsia="Times New Roman" w:cstheme="minorHAnsi"/>
          <w:noProof/>
          <w:color w:val="000000"/>
          <w:lang w:eastAsia="en-GB"/>
        </w:rPr>
        <w:t>, p.1</w:t>
      </w:r>
      <w:r w:rsidR="00A25C50" w:rsidRPr="009B3747">
        <w:rPr>
          <w:rFonts w:eastAsia="Times New Roman" w:cstheme="minorHAnsi"/>
          <w:noProof/>
          <w:color w:val="000000"/>
          <w:lang w:eastAsia="en-GB"/>
        </w:rPr>
        <w:t>760)</w:t>
      </w:r>
      <w:r w:rsidR="00A25C50" w:rsidRPr="009B3747">
        <w:rPr>
          <w:rFonts w:eastAsia="Times New Roman" w:cstheme="minorHAnsi"/>
          <w:color w:val="000000"/>
          <w:lang w:eastAsia="en-GB"/>
        </w:rPr>
        <w:fldChar w:fldCharType="end"/>
      </w:r>
      <w:r w:rsidRPr="009B3747">
        <w:rPr>
          <w:rFonts w:eastAsia="Times New Roman" w:cstheme="minorHAnsi"/>
          <w:color w:val="000000"/>
          <w:lang w:eastAsia="en-GB"/>
        </w:rPr>
        <w:t>.  In spite of this, the widely held perception is that methods to collec</w:t>
      </w:r>
      <w:r w:rsidR="002651EC" w:rsidRPr="009B3747">
        <w:rPr>
          <w:rFonts w:eastAsia="Times New Roman" w:cstheme="minorHAnsi"/>
          <w:color w:val="000000"/>
          <w:lang w:eastAsia="en-GB"/>
        </w:rPr>
        <w:t xml:space="preserve">t and analyse qualitative data </w:t>
      </w:r>
      <w:r w:rsidR="002651EC" w:rsidRPr="009B3747">
        <w:rPr>
          <w:rFonts w:eastAsia="Times New Roman" w:cstheme="minorHAnsi"/>
          <w:i/>
          <w:color w:val="000000"/>
          <w:lang w:eastAsia="en-GB"/>
        </w:rPr>
        <w:t>“</w:t>
      </w:r>
      <w:r w:rsidRPr="009B3747">
        <w:rPr>
          <w:rFonts w:eastAsia="Times New Roman" w:cstheme="minorHAnsi"/>
          <w:i/>
          <w:color w:val="000000"/>
          <w:lang w:eastAsia="en-GB"/>
        </w:rPr>
        <w:t>are at least in part craft skills, best learned through practical engagement</w:t>
      </w:r>
      <w:r w:rsidR="002651EC" w:rsidRPr="009B3747">
        <w:rPr>
          <w:rFonts w:eastAsia="Times New Roman" w:cstheme="minorHAnsi"/>
          <w:i/>
          <w:color w:val="000000"/>
          <w:lang w:eastAsia="en-GB"/>
        </w:rPr>
        <w:t>”</w:t>
      </w:r>
      <w:r w:rsidRPr="009B3747">
        <w:rPr>
          <w:rFonts w:eastAsia="Times New Roman" w:cstheme="minorHAnsi"/>
          <w:color w:val="000000"/>
          <w:lang w:eastAsia="en-GB"/>
        </w:rPr>
        <w:t xml:space="preserve"> and learned experience</w:t>
      </w:r>
      <w:r w:rsidR="00A25C50" w:rsidRPr="009B3747">
        <w:rPr>
          <w:rFonts w:eastAsia="Times New Roman" w:cstheme="minorHAnsi"/>
          <w:color w:val="000000"/>
          <w:lang w:eastAsia="en-GB"/>
        </w:rPr>
        <w:t xml:space="preserve"> </w:t>
      </w:r>
      <w:r w:rsidR="002651EC" w:rsidRPr="009B3747">
        <w:rPr>
          <w:rFonts w:eastAsia="Times New Roman" w:cstheme="minorHAnsi"/>
          <w:color w:val="000000"/>
          <w:lang w:eastAsia="en-GB"/>
        </w:rPr>
        <w:fldChar w:fldCharType="begin" w:fldLock="1"/>
      </w:r>
      <w:r w:rsidR="00224C9C" w:rsidRPr="009B3747">
        <w:rPr>
          <w:rFonts w:eastAsia="Times New Roman" w:cstheme="minorHAnsi"/>
          <w:color w:val="000000"/>
          <w:lang w:eastAsia="en-GB"/>
        </w:rPr>
        <w:instrText>ADDIN CSL_CITATION { "citationItems" : [ { "id" : "ITEM-1", "itemData" : { "DOI" : "10.1177/1049732307306924", "ISSN" : "1049-7323", "PMID" : "18000083", "abstract" : "Using examples from written assignments and supervisory dialogues, the authors report a longitudinal observational case study of a doctoral research project, focusing on the teaching and learning of qualitative data analysis on a project that involved coding and analysis of nursing talk. Written drafts contain concrete exemplars illustrating the problems and solutions discussed in supervisions. Early problems include the difficulty of knowing where to start with coding, ambiguities in the definition of codes, inaccurate reporting and recording of data, failure to distinguish researcher and actor categories, and overinterpretation of evidence. Solutions to these problems required their accurate identification, communication of practical solutions, and care in the interactional management of delivery and receipt of feedback. This detailed analysis informs readers of sources of validity, rigor, and, eventually, creativity in carrying out a social research project. It also assists in explicating an apprenticeship model for the learning of research skills.", "author" : [ { "dropping-particle" : "", "family" : "Li", "given" : "Sarah", "non-dropping-particle" : "", "parse-names" : false, "suffix" : "" }, { "dropping-particle" : "", "family" : "Seale", "given" : "Clive", "non-dropping-particle" : "", "parse-names" : false, "suffix" : "" } ], "container-title" : "Qualitative Health Research", "id" : "ITEM-1", "issue" : "10", "issued" : { "date-parts" : [ [ "2007", "12" ] ] }, "page" : "1442-1452", "title" : "Learning to Do Qualitative Data Analysis: An Observational Study of Doctoral Work", "type" : "article-journal", "volume" : "17" }, "uris" : [ "http://www.mendeley.com/documents/?uuid=a2868c00-a894-3f5d-a279-a7c3b0d17cad" ] } ], "mendeley" : { "formattedCitation" : "(Li and Seale, 2007)", "manualFormatting" : "(Li and Seale, 2007, p.1443)", "plainTextFormattedCitation" : "(Li and Seale, 2007)", "previouslyFormattedCitation" : "(Li and Seale, 2007)" }, "properties" : { "noteIndex" : 0 }, "schema" : "https://github.com/citation-style-language/schema/raw/master/csl-citation.json" }</w:instrText>
      </w:r>
      <w:r w:rsidR="002651EC" w:rsidRPr="009B3747">
        <w:rPr>
          <w:rFonts w:eastAsia="Times New Roman" w:cstheme="minorHAnsi"/>
          <w:color w:val="000000"/>
          <w:lang w:eastAsia="en-GB"/>
        </w:rPr>
        <w:fldChar w:fldCharType="separate"/>
      </w:r>
      <w:r w:rsidR="002651EC" w:rsidRPr="009B3747">
        <w:rPr>
          <w:rFonts w:eastAsia="Times New Roman" w:cstheme="minorHAnsi"/>
          <w:noProof/>
          <w:color w:val="000000"/>
          <w:lang w:eastAsia="en-GB"/>
        </w:rPr>
        <w:t>(Li and Seale, 2007</w:t>
      </w:r>
      <w:r w:rsidR="00FB5B00" w:rsidRPr="009B3747">
        <w:rPr>
          <w:rFonts w:eastAsia="Times New Roman" w:cstheme="minorHAnsi"/>
          <w:noProof/>
          <w:color w:val="000000"/>
          <w:lang w:eastAsia="en-GB"/>
        </w:rPr>
        <w:t>, p.</w:t>
      </w:r>
      <w:r w:rsidR="002651EC" w:rsidRPr="009B3747">
        <w:rPr>
          <w:rFonts w:eastAsia="Times New Roman" w:cstheme="minorHAnsi"/>
          <w:noProof/>
          <w:color w:val="000000"/>
          <w:lang w:eastAsia="en-GB"/>
        </w:rPr>
        <w:t>1443)</w:t>
      </w:r>
      <w:r w:rsidR="002651EC" w:rsidRPr="009B3747">
        <w:rPr>
          <w:rFonts w:eastAsia="Times New Roman" w:cstheme="minorHAnsi"/>
          <w:color w:val="000000"/>
          <w:lang w:eastAsia="en-GB"/>
        </w:rPr>
        <w:fldChar w:fldCharType="end"/>
      </w:r>
      <w:r w:rsidRPr="009B3747">
        <w:rPr>
          <w:rFonts w:eastAsia="Times New Roman" w:cstheme="minorHAnsi"/>
          <w:color w:val="000000"/>
          <w:lang w:eastAsia="en-GB"/>
        </w:rPr>
        <w:t>.  For a researcher performing the analyst role, learned experience comes from undert</w:t>
      </w:r>
      <w:r w:rsidR="002651EC" w:rsidRPr="009B3747">
        <w:rPr>
          <w:rFonts w:eastAsia="Times New Roman" w:cstheme="minorHAnsi"/>
          <w:color w:val="000000"/>
          <w:lang w:eastAsia="en-GB"/>
        </w:rPr>
        <w:t xml:space="preserve">aking the fundamental tasks of </w:t>
      </w:r>
      <w:r w:rsidR="002651EC" w:rsidRPr="009B3747">
        <w:rPr>
          <w:rFonts w:eastAsia="Times New Roman" w:cstheme="minorHAnsi"/>
          <w:i/>
          <w:color w:val="000000"/>
          <w:lang w:eastAsia="en-GB"/>
        </w:rPr>
        <w:t>“</w:t>
      </w:r>
      <w:r w:rsidRPr="009B3747">
        <w:rPr>
          <w:rFonts w:eastAsia="Times New Roman" w:cstheme="minorHAnsi"/>
          <w:i/>
          <w:color w:val="000000"/>
          <w:lang w:eastAsia="en-GB"/>
        </w:rPr>
        <w:t>defining, categorizing, theorizing, explaining, exploring and mapping</w:t>
      </w:r>
      <w:r w:rsidR="002651EC" w:rsidRPr="009B3747">
        <w:rPr>
          <w:rFonts w:eastAsia="Times New Roman" w:cstheme="minorHAnsi"/>
          <w:i/>
          <w:color w:val="000000"/>
          <w:lang w:eastAsia="en-GB"/>
        </w:rPr>
        <w:t xml:space="preserve">” </w:t>
      </w:r>
      <w:r w:rsidR="002651EC"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"DOI" : "10.4135/9781412986274", "ISBN" : "9780761911906", "author" : [ { "dropping-particle" : "", "family" : "Huberman", "given" : "A.", "non-dropping-particle" : "", "parse-names" : false, "suffix" : "" }, { "dropping-particle" : "", "family" : "Miles", "given" : "Matthew", "non-dropping-particle" : "", "parse-names" : false, "suffix" : "" } ], "id" : "ITEM-1", "issued" : { "date-parts" : [ [ "2002" ] ] }, "publisher" : "SAGE Publications, Inc.", "publisher-place" : "Thousand Oaks", "title" : "The Qualitative Researcher's Companion", "type" : "book" }, "uris" : [ "http://www.mendeley.com/documents/?uuid=9536ab84-4f1e-3383-ae9f-dc15072ec24a" ] } ], "mendeley" : { "formattedCitation" : "(Huberman and Miles, 2002)", "manualFormatting" : "(Huberman and Miles, 2002, p.309)", "plainTextFormattedCitation" : "(Huberman and Miles, 2002)", "previouslyFormattedCitation" : "(Huberman and Miles, 2002)" }, "properties" : { "noteIndex" : 0 }, "schema" : "https://github.com/citation-style-language/schema/raw/master/csl-citation.json" }</w:instrText>
      </w:r>
      <w:r w:rsidR="002651EC" w:rsidRPr="009B3747">
        <w:rPr>
          <w:rFonts w:eastAsia="Times New Roman" w:cstheme="minorHAnsi"/>
          <w:color w:val="000000"/>
          <w:lang w:eastAsia="en-GB"/>
        </w:rPr>
        <w:fldChar w:fldCharType="separate"/>
      </w:r>
      <w:r w:rsidR="002651EC" w:rsidRPr="009B3747">
        <w:rPr>
          <w:rFonts w:eastAsia="Times New Roman" w:cstheme="minorHAnsi"/>
          <w:noProof/>
          <w:color w:val="000000"/>
          <w:lang w:eastAsia="en-GB"/>
        </w:rPr>
        <w:t>(Huberman and Miles, 2002</w:t>
      </w:r>
      <w:r w:rsidR="00FB5B00" w:rsidRPr="009B3747">
        <w:rPr>
          <w:rFonts w:eastAsia="Times New Roman" w:cstheme="minorHAnsi"/>
          <w:noProof/>
          <w:color w:val="000000"/>
          <w:lang w:eastAsia="en-GB"/>
        </w:rPr>
        <w:t>, p.</w:t>
      </w:r>
      <w:r w:rsidR="002651EC" w:rsidRPr="009B3747">
        <w:rPr>
          <w:rFonts w:eastAsia="Times New Roman" w:cstheme="minorHAnsi"/>
          <w:noProof/>
          <w:color w:val="000000"/>
          <w:lang w:eastAsia="en-GB"/>
        </w:rPr>
        <w:t>309)</w:t>
      </w:r>
      <w:r w:rsidR="002651EC" w:rsidRPr="009B3747">
        <w:rPr>
          <w:rFonts w:eastAsia="Times New Roman" w:cstheme="minorHAnsi"/>
          <w:color w:val="000000"/>
          <w:lang w:eastAsia="en-GB"/>
        </w:rPr>
        <w:fldChar w:fldCharType="end"/>
      </w:r>
      <w:r w:rsidR="002651EC" w:rsidRPr="009B3747">
        <w:rPr>
          <w:rFonts w:eastAsia="Times New Roman" w:cstheme="minorHAnsi"/>
          <w:color w:val="000000"/>
          <w:lang w:eastAsia="en-GB"/>
        </w:rPr>
        <w:t>.</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Default="002651EC" w:rsidP="00510940">
      <w:pPr>
        <w:rPr>
          <w:rFonts w:eastAsia="Times New Roman" w:cstheme="minorHAnsi"/>
          <w:color w:val="000000"/>
          <w:lang w:eastAsia="en-GB"/>
        </w:rPr>
      </w:pPr>
      <w:r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"DOI" : "10.1191/1478088706qp063oa", "ISSN" : "1478-0887", "abstract" : "Thematic analysis is a poorly demarcated, rarely-acknowledged, yet widely-used qualitative analytic method within psychology. In this paper, we argue that it offers an accessible and theoretically-flexible approach to analysing qualitative data. We outline what thematic analysis is, locating it in relation to other qualitative analytic methods that search for themes or patterns, and in relation to different epistemological and ontological positions. We then provide clear guidelines to those wanting to start thematic analysis, or conduct it in a more deliberate and rigorous way, and consider potential pitfalls in conducting thematic analysis. Finally, we outline the disadvantages and advantages of thematic analysis. We conclude by advocating thematic analysis as a useful and flexible method for qualitative research in and beyond psychology.", "author" : [ { "dropping-particle" : "", "family" : "Braun", "given" : "Virginia", "non-dropping-particle" : "", "parse-names" : false, "suffix" : "" }, { "dropping-particle" : "", "family" : "Clarke", "given" : "Victoria", "non-dropping-particle" : "", "parse-names" : false, "suffix" : "" } ], "container-title" : "Qualitative Research in Psychology", "id" : "ITEM-1", "issued" : { "date-parts" : [ [ "2006" ] ] }, "page" : "77-101", "title" : "Using thematic analysis in psychology", "type" : "article-journal", "volume" : "3" }, "uris" : [ "http://www.mendeley.com/documents/?uuid=6c0c8fac-6bb1-4b6c-814e-850ad5d1c93a" ] } ], "mendeley" : { "formattedCitation" : "(Braun and Clarke, 2006)", "manualFormatting" : "Braun and Clarke", "plainTextFormattedCitation" : "(Braun and Clarke, 2006)", "previouslyFormattedCitation" : "(Braun and Clarke, 2006)" }, "properties" : { "noteIndex" : 0 }, "schema" : "https://github.com/citation-style-language/schema/raw/master/csl-citation.json" }</w:instrText>
      </w:r>
      <w:r w:rsidRPr="009B3747">
        <w:rPr>
          <w:rFonts w:eastAsia="Times New Roman" w:cstheme="minorHAnsi"/>
          <w:color w:val="000000"/>
          <w:lang w:eastAsia="en-GB"/>
        </w:rPr>
        <w:fldChar w:fldCharType="separate"/>
      </w:r>
      <w:r w:rsidRPr="009B3747">
        <w:rPr>
          <w:rFonts w:eastAsia="Times New Roman" w:cstheme="minorHAnsi"/>
          <w:noProof/>
          <w:color w:val="000000"/>
          <w:lang w:eastAsia="en-GB"/>
        </w:rPr>
        <w:t>Braun and Clarke</w:t>
      </w:r>
      <w:r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w:t>
      </w:r>
      <w:r w:rsidR="00EA7466" w:rsidRPr="009B3747">
        <w:rPr>
          <w:rFonts w:eastAsia="Times New Roman" w:cstheme="minorHAnsi"/>
          <w:color w:val="000000"/>
          <w:lang w:eastAsia="en-GB"/>
        </w:rPr>
        <w:t>2006</w:t>
      </w:r>
      <w:r w:rsidR="00510940" w:rsidRPr="009B3747">
        <w:rPr>
          <w:rFonts w:eastAsia="Times New Roman" w:cstheme="minorHAnsi"/>
          <w:color w:val="000000"/>
          <w:lang w:eastAsia="en-GB"/>
        </w:rPr>
        <w:t>) argue that methods of qualitative data analysis can be roughly divided into two categories, the first where analytical methods are driven by or linked to a theoretical or epistemological position, examples of which interpretative phenomenological analysis</w:t>
      </w:r>
      <w:r w:rsidRPr="009B3747">
        <w:rPr>
          <w:rFonts w:eastAsia="Times New Roman" w:cstheme="minorHAnsi"/>
          <w:color w:val="000000"/>
          <w:lang w:eastAsia="en-GB"/>
        </w:rPr>
        <w:t xml:space="preserve"> </w:t>
      </w:r>
      <w:r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"DOI" : "10.1177/2049463714541642", "ISSN" : "2049-4637", "abstract" : "Interpretative phenomenological analysis (IPA) is a qualitative approach which aims to provide detailed examinations of personal lived experience. It produces an account of lived experience in its own terms rather than one prescribed by pre-existing theoretical preconceptions and it recognises that this is an interpretative endeavour as humans are sense-making organisms. It is explicitly idiographic in its commitment to examining the detailed experience of each case in turn, prior to the move to more general claims. IPA is a particularly useful methodology for examining topics which are complex, ambiguous and emotionally laden. Pain is a prime exemplar of such a phenomenon: elusive, involving complex psycho-somatic interactions and difficult to articulate. In addition to the 1998 article, published in this Special Issue, two further papers are suggested that the interested reader might wish to look out for.", "author" : [ { "dropping-particle" : "", "family" : "Smith", "given" : "Jonathan A", "non-dropping-particle" : "", "parse-names" : false, "suffix" : "" }, { "dropping-particle" : "", "family" : "Osborn", "given" : "Mike", "non-dropping-particle" : "", "parse-names" : false, "suffix" : "" } ], "container-title" : "British Journal of Pain", "id" : "ITEM-1", "issue" : "1", "issued" : { "date-parts" : [ [ "2015", "2", "28" ] ] }, "page" : "41-42", "publisher" : "SAGE Publications", "title" : "Interpretative phenomenological analysis as a useful methodology for research on the lived experience of pain", "type" : "article-journal", "volume" : "9" }, "uris" : [ "http://www.mendeley.com/documents/?uuid=08f007b0-69fc-3a28-a382-211cd6a45f10" ] } ], "mendeley" : { "formattedCitation" : "(Smith and Osborn, 2015)", "plainTextFormattedCitation" : "(Smith and Osborn, 2015)", "previouslyFormattedCitation" : "(Smith and Osborn, 2015)" }, "properties" : { "noteIndex" : 0 }, "schema" : "https://github.com/citation-style-language/schema/raw/master/csl-citation.json" }</w:instrText>
      </w:r>
      <w:r w:rsidRPr="009B3747">
        <w:rPr>
          <w:rFonts w:eastAsia="Times New Roman" w:cstheme="minorHAnsi"/>
          <w:color w:val="000000"/>
          <w:lang w:eastAsia="en-GB"/>
        </w:rPr>
        <w:fldChar w:fldCharType="separate"/>
      </w:r>
      <w:r w:rsidRPr="009B3747">
        <w:rPr>
          <w:rFonts w:eastAsia="Times New Roman" w:cstheme="minorHAnsi"/>
          <w:noProof/>
          <w:color w:val="000000"/>
          <w:lang w:eastAsia="en-GB"/>
        </w:rPr>
        <w:t>(Smith and Osborn, 2015)</w:t>
      </w:r>
      <w:r w:rsidRPr="009B3747">
        <w:rPr>
          <w:rFonts w:eastAsia="Times New Roman" w:cstheme="minorHAnsi"/>
          <w:color w:val="000000"/>
          <w:lang w:eastAsia="en-GB"/>
        </w:rPr>
        <w:fldChar w:fldCharType="end"/>
      </w:r>
      <w:r w:rsidR="00510940" w:rsidRPr="009B3747">
        <w:rPr>
          <w:rFonts w:eastAsia="Times New Roman" w:cstheme="minorHAnsi"/>
          <w:color w:val="000000"/>
          <w:lang w:eastAsia="en-GB"/>
        </w:rPr>
        <w:t>, grounded theory</w:t>
      </w:r>
      <w:r w:rsidRPr="009B3747">
        <w:rPr>
          <w:rFonts w:eastAsia="Times New Roman" w:cstheme="minorHAnsi"/>
          <w:color w:val="000000"/>
          <w:lang w:eastAsia="en-GB"/>
        </w:rPr>
        <w:t xml:space="preserve"> </w:t>
      </w:r>
      <w:r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"ISBN" : "1884156002", "abstract" : "On spine: Basics of grounded theory analysis.", "author" : [ { "dropping-particle" : "", "family" : "Glaser", "given" : "Barney G.", "non-dropping-particle" : "", "parse-names" : false, "suffix" : "" } ], "id" : "ITEM-1", "issued" : { "date-parts" : [ [ "1992" ] ] }, "number-of-pages" : "129", "publisher" : "Sociology Press", "publisher-place" : "Mill Valley", "title" : "Emergence vs forcing : basics of grounded theory analysis", "type" : "book" }, "uris" : [ "http://www.mendeley.com/documents/?uuid=0f9c51b8-99c9-332f-a949-761fe6f66e1a" ] } ], "mendeley" : { "formattedCitation" : "(Glaser, 1992)", "plainTextFormattedCitation" : "(Glaser, 1992)", "previouslyFormattedCitation" : "(Glaser, 1992)" }, "properties" : { "noteIndex" : 0 }, "schema" : "https://github.com/citation-style-language/schema/raw/master/csl-citation.json" }</w:instrText>
      </w:r>
      <w:r w:rsidRPr="009B3747">
        <w:rPr>
          <w:rFonts w:eastAsia="Times New Roman" w:cstheme="minorHAnsi"/>
          <w:color w:val="000000"/>
          <w:lang w:eastAsia="en-GB"/>
        </w:rPr>
        <w:fldChar w:fldCharType="separate"/>
      </w:r>
      <w:r w:rsidRPr="009B3747">
        <w:rPr>
          <w:rFonts w:eastAsia="Times New Roman" w:cstheme="minorHAnsi"/>
          <w:noProof/>
          <w:color w:val="000000"/>
          <w:lang w:eastAsia="en-GB"/>
        </w:rPr>
        <w:t>(Glaser, 1992)</w:t>
      </w:r>
      <w:r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w:t>
      </w:r>
      <w:r w:rsidR="00510940" w:rsidRPr="009B3747">
        <w:rPr>
          <w:rFonts w:eastAsia="Times New Roman" w:cstheme="minorHAnsi"/>
          <w:color w:val="000000"/>
          <w:lang w:eastAsia="en-GB"/>
        </w:rPr>
        <w:t>and discourse analysis</w:t>
      </w:r>
      <w:r w:rsidRPr="009B3747">
        <w:rPr>
          <w:rFonts w:eastAsia="Times New Roman" w:cstheme="minorHAnsi"/>
          <w:color w:val="000000"/>
          <w:lang w:eastAsia="en-GB"/>
        </w:rPr>
        <w:t xml:space="preserve"> </w:t>
      </w:r>
      <w:r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"ISBN" : "0415097207", "abstract" : "Meets the growing need among undergraduate and postgraduate psychology students for clear illustrations of discourse analytic work and provides an empirically demonstrable critique of traditional psychological approaches. 1. Introduction -- discourse analysis: the turn to the text / Erica Burman and Ian Parker -- 2. Occupational career choice: accounts and contradictions / James Moir -- 3. Political discourse: talking about nationalization and privatization / Harriette Marshall and Bianca Raabe -- 4. Discourses of nature: argumentation and power / Philip Macnaghten -- 5. Justifying injustice: broadcasters' accounts of inequality in radio / Rosalind Gill -- 6. Autobiography and change: rhetoric and authenticity of 'Gothic' style / Sue Widdicombe -- 7. Discoursing jealousy / Paul Stenner -- 8. Case-conference analysis and action research / Deborah Marks -- 9. Against discursive imperialism, empiricism and constructionism: thirty-two problems with discourse analysis / Ian Parker and Erica Burman.", "author" : [ { "dropping-particle" : "", "family" : "Burman", "given" : "Erica.", "non-dropping-particle" : "", "parse-names" : false, "suffix" : "" }, { "dropping-particle" : "", "family" : "Parker", "given" : "Ian", "non-dropping-particle" : "", "parse-names" : false, "suffix" : "" } ], "id" : "ITEM-1", "issued" : { "date-parts" : [ [ "1993" ] ] }, "number-of-pages" : "179", "publisher" : "Routledge", "publisher-place" : "London", "title" : "Discourse analytic research : repertoires and readings of texts in action", "type" : "book" }, "uris" : [ "http://www.mendeley.com/documents/?uuid=1c5c88a1-173d-3b9d-97a9-1fd810829e0e" ] } ], "mendeley" : { "formattedCitation" : "(Burman and Parker, 1993)", "plainTextFormattedCitation" : "(Burman and Parker, 1993)", "previouslyFormattedCitation" : "(Burman and Parker, 1993)" }, "properties" : { "noteIndex" : 0 }, "schema" : "https://github.com/citation-style-language/schema/raw/master/csl-citation.json" }</w:instrText>
      </w:r>
      <w:r w:rsidRPr="009B3747">
        <w:rPr>
          <w:rFonts w:eastAsia="Times New Roman" w:cstheme="minorHAnsi"/>
          <w:color w:val="000000"/>
          <w:lang w:eastAsia="en-GB"/>
        </w:rPr>
        <w:fldChar w:fldCharType="separate"/>
      </w:r>
      <w:r w:rsidRPr="009B3747">
        <w:rPr>
          <w:rFonts w:eastAsia="Times New Roman" w:cstheme="minorHAnsi"/>
          <w:noProof/>
          <w:color w:val="000000"/>
          <w:lang w:eastAsia="en-GB"/>
        </w:rPr>
        <w:t>(Burman and Parker, 1993)</w:t>
      </w:r>
      <w:r w:rsidRPr="009B3747">
        <w:rPr>
          <w:rFonts w:eastAsia="Times New Roman" w:cstheme="minorHAnsi"/>
          <w:color w:val="000000"/>
          <w:lang w:eastAsia="en-GB"/>
        </w:rPr>
        <w:fldChar w:fldCharType="end"/>
      </w:r>
      <w:r w:rsidR="00510940" w:rsidRPr="009B3747">
        <w:rPr>
          <w:rFonts w:eastAsia="Times New Roman" w:cstheme="minorHAnsi"/>
          <w:color w:val="000000"/>
          <w:lang w:eastAsia="en-GB"/>
        </w:rPr>
        <w:t xml:space="preserve">.  The second category or group, which includes thematic analysis is proposed as independent of both theory and epistemology and can therefore </w:t>
      </w:r>
      <w:r w:rsidR="00EA7466" w:rsidRPr="009B3747">
        <w:rPr>
          <w:rFonts w:eastAsia="Times New Roman" w:cstheme="minorHAnsi"/>
          <w:i/>
          <w:color w:val="000000"/>
          <w:lang w:eastAsia="en-GB"/>
        </w:rPr>
        <w:t>“</w:t>
      </w:r>
      <w:r w:rsidR="00510940" w:rsidRPr="009B3747">
        <w:rPr>
          <w:rFonts w:eastAsia="Times New Roman" w:cstheme="minorHAnsi"/>
          <w:i/>
          <w:color w:val="000000"/>
          <w:lang w:eastAsia="en-GB"/>
        </w:rPr>
        <w:t>be applied across a range of theoretical</w:t>
      </w:r>
      <w:r w:rsidR="00EA7466" w:rsidRPr="009B3747">
        <w:rPr>
          <w:rFonts w:eastAsia="Times New Roman" w:cstheme="minorHAnsi"/>
          <w:i/>
          <w:color w:val="000000"/>
          <w:lang w:eastAsia="en-GB"/>
        </w:rPr>
        <w:t xml:space="preserve"> and epistemological approaches”</w:t>
      </w:r>
      <w:r w:rsidR="00510940" w:rsidRPr="009B3747">
        <w:rPr>
          <w:rFonts w:eastAsia="Times New Roman" w:cstheme="minorHAnsi"/>
          <w:i/>
          <w:color w:val="000000"/>
          <w:lang w:eastAsia="en-GB"/>
        </w:rPr>
        <w:t xml:space="preserve"> </w:t>
      </w:r>
      <w:r w:rsidR="00510940" w:rsidRPr="009B3747">
        <w:rPr>
          <w:rFonts w:eastAsia="Times New Roman" w:cstheme="minorHAnsi"/>
          <w:color w:val="000000"/>
          <w:lang w:eastAsia="en-GB"/>
        </w:rPr>
        <w:t>(Braun and Clarke, 2006, p</w:t>
      </w:r>
      <w:r w:rsidR="00FB5B00" w:rsidRPr="009B3747">
        <w:rPr>
          <w:rFonts w:eastAsia="Times New Roman" w:cstheme="minorHAnsi"/>
          <w:color w:val="000000"/>
          <w:lang w:eastAsia="en-GB"/>
        </w:rPr>
        <w:t>.</w:t>
      </w:r>
      <w:r w:rsidR="00510940" w:rsidRPr="009B3747">
        <w:rPr>
          <w:rFonts w:eastAsia="Times New Roman" w:cstheme="minorHAnsi"/>
          <w:color w:val="000000"/>
          <w:lang w:eastAsia="en-GB"/>
        </w:rPr>
        <w:t>78).  Regardless which method is employed in qualitative data analysis, overarching similarities exist in respect to the broad aims of providing a deep, quality and rich understanding, interpretation and description of social phenomena</w:t>
      </w:r>
      <w:r w:rsidR="00EA7466" w:rsidRPr="009B3747">
        <w:rPr>
          <w:rFonts w:eastAsia="Times New Roman" w:cstheme="minorHAnsi"/>
          <w:color w:val="000000"/>
          <w:lang w:eastAsia="en-GB"/>
        </w:rPr>
        <w:t xml:space="preserve"> </w:t>
      </w:r>
      <w:r w:rsidR="00EA7466"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"ISBN" : "1865085235", "abstract" : "A detailed introduction to the practice of data analysis in social research that is both user-friendly and theoretically grounded.", "author" : [ { "dropping-particle" : "", "family" : "Ezzy", "given" : "Douglas", "non-dropping-particle" : "", "parse-names" : false, "suffix" : "" } ], "id" : "ITEM-1", "issued" : { "date-parts" : [ [ "2002" ] ] }, "number-of-pages" : "190", "publisher" : "Allen &amp; Unwin", "publisher-place" : "Sydney", "title" : "Qualitative Analysis: Practice and Innovation", "type" : "book" }, "uris" : [ "http://www.mendeley.com/documents/?uuid=01e59f68-dbde-4008-afe9-3486f6dc3432" ] }, { "id" : "ITEM-2", "itemData" : { "DOI" : "10.1080/0013188032000133548", "ISBN" : "0013-1881", "ISSN" : "0013-1881", "abstract" : "Data analysis is the most difficult and most crucial aspect of qualitative research. Coding is one of the significant steps taken during analysis to organize and make sense of textual data. This paper examines the use of manual and electronic methods to code data in two rather different projects in which the data were collected mainly by in-depth interviewing. The author looks at both the methods in the light of her own experience and concludes that the choice will be dependent on the size of the project, the funds and time available, and the inclination and expertise of the researcher.", "author" : [ { "dropping-particle" : "", "family" : "Basit", "given" : "Tehmina N.", "non-dropping-particle" : "", "parse-names" : false, "suffix" : "" } ], "container-title" : "Educational Research", "id" : "ITEM-2", "issue" : "2", "issued" : { "date-parts" : [ [ "2003", "6" ] ] }, "page" : "143-154", "publisher" : "Taylor &amp; Francis", "title" : "Manual or Electronic: the Role of Coding in Qualitative Data Analysis", "type" : "article-journal", "volume" : "45" }, "uris" : [ "http://www.mendeley.com/documents/?uuid=7162e3fb-bce0-3429-b83e-ad0c51722ba7" ] } ], "mendeley" : { "formattedCitation" : "(Ezzy, 2002; Basit, 2003)", "plainTextFormattedCitation" : "(Ezzy, 2002; Basit, 2003)", "previouslyFormattedCitation" : "(Ezzy, 2002; Basit, 2003)" }, "properties" : { "noteIndex" : 0 }, "schema" : "https://github.com/citation-style-language/schema/raw/master/csl-citation.json" }</w:instrText>
      </w:r>
      <w:r w:rsidR="00EA7466" w:rsidRPr="009B3747">
        <w:rPr>
          <w:rFonts w:eastAsia="Times New Roman" w:cstheme="minorHAnsi"/>
          <w:color w:val="000000"/>
          <w:lang w:eastAsia="en-GB"/>
        </w:rPr>
        <w:fldChar w:fldCharType="separate"/>
      </w:r>
      <w:r w:rsidR="00EA7466" w:rsidRPr="009B3747">
        <w:rPr>
          <w:rFonts w:eastAsia="Times New Roman" w:cstheme="minorHAnsi"/>
          <w:noProof/>
          <w:color w:val="000000"/>
          <w:lang w:eastAsia="en-GB"/>
        </w:rPr>
        <w:t>(Ezzy, 2002; Basit, 2003)</w:t>
      </w:r>
      <w:r w:rsidR="00EA7466" w:rsidRPr="009B3747">
        <w:rPr>
          <w:rFonts w:eastAsia="Times New Roman" w:cstheme="minorHAnsi"/>
          <w:color w:val="000000"/>
          <w:lang w:eastAsia="en-GB"/>
        </w:rPr>
        <w:fldChar w:fldCharType="end"/>
      </w:r>
      <w:r w:rsidR="00510940" w:rsidRPr="009B3747">
        <w:rPr>
          <w:rFonts w:eastAsia="Times New Roman" w:cstheme="minorHAnsi"/>
          <w:color w:val="000000"/>
          <w:lang w:eastAsia="en-GB"/>
        </w:rPr>
        <w:t>.  </w:t>
      </w:r>
    </w:p>
    <w:p w:rsidR="00510940" w:rsidRPr="009B3747" w:rsidRDefault="00782EBA" w:rsidP="00510940">
      <w:pPr>
        <w:rPr>
          <w:rFonts w:eastAsia="Times New Roman" w:cstheme="minorHAnsi"/>
          <w:sz w:val="24"/>
          <w:szCs w:val="24"/>
          <w:u w:val="single"/>
          <w:lang w:eastAsia="en-GB"/>
        </w:rPr>
      </w:pPr>
      <w:r w:rsidRPr="009B3747">
        <w:rPr>
          <w:rFonts w:eastAsia="Times New Roman" w:cstheme="minorHAnsi"/>
          <w:bCs/>
          <w:color w:val="000000"/>
          <w:u w:val="single"/>
          <w:lang w:eastAsia="en-GB"/>
        </w:rPr>
        <w:lastRenderedPageBreak/>
        <w:t>5</w:t>
      </w:r>
      <w:r w:rsidR="00CA766F" w:rsidRPr="009B3747">
        <w:rPr>
          <w:rFonts w:eastAsia="Times New Roman" w:cstheme="minorHAnsi"/>
          <w:bCs/>
          <w:color w:val="000000"/>
          <w:u w:val="single"/>
          <w:lang w:eastAsia="en-GB"/>
        </w:rPr>
        <w:t>.5</w:t>
      </w:r>
      <w:r w:rsidR="00CF32DA" w:rsidRPr="009B3747">
        <w:rPr>
          <w:rFonts w:eastAsia="Times New Roman" w:cstheme="minorHAnsi"/>
          <w:bCs/>
          <w:color w:val="000000"/>
          <w:u w:val="single"/>
          <w:lang w:eastAsia="en-GB"/>
        </w:rPr>
        <w:t xml:space="preserve">.1 </w:t>
      </w:r>
      <w:r w:rsidR="00510940" w:rsidRPr="009B3747">
        <w:rPr>
          <w:rFonts w:eastAsia="Times New Roman" w:cstheme="minorHAnsi"/>
          <w:bCs/>
          <w:color w:val="000000"/>
          <w:u w:val="single"/>
          <w:lang w:eastAsia="en-GB"/>
        </w:rPr>
        <w:t>Thematic analysis</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color w:val="000000"/>
          <w:lang w:eastAsia="en-GB"/>
        </w:rPr>
      </w:pPr>
      <w:r w:rsidRPr="009B3747">
        <w:rPr>
          <w:rFonts w:eastAsia="Times New Roman" w:cstheme="minorHAnsi"/>
          <w:color w:val="000000"/>
          <w:lang w:eastAsia="en-GB"/>
        </w:rPr>
        <w:t>In addition to an extensive review of the literature related to qualitative data analysis</w:t>
      </w:r>
      <w:r w:rsidR="00EA7466" w:rsidRPr="009B3747">
        <w:rPr>
          <w:rFonts w:eastAsia="Times New Roman" w:cstheme="minorHAnsi"/>
          <w:color w:val="000000"/>
          <w:lang w:eastAsia="en-GB"/>
        </w:rPr>
        <w:t xml:space="preserve"> </w:t>
      </w:r>
      <w:r w:rsidR="00EA7466"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"ISBN" : "0761919716", "abstract" : "3 ed. Revised edition of: Qualitative evaluation and research methods. 2nd ed. 1990. This book has been completely revised with hundreds of new examples and stories illuminating all aspects of qualitative inquiry. This third edition has retained and expanded upon the exhibits, which highlight and summarize major issues, guidelines, the summative sections, tables, and figures as well as the sage advice of the Sufi-Zen master, Halcolm. This revision will help readers integrate and make sense of the great volume of qualitative works published in the past decade. New to this edition: integrates and makes sense of the great volume of qualitative works published in the past decade; offers strategies for enhancing quality and credibility of qualitative findings by presenting a new framework for differentiating five contrasting and competing sets of standards for judging the quality and utility of findings; unravels the complexities of mixed methods and triangulation; explains the new issues and approaches to fieldwork as well as providing detailed analytical guidelines, including software and computer-assisted options; explores, compares and contrasts 16 different theoretical and philosophical approaches to qualitative inquiry; examines alternative interviewing strategies and approaches, including focus group interviews, group interviews, and cross-cultural interviews; identifies the latest Internet resources. Preface -- Part 1. Conceptual issues in qualitative inquiry. 1. The nature of qualitative inquiry -- 2. Strategic themes in qualitative inquiry -- 3. Variety in qualitative inquiry : theoretical orientations -- 4. Particularly appropriate qualitative applications -- Part 2. Qualitative designs and data collection. 5. Designing qualitative studies -- 6. Fieldwork strategies and observation methods -- 7. Qualitative interviewing -- Part 3. Analysis, interpretation and reporting. 8. Qualitative analysis and interpretation -- 9. Enhancing the quality and credibility of qualitative analysis -- References -- Author index -- Subject index -- About the author.", "author" : [ { "dropping-particle" : "", "family" : "Patton", "given" : "Michael Quinn.", "non-dropping-particle" : "", "parse-names" : false, "suffix" : "" } ], "edition" : "3rd", "id" : "ITEM-1", "issued" : { "date-parts" : [ [ "2002" ] ] }, "publisher" : "SAGE Publications Inc.", "publisher-place" : "Thousand Oaks", "title" : "Qualitative research and evaluation methods", "type" : "book" }, "uris" : [ "http://www.mendeley.com/documents/?uuid=6feda69f-5570-3681-960b-d7c13d667998" ] }, { "id" : "ITEM-2", "itemData" : { "DOI" : "10.1108/17465640810900568", "ISSN" : "1746-5648", "abstract" : "Purpose \u2013 The purpose of this paper is to explore what the term \u201cmethodology\u201d might be taken to mean. It uses an aphorism by Howard Becker as a springboard for examining the nature of methodology, arguing that Becker's view of methodology was misleading.Design/methodology/approach \u2013 There are two components. First, \u201cinsider\u201d account of research findings concerning the nature of mixed methods research is presented. These findings derive from a content analysis of articles based on mixed methods research and from interviews with mixed methods researchers. Second, the paper examines the paradox that qualitative research is often viewed as generating interesting findings but that qualitative researchers frequently feel that they experience difficulty in placing qualitative articles in mainstream journals.Findings \u2013 The findings from the mixed methods study demonstrate that mixed methods research is often rationalized in a different way from how it is actually employed.Research limitations/implications \u2013 The s...", "author" : [ { "dropping-particle" : "", "family" : "Bryman", "given" : "Alan", "non-dropping-particle" : "", "parse-names" : false, "suffix" : "" } ], "container-title" : "Qualitative Research in Organizations and Management: An International Journal", "id" : "ITEM-2", "issue" : "2", "issued" : { "date-parts" : [ [ "2008", "8", "22" ] ] }, "page" : "159-168", "publisher" : "Emerald Group Publishing Limited", "title" : "Of methods and methodology", "type" : "article-journal", "volume" : "3" }, "uris" : [ "http://www.mendeley.com/documents/?uuid=2ba9558a-05d9-3e58-b628-6fec686ac1c4" ] }, { "id" : "ITEM-3", "itemData" : { "ISBN" : "9781446260142", "abstract" : "Fourth edition. \"In the fourth edition of his best-selling textbook, David Silverman provides a step-by-step guide to planning and conducting qualitative research. Using real examples from real postgraduate students, the book makes it easy to link theory to methods and shows how to move from understanding the principles of qualitative research to doing it yourself. The new edition has been fully updated and now includes: a brand new chapter on formulating a research question appropriate for qualitative research - an expanded discussion of the role of theory in research - extended discussion of case study research and the number of cases needed for effective qualitative research - further coverage of focus groups and analyzing internet data - new student examples from around the world - a new section on the common pitfalls encountered in qualitative research - an expanded companion website with more student examples and videos. Filled with exercises to test your understanding and develop your skills, as well as David's own tips for research success based on years of experience, this book is essential reading for anyone doing qualitative research.\"--Publisher's website. Preface to the Fourth Edition -- Companion Website -- Part 1: Introduction. How to Use This Book ; What You Can (and Can't) Do with Qualitative Research ; Focusing Research Project ; Issues in Research Design ; What Counts as 'Originality'?. -- Part 2: Starting Out. Formulating a Research Question ; Using Theories ; Choosing a Methodology ; How Many Cases Do You Need? ; Ethical Research ; Writing a Research Proposal. -- Part 3: Collecting and analyzing your data. Collecting Your Data ; Developing Data Analysis ; Using Computers to Analyse Qualitative Data Clive Seale ; Quality in Qualitative Research ; Evaluating Qualitative Research ; Effective Qualitative Research. -- Part 4: Writing up. The First Few Pages ; The Literature Review Chapter ; The Methodology Chapter ; Writing Your Data Chapters ; Your Concluding Chapter. -- Part 5: Getting support. Making Good Use of Your Supervisor ; Getting Feedback ; Surviving an Oral Examination ; Getting Published ; Audiences ; Appendix: Transcription Symbols ; Glossary ; References ; Author Index ; Subject Index.", "author" : [ { "dropping-particle" : "", "family" : "Silverman", "given" : "David", "non-dropping-particle" : "", "parse-names" : false, "suffix" : "" } ], "edition" : "4th", "id" : "ITEM-3", "issued" : { "date-parts" : [ [ "2013" ] ] }, "number-of-pages" : "470", "publisher" : "SAGE Publications Ltd", "publisher-place" : "London", "title" : "Doing qualitative research: A practical handbook", "type" : "book" }, "uris" : [ "http://www.mendeley.com/documents/?uuid=22d58823-a1e1-33ea-a2e5-5ab44e2d6297" ] }, { "id" : "ITEM-4", "itemData" : { "DOI" : "10.1007/s13398-014-0173-7.2", "ISBN" : "9781452274614", "ISSN" : "13514180", "PMID" : "15991970", "author" : [ { "dropping-particle" : "", "family" : "Creswell", "given" : "J W", "non-dropping-particle" : "", "parse-names" : false, "suffix" : "" } ], "container-title" : "SAGE Publications", "edition" : "4th", "id" : "ITEM-4", "issued" : { "date-parts" : [ [ "2014" ] ] }, "number-of-pages" : "398", "publisher" : "SAGE Publications Inc.", "publisher-place" : "Los Angeles", "title" : "Research Design: Qualitative, Quantitative, and Mixed Methods Approaches", "type" : "book" }, "uris" : [ "http://www.mendeley.com/documents/?uuid=e78417b4-b5b5-4ebf-9e1d-3894864dbccd" ] } ], "mendeley" : { "formattedCitation" : "(Patton, 2002b; Bryman, 2008; Silverman, 2013; Creswell, 2014)", "plainTextFormattedCitation" : "(Patton, 2002b; Bryman, 2008; Silverman, 2013; Creswell, 2014)", "previouslyFormattedCitation" : "(Patton, 2002b; Bryman, 2008; Silverman, 2013; Creswell, 2014)" }, "properties" : { "noteIndex" : 0 }, "schema" : "https://github.com/citation-style-language/schema/raw/master/csl-citation.json" }</w:instrText>
      </w:r>
      <w:r w:rsidR="00EA7466" w:rsidRPr="009B3747">
        <w:rPr>
          <w:rFonts w:eastAsia="Times New Roman" w:cstheme="minorHAnsi"/>
          <w:color w:val="000000"/>
          <w:lang w:eastAsia="en-GB"/>
        </w:rPr>
        <w:fldChar w:fldCharType="separate"/>
      </w:r>
      <w:r w:rsidR="00395650" w:rsidRPr="009B3747">
        <w:rPr>
          <w:rFonts w:eastAsia="Times New Roman" w:cstheme="minorHAnsi"/>
          <w:noProof/>
          <w:color w:val="000000"/>
          <w:lang w:eastAsia="en-GB"/>
        </w:rPr>
        <w:t>(Patton, 2002b; Bryman, 2008; Silverman, 2013; Creswell, 2014)</w:t>
      </w:r>
      <w:r w:rsidR="00EA7466" w:rsidRPr="009B3747">
        <w:rPr>
          <w:rFonts w:eastAsia="Times New Roman" w:cstheme="minorHAnsi"/>
          <w:color w:val="000000"/>
          <w:lang w:eastAsia="en-GB"/>
        </w:rPr>
        <w:fldChar w:fldCharType="end"/>
      </w:r>
      <w:r w:rsidR="00EA7466"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the researcher engaged in extended discussions with </w:t>
      </w:r>
      <w:r w:rsidR="00EC4081" w:rsidRPr="009B3747">
        <w:rPr>
          <w:rFonts w:eastAsia="Times New Roman" w:cstheme="minorHAnsi"/>
          <w:color w:val="000000"/>
          <w:lang w:eastAsia="en-GB"/>
        </w:rPr>
        <w:t xml:space="preserve">leading mixed methods academic – </w:t>
      </w:r>
      <w:r w:rsidRPr="009B3747">
        <w:rPr>
          <w:rFonts w:eastAsia="Times New Roman" w:cstheme="minorHAnsi"/>
          <w:color w:val="000000"/>
          <w:lang w:eastAsia="en-GB"/>
        </w:rPr>
        <w:t>Professor Alicia O’Cathain (Personal communi</w:t>
      </w:r>
      <w:r w:rsidR="003931E6">
        <w:rPr>
          <w:rFonts w:eastAsia="Times New Roman" w:cstheme="minorHAnsi"/>
          <w:color w:val="000000"/>
          <w:lang w:eastAsia="en-GB"/>
        </w:rPr>
        <w:t xml:space="preserve">cation, Alicia O’Cathain, 2015), </w:t>
      </w:r>
      <w:r w:rsidRPr="009B3747">
        <w:rPr>
          <w:rFonts w:eastAsia="Times New Roman" w:cstheme="minorHAnsi"/>
          <w:color w:val="000000"/>
          <w:lang w:eastAsia="en-GB"/>
        </w:rPr>
        <w:t xml:space="preserve">in order to inform the choice of analytical method.  Three options (grounded theory, narrative analysis, and thematic analysis) were explored and considered in relation to both </w:t>
      </w:r>
      <w:r w:rsidRPr="009B3747">
        <w:rPr>
          <w:rFonts w:eastAsia="Times New Roman" w:cstheme="minorHAnsi"/>
          <w:color w:val="000000" w:themeColor="text1"/>
          <w:lang w:eastAsia="en-GB"/>
        </w:rPr>
        <w:t>the phase one aims and objectives</w:t>
      </w:r>
      <w:r w:rsidR="003931E6">
        <w:rPr>
          <w:rFonts w:eastAsia="Times New Roman" w:cstheme="minorHAnsi"/>
          <w:color w:val="000000" w:themeColor="text1"/>
          <w:lang w:eastAsia="en-GB"/>
        </w:rPr>
        <w:t>,</w:t>
      </w:r>
      <w:r w:rsidRPr="009B3747">
        <w:rPr>
          <w:rFonts w:eastAsia="Times New Roman" w:cstheme="minorHAnsi"/>
          <w:color w:val="000000" w:themeColor="text1"/>
          <w:lang w:eastAsia="en-GB"/>
        </w:rPr>
        <w:t xml:space="preserve"> and also the overarching approach, design and methodology of the study.  Whilst, both grounded theory and narrative analysis are useful for exploring topics that have received little research focus, they were discounted for this study given the researchers novice status and the perceived requirement for each to have in-depth theo</w:t>
      </w:r>
      <w:r w:rsidR="00990EFD" w:rsidRPr="009B3747">
        <w:rPr>
          <w:rFonts w:eastAsia="Times New Roman" w:cstheme="minorHAnsi"/>
          <w:color w:val="000000" w:themeColor="text1"/>
          <w:lang w:eastAsia="en-GB"/>
        </w:rPr>
        <w:t xml:space="preserve">retical and technical knowledge (Bryman, 2016).  </w:t>
      </w:r>
      <w:r w:rsidRPr="009B3747">
        <w:rPr>
          <w:rFonts w:eastAsia="Times New Roman" w:cstheme="minorHAnsi"/>
          <w:color w:val="000000" w:themeColor="text1"/>
          <w:lang w:eastAsia="en-GB"/>
        </w:rPr>
        <w:t>Thematic analysis was therefore deemed the most appropriate option for analysing the phase one qualitative data.    </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t>Thematic analysis, first described in the</w:t>
      </w:r>
      <w:r w:rsidR="00EA7466" w:rsidRPr="009B3747">
        <w:rPr>
          <w:rFonts w:eastAsia="Times New Roman" w:cstheme="minorHAnsi"/>
          <w:color w:val="000000"/>
          <w:lang w:eastAsia="en-GB"/>
        </w:rPr>
        <w:t xml:space="preserve"> 1970</w:t>
      </w:r>
      <w:r w:rsidRPr="009B3747">
        <w:rPr>
          <w:rFonts w:eastAsia="Times New Roman" w:cstheme="minorHAnsi"/>
          <w:color w:val="000000"/>
          <w:lang w:eastAsia="en-GB"/>
        </w:rPr>
        <w:t>s</w:t>
      </w:r>
      <w:r w:rsidR="00EA7466" w:rsidRPr="009B3747">
        <w:rPr>
          <w:rFonts w:eastAsia="Times New Roman" w:cstheme="minorHAnsi"/>
          <w:color w:val="000000"/>
          <w:lang w:eastAsia="en-GB"/>
        </w:rPr>
        <w:t xml:space="preserve"> </w:t>
      </w:r>
      <w:r w:rsidR="00EA7466" w:rsidRPr="009B3747">
        <w:rPr>
          <w:rFonts w:eastAsia="Times New Roman" w:cstheme="minorHAnsi"/>
          <w:color w:val="000000"/>
          <w:lang w:eastAsia="en-GB"/>
        </w:rPr>
        <w:fldChar w:fldCharType="begin" w:fldLock="1"/>
      </w:r>
      <w:r w:rsidR="00EA7466" w:rsidRPr="009B3747">
        <w:rPr>
          <w:rFonts w:eastAsia="Times New Roman" w:cstheme="minorHAnsi"/>
          <w:color w:val="000000"/>
          <w:lang w:eastAsia="en-GB"/>
        </w:rPr>
        <w:instrText>ADDIN CSL_CITATION { "citationItems" : [ { "id" : "ITEM-1", "itemData" : { "author" : [ { "dropping-particle" : "", "family" : "Merton", "given" : "Robert K.", "non-dropping-particle" : "", "parse-names" : false, "suffix" : "" } ], "container-title" : "Science", "id" : "ITEM-1", "issue" : "4186", "issued" : { "date-parts" : [ [ "1975" ] ] }, "title" : "Thematic Analysis in Science: Notes on Holton's Concept", "type" : "article-journal", "volume" : "188" }, "uris" : [ "http://www.mendeley.com/documents/?uuid=6445453b-114a-3fda-bfc4-3dbfd47235d6" ] } ], "mendeley" : { "formattedCitation" : "(Merton, 1975)", "plainTextFormattedCitation" : "(Merton, 1975)", "previouslyFormattedCitation" : "(Merton, 1975)" }, "properties" : { "noteIndex" : 0 }, "schema" : "https://github.com/citation-style-language/schema/raw/master/csl-citation.json" }</w:instrText>
      </w:r>
      <w:r w:rsidR="00EA7466" w:rsidRPr="009B3747">
        <w:rPr>
          <w:rFonts w:eastAsia="Times New Roman" w:cstheme="minorHAnsi"/>
          <w:color w:val="000000"/>
          <w:lang w:eastAsia="en-GB"/>
        </w:rPr>
        <w:fldChar w:fldCharType="separate"/>
      </w:r>
      <w:r w:rsidR="00EA7466" w:rsidRPr="009B3747">
        <w:rPr>
          <w:rFonts w:eastAsia="Times New Roman" w:cstheme="minorHAnsi"/>
          <w:noProof/>
          <w:color w:val="000000"/>
          <w:lang w:eastAsia="en-GB"/>
        </w:rPr>
        <w:t>(Merton, 1975)</w:t>
      </w:r>
      <w:r w:rsidR="00EA7466" w:rsidRPr="009B3747">
        <w:rPr>
          <w:rFonts w:eastAsia="Times New Roman" w:cstheme="minorHAnsi"/>
          <w:color w:val="000000"/>
          <w:lang w:eastAsia="en-GB"/>
        </w:rPr>
        <w:fldChar w:fldCharType="end"/>
      </w:r>
      <w:r w:rsidR="00EA7466" w:rsidRPr="009B3747">
        <w:rPr>
          <w:rFonts w:eastAsia="Times New Roman" w:cstheme="minorHAnsi"/>
          <w:color w:val="000000"/>
          <w:lang w:eastAsia="en-GB"/>
        </w:rPr>
        <w:t xml:space="preserve">, </w:t>
      </w:r>
      <w:r w:rsidRPr="009B3747">
        <w:rPr>
          <w:rFonts w:eastAsia="Times New Roman" w:cstheme="minorHAnsi"/>
          <w:color w:val="000000"/>
          <w:lang w:eastAsia="en-GB"/>
        </w:rPr>
        <w:t>is viewed as a method for analysis as opposed to a methodology (Braun and Clarke, 2006).  Understood to be the foundational approach for analysing qualitative data, thematic analysis aims to search, examine and describe patterns and meanings in rich detail</w:t>
      </w:r>
      <w:r w:rsidR="00EA7466" w:rsidRPr="009B3747">
        <w:rPr>
          <w:rFonts w:eastAsia="Times New Roman" w:cstheme="minorHAnsi"/>
          <w:color w:val="000000"/>
          <w:lang w:eastAsia="en-GB"/>
        </w:rPr>
        <w:t xml:space="preserve"> </w:t>
      </w:r>
      <w:r w:rsidR="00EA7466" w:rsidRPr="009B3747">
        <w:rPr>
          <w:rFonts w:eastAsia="Times New Roman" w:cstheme="minorHAnsi"/>
          <w:color w:val="000000"/>
          <w:lang w:eastAsia="en-GB"/>
        </w:rPr>
        <w:fldChar w:fldCharType="begin" w:fldLock="1"/>
      </w:r>
      <w:r w:rsidR="00EA7466" w:rsidRPr="009B3747">
        <w:rPr>
          <w:rFonts w:eastAsia="Times New Roman" w:cstheme="minorHAnsi"/>
          <w:color w:val="000000"/>
          <w:lang w:eastAsia="en-GB"/>
        </w:rPr>
        <w:instrText>ADDIN CSL_CITATION { "citationItems" : [ { "id" : "ITEM-1", "itemData" : { "DOI" : "10.1191/1478088706qp063oa", "ISBN" : "0952-8229", "ISSN" : "1478-0887", "abstract" : "With qualitative research methods an integral part of the psychology curriculum, questions arise of what approaches to teach, and how to teach them. We think thematic analysis (TA) offers a useful \u2013 and a relatively easy to teach and learn \u2013 basic introduction to qualitative analysis (see Braun &amp; Clarke, 2006, 2012, 2013; Clarke &amp; Braun, 2013); yet even teaching a fairly accessible approach like TA presents challenges in the classroom. Drawing on our experiences, and 38 responses from psychology students to a short qualitative survey on students\u2019 experiences of qualitative and TA teaching, we explore some of the challenges of teaching TA to students new to qualitative research, and suggest strategies for overcoming these. Many of these are not specific to TA; they apply to teaching qualitative research more broadly", "author" : [ { "dropping-particle" : "", "family" : "Clarke", "given" : "Victoria", "non-dropping-particle" : "", "parse-names" : false, "suffix" : "" }, { "dropping-particle" : "", "family" : "Braun", "given" : "Virginia", "non-dropping-particle" : "", "parse-names" : false, "suffix" : "" } ], "container-title" : "The Pscyhologist", "id" : "ITEM-1", "issue" : "2", "issued" : { "date-parts" : [ [ "2013" ] ] }, "page" : "120-123", "title" : "Teaching thematic analysis: Overcoming challenges and developing strategies for effective learning", "type" : "article-journal", "volume" : "26" }, "uris" : [ "http://www.mendeley.com/documents/?uuid=c322885b-f3eb-42c6-958a-945652cd29c1" ] } ], "mendeley" : { "formattedCitation" : "(Clarke and Braun, 2013)", "plainTextFormattedCitation" : "(Clarke and Braun, 2013)", "previouslyFormattedCitation" : "(Clarke and Braun, 2013)" }, "properties" : { "noteIndex" : 0 }, "schema" : "https://github.com/citation-style-language/schema/raw/master/csl-citation.json" }</w:instrText>
      </w:r>
      <w:r w:rsidR="00EA7466" w:rsidRPr="009B3747">
        <w:rPr>
          <w:rFonts w:eastAsia="Times New Roman" w:cstheme="minorHAnsi"/>
          <w:color w:val="000000"/>
          <w:lang w:eastAsia="en-GB"/>
        </w:rPr>
        <w:fldChar w:fldCharType="separate"/>
      </w:r>
      <w:r w:rsidR="00EA7466" w:rsidRPr="009B3747">
        <w:rPr>
          <w:rFonts w:eastAsia="Times New Roman" w:cstheme="minorHAnsi"/>
          <w:noProof/>
          <w:color w:val="000000"/>
          <w:lang w:eastAsia="en-GB"/>
        </w:rPr>
        <w:t>(Clarke and Braun, 2013)</w:t>
      </w:r>
      <w:r w:rsidR="00EA7466" w:rsidRPr="009B3747">
        <w:rPr>
          <w:rFonts w:eastAsia="Times New Roman" w:cstheme="minorHAnsi"/>
          <w:color w:val="000000"/>
          <w:lang w:eastAsia="en-GB"/>
        </w:rPr>
        <w:fldChar w:fldCharType="end"/>
      </w:r>
      <w:r w:rsidRPr="009B3747">
        <w:rPr>
          <w:rFonts w:eastAsia="Times New Roman" w:cstheme="minorHAnsi"/>
          <w:color w:val="000000"/>
          <w:lang w:eastAsia="en-GB"/>
        </w:rPr>
        <w:t>.  It’s freedom from a specific epistemology or theory enables researchers especially at the beginning of their research career to learn the fundamental generic skills of qualitative analysis (Holloway and Todres, 2003), without requiring in-depth theoretical knowledge.  The main premise of thematic analysis is to identify themes in the data, either inductively or deductively, with themes strongly linked to the data in the former and themes derived from pre-existing concepts and ideas in the latter (Patton, 2002, Silverman, 2013).</w:t>
      </w:r>
      <w:r w:rsidR="00EA7466" w:rsidRPr="009B3747">
        <w:rPr>
          <w:rFonts w:eastAsia="Times New Roman" w:cstheme="minorHAnsi"/>
          <w:color w:val="000000"/>
          <w:lang w:eastAsia="en-GB"/>
        </w:rPr>
        <w:t xml:space="preserve">  </w:t>
      </w:r>
      <w:r w:rsidR="00EA7466"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"DOI" : "10.1037/13620-004", "ISBN" : "1-4338-1005-0\\r978-1-43381-005-3", "ISSN" : "1478-0887", "PMID" : "25246403", "abstract" : "Thematic Analysis (TA) is an accessible, flexible, and increasingly popular method of qualitative data analysis. Learning to do it provides the qualitative researcher with a foundation in the basic skills needed to engage with other approaches to qualitative data analysis. In this chapter, we first outline the basics of what TA is and explain why it is so useful. The main part of the chapter then demonstrates how to do thematic analysis, using a worked example with data from one of our own research projects\u2014an interview-based study of lesbian, gay, bisexual, and transsexual (LGBT) students\u2019 experiences of university life. We conclude by discussing how to conduct thematic analysis well and how to avoid doing it poorly.", "author" : [ { "dropping-particle" : "", "family" : "Braun", "given" : "Virginia", "non-dropping-particle" : "", "parse-names" : false, "suffix" : "" }, { "dropping-particle" : "", "family" : "Clarke", "given" : "Victoria", "non-dropping-particle" : "", "parse-names" : false, "suffix" : "" } ], "container-title" : "APA Handbook of Research Methods in Psychology", "id" : "ITEM-1", "issued" : { "date-parts" : [ [ "2012" ] ] }, "page" : "57-71", "title" : "Thematic Analysis", "type" : "article-journal", "volume" : "2" }, "uris" : [ "http://www.mendeley.com/documents/?uuid=0bf5db0c-e254-4071-8182-6aed32d69fc1" ] } ], "mendeley" : { "formattedCitation" : "(Braun and Clarke, 2012)", "manualFormatting" : "Braun and Clarke (2012)", "plainTextFormattedCitation" : "(Braun and Clarke, 2012)", "previouslyFormattedCitation" : "(Braun and Clarke, 2012)" }, "properties" : { "noteIndex" : 0 }, "schema" : "https://github.com/citation-style-language/schema/raw/master/csl-citation.json" }</w:instrText>
      </w:r>
      <w:r w:rsidR="00EA7466" w:rsidRPr="009B3747">
        <w:rPr>
          <w:rFonts w:eastAsia="Times New Roman" w:cstheme="minorHAnsi"/>
          <w:color w:val="000000"/>
          <w:lang w:eastAsia="en-GB"/>
        </w:rPr>
        <w:fldChar w:fldCharType="separate"/>
      </w:r>
      <w:r w:rsidR="00EA7466" w:rsidRPr="009B3747">
        <w:rPr>
          <w:rFonts w:eastAsia="Times New Roman" w:cstheme="minorHAnsi"/>
          <w:noProof/>
          <w:color w:val="000000"/>
          <w:lang w:eastAsia="en-GB"/>
        </w:rPr>
        <w:t>Braun and Clarke (2012)</w:t>
      </w:r>
      <w:r w:rsidR="00EA7466" w:rsidRPr="009B3747">
        <w:rPr>
          <w:rFonts w:eastAsia="Times New Roman" w:cstheme="minorHAnsi"/>
          <w:color w:val="000000"/>
          <w:lang w:eastAsia="en-GB"/>
        </w:rPr>
        <w:fldChar w:fldCharType="end"/>
      </w:r>
      <w:r w:rsidR="00EA7466" w:rsidRPr="009B3747">
        <w:rPr>
          <w:rFonts w:eastAsia="Times New Roman" w:cstheme="minorHAnsi"/>
          <w:color w:val="000000"/>
          <w:lang w:eastAsia="en-GB"/>
        </w:rPr>
        <w:t xml:space="preserve"> </w:t>
      </w:r>
      <w:r w:rsidRPr="009B3747">
        <w:rPr>
          <w:rFonts w:eastAsia="Times New Roman" w:cstheme="minorHAnsi"/>
          <w:color w:val="000000"/>
          <w:lang w:eastAsia="en-GB"/>
        </w:rPr>
        <w:t>argue that the reality is thematic analysis is conducted utilising both inductive and deductive approaches.</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t>A number of factors influenced the decision to utilise thematic analysis for analysing the data set obtained from the initial qualitative phase.  Firstly, given t</w:t>
      </w:r>
      <w:r w:rsidR="00EA7466" w:rsidRPr="009B3747">
        <w:rPr>
          <w:rFonts w:eastAsia="Times New Roman" w:cstheme="minorHAnsi"/>
          <w:color w:val="000000"/>
          <w:lang w:eastAsia="en-GB"/>
        </w:rPr>
        <w:t>he pragmatic stance</w:t>
      </w:r>
      <w:r w:rsidRPr="009B3747">
        <w:rPr>
          <w:rFonts w:eastAsia="Times New Roman" w:cstheme="minorHAnsi"/>
          <w:color w:val="000000"/>
          <w:lang w:eastAsia="en-GB"/>
        </w:rPr>
        <w:t xml:space="preserve"> adopted by the researcher, it was important to employ an analytical method that would ‘work best’ given the chosen research topic, question, design and data collection methods.  The exploratory nature of the first phase</w:t>
      </w:r>
      <w:r w:rsidR="00154224">
        <w:rPr>
          <w:rFonts w:eastAsia="Times New Roman" w:cstheme="minorHAnsi"/>
          <w:color w:val="000000"/>
          <w:lang w:eastAsia="en-GB"/>
        </w:rPr>
        <w:t>,</w:t>
      </w:r>
      <w:r w:rsidRPr="009B3747">
        <w:rPr>
          <w:rFonts w:eastAsia="Times New Roman" w:cstheme="minorHAnsi"/>
          <w:color w:val="000000"/>
          <w:lang w:eastAsia="en-GB"/>
        </w:rPr>
        <w:t xml:space="preserve"> and the necessity to utilise the qualitative findings to develop the survey meant thematic analysis was a pragmatic choice for the instrument development design</w:t>
      </w:r>
      <w:r w:rsidR="00154224">
        <w:rPr>
          <w:rFonts w:eastAsia="Times New Roman" w:cstheme="minorHAnsi"/>
          <w:color w:val="000000"/>
          <w:lang w:eastAsia="en-GB"/>
        </w:rPr>
        <w:t xml:space="preserve"> given its </w:t>
      </w:r>
      <w:r w:rsidRPr="009B3747">
        <w:rPr>
          <w:rFonts w:eastAsia="Times New Roman" w:cstheme="minorHAnsi"/>
          <w:color w:val="000000"/>
          <w:lang w:eastAsia="en-GB"/>
        </w:rPr>
        <w:t>flexibility, versatility and accessibility</w:t>
      </w:r>
      <w:r w:rsidR="00154224">
        <w:rPr>
          <w:rFonts w:eastAsia="Times New Roman" w:cstheme="minorHAnsi"/>
          <w:color w:val="000000"/>
          <w:lang w:eastAsia="en-GB"/>
        </w:rPr>
        <w:t xml:space="preserve"> </w:t>
      </w:r>
      <w:r w:rsidRPr="009B3747">
        <w:rPr>
          <w:rFonts w:eastAsia="Times New Roman" w:cstheme="minorHAnsi"/>
          <w:color w:val="000000"/>
          <w:lang w:eastAsia="en-GB"/>
        </w:rPr>
        <w:t>(Braun and Clarke, 2006).  </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lastRenderedPageBreak/>
        <w:t>Secondly, the lack of a pre-existing theoretical framework in which to analyse and interpret the qualitative data was perceived by the researcher to be of benefit.  This was due to the ability to be able to analyse from the ‘bottom up’ (Braun and Clarke, 2006), where the themes were able to be driven and derive from the content of the data (Patton, 1990), as opposed to the researcher’s theore</w:t>
      </w:r>
      <w:r w:rsidR="00990EFD" w:rsidRPr="009B3747">
        <w:rPr>
          <w:rFonts w:eastAsia="Times New Roman" w:cstheme="minorHAnsi"/>
          <w:color w:val="000000"/>
          <w:lang w:eastAsia="en-GB"/>
        </w:rPr>
        <w:t>tical interest.  Approaching analysis</w:t>
      </w:r>
      <w:r w:rsidRPr="009B3747">
        <w:rPr>
          <w:rFonts w:eastAsia="Times New Roman" w:cstheme="minorHAnsi"/>
          <w:color w:val="000000"/>
          <w:lang w:eastAsia="en-GB"/>
        </w:rPr>
        <w:t xml:space="preserve"> inductively therefore, was done with the aim of giving voice to </w:t>
      </w:r>
      <w:r w:rsidR="00990EFD" w:rsidRPr="009B3747">
        <w:rPr>
          <w:rFonts w:eastAsia="Times New Roman" w:cstheme="minorHAnsi"/>
          <w:color w:val="000000"/>
          <w:lang w:eastAsia="en-GB"/>
        </w:rPr>
        <w:t>participants’</w:t>
      </w:r>
      <w:r w:rsidRPr="009B3747">
        <w:rPr>
          <w:rFonts w:eastAsia="Times New Roman" w:cstheme="minorHAnsi"/>
          <w:color w:val="000000"/>
          <w:lang w:eastAsia="en-GB"/>
        </w:rPr>
        <w:t xml:space="preserve"> perspectives and experiences.   However, Braun and Clarke (2012), highlight that in reality, it isn’t possible to be completely free from theoreti</w:t>
      </w:r>
      <w:r w:rsidR="00EA7466" w:rsidRPr="009B3747">
        <w:rPr>
          <w:rFonts w:eastAsia="Times New Roman" w:cstheme="minorHAnsi"/>
          <w:color w:val="000000"/>
          <w:lang w:eastAsia="en-GB"/>
        </w:rPr>
        <w:t xml:space="preserve">cal commitments as </w:t>
      </w:r>
      <w:r w:rsidR="00EA7466" w:rsidRPr="009B3747">
        <w:rPr>
          <w:rFonts w:eastAsia="Times New Roman" w:cstheme="minorHAnsi"/>
          <w:i/>
          <w:color w:val="000000"/>
          <w:lang w:eastAsia="en-GB"/>
        </w:rPr>
        <w:t>“</w:t>
      </w:r>
      <w:r w:rsidRPr="009B3747">
        <w:rPr>
          <w:rFonts w:eastAsia="Times New Roman" w:cstheme="minorHAnsi"/>
          <w:i/>
          <w:color w:val="000000"/>
          <w:lang w:eastAsia="en-GB"/>
        </w:rPr>
        <w:t>we always bring somet</w:t>
      </w:r>
      <w:r w:rsidR="00EA7466" w:rsidRPr="009B3747">
        <w:rPr>
          <w:rFonts w:eastAsia="Times New Roman" w:cstheme="minorHAnsi"/>
          <w:i/>
          <w:color w:val="000000"/>
          <w:lang w:eastAsia="en-GB"/>
        </w:rPr>
        <w:t>hing to data when we analyse it”</w:t>
      </w:r>
      <w:r w:rsidRPr="009B3747">
        <w:rPr>
          <w:rFonts w:eastAsia="Times New Roman" w:cstheme="minorHAnsi"/>
          <w:i/>
          <w:color w:val="000000"/>
          <w:lang w:eastAsia="en-GB"/>
        </w:rPr>
        <w:t xml:space="preserve"> </w:t>
      </w:r>
      <w:r w:rsidRPr="009B3747">
        <w:rPr>
          <w:rFonts w:eastAsia="Times New Roman" w:cstheme="minorHAnsi"/>
          <w:color w:val="000000"/>
          <w:lang w:eastAsia="en-GB"/>
        </w:rPr>
        <w:t>(p</w:t>
      </w:r>
      <w:r w:rsidR="00E3179E" w:rsidRPr="009B3747">
        <w:rPr>
          <w:rFonts w:eastAsia="Times New Roman" w:cstheme="minorHAnsi"/>
          <w:color w:val="000000"/>
          <w:lang w:eastAsia="en-GB"/>
        </w:rPr>
        <w:t>.</w:t>
      </w:r>
      <w:r w:rsidRPr="009B3747">
        <w:rPr>
          <w:rFonts w:eastAsia="Times New Roman" w:cstheme="minorHAnsi"/>
          <w:color w:val="000000"/>
          <w:lang w:eastAsia="en-GB"/>
        </w:rPr>
        <w:t>58).  </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A07544">
      <w:pPr>
        <w:rPr>
          <w:rFonts w:eastAsia="Times New Roman" w:cstheme="minorHAnsi"/>
          <w:sz w:val="24"/>
          <w:szCs w:val="24"/>
          <w:lang w:eastAsia="en-GB"/>
        </w:rPr>
      </w:pPr>
      <w:r w:rsidRPr="009B3747">
        <w:rPr>
          <w:rFonts w:eastAsia="Times New Roman" w:cstheme="minorHAnsi"/>
          <w:color w:val="000000"/>
          <w:lang w:eastAsia="en-GB"/>
        </w:rPr>
        <w:t>Finally, criticism has been levied at thematic analysis for lacking the robustness, interpretative depth and sophistication of other analytical methods</w:t>
      </w:r>
      <w:r w:rsidR="00EA7466" w:rsidRPr="009B3747">
        <w:rPr>
          <w:rFonts w:eastAsia="Times New Roman" w:cstheme="minorHAnsi"/>
          <w:color w:val="000000"/>
          <w:lang w:eastAsia="en-GB"/>
        </w:rPr>
        <w:t xml:space="preserve"> </w:t>
      </w:r>
      <w:r w:rsidR="00EA7466" w:rsidRPr="009B3747">
        <w:rPr>
          <w:rFonts w:eastAsia="Times New Roman" w:cstheme="minorHAnsi"/>
          <w:color w:val="000000"/>
          <w:lang w:eastAsia="en-GB"/>
        </w:rPr>
        <w:fldChar w:fldCharType="begin" w:fldLock="1"/>
      </w:r>
      <w:r w:rsidR="00EA7466" w:rsidRPr="009B3747">
        <w:rPr>
          <w:rFonts w:eastAsia="Times New Roman" w:cstheme="minorHAnsi"/>
          <w:color w:val="000000"/>
          <w:lang w:eastAsia="en-GB"/>
        </w:rPr>
        <w:instrText>ADDIN CSL_CITATION { "citationItems" : [ { "id" : "ITEM-1", "itemData" : { "DOI" : "10.7748/nr2011.01.18.2.52.c8284", "ISBN" : "0203412494", "ISSN" : "1351-5578", "PMID" : "21319484", "abstract" : "Qualitative methods are invaluable for exploring the complexities of health care and patient experiences in particular. Diverse qualitative methods are available that incorporate different ontological and epistemological perspectives. One method of data management that is gaining in popularity among healthcare researchers is the framework approach. We will outline this approach, discuss its relative merits and provide a working example of its application to data management and analysis.", "author" : [ { "dropping-particle" : "", "family" : "Smith", "given" : "J", "non-dropping-particle" : "", "parse-names" : false, "suffix" : "" }, { "dropping-particle" : "", "family" : "Firth", "given" : "J", "non-dropping-particle" : "", "parse-names" : false, "suffix" : "" } ], "container-title" : "Nurse researcher", "id" : "ITEM-1", "issue" : "2", "issued" : { "date-parts" : [ [ "2011" ] ] }, "page" : "52-62", "title" : "Qualitative data analysis: the framework approach.", "type" : "article-journal", "volume" : "18" }, "uris" : [ "http://www.mendeley.com/documents/?uuid=6341979d-52c7-415f-934f-6daad5b65ca7" ] } ], "mendeley" : { "formattedCitation" : "(Smith and Firth, 2011)", "plainTextFormattedCitation" : "(Smith and Firth, 2011)", "previouslyFormattedCitation" : "(Smith and Firth, 2011)" }, "properties" : { "noteIndex" : 0 }, "schema" : "https://github.com/citation-style-language/schema/raw/master/csl-citation.json" }</w:instrText>
      </w:r>
      <w:r w:rsidR="00EA7466" w:rsidRPr="009B3747">
        <w:rPr>
          <w:rFonts w:eastAsia="Times New Roman" w:cstheme="minorHAnsi"/>
          <w:color w:val="000000"/>
          <w:lang w:eastAsia="en-GB"/>
        </w:rPr>
        <w:fldChar w:fldCharType="separate"/>
      </w:r>
      <w:r w:rsidR="00EA7466" w:rsidRPr="009B3747">
        <w:rPr>
          <w:rFonts w:eastAsia="Times New Roman" w:cstheme="minorHAnsi"/>
          <w:noProof/>
          <w:color w:val="000000"/>
          <w:lang w:eastAsia="en-GB"/>
        </w:rPr>
        <w:t>(Smith and Firth, 2011)</w:t>
      </w:r>
      <w:r w:rsidR="00EA7466" w:rsidRPr="009B3747">
        <w:rPr>
          <w:rFonts w:eastAsia="Times New Roman" w:cstheme="minorHAnsi"/>
          <w:color w:val="000000"/>
          <w:lang w:eastAsia="en-GB"/>
        </w:rPr>
        <w:fldChar w:fldCharType="end"/>
      </w:r>
      <w:r w:rsidRPr="009B3747">
        <w:rPr>
          <w:rFonts w:eastAsia="Times New Roman" w:cstheme="minorHAnsi"/>
          <w:color w:val="000000"/>
          <w:lang w:eastAsia="en-GB"/>
        </w:rPr>
        <w:t>.  This has led to questions about its suitability for qualitative doctoral research projects</w:t>
      </w:r>
      <w:r w:rsidR="00EA7466" w:rsidRPr="009B3747">
        <w:rPr>
          <w:rFonts w:eastAsia="Times New Roman" w:cstheme="minorHAnsi"/>
          <w:color w:val="000000"/>
          <w:lang w:eastAsia="en-GB"/>
        </w:rPr>
        <w:t xml:space="preserve"> </w:t>
      </w:r>
      <w:r w:rsidR="00EA7466"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"DOI" : "10.3402/qhw.v9.26152", "ISBN" : "1748-2623\\r1748-2631", "ISSN" : "17482631", "PMID" : "25326092", "abstract" : "The field of health and wellbeing scholarship has a strong tradition of qualitative research*and rightly so. Qualitative research offers rich and compelling insights into the real worlds, experiences, and perspectives of patients and health care professionals in ways that are completely different to, but also sometimes complimentary to, the knowledge we can obtain through quantitative methods. (Published: 16 October 2014) Citation: Int J Qualitative Stud Health Well-being 2014, 9 : 26152 - http://dx.doi.org/10.3402/qhw.v9.26152", "author" : [ { "dropping-particle" : "", "family" : "Braun", "given" : "Virginia", "non-dropping-particle" : "", "parse-names" : false, "suffix" : "" }, { "dropping-particle" : "", "family" : "Clarke", "given" : "Victoria", "non-dropping-particle" : "", "parse-names" : false, "suffix" : "" } ], "container-title" : "International Journal of Qualitative Studies on Health and Well-being", "id" : "ITEM-1", "issued" : { "date-parts" : [ [ "2014" ] ] }, "page" : "26152", "publisher" : "Taylor &amp; Francis", "title" : "What can \"thematic analysis\" offer health and wellbeing researchers?", "type" : "article-journal", "volume" : "9" }, "uris" : [ "http://www.mendeley.com/documents/?uuid=71f74069-b028-3301-8eab-c85e511f522e" ] } ], "mendeley" : { "formattedCitation" : "(Braun and Clarke, 2014)", "plainTextFormattedCitation" : "(Braun and Clarke, 2014)", "previouslyFormattedCitation" : "(Braun and Clarke, 2014)" }, "properties" : { "noteIndex" : 0 }, "schema" : "https://github.com/citation-style-language/schema/raw/master/csl-citation.json" }</w:instrText>
      </w:r>
      <w:r w:rsidR="00EA7466" w:rsidRPr="009B3747">
        <w:rPr>
          <w:rFonts w:eastAsia="Times New Roman" w:cstheme="minorHAnsi"/>
          <w:color w:val="000000"/>
          <w:lang w:eastAsia="en-GB"/>
        </w:rPr>
        <w:fldChar w:fldCharType="separate"/>
      </w:r>
      <w:r w:rsidR="00EA7466" w:rsidRPr="009B3747">
        <w:rPr>
          <w:rFonts w:eastAsia="Times New Roman" w:cstheme="minorHAnsi"/>
          <w:noProof/>
          <w:color w:val="000000"/>
          <w:lang w:eastAsia="en-GB"/>
        </w:rPr>
        <w:t>(Braun and Clarke, 2014)</w:t>
      </w:r>
      <w:r w:rsidR="00EA7466" w:rsidRPr="009B3747">
        <w:rPr>
          <w:rFonts w:eastAsia="Times New Roman" w:cstheme="minorHAnsi"/>
          <w:color w:val="000000"/>
          <w:lang w:eastAsia="en-GB"/>
        </w:rPr>
        <w:fldChar w:fldCharType="end"/>
      </w:r>
      <w:r w:rsidRPr="009B3747">
        <w:rPr>
          <w:rFonts w:eastAsia="Times New Roman" w:cstheme="minorHAnsi"/>
          <w:color w:val="000000"/>
          <w:lang w:eastAsia="en-GB"/>
        </w:rPr>
        <w:t>.  </w:t>
      </w:r>
      <w:r w:rsidRPr="009B3747">
        <w:rPr>
          <w:rFonts w:eastAsia="Times New Roman" w:cstheme="minorHAnsi"/>
          <w:color w:val="000000"/>
          <w:shd w:val="clear" w:color="auto" w:fill="FFFFFF"/>
          <w:lang w:eastAsia="en-GB"/>
        </w:rPr>
        <w:t>These views were disregarded g</w:t>
      </w:r>
      <w:r w:rsidRPr="009B3747">
        <w:rPr>
          <w:rFonts w:eastAsia="Times New Roman" w:cstheme="minorHAnsi"/>
          <w:color w:val="000000"/>
          <w:lang w:eastAsia="en-GB"/>
        </w:rPr>
        <w:t>iven that thematic analysis was used within one phase of a wider mixed methods research design and that a widely advocated, systematic and intricate step-by-step process was to be followed (Braun and Clarke, 2006).  Furthermore, as a PhD researcher with limited practical experience, it was felt employing thematic analysis under the guidance of experienced academic supervisors would assist the r</w:t>
      </w:r>
      <w:r w:rsidR="00EA7466" w:rsidRPr="009B3747">
        <w:rPr>
          <w:rFonts w:eastAsia="Times New Roman" w:cstheme="minorHAnsi"/>
          <w:color w:val="000000"/>
          <w:lang w:eastAsia="en-GB"/>
        </w:rPr>
        <w:t>esearcher in learning valuable</w:t>
      </w:r>
      <w:r w:rsidR="00EA7466" w:rsidRPr="009B3747">
        <w:rPr>
          <w:rFonts w:eastAsia="Times New Roman" w:cstheme="minorHAnsi"/>
          <w:i/>
          <w:color w:val="000000"/>
          <w:lang w:eastAsia="en-GB"/>
        </w:rPr>
        <w:t xml:space="preserve"> “</w:t>
      </w:r>
      <w:r w:rsidRPr="009B3747">
        <w:rPr>
          <w:rFonts w:eastAsia="Times New Roman" w:cstheme="minorHAnsi"/>
          <w:i/>
          <w:color w:val="000000"/>
          <w:lang w:eastAsia="en-GB"/>
        </w:rPr>
        <w:t>core skills that will be useful for conducting many othe</w:t>
      </w:r>
      <w:r w:rsidR="00EA7466" w:rsidRPr="009B3747">
        <w:rPr>
          <w:rFonts w:eastAsia="Times New Roman" w:cstheme="minorHAnsi"/>
          <w:i/>
          <w:color w:val="000000"/>
          <w:lang w:eastAsia="en-GB"/>
        </w:rPr>
        <w:t>r forms of qualitative analysis”</w:t>
      </w:r>
      <w:r w:rsidRPr="009B3747">
        <w:rPr>
          <w:rFonts w:eastAsia="Times New Roman" w:cstheme="minorHAnsi"/>
          <w:i/>
          <w:color w:val="000000"/>
          <w:lang w:eastAsia="en-GB"/>
        </w:rPr>
        <w:t xml:space="preserve"> </w:t>
      </w:r>
      <w:r w:rsidRPr="009B3747">
        <w:rPr>
          <w:rFonts w:eastAsia="Times New Roman" w:cstheme="minorHAnsi"/>
          <w:color w:val="000000"/>
          <w:lang w:eastAsia="en-GB"/>
        </w:rPr>
        <w:t>(Braun and Clarke, 2006, p</w:t>
      </w:r>
      <w:r w:rsidR="00E3179E" w:rsidRPr="009B3747">
        <w:rPr>
          <w:rFonts w:eastAsia="Times New Roman" w:cstheme="minorHAnsi"/>
          <w:color w:val="000000"/>
          <w:lang w:eastAsia="en-GB"/>
        </w:rPr>
        <w:t>.</w:t>
      </w:r>
      <w:r w:rsidRPr="009B3747">
        <w:rPr>
          <w:rFonts w:eastAsia="Times New Roman" w:cstheme="minorHAnsi"/>
          <w:color w:val="000000"/>
          <w:lang w:eastAsia="en-GB"/>
        </w:rPr>
        <w:t>78) and therefore be of great use in progressing within an academic career.</w:t>
      </w:r>
    </w:p>
    <w:p w:rsidR="00510940" w:rsidRPr="009B3747" w:rsidRDefault="00510940" w:rsidP="00A07544">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782EBA" w:rsidP="00A07544">
      <w:pPr>
        <w:rPr>
          <w:rFonts w:eastAsia="Times New Roman" w:cstheme="minorHAnsi"/>
          <w:sz w:val="24"/>
          <w:szCs w:val="24"/>
          <w:u w:val="single"/>
          <w:lang w:eastAsia="en-GB"/>
        </w:rPr>
      </w:pPr>
      <w:r w:rsidRPr="009B3747">
        <w:rPr>
          <w:rFonts w:eastAsia="Times New Roman" w:cstheme="minorHAnsi"/>
          <w:bCs/>
          <w:color w:val="000000"/>
          <w:u w:val="single"/>
          <w:lang w:eastAsia="en-GB"/>
        </w:rPr>
        <w:t>5</w:t>
      </w:r>
      <w:r w:rsidR="00CA766F" w:rsidRPr="009B3747">
        <w:rPr>
          <w:rFonts w:eastAsia="Times New Roman" w:cstheme="minorHAnsi"/>
          <w:bCs/>
          <w:color w:val="000000"/>
          <w:u w:val="single"/>
          <w:lang w:eastAsia="en-GB"/>
        </w:rPr>
        <w:t>.5</w:t>
      </w:r>
      <w:r w:rsidR="00CF32DA" w:rsidRPr="009B3747">
        <w:rPr>
          <w:rFonts w:eastAsia="Times New Roman" w:cstheme="minorHAnsi"/>
          <w:bCs/>
          <w:color w:val="000000"/>
          <w:u w:val="single"/>
          <w:lang w:eastAsia="en-GB"/>
        </w:rPr>
        <w:t xml:space="preserve">.2 </w:t>
      </w:r>
      <w:r w:rsidR="00510940" w:rsidRPr="009B3747">
        <w:rPr>
          <w:rFonts w:eastAsia="Times New Roman" w:cstheme="minorHAnsi"/>
          <w:bCs/>
          <w:color w:val="000000"/>
          <w:u w:val="single"/>
          <w:lang w:eastAsia="en-GB"/>
        </w:rPr>
        <w:t>Thematic analysis - step by step</w:t>
      </w:r>
    </w:p>
    <w:p w:rsidR="00510940" w:rsidRPr="009B3747" w:rsidRDefault="00510940" w:rsidP="00A07544">
      <w:pPr>
        <w:rPr>
          <w:rFonts w:eastAsia="Times New Roman" w:cstheme="minorHAnsi"/>
          <w:sz w:val="24"/>
          <w:szCs w:val="24"/>
          <w:lang w:eastAsia="en-GB"/>
        </w:rPr>
      </w:pPr>
      <w:r w:rsidRPr="009B3747">
        <w:rPr>
          <w:rFonts w:eastAsia="Times New Roman" w:cstheme="minorHAnsi"/>
          <w:sz w:val="24"/>
          <w:szCs w:val="24"/>
          <w:lang w:eastAsia="en-GB"/>
        </w:rPr>
        <w:t> </w:t>
      </w:r>
    </w:p>
    <w:p w:rsidR="00B20775" w:rsidRPr="009B3747" w:rsidRDefault="00510940" w:rsidP="00A07544">
      <w:pPr>
        <w:rPr>
          <w:rFonts w:eastAsia="Times New Roman" w:cstheme="minorHAnsi"/>
          <w:color w:val="000000"/>
          <w:lang w:eastAsia="en-GB"/>
        </w:rPr>
      </w:pPr>
      <w:r w:rsidRPr="009B3747">
        <w:rPr>
          <w:rFonts w:eastAsia="Times New Roman" w:cstheme="minorHAnsi"/>
          <w:color w:val="000000"/>
          <w:lang w:eastAsia="en-GB"/>
        </w:rPr>
        <w:t>The thematic analysis was guided by Braun and Clarke’s (2006) s</w:t>
      </w:r>
      <w:r w:rsidR="00CF32DA" w:rsidRPr="009B3747">
        <w:rPr>
          <w:rFonts w:eastAsia="Times New Roman" w:cstheme="minorHAnsi"/>
          <w:color w:val="000000"/>
          <w:lang w:eastAsia="en-GB"/>
        </w:rPr>
        <w:t>ix phase process (See Figure 5</w:t>
      </w:r>
      <w:r w:rsidR="00EC4081" w:rsidRPr="009B3747">
        <w:rPr>
          <w:rFonts w:eastAsia="Times New Roman" w:cstheme="minorHAnsi"/>
          <w:color w:val="000000"/>
          <w:lang w:eastAsia="en-GB"/>
        </w:rPr>
        <w:t>.1</w:t>
      </w:r>
      <w:r w:rsidR="00B20775" w:rsidRPr="009B3747">
        <w:rPr>
          <w:rFonts w:eastAsia="Times New Roman" w:cstheme="minorHAnsi"/>
          <w:color w:val="000000"/>
          <w:lang w:eastAsia="en-GB"/>
        </w:rPr>
        <w:t xml:space="preserve"> below</w:t>
      </w:r>
      <w:r w:rsidRPr="009B3747">
        <w:rPr>
          <w:rFonts w:eastAsia="Times New Roman" w:cstheme="minorHAnsi"/>
          <w:color w:val="000000"/>
          <w:lang w:eastAsia="en-GB"/>
        </w:rPr>
        <w:t>).  Whilst visually displayed as a sequential step by step approach (i.e. short arrows), the non-linear nature of thematic analysis as discussed within the below reflections, required each phase to be visited and revisited frequently (indicated by</w:t>
      </w:r>
      <w:r w:rsidR="00CF32DA" w:rsidRPr="009B3747">
        <w:rPr>
          <w:rFonts w:eastAsia="Times New Roman" w:cstheme="minorHAnsi"/>
          <w:color w:val="000000"/>
          <w:lang w:eastAsia="en-GB"/>
        </w:rPr>
        <w:t xml:space="preserve"> a single long arrow).</w:t>
      </w:r>
    </w:p>
    <w:p w:rsidR="00B20775" w:rsidRPr="009B3747" w:rsidRDefault="00B20775" w:rsidP="00A07544">
      <w:pPr>
        <w:rPr>
          <w:rFonts w:eastAsia="Times New Roman" w:cstheme="minorHAnsi"/>
          <w:color w:val="000000"/>
          <w:lang w:eastAsia="en-GB"/>
        </w:rPr>
      </w:pPr>
    </w:p>
    <w:p w:rsidR="00B20775" w:rsidRPr="009B3747" w:rsidRDefault="00B20775" w:rsidP="00B20775">
      <w:pPr>
        <w:rPr>
          <w:rFonts w:eastAsia="Times New Roman" w:cstheme="minorHAnsi"/>
          <w:sz w:val="24"/>
          <w:szCs w:val="24"/>
          <w:lang w:eastAsia="en-GB"/>
        </w:rPr>
      </w:pPr>
      <w:r w:rsidRPr="009B3747">
        <w:rPr>
          <w:rFonts w:eastAsia="Times New Roman" w:cstheme="minorHAnsi"/>
          <w:i/>
          <w:iCs/>
          <w:color w:val="000000"/>
          <w:lang w:eastAsia="en-GB"/>
        </w:rPr>
        <w:t>Phase 1: Data familiarisation</w:t>
      </w:r>
    </w:p>
    <w:p w:rsidR="00B20775" w:rsidRPr="009B3747" w:rsidRDefault="00B20775" w:rsidP="00B20775">
      <w:pPr>
        <w:rPr>
          <w:rFonts w:eastAsia="Times New Roman" w:cstheme="minorHAnsi"/>
          <w:sz w:val="24"/>
          <w:szCs w:val="24"/>
          <w:lang w:eastAsia="en-GB"/>
        </w:rPr>
      </w:pPr>
      <w:r w:rsidRPr="009B3747">
        <w:rPr>
          <w:rFonts w:eastAsia="Times New Roman" w:cstheme="minorHAnsi"/>
          <w:sz w:val="24"/>
          <w:szCs w:val="24"/>
          <w:lang w:eastAsia="en-GB"/>
        </w:rPr>
        <w:t> </w:t>
      </w:r>
    </w:p>
    <w:p w:rsidR="00B20775" w:rsidRPr="009B3747" w:rsidRDefault="00B20775" w:rsidP="00B20775">
      <w:pPr>
        <w:rPr>
          <w:rFonts w:eastAsia="Times New Roman" w:cstheme="minorHAnsi"/>
          <w:color w:val="000000"/>
          <w:lang w:eastAsia="en-GB"/>
        </w:rPr>
      </w:pPr>
      <w:r w:rsidRPr="009B3747">
        <w:rPr>
          <w:rFonts w:eastAsia="Times New Roman" w:cstheme="minorHAnsi"/>
          <w:color w:val="000000"/>
          <w:lang w:eastAsia="en-GB"/>
        </w:rPr>
        <w:t xml:space="preserve">Familiarisation with the data began from the commencement of data collection.  As discussed previously, and as recommended </w:t>
      </w:r>
      <w:r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"DOI" : "10.1071/HE09133", "ISBN" : "10361073", "ISSN" : "1036-1073", "PMID" : "19642962", "abstract" : "Qualitative inquiry requires that collected data is organised in a meaningful way, and this is referred to as data analysis. Through analytic processes, researchers turn what can be voluminous data into understandable and insightful analysis. This paper sets out the different approaches that qualitative researchers can use to make sense of their data including thematic analysis, narrative analysis, discourse analysis and semiotic analysis and discusses the ways that qualitative researchers can analyse their data. I first discuss salient issues in performing qualitative data analysis, and then proceed to provide some suggestions on different methods of data analysis in qualitative research. Finally, I provide some discussion on the use of computer-assisted data analysis.", "author" : [ { "dropping-particle" : "", "family" : "Liamputtong", "given" : "Pranee", "non-dropping-particle" : "", "parse-names" : false, "suffix" : "" } ], "container-title" : "Health Promotion Journal of Australia", "id" : "ITEM-1", "issue" : "2", "issued" : { "date-parts" : [ [ "2009" ] ] }, "page" : "133-139", "title" : "Qualitative data analysis: Conceptual and practical considerations.", "type" : "article-journal", "volume" : "20" }, "uris" : [ "http://www.mendeley.com/documents/?uuid=c82785da-ddf5-45a2-bc71-f429a03d7b2f" ] }, { "id" : "ITEM-2",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"Bryman", "given" : "Alan", "non-dropping-particle" : "", "parse-names" : false, "suffix" : "" } ], "edition" : "5th", "id" : "ITEM-2", "issued" : { "date-parts" : [ [ "2016" ] ] }, "publisher" : "Open University Press", "publisher-place" : "Oxford", "title" : "Social research methods Bryman", "type" : "book" }, "uris" : [ "http://www.mendeley.com/documents/?uuid=0692fe00-046b-4dd5-8926-ccb7f7ef6057" ] } ], "mendeley" : { "formattedCitation" : "(Liamputtong, 2009; Bryman, 2016)", "plainTextFormattedCitation" : "(Liamputtong, 2009; Bryman, 2016)", "previouslyFormattedCitation" : "(Liamputtong, 2009; Bryman, 2016)" }, "properties" : { "noteIndex" : 0 }, "schema" : "https://github.com/citation-style-language/schema/raw/master/csl-citation.json" }</w:instrText>
      </w:r>
      <w:r w:rsidRPr="009B3747">
        <w:rPr>
          <w:rFonts w:eastAsia="Times New Roman" w:cstheme="minorHAnsi"/>
          <w:color w:val="000000"/>
          <w:lang w:eastAsia="en-GB"/>
        </w:rPr>
        <w:fldChar w:fldCharType="separate"/>
      </w:r>
      <w:r w:rsidRPr="009B3747">
        <w:rPr>
          <w:rFonts w:eastAsia="Times New Roman" w:cstheme="minorHAnsi"/>
          <w:noProof/>
          <w:color w:val="000000"/>
          <w:lang w:eastAsia="en-GB"/>
        </w:rPr>
        <w:t>(Liamputtong, 2009; Bryman, 2016)</w:t>
      </w:r>
      <w:r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the data analysis process started concurrently with data collection, with initial interests arising as a result of even the first pilot interview noted and reflected upon.  After completing each interview, the respective audio recording was transcribed usually within two to five days.  Each transcript was meticulously read and </w:t>
      </w:r>
      <w:r w:rsidRPr="009B3747">
        <w:rPr>
          <w:rFonts w:eastAsia="Times New Roman" w:cstheme="minorHAnsi"/>
          <w:color w:val="000000"/>
          <w:lang w:eastAsia="en-GB"/>
        </w:rPr>
        <w:lastRenderedPageBreak/>
        <w:t xml:space="preserve">compared to the audio recording in order to check for accuracy.  Having undertaken and transcribed all 22 interviews verbatim, the researcher was able to ‘immerse’ herself in the data by gaining familiarity of the </w:t>
      </w:r>
      <w:r w:rsidRPr="009B3747">
        <w:rPr>
          <w:rFonts w:eastAsia="Times New Roman" w:cstheme="minorHAnsi"/>
          <w:i/>
          <w:color w:val="000000"/>
          <w:lang w:eastAsia="en-GB"/>
        </w:rPr>
        <w:t>“depth and breadth of the content”</w:t>
      </w:r>
      <w:r w:rsidRPr="009B3747">
        <w:rPr>
          <w:rFonts w:eastAsia="Times New Roman" w:cstheme="minorHAnsi"/>
          <w:color w:val="000000"/>
          <w:lang w:eastAsia="en-GB"/>
        </w:rPr>
        <w:t xml:space="preserve"> (Braun and Clarke, 2006, p</w:t>
      </w:r>
      <w:r w:rsidR="00E3179E" w:rsidRPr="009B3747">
        <w:rPr>
          <w:rFonts w:eastAsia="Times New Roman" w:cstheme="minorHAnsi"/>
          <w:color w:val="000000"/>
          <w:lang w:eastAsia="en-GB"/>
        </w:rPr>
        <w:t>.</w:t>
      </w:r>
      <w:r w:rsidRPr="009B3747">
        <w:rPr>
          <w:rFonts w:eastAsia="Times New Roman" w:cstheme="minorHAnsi"/>
          <w:color w:val="000000"/>
          <w:lang w:eastAsia="en-GB"/>
        </w:rPr>
        <w:t>87).</w:t>
      </w:r>
      <w:r w:rsidR="00CF32DA" w:rsidRPr="009B3747">
        <w:rPr>
          <w:rFonts w:eastAsia="Times New Roman" w:cstheme="minorHAnsi"/>
          <w:color w:val="000000"/>
          <w:lang w:eastAsia="en-GB"/>
        </w:rPr>
        <w:br/>
      </w:r>
    </w:p>
    <w:p w:rsidR="00B20775" w:rsidRPr="009B3747" w:rsidRDefault="00B20775" w:rsidP="00B20775">
      <w:pPr>
        <w:rPr>
          <w:rFonts w:eastAsia="Times New Roman" w:cstheme="minorHAnsi"/>
          <w:sz w:val="24"/>
          <w:szCs w:val="24"/>
          <w:lang w:eastAsia="en-GB"/>
        </w:rPr>
      </w:pPr>
      <w:r w:rsidRPr="009B3747">
        <w:rPr>
          <w:rFonts w:eastAsia="Times New Roman" w:cstheme="minorHAnsi"/>
          <w:color w:val="000000"/>
          <w:lang w:eastAsia="en-GB"/>
        </w:rPr>
        <w:t xml:space="preserve">Whilst time consuming (four to six hours of transcribing per hour of recorded interview), this process along with reading and re-reading each transcript during the continued data collection, proved to be an extremely worthwhile in enabling the researcher to interactively identify early patterns in the data. </w:t>
      </w:r>
    </w:p>
    <w:p w:rsidR="009C60B5" w:rsidRPr="009B3747" w:rsidRDefault="00B20775" w:rsidP="00B20775">
      <w:pPr>
        <w:rPr>
          <w:rFonts w:eastAsia="Times New Roman" w:cstheme="minorHAnsi"/>
          <w:color w:val="000000"/>
          <w:lang w:eastAsia="en-GB"/>
        </w:rPr>
      </w:pPr>
      <w:r w:rsidRPr="009B3747">
        <w:rPr>
          <w:rFonts w:eastAsia="Times New Roman" w:cstheme="minorHAnsi"/>
          <w:noProof/>
          <w:color w:val="000000"/>
          <w:lang w:eastAsia="en-GB"/>
        </w:rPr>
        <mc:AlternateContent>
          <mc:Choice Requires="wpg">
            <w:drawing>
              <wp:anchor distT="0" distB="0" distL="114300" distR="114300" simplePos="0" relativeHeight="251660288" behindDoc="0" locked="0" layoutInCell="1" allowOverlap="1" wp14:anchorId="10B74CDC" wp14:editId="630C47FF">
                <wp:simplePos x="0" y="0"/>
                <wp:positionH relativeFrom="column">
                  <wp:posOffset>66675</wp:posOffset>
                </wp:positionH>
                <wp:positionV relativeFrom="paragraph">
                  <wp:posOffset>329565</wp:posOffset>
                </wp:positionV>
                <wp:extent cx="5295900" cy="5590540"/>
                <wp:effectExtent l="133350" t="0" r="133350" b="10160"/>
                <wp:wrapNone/>
                <wp:docPr id="17" name="Group 17"/>
                <wp:cNvGraphicFramePr/>
                <a:graphic xmlns:a="http://schemas.openxmlformats.org/drawingml/2006/main">
                  <a:graphicData uri="http://schemas.microsoft.com/office/word/2010/wordprocessingGroup">
                    <wpg:wgp>
                      <wpg:cNvGrpSpPr/>
                      <wpg:grpSpPr>
                        <a:xfrm>
                          <a:off x="0" y="0"/>
                          <a:ext cx="5295900" cy="5590540"/>
                          <a:chOff x="0" y="-1"/>
                          <a:chExt cx="4960700" cy="6734044"/>
                        </a:xfrm>
                      </wpg:grpSpPr>
                      <wps:wsp>
                        <wps:cNvPr id="19" name="Rounded Rectangle 20"/>
                        <wps:cNvSpPr>
                          <a:spLocks noChangeArrowheads="1"/>
                        </wps:cNvSpPr>
                        <wps:spPr bwMode="auto">
                          <a:xfrm>
                            <a:off x="359505" y="-1"/>
                            <a:ext cx="4466754" cy="929335"/>
                          </a:xfrm>
                          <a:prstGeom prst="roundRect">
                            <a:avLst>
                              <a:gd name="adj" fmla="val 16667"/>
                            </a:avLst>
                          </a:prstGeom>
                          <a:solidFill>
                            <a:srgbClr val="FFFFFF"/>
                          </a:solidFill>
                          <a:ln w="25400">
                            <a:solidFill>
                              <a:srgbClr val="4F81BD"/>
                            </a:solidFill>
                            <a:round/>
                            <a:headEnd/>
                            <a:tailEnd/>
                          </a:ln>
                        </wps:spPr>
                        <wps:txbx>
                          <w:txbxContent>
                            <w:p w:rsidR="00071EBF" w:rsidRPr="009C60B5" w:rsidRDefault="00071EBF" w:rsidP="009C60B5">
                              <w:pPr>
                                <w:jc w:val="center"/>
                                <w:rPr>
                                  <w:b/>
                                  <w:sz w:val="20"/>
                                  <w:szCs w:val="20"/>
                                </w:rPr>
                              </w:pPr>
                              <w:r w:rsidRPr="009C60B5">
                                <w:rPr>
                                  <w:b/>
                                  <w:sz w:val="20"/>
                                  <w:szCs w:val="20"/>
                                </w:rPr>
                                <w:t>1. Becoming familiar with the data</w:t>
                              </w:r>
                            </w:p>
                            <w:p w:rsidR="00071EBF" w:rsidRPr="009C60B5" w:rsidRDefault="00071EBF" w:rsidP="009C60B5">
                              <w:pPr>
                                <w:pStyle w:val="BodyText2"/>
                                <w:spacing w:line="276" w:lineRule="auto"/>
                                <w:jc w:val="center"/>
                                <w:rPr>
                                  <w:sz w:val="18"/>
                                  <w:szCs w:val="18"/>
                                </w:rPr>
                              </w:pPr>
                              <w:r w:rsidRPr="009C60B5">
                                <w:rPr>
                                  <w:sz w:val="18"/>
                                  <w:szCs w:val="18"/>
                                </w:rPr>
                                <w:t>Interview transcripts and interviewer notes to be read and re-read multiple times during the process of data collection and at the end</w:t>
                              </w:r>
                            </w:p>
                            <w:p w:rsidR="00071EBF" w:rsidRPr="00FD1CC0" w:rsidRDefault="00071EBF" w:rsidP="009C60B5">
                              <w:pPr>
                                <w:rPr>
                                  <w:sz w:val="20"/>
                                  <w:szCs w:val="20"/>
                                </w:rPr>
                              </w:pPr>
                            </w:p>
                          </w:txbxContent>
                        </wps:txbx>
                        <wps:bodyPr rot="0" vert="horz" wrap="square" lIns="91440" tIns="45720" rIns="91440" bIns="45720" anchor="ctr" anchorCtr="0" upright="1">
                          <a:noAutofit/>
                        </wps:bodyPr>
                      </wps:wsp>
                      <wps:wsp>
                        <wps:cNvPr id="20" name="Rounded Rectangle 20"/>
                        <wps:cNvSpPr>
                          <a:spLocks/>
                        </wps:cNvSpPr>
                        <wps:spPr>
                          <a:xfrm>
                            <a:off x="359507" y="1155545"/>
                            <a:ext cx="4466907" cy="847366"/>
                          </a:xfrm>
                          <a:prstGeom prst="roundRect">
                            <a:avLst/>
                          </a:prstGeom>
                          <a:solidFill>
                            <a:sysClr val="window" lastClr="FFFFFF"/>
                          </a:solidFill>
                          <a:ln w="25400" cap="flat" cmpd="sng" algn="ctr">
                            <a:solidFill>
                              <a:srgbClr val="4F81BD"/>
                            </a:solidFill>
                            <a:prstDash val="solid"/>
                          </a:ln>
                          <a:effectLst/>
                        </wps:spPr>
                        <wps:txbx>
                          <w:txbxContent>
                            <w:p w:rsidR="00071EBF" w:rsidRPr="009C60B5" w:rsidRDefault="00071EBF" w:rsidP="009C60B5">
                              <w:pPr>
                                <w:spacing w:line="240" w:lineRule="auto"/>
                                <w:jc w:val="center"/>
                                <w:rPr>
                                  <w:b/>
                                  <w:sz w:val="20"/>
                                  <w:szCs w:val="20"/>
                                </w:rPr>
                              </w:pPr>
                              <w:r w:rsidRPr="009C60B5">
                                <w:rPr>
                                  <w:b/>
                                  <w:sz w:val="20"/>
                                  <w:szCs w:val="20"/>
                                </w:rPr>
                                <w:t>2. Generating initial codes</w:t>
                              </w:r>
                            </w:p>
                            <w:p w:rsidR="00071EBF" w:rsidRPr="009C60B5" w:rsidRDefault="00071EBF" w:rsidP="009C60B5">
                              <w:pPr>
                                <w:spacing w:line="240" w:lineRule="auto"/>
                                <w:jc w:val="center"/>
                                <w:rPr>
                                  <w:b/>
                                  <w:sz w:val="18"/>
                                  <w:szCs w:val="18"/>
                                </w:rPr>
                              </w:pPr>
                              <w:r w:rsidRPr="009C60B5">
                                <w:rPr>
                                  <w:sz w:val="18"/>
                                  <w:szCs w:val="18"/>
                                </w:rPr>
                                <w:t>Input int</w:t>
                              </w:r>
                              <w:r>
                                <w:rPr>
                                  <w:sz w:val="18"/>
                                  <w:szCs w:val="18"/>
                                </w:rPr>
                                <w:t>erview transcripts into NVIVO 11</w:t>
                              </w:r>
                              <w:r w:rsidRPr="009C60B5">
                                <w:rPr>
                                  <w:sz w:val="18"/>
                                  <w:szCs w:val="18"/>
                                </w:rPr>
                                <w:t xml:space="preserve"> (a software programme specifically designed to manage qualitative data)</w:t>
                              </w:r>
                            </w:p>
                            <w:p w:rsidR="00071EBF" w:rsidRPr="00774047" w:rsidRDefault="00071EBF" w:rsidP="009C60B5">
                              <w:pPr>
                                <w:pStyle w:val="BodyText2"/>
                                <w:spacing w:line="276" w:lineRule="auto"/>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ounded Rectangle 23"/>
                        <wps:cNvSpPr>
                          <a:spLocks/>
                        </wps:cNvSpPr>
                        <wps:spPr>
                          <a:xfrm>
                            <a:off x="359494" y="2291978"/>
                            <a:ext cx="4466918" cy="971483"/>
                          </a:xfrm>
                          <a:prstGeom prst="roundRect">
                            <a:avLst/>
                          </a:prstGeom>
                          <a:solidFill>
                            <a:sysClr val="window" lastClr="FFFFFF"/>
                          </a:solidFill>
                          <a:ln w="25400" cap="flat" cmpd="sng" algn="ctr">
                            <a:solidFill>
                              <a:srgbClr val="4F81BD"/>
                            </a:solidFill>
                            <a:prstDash val="solid"/>
                          </a:ln>
                          <a:effectLst/>
                        </wps:spPr>
                        <wps:txbx>
                          <w:txbxContent>
                            <w:p w:rsidR="00071EBF" w:rsidRPr="009C60B5" w:rsidRDefault="00071EBF" w:rsidP="009C60B5">
                              <w:pPr>
                                <w:keepNext/>
                                <w:autoSpaceDE w:val="0"/>
                                <w:autoSpaceDN w:val="0"/>
                                <w:adjustRightInd w:val="0"/>
                                <w:jc w:val="center"/>
                                <w:rPr>
                                  <w:rFonts w:eastAsia="Times New Roman" w:cstheme="minorHAnsi"/>
                                  <w:b/>
                                  <w:sz w:val="20"/>
                                  <w:szCs w:val="20"/>
                                </w:rPr>
                              </w:pPr>
                              <w:r w:rsidRPr="009C60B5">
                                <w:rPr>
                                  <w:rFonts w:eastAsia="Times New Roman" w:cstheme="minorHAnsi"/>
                                  <w:b/>
                                  <w:sz w:val="20"/>
                                  <w:szCs w:val="20"/>
                                </w:rPr>
                                <w:t>3. Searching for themes</w:t>
                              </w:r>
                            </w:p>
                            <w:p w:rsidR="00071EBF" w:rsidRPr="00C10942" w:rsidRDefault="00071EBF" w:rsidP="009C60B5">
                              <w:pPr>
                                <w:keepNext/>
                                <w:autoSpaceDE w:val="0"/>
                                <w:autoSpaceDN w:val="0"/>
                                <w:adjustRightInd w:val="0"/>
                                <w:jc w:val="center"/>
                                <w:rPr>
                                  <w:rFonts w:eastAsia="Times New Roman" w:cstheme="minorHAnsi"/>
                                  <w:b/>
                                  <w:sz w:val="20"/>
                                  <w:szCs w:val="20"/>
                                </w:rPr>
                              </w:pPr>
                            </w:p>
                            <w:p w:rsidR="00071EBF" w:rsidRPr="009C60B5" w:rsidRDefault="00071EBF" w:rsidP="009C60B5">
                              <w:pPr>
                                <w:keepNext/>
                                <w:autoSpaceDE w:val="0"/>
                                <w:autoSpaceDN w:val="0"/>
                                <w:adjustRightInd w:val="0"/>
                                <w:jc w:val="center"/>
                                <w:rPr>
                                  <w:rFonts w:eastAsia="Times New Roman" w:cstheme="minorHAnsi"/>
                                  <w:sz w:val="18"/>
                                  <w:szCs w:val="18"/>
                                </w:rPr>
                              </w:pPr>
                              <w:r w:rsidRPr="009C60B5">
                                <w:rPr>
                                  <w:rFonts w:eastAsia="Times New Roman" w:cstheme="minorHAnsi"/>
                                  <w:sz w:val="18"/>
                                  <w:szCs w:val="18"/>
                                </w:rPr>
                                <w:t xml:space="preserve">List of codes are sorted and organised into potential themes using a mindmap to provide a visual representation </w:t>
                              </w:r>
                            </w:p>
                            <w:p w:rsidR="00071EBF" w:rsidRPr="009C60B5" w:rsidRDefault="00071EBF" w:rsidP="009C60B5">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le 24"/>
                        <wps:cNvSpPr>
                          <a:spLocks/>
                        </wps:cNvSpPr>
                        <wps:spPr>
                          <a:xfrm>
                            <a:off x="359506" y="3444743"/>
                            <a:ext cx="4467060" cy="1050240"/>
                          </a:xfrm>
                          <a:prstGeom prst="roundRect">
                            <a:avLst/>
                          </a:prstGeom>
                          <a:solidFill>
                            <a:sysClr val="window" lastClr="FFFFFF"/>
                          </a:solidFill>
                          <a:ln w="25400" cap="flat" cmpd="sng" algn="ctr">
                            <a:solidFill>
                              <a:srgbClr val="4F81BD"/>
                            </a:solidFill>
                            <a:prstDash val="solid"/>
                          </a:ln>
                          <a:effectLst/>
                        </wps:spPr>
                        <wps:txbx>
                          <w:txbxContent>
                            <w:p w:rsidR="00071EBF" w:rsidRPr="008D2E71" w:rsidRDefault="00071EBF" w:rsidP="009C60B5">
                              <w:pPr>
                                <w:keepNext/>
                                <w:autoSpaceDE w:val="0"/>
                                <w:autoSpaceDN w:val="0"/>
                                <w:adjustRightInd w:val="0"/>
                                <w:jc w:val="center"/>
                                <w:rPr>
                                  <w:rFonts w:eastAsia="Times New Roman" w:cstheme="minorHAnsi"/>
                                  <w:b/>
                                  <w:sz w:val="20"/>
                                  <w:szCs w:val="20"/>
                                </w:rPr>
                              </w:pPr>
                              <w:r w:rsidRPr="008D2E71">
                                <w:rPr>
                                  <w:rFonts w:eastAsia="Times New Roman" w:cstheme="minorHAnsi"/>
                                  <w:b/>
                                  <w:sz w:val="20"/>
                                  <w:szCs w:val="20"/>
                                </w:rPr>
                                <w:t>4. Reviewing themes</w:t>
                              </w:r>
                            </w:p>
                            <w:p w:rsidR="00071EBF" w:rsidRPr="00774047" w:rsidRDefault="00071EBF" w:rsidP="009C60B5">
                              <w:pPr>
                                <w:keepNext/>
                                <w:autoSpaceDE w:val="0"/>
                                <w:autoSpaceDN w:val="0"/>
                                <w:adjustRightInd w:val="0"/>
                                <w:jc w:val="center"/>
                                <w:rPr>
                                  <w:rFonts w:eastAsia="Times New Roman" w:cstheme="minorHAnsi"/>
                                  <w:b/>
                                </w:rPr>
                              </w:pPr>
                            </w:p>
                            <w:p w:rsidR="00071EBF" w:rsidRPr="008D2E71" w:rsidRDefault="00071EBF" w:rsidP="009C60B5">
                              <w:pPr>
                                <w:pStyle w:val="BodyText2"/>
                                <w:keepNext/>
                                <w:autoSpaceDE w:val="0"/>
                                <w:autoSpaceDN w:val="0"/>
                                <w:adjustRightInd w:val="0"/>
                                <w:spacing w:after="0" w:line="276" w:lineRule="auto"/>
                                <w:jc w:val="center"/>
                                <w:rPr>
                                  <w:rFonts w:eastAsia="Times New Roman" w:cstheme="minorHAnsi"/>
                                  <w:sz w:val="18"/>
                                  <w:szCs w:val="18"/>
                                </w:rPr>
                              </w:pPr>
                              <w:r w:rsidRPr="008D2E71">
                                <w:rPr>
                                  <w:rFonts w:eastAsia="Times New Roman" w:cstheme="minorHAnsi"/>
                                  <w:sz w:val="18"/>
                                  <w:szCs w:val="18"/>
                                </w:rPr>
                                <w:t>Potential themes are reviewed, ensuring they have enough data to justify it as a theme and then assessed to ensure they represented the data properly</w:t>
                              </w:r>
                            </w:p>
                            <w:p w:rsidR="00071EBF" w:rsidRPr="008D2E71" w:rsidRDefault="00071EBF" w:rsidP="009C60B5">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a:spLocks/>
                        </wps:cNvSpPr>
                        <wps:spPr>
                          <a:xfrm>
                            <a:off x="359484" y="4654640"/>
                            <a:ext cx="4466907" cy="955788"/>
                          </a:xfrm>
                          <a:prstGeom prst="roundRect">
                            <a:avLst/>
                          </a:prstGeom>
                          <a:solidFill>
                            <a:sysClr val="window" lastClr="FFFFFF"/>
                          </a:solidFill>
                          <a:ln w="25400" cap="flat" cmpd="sng" algn="ctr">
                            <a:solidFill>
                              <a:srgbClr val="4F81BD"/>
                            </a:solidFill>
                            <a:prstDash val="solid"/>
                          </a:ln>
                          <a:effectLst/>
                        </wps:spPr>
                        <wps:txbx>
                          <w:txbxContent>
                            <w:p w:rsidR="00071EBF" w:rsidRPr="008D2E71" w:rsidRDefault="00071EBF" w:rsidP="009C60B5">
                              <w:pPr>
                                <w:keepNext/>
                                <w:autoSpaceDE w:val="0"/>
                                <w:autoSpaceDN w:val="0"/>
                                <w:adjustRightInd w:val="0"/>
                                <w:jc w:val="center"/>
                                <w:rPr>
                                  <w:rFonts w:eastAsia="Times New Roman" w:cstheme="minorHAnsi"/>
                                  <w:b/>
                                  <w:sz w:val="20"/>
                                  <w:szCs w:val="20"/>
                                </w:rPr>
                              </w:pPr>
                              <w:r w:rsidRPr="008D2E71">
                                <w:rPr>
                                  <w:rFonts w:eastAsia="Times New Roman" w:cstheme="minorHAnsi"/>
                                  <w:b/>
                                  <w:sz w:val="20"/>
                                  <w:szCs w:val="20"/>
                                </w:rPr>
                                <w:t>5. Defining and naming themes</w:t>
                              </w:r>
                            </w:p>
                            <w:p w:rsidR="00071EBF" w:rsidRPr="00774047" w:rsidRDefault="00071EBF" w:rsidP="009C60B5">
                              <w:pPr>
                                <w:keepNext/>
                                <w:autoSpaceDE w:val="0"/>
                                <w:autoSpaceDN w:val="0"/>
                                <w:adjustRightInd w:val="0"/>
                                <w:jc w:val="center"/>
                                <w:rPr>
                                  <w:rFonts w:eastAsia="Times New Roman" w:cstheme="minorHAnsi"/>
                                  <w:b/>
                                  <w:sz w:val="20"/>
                                  <w:szCs w:val="20"/>
                                </w:rPr>
                              </w:pPr>
                            </w:p>
                            <w:p w:rsidR="00071EBF" w:rsidRPr="008D2E71" w:rsidRDefault="00071EBF" w:rsidP="009C60B5">
                              <w:pPr>
                                <w:pStyle w:val="BodyText"/>
                                <w:keepNext/>
                                <w:autoSpaceDE w:val="0"/>
                                <w:autoSpaceDN w:val="0"/>
                                <w:adjustRightInd w:val="0"/>
                                <w:spacing w:after="0"/>
                                <w:jc w:val="center"/>
                                <w:rPr>
                                  <w:rFonts w:asciiTheme="minorHAnsi" w:hAnsiTheme="minorHAnsi" w:cstheme="minorHAnsi"/>
                                  <w:sz w:val="18"/>
                                  <w:szCs w:val="18"/>
                                </w:rPr>
                              </w:pPr>
                              <w:r w:rsidRPr="008D2E71">
                                <w:rPr>
                                  <w:rFonts w:asciiTheme="minorHAnsi" w:hAnsiTheme="minorHAnsi" w:cstheme="minorHAnsi"/>
                                  <w:sz w:val="18"/>
                                  <w:szCs w:val="18"/>
                                </w:rPr>
                                <w:t>A detailed analysis of each theme is undertaken including the identification of any sub-themes</w:t>
                              </w:r>
                            </w:p>
                            <w:p w:rsidR="00071EBF" w:rsidRPr="00C10942" w:rsidRDefault="00071EBF" w:rsidP="009C60B5">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a:spLocks/>
                        </wps:cNvSpPr>
                        <wps:spPr>
                          <a:xfrm>
                            <a:off x="356765" y="5702214"/>
                            <a:ext cx="4469579" cy="1031829"/>
                          </a:xfrm>
                          <a:prstGeom prst="roundRect">
                            <a:avLst/>
                          </a:prstGeom>
                          <a:solidFill>
                            <a:sysClr val="window" lastClr="FFFFFF"/>
                          </a:solidFill>
                          <a:ln w="25400" cap="flat" cmpd="sng" algn="ctr">
                            <a:solidFill>
                              <a:srgbClr val="4F81BD"/>
                            </a:solidFill>
                            <a:prstDash val="solid"/>
                          </a:ln>
                          <a:effectLst/>
                        </wps:spPr>
                        <wps:txbx>
                          <w:txbxContent>
                            <w:p w:rsidR="00071EBF" w:rsidRPr="008D2E71" w:rsidRDefault="00071EBF" w:rsidP="009C60B5">
                              <w:pPr>
                                <w:keepNext/>
                                <w:autoSpaceDE w:val="0"/>
                                <w:autoSpaceDN w:val="0"/>
                                <w:adjustRightInd w:val="0"/>
                                <w:jc w:val="center"/>
                                <w:rPr>
                                  <w:rFonts w:eastAsia="Times New Roman" w:cstheme="minorHAnsi"/>
                                  <w:b/>
                                  <w:sz w:val="20"/>
                                  <w:szCs w:val="20"/>
                                </w:rPr>
                              </w:pPr>
                              <w:r w:rsidRPr="008D2E71">
                                <w:rPr>
                                  <w:rFonts w:eastAsia="Times New Roman" w:cstheme="minorHAnsi"/>
                                  <w:b/>
                                  <w:sz w:val="20"/>
                                  <w:szCs w:val="20"/>
                                </w:rPr>
                                <w:t>6. Producing the report</w:t>
                              </w:r>
                            </w:p>
                            <w:p w:rsidR="00071EBF" w:rsidRPr="00FD1CC0" w:rsidRDefault="00071EBF" w:rsidP="009C60B5">
                              <w:pPr>
                                <w:keepNext/>
                                <w:autoSpaceDE w:val="0"/>
                                <w:autoSpaceDN w:val="0"/>
                                <w:adjustRightInd w:val="0"/>
                                <w:jc w:val="center"/>
                                <w:rPr>
                                  <w:rFonts w:eastAsia="Times New Roman" w:cstheme="minorHAnsi"/>
                                  <w:b/>
                                </w:rPr>
                              </w:pPr>
                            </w:p>
                            <w:p w:rsidR="00071EBF" w:rsidRPr="008D2E71" w:rsidRDefault="00071EBF" w:rsidP="009C60B5">
                              <w:pPr>
                                <w:keepNext/>
                                <w:autoSpaceDE w:val="0"/>
                                <w:autoSpaceDN w:val="0"/>
                                <w:adjustRightInd w:val="0"/>
                                <w:jc w:val="center"/>
                                <w:rPr>
                                  <w:rFonts w:eastAsia="Times New Roman" w:cstheme="minorHAnsi"/>
                                  <w:sz w:val="18"/>
                                  <w:szCs w:val="18"/>
                                </w:rPr>
                              </w:pPr>
                              <w:r w:rsidRPr="008D2E71">
                                <w:rPr>
                                  <w:rFonts w:eastAsia="Times New Roman" w:cstheme="minorHAnsi"/>
                                  <w:sz w:val="18"/>
                                  <w:szCs w:val="18"/>
                                </w:rPr>
                                <w:t>A detailed and analytical narrative to be presented with supporting extracts embedded from data sources</w:t>
                              </w:r>
                            </w:p>
                            <w:p w:rsidR="00071EBF" w:rsidRPr="00C10942" w:rsidRDefault="00071EBF" w:rsidP="009C60B5">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Arrow Connector 27"/>
                        <wps:cNvCnPr>
                          <a:cxnSpLocks/>
                        </wps:cNvCnPr>
                        <wps:spPr>
                          <a:xfrm>
                            <a:off x="4927837" y="733360"/>
                            <a:ext cx="0" cy="605790"/>
                          </a:xfrm>
                          <a:prstGeom prst="straightConnector1">
                            <a:avLst/>
                          </a:prstGeom>
                          <a:noFill/>
                          <a:ln w="28575" cap="flat" cmpd="sng" algn="ctr">
                            <a:solidFill>
                              <a:srgbClr val="5B9BD5">
                                <a:lumMod val="75000"/>
                              </a:srgbClr>
                            </a:solidFill>
                            <a:prstDash val="solid"/>
                            <a:miter lim="800000"/>
                            <a:tailEnd type="arrow"/>
                          </a:ln>
                          <a:effectLst/>
                        </wps:spPr>
                        <wps:bodyPr/>
                      </wps:wsp>
                      <wps:wsp>
                        <wps:cNvPr id="28" name="Straight Arrow Connector 28"/>
                        <wps:cNvCnPr>
                          <a:cxnSpLocks/>
                        </wps:cNvCnPr>
                        <wps:spPr>
                          <a:xfrm>
                            <a:off x="4954747" y="1823009"/>
                            <a:ext cx="0" cy="605155"/>
                          </a:xfrm>
                          <a:prstGeom prst="straightConnector1">
                            <a:avLst/>
                          </a:prstGeom>
                          <a:noFill/>
                          <a:ln w="28575" cap="flat" cmpd="sng" algn="ctr">
                            <a:solidFill>
                              <a:srgbClr val="4F81BD">
                                <a:lumMod val="75000"/>
                              </a:srgbClr>
                            </a:solidFill>
                            <a:prstDash val="solid"/>
                            <a:tailEnd type="arrow"/>
                          </a:ln>
                          <a:effectLst/>
                        </wps:spPr>
                        <wps:bodyPr/>
                      </wps:wsp>
                      <wps:wsp>
                        <wps:cNvPr id="29" name="Straight Arrow Connector 29"/>
                        <wps:cNvCnPr>
                          <a:cxnSpLocks/>
                        </wps:cNvCnPr>
                        <wps:spPr>
                          <a:xfrm>
                            <a:off x="4945826" y="2996643"/>
                            <a:ext cx="0" cy="605155"/>
                          </a:xfrm>
                          <a:prstGeom prst="straightConnector1">
                            <a:avLst/>
                          </a:prstGeom>
                          <a:noFill/>
                          <a:ln w="28575" cap="flat" cmpd="sng" algn="ctr">
                            <a:solidFill>
                              <a:srgbClr val="4F81BD">
                                <a:lumMod val="75000"/>
                              </a:srgbClr>
                            </a:solidFill>
                            <a:prstDash val="solid"/>
                            <a:tailEnd type="arrow"/>
                          </a:ln>
                          <a:effectLst/>
                        </wps:spPr>
                        <wps:bodyPr/>
                      </wps:wsp>
                      <wps:wsp>
                        <wps:cNvPr id="30" name="Straight Arrow Connector 30"/>
                        <wps:cNvCnPr>
                          <a:cxnSpLocks/>
                        </wps:cNvCnPr>
                        <wps:spPr>
                          <a:xfrm>
                            <a:off x="4957724" y="4276412"/>
                            <a:ext cx="0" cy="605155"/>
                          </a:xfrm>
                          <a:prstGeom prst="straightConnector1">
                            <a:avLst/>
                          </a:prstGeom>
                          <a:noFill/>
                          <a:ln w="28575" cap="flat" cmpd="sng" algn="ctr">
                            <a:solidFill>
                              <a:srgbClr val="4F81BD">
                                <a:lumMod val="75000"/>
                              </a:srgbClr>
                            </a:solidFill>
                            <a:prstDash val="solid"/>
                            <a:tailEnd type="arrow"/>
                          </a:ln>
                          <a:effectLst/>
                        </wps:spPr>
                        <wps:bodyPr/>
                      </wps:wsp>
                      <wps:wsp>
                        <wps:cNvPr id="31" name="Straight Arrow Connector 31"/>
                        <wps:cNvCnPr>
                          <a:cxnSpLocks/>
                        </wps:cNvCnPr>
                        <wps:spPr>
                          <a:xfrm>
                            <a:off x="4960700" y="5306885"/>
                            <a:ext cx="0" cy="605790"/>
                          </a:xfrm>
                          <a:prstGeom prst="straightConnector1">
                            <a:avLst/>
                          </a:prstGeom>
                          <a:noFill/>
                          <a:ln w="28575" cap="flat" cmpd="sng" algn="ctr">
                            <a:solidFill>
                              <a:srgbClr val="4F81BD">
                                <a:lumMod val="75000"/>
                              </a:srgbClr>
                            </a:solidFill>
                            <a:prstDash val="solid"/>
                            <a:tailEnd type="arrow"/>
                          </a:ln>
                          <a:effectLst/>
                        </wps:spPr>
                        <wps:bodyPr/>
                      </wps:wsp>
                      <wps:wsp>
                        <wps:cNvPr id="32" name="Straight Arrow Connector 32"/>
                        <wps:cNvCnPr>
                          <a:cxnSpLocks/>
                        </wps:cNvCnPr>
                        <wps:spPr>
                          <a:xfrm>
                            <a:off x="0" y="225631"/>
                            <a:ext cx="45719" cy="6267450"/>
                          </a:xfrm>
                          <a:prstGeom prst="straightConnector1">
                            <a:avLst/>
                          </a:prstGeom>
                          <a:noFill/>
                          <a:ln w="28575" cap="flat" cmpd="sng" algn="ctr">
                            <a:solidFill>
                              <a:srgbClr val="5B9BD5">
                                <a:lumMod val="75000"/>
                              </a:srgbClr>
                            </a:solidFill>
                            <a:prstDash val="solid"/>
                            <a:miter lim="800000"/>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10B74CDC" id="Group 17" o:spid="_x0000_s1034" style="position:absolute;margin-left:5.25pt;margin-top:25.95pt;width:417pt;height:440.2pt;z-index:251660288;mso-width-relative:margin;mso-height-relative:margin" coordorigin="" coordsize="49607,6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">
                <v:roundrect id="Rounded Rectangle 20" o:spid="_x0000_s1035" style="position:absolute;left:3595;width:44667;height:92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O2sMA&#10;AADbAAAADwAAAGRycy9kb3ducmV2LnhtbERPTWvCQBC9F/wPywi9FN1oodiYjYggLWkvSYt4HLLT&#10;JDQ7G7KrSf59VxB6m8f7nGQ3mlZcqXeNZQWrZQSCuLS64UrB99dxsQHhPLLG1jIpmMjBLp09JBhr&#10;O3BO18JXIoSwi1FB7X0XS+nKmgy6pe2IA/dje4M+wL6SuschhJtWrqPoRRpsODTU2NGhpvK3uBgF&#10;1bnMntfZ5/iUD5uP05suDlk0KfU4H/dbEJ5G/y++u991mP8Kt1/CA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O2sMAAADbAAAADwAAAAAAAAAAAAAAAACYAgAAZHJzL2Rv&#10;d25yZXYueG1sUEsFBgAAAAAEAAQA9QAAAIgDAAAAAA==&#10;" strokecolor="#4f81bd" strokeweight="2pt">
                  <v:textbox>
                    <w:txbxContent>
                      <w:p w:rsidR="00071EBF" w:rsidRPr="009C60B5" w:rsidRDefault="00071EBF" w:rsidP="009C60B5">
                        <w:pPr>
                          <w:jc w:val="center"/>
                          <w:rPr>
                            <w:b/>
                            <w:sz w:val="20"/>
                            <w:szCs w:val="20"/>
                          </w:rPr>
                        </w:pPr>
                        <w:r w:rsidRPr="009C60B5">
                          <w:rPr>
                            <w:b/>
                            <w:sz w:val="20"/>
                            <w:szCs w:val="20"/>
                          </w:rPr>
                          <w:t>1. Becoming familiar with the data</w:t>
                        </w:r>
                      </w:p>
                      <w:p w:rsidR="00071EBF" w:rsidRPr="009C60B5" w:rsidRDefault="00071EBF" w:rsidP="009C60B5">
                        <w:pPr>
                          <w:pStyle w:val="BodyText2"/>
                          <w:spacing w:line="276" w:lineRule="auto"/>
                          <w:jc w:val="center"/>
                          <w:rPr>
                            <w:sz w:val="18"/>
                            <w:szCs w:val="18"/>
                          </w:rPr>
                        </w:pPr>
                        <w:r w:rsidRPr="009C60B5">
                          <w:rPr>
                            <w:sz w:val="18"/>
                            <w:szCs w:val="18"/>
                          </w:rPr>
                          <w:t>Interview transcripts and interviewer notes to be read and re-read multiple times during the process of data collection and at the end</w:t>
                        </w:r>
                      </w:p>
                      <w:p w:rsidR="00071EBF" w:rsidRPr="00FD1CC0" w:rsidRDefault="00071EBF" w:rsidP="009C60B5">
                        <w:pPr>
                          <w:rPr>
                            <w:sz w:val="20"/>
                            <w:szCs w:val="20"/>
                          </w:rPr>
                        </w:pPr>
                      </w:p>
                    </w:txbxContent>
                  </v:textbox>
                </v:roundrect>
                <v:roundrect id="Rounded Rectangle 20" o:spid="_x0000_s1036" style="position:absolute;left:3595;top:11555;width:44669;height:84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AfsEA&#10;AADbAAAADwAAAGRycy9kb3ducmV2LnhtbERPTWvCQBC9F/wPywi9FLOphxBjVhFBKFIPTYtex+yY&#10;BLOzMbua+O+7h0KPj/edr0fTigf1rrGs4D2KQRCXVjdcKfj53s1SEM4ja2wtk4InOVivJi85ZtoO&#10;/EWPwlcihLDLUEHtfZdJ6cqaDLrIdsSBu9jeoA+wr6TucQjhppXzOE6kwYZDQ40dbWsqr8XdKPDn&#10;a3FKFre9s/Gb4Vvy2R4PqVKv03GzBOFp9P/iP/eHVjAP68OX8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QH7BAAAA2wAAAA8AAAAAAAAAAAAAAAAAmAIAAGRycy9kb3du&#10;cmV2LnhtbFBLBQYAAAAABAAEAPUAAACGAwAAAAA=&#10;" fillcolor="window" strokecolor="#4f81bd" strokeweight="2pt">
                  <v:path arrowok="t"/>
                  <v:textbox>
                    <w:txbxContent>
                      <w:p w:rsidR="00071EBF" w:rsidRPr="009C60B5" w:rsidRDefault="00071EBF" w:rsidP="009C60B5">
                        <w:pPr>
                          <w:spacing w:line="240" w:lineRule="auto"/>
                          <w:jc w:val="center"/>
                          <w:rPr>
                            <w:b/>
                            <w:sz w:val="20"/>
                            <w:szCs w:val="20"/>
                          </w:rPr>
                        </w:pPr>
                        <w:r w:rsidRPr="009C60B5">
                          <w:rPr>
                            <w:b/>
                            <w:sz w:val="20"/>
                            <w:szCs w:val="20"/>
                          </w:rPr>
                          <w:t>2. Generating initial codes</w:t>
                        </w:r>
                      </w:p>
                      <w:p w:rsidR="00071EBF" w:rsidRPr="009C60B5" w:rsidRDefault="00071EBF" w:rsidP="009C60B5">
                        <w:pPr>
                          <w:spacing w:line="240" w:lineRule="auto"/>
                          <w:jc w:val="center"/>
                          <w:rPr>
                            <w:b/>
                            <w:sz w:val="18"/>
                            <w:szCs w:val="18"/>
                          </w:rPr>
                        </w:pPr>
                        <w:r w:rsidRPr="009C60B5">
                          <w:rPr>
                            <w:sz w:val="18"/>
                            <w:szCs w:val="18"/>
                          </w:rPr>
                          <w:t>Input int</w:t>
                        </w:r>
                        <w:r>
                          <w:rPr>
                            <w:sz w:val="18"/>
                            <w:szCs w:val="18"/>
                          </w:rPr>
                          <w:t>erview transcripts into NVIVO 11</w:t>
                        </w:r>
                        <w:r w:rsidRPr="009C60B5">
                          <w:rPr>
                            <w:sz w:val="18"/>
                            <w:szCs w:val="18"/>
                          </w:rPr>
                          <w:t xml:space="preserve"> (a software programme specifically designed to manage qualitative data)</w:t>
                        </w:r>
                      </w:p>
                      <w:p w:rsidR="00071EBF" w:rsidRPr="00774047" w:rsidRDefault="00071EBF" w:rsidP="009C60B5">
                        <w:pPr>
                          <w:pStyle w:val="BodyText2"/>
                          <w:spacing w:line="276" w:lineRule="auto"/>
                          <w:jc w:val="center"/>
                          <w:rPr>
                            <w:sz w:val="20"/>
                            <w:szCs w:val="20"/>
                          </w:rPr>
                        </w:pPr>
                      </w:p>
                    </w:txbxContent>
                  </v:textbox>
                </v:roundrect>
                <v:roundrect id="Rounded Rectangle 23" o:spid="_x0000_s1037" style="position:absolute;left:3594;top:22919;width:44670;height:9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eCcUA&#10;AADbAAAADwAAAGRycy9kb3ducmV2LnhtbESPQWvCQBSE7wX/w/IEL0U3TSFodBURClLaQ1PR6zP7&#10;TILZt0l2m6T/vlso9DjMzDfMZjeaWvTUucqygqdFBII4t7riQsHp82W+BOE8ssbaMin4Jge77eRh&#10;g6m2A39Qn/lCBAi7FBWU3jeplC4vyaBb2IY4eDfbGfRBdoXUHQ4BbmoZR1EiDVYcFkps6FBSfs++&#10;jAJ/vWeXZNW+Ohs9Gm6Tt/r8vlRqNh33axCeRv8f/msftYL4GX6/hB8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N4JxQAAANsAAAAPAAAAAAAAAAAAAAAAAJgCAABkcnMv&#10;ZG93bnJldi54bWxQSwUGAAAAAAQABAD1AAAAigMAAAAA&#10;" fillcolor="window" strokecolor="#4f81bd" strokeweight="2pt">
                  <v:path arrowok="t"/>
                  <v:textbox>
                    <w:txbxContent>
                      <w:p w:rsidR="00071EBF" w:rsidRPr="009C60B5" w:rsidRDefault="00071EBF" w:rsidP="009C60B5">
                        <w:pPr>
                          <w:keepNext/>
                          <w:autoSpaceDE w:val="0"/>
                          <w:autoSpaceDN w:val="0"/>
                          <w:adjustRightInd w:val="0"/>
                          <w:jc w:val="center"/>
                          <w:rPr>
                            <w:rFonts w:eastAsia="Times New Roman" w:cstheme="minorHAnsi"/>
                            <w:b/>
                            <w:sz w:val="20"/>
                            <w:szCs w:val="20"/>
                          </w:rPr>
                        </w:pPr>
                        <w:r w:rsidRPr="009C60B5">
                          <w:rPr>
                            <w:rFonts w:eastAsia="Times New Roman" w:cstheme="minorHAnsi"/>
                            <w:b/>
                            <w:sz w:val="20"/>
                            <w:szCs w:val="20"/>
                          </w:rPr>
                          <w:t>3. Searching for themes</w:t>
                        </w:r>
                      </w:p>
                      <w:p w:rsidR="00071EBF" w:rsidRPr="00C10942" w:rsidRDefault="00071EBF" w:rsidP="009C60B5">
                        <w:pPr>
                          <w:keepNext/>
                          <w:autoSpaceDE w:val="0"/>
                          <w:autoSpaceDN w:val="0"/>
                          <w:adjustRightInd w:val="0"/>
                          <w:jc w:val="center"/>
                          <w:rPr>
                            <w:rFonts w:eastAsia="Times New Roman" w:cstheme="minorHAnsi"/>
                            <w:b/>
                            <w:sz w:val="20"/>
                            <w:szCs w:val="20"/>
                          </w:rPr>
                        </w:pPr>
                      </w:p>
                      <w:p w:rsidR="00071EBF" w:rsidRPr="009C60B5" w:rsidRDefault="00071EBF" w:rsidP="009C60B5">
                        <w:pPr>
                          <w:keepNext/>
                          <w:autoSpaceDE w:val="0"/>
                          <w:autoSpaceDN w:val="0"/>
                          <w:adjustRightInd w:val="0"/>
                          <w:jc w:val="center"/>
                          <w:rPr>
                            <w:rFonts w:eastAsia="Times New Roman" w:cstheme="minorHAnsi"/>
                            <w:sz w:val="18"/>
                            <w:szCs w:val="18"/>
                          </w:rPr>
                        </w:pPr>
                        <w:r w:rsidRPr="009C60B5">
                          <w:rPr>
                            <w:rFonts w:eastAsia="Times New Roman" w:cstheme="minorHAnsi"/>
                            <w:sz w:val="18"/>
                            <w:szCs w:val="18"/>
                          </w:rPr>
                          <w:t xml:space="preserve">List of codes are sorted and organised into potential themes using a mindmap to provide a visual representation </w:t>
                        </w:r>
                      </w:p>
                      <w:p w:rsidR="00071EBF" w:rsidRPr="009C60B5" w:rsidRDefault="00071EBF" w:rsidP="009C60B5">
                        <w:pPr>
                          <w:jc w:val="center"/>
                          <w:rPr>
                            <w:sz w:val="18"/>
                            <w:szCs w:val="18"/>
                          </w:rPr>
                        </w:pPr>
                      </w:p>
                    </w:txbxContent>
                  </v:textbox>
                </v:roundrect>
                <v:roundrect id="Rounded Rectangle 24" o:spid="_x0000_s1038" style="position:absolute;left:3595;top:34447;width:44670;height:105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GfcUA&#10;AADbAAAADwAAAGRycy9kb3ducmV2LnhtbESPQWvCQBSE7wX/w/IEL0U3DSVodBURClLaQ1PR6zP7&#10;TILZt0l2m6T/vlso9DjMzDfMZjeaWvTUucqygqdFBII4t7riQsHp82W+BOE8ssbaMin4Jge77eRh&#10;g6m2A39Qn/lCBAi7FBWU3jeplC4vyaBb2IY4eDfbGfRBdoXUHQ4BbmoZR1EiDVYcFkps6FBSfs++&#10;jAJ/vWeXZNW+Ohs9Gm6Tt/r8vlRqNh33axCeRv8f/msftYL4GX6/hB8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UZ9xQAAANsAAAAPAAAAAAAAAAAAAAAAAJgCAABkcnMv&#10;ZG93bnJldi54bWxQSwUGAAAAAAQABAD1AAAAigMAAAAA&#10;" fillcolor="window" strokecolor="#4f81bd" strokeweight="2pt">
                  <v:path arrowok="t"/>
                  <v:textbox>
                    <w:txbxContent>
                      <w:p w:rsidR="00071EBF" w:rsidRPr="008D2E71" w:rsidRDefault="00071EBF" w:rsidP="009C60B5">
                        <w:pPr>
                          <w:keepNext/>
                          <w:autoSpaceDE w:val="0"/>
                          <w:autoSpaceDN w:val="0"/>
                          <w:adjustRightInd w:val="0"/>
                          <w:jc w:val="center"/>
                          <w:rPr>
                            <w:rFonts w:eastAsia="Times New Roman" w:cstheme="minorHAnsi"/>
                            <w:b/>
                            <w:sz w:val="20"/>
                            <w:szCs w:val="20"/>
                          </w:rPr>
                        </w:pPr>
                        <w:r w:rsidRPr="008D2E71">
                          <w:rPr>
                            <w:rFonts w:eastAsia="Times New Roman" w:cstheme="minorHAnsi"/>
                            <w:b/>
                            <w:sz w:val="20"/>
                            <w:szCs w:val="20"/>
                          </w:rPr>
                          <w:t>4. Reviewing themes</w:t>
                        </w:r>
                      </w:p>
                      <w:p w:rsidR="00071EBF" w:rsidRPr="00774047" w:rsidRDefault="00071EBF" w:rsidP="009C60B5">
                        <w:pPr>
                          <w:keepNext/>
                          <w:autoSpaceDE w:val="0"/>
                          <w:autoSpaceDN w:val="0"/>
                          <w:adjustRightInd w:val="0"/>
                          <w:jc w:val="center"/>
                          <w:rPr>
                            <w:rFonts w:eastAsia="Times New Roman" w:cstheme="minorHAnsi"/>
                            <w:b/>
                          </w:rPr>
                        </w:pPr>
                      </w:p>
                      <w:p w:rsidR="00071EBF" w:rsidRPr="008D2E71" w:rsidRDefault="00071EBF" w:rsidP="009C60B5">
                        <w:pPr>
                          <w:pStyle w:val="BodyText2"/>
                          <w:keepNext/>
                          <w:autoSpaceDE w:val="0"/>
                          <w:autoSpaceDN w:val="0"/>
                          <w:adjustRightInd w:val="0"/>
                          <w:spacing w:after="0" w:line="276" w:lineRule="auto"/>
                          <w:jc w:val="center"/>
                          <w:rPr>
                            <w:rFonts w:eastAsia="Times New Roman" w:cstheme="minorHAnsi"/>
                            <w:sz w:val="18"/>
                            <w:szCs w:val="18"/>
                          </w:rPr>
                        </w:pPr>
                        <w:r w:rsidRPr="008D2E71">
                          <w:rPr>
                            <w:rFonts w:eastAsia="Times New Roman" w:cstheme="minorHAnsi"/>
                            <w:sz w:val="18"/>
                            <w:szCs w:val="18"/>
                          </w:rPr>
                          <w:t>Potential themes are reviewed, ensuring they have enough data to justify it as a theme and then assessed to ensure they represented the data properly</w:t>
                        </w:r>
                      </w:p>
                      <w:p w:rsidR="00071EBF" w:rsidRPr="008D2E71" w:rsidRDefault="00071EBF" w:rsidP="009C60B5">
                        <w:pPr>
                          <w:jc w:val="center"/>
                          <w:rPr>
                            <w:sz w:val="18"/>
                            <w:szCs w:val="18"/>
                          </w:rPr>
                        </w:pPr>
                      </w:p>
                    </w:txbxContent>
                  </v:textbox>
                </v:roundrect>
                <v:roundrect id="Rounded Rectangle 25" o:spid="_x0000_s1039" style="position:absolute;left:3594;top:46546;width:44669;height:95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nj5sUA&#10;AADbAAAADwAAAGRycy9kb3ducmV2LnhtbESPQWvCQBSE7wX/w/IEL0U3DTRodBURClLaQ1PR6zP7&#10;TILZt0l2m6T/vlso9DjMzDfMZjeaWvTUucqygqdFBII4t7riQsHp82W+BOE8ssbaMin4Jge77eRh&#10;g6m2A39Qn/lCBAi7FBWU3jeplC4vyaBb2IY4eDfbGfRBdoXUHQ4BbmoZR1EiDVYcFkps6FBSfs++&#10;jAJ/vWeXZNW+Ohs9Gm6Tt/r8vlRqNh33axCeRv8f/msftYL4GX6/hB8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ePmxQAAANsAAAAPAAAAAAAAAAAAAAAAAJgCAABkcnMv&#10;ZG93bnJldi54bWxQSwUGAAAAAAQABAD1AAAAigMAAAAA&#10;" fillcolor="window" strokecolor="#4f81bd" strokeweight="2pt">
                  <v:path arrowok="t"/>
                  <v:textbox>
                    <w:txbxContent>
                      <w:p w:rsidR="00071EBF" w:rsidRPr="008D2E71" w:rsidRDefault="00071EBF" w:rsidP="009C60B5">
                        <w:pPr>
                          <w:keepNext/>
                          <w:autoSpaceDE w:val="0"/>
                          <w:autoSpaceDN w:val="0"/>
                          <w:adjustRightInd w:val="0"/>
                          <w:jc w:val="center"/>
                          <w:rPr>
                            <w:rFonts w:eastAsia="Times New Roman" w:cstheme="minorHAnsi"/>
                            <w:b/>
                            <w:sz w:val="20"/>
                            <w:szCs w:val="20"/>
                          </w:rPr>
                        </w:pPr>
                        <w:r w:rsidRPr="008D2E71">
                          <w:rPr>
                            <w:rFonts w:eastAsia="Times New Roman" w:cstheme="minorHAnsi"/>
                            <w:b/>
                            <w:sz w:val="20"/>
                            <w:szCs w:val="20"/>
                          </w:rPr>
                          <w:t>5. Defining and naming themes</w:t>
                        </w:r>
                      </w:p>
                      <w:p w:rsidR="00071EBF" w:rsidRPr="00774047" w:rsidRDefault="00071EBF" w:rsidP="009C60B5">
                        <w:pPr>
                          <w:keepNext/>
                          <w:autoSpaceDE w:val="0"/>
                          <w:autoSpaceDN w:val="0"/>
                          <w:adjustRightInd w:val="0"/>
                          <w:jc w:val="center"/>
                          <w:rPr>
                            <w:rFonts w:eastAsia="Times New Roman" w:cstheme="minorHAnsi"/>
                            <w:b/>
                            <w:sz w:val="20"/>
                            <w:szCs w:val="20"/>
                          </w:rPr>
                        </w:pPr>
                      </w:p>
                      <w:p w:rsidR="00071EBF" w:rsidRPr="008D2E71" w:rsidRDefault="00071EBF" w:rsidP="009C60B5">
                        <w:pPr>
                          <w:pStyle w:val="BodyText"/>
                          <w:keepNext/>
                          <w:autoSpaceDE w:val="0"/>
                          <w:autoSpaceDN w:val="0"/>
                          <w:adjustRightInd w:val="0"/>
                          <w:spacing w:after="0"/>
                          <w:jc w:val="center"/>
                          <w:rPr>
                            <w:rFonts w:asciiTheme="minorHAnsi" w:hAnsiTheme="minorHAnsi" w:cstheme="minorHAnsi"/>
                            <w:sz w:val="18"/>
                            <w:szCs w:val="18"/>
                          </w:rPr>
                        </w:pPr>
                        <w:r w:rsidRPr="008D2E71">
                          <w:rPr>
                            <w:rFonts w:asciiTheme="minorHAnsi" w:hAnsiTheme="minorHAnsi" w:cstheme="minorHAnsi"/>
                            <w:sz w:val="18"/>
                            <w:szCs w:val="18"/>
                          </w:rPr>
                          <w:t>A detailed analysis of each theme is undertaken including the identification of any sub-themes</w:t>
                        </w:r>
                      </w:p>
                      <w:p w:rsidR="00071EBF" w:rsidRPr="00C10942" w:rsidRDefault="00071EBF" w:rsidP="009C60B5">
                        <w:pPr>
                          <w:rPr>
                            <w:sz w:val="20"/>
                            <w:szCs w:val="20"/>
                          </w:rPr>
                        </w:pPr>
                      </w:p>
                    </w:txbxContent>
                  </v:textbox>
                </v:roundrect>
                <v:roundrect id="Rounded Rectangle 26" o:spid="_x0000_s1040" style="position:absolute;left:3567;top:57022;width:44696;height:103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t9kcUA&#10;AADbAAAADwAAAGRycy9kb3ducmV2LnhtbESPQWvCQBSE70L/w/IEL2I29RBsmk2QQqFIPTSW9vrM&#10;viYh2bcxu9X037sFweMwM98wWTGZXpxpdK1lBY9RDIK4srrlWsHn4XW1AeE8ssbeMin4IwdF/jDL&#10;MNX2wh90Ln0tAoRdigoa74dUSlc1ZNBFdiAO3o8dDfogx1rqES8Bbnq5juNEGmw5LDQ40EtDVVf+&#10;GgX+2JXfydNp52y8NHxK3vuv/UapxXzaPoPwNPl7+NZ+0wrWCfx/C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32RxQAAANsAAAAPAAAAAAAAAAAAAAAAAJgCAABkcnMv&#10;ZG93bnJldi54bWxQSwUGAAAAAAQABAD1AAAAigMAAAAA&#10;" fillcolor="window" strokecolor="#4f81bd" strokeweight="2pt">
                  <v:path arrowok="t"/>
                  <v:textbox>
                    <w:txbxContent>
                      <w:p w:rsidR="00071EBF" w:rsidRPr="008D2E71" w:rsidRDefault="00071EBF" w:rsidP="009C60B5">
                        <w:pPr>
                          <w:keepNext/>
                          <w:autoSpaceDE w:val="0"/>
                          <w:autoSpaceDN w:val="0"/>
                          <w:adjustRightInd w:val="0"/>
                          <w:jc w:val="center"/>
                          <w:rPr>
                            <w:rFonts w:eastAsia="Times New Roman" w:cstheme="minorHAnsi"/>
                            <w:b/>
                            <w:sz w:val="20"/>
                            <w:szCs w:val="20"/>
                          </w:rPr>
                        </w:pPr>
                        <w:r w:rsidRPr="008D2E71">
                          <w:rPr>
                            <w:rFonts w:eastAsia="Times New Roman" w:cstheme="minorHAnsi"/>
                            <w:b/>
                            <w:sz w:val="20"/>
                            <w:szCs w:val="20"/>
                          </w:rPr>
                          <w:t>6. Producing the report</w:t>
                        </w:r>
                      </w:p>
                      <w:p w:rsidR="00071EBF" w:rsidRPr="00FD1CC0" w:rsidRDefault="00071EBF" w:rsidP="009C60B5">
                        <w:pPr>
                          <w:keepNext/>
                          <w:autoSpaceDE w:val="0"/>
                          <w:autoSpaceDN w:val="0"/>
                          <w:adjustRightInd w:val="0"/>
                          <w:jc w:val="center"/>
                          <w:rPr>
                            <w:rFonts w:eastAsia="Times New Roman" w:cstheme="minorHAnsi"/>
                            <w:b/>
                          </w:rPr>
                        </w:pPr>
                      </w:p>
                      <w:p w:rsidR="00071EBF" w:rsidRPr="008D2E71" w:rsidRDefault="00071EBF" w:rsidP="009C60B5">
                        <w:pPr>
                          <w:keepNext/>
                          <w:autoSpaceDE w:val="0"/>
                          <w:autoSpaceDN w:val="0"/>
                          <w:adjustRightInd w:val="0"/>
                          <w:jc w:val="center"/>
                          <w:rPr>
                            <w:rFonts w:eastAsia="Times New Roman" w:cstheme="minorHAnsi"/>
                            <w:sz w:val="18"/>
                            <w:szCs w:val="18"/>
                          </w:rPr>
                        </w:pPr>
                        <w:r w:rsidRPr="008D2E71">
                          <w:rPr>
                            <w:rFonts w:eastAsia="Times New Roman" w:cstheme="minorHAnsi"/>
                            <w:sz w:val="18"/>
                            <w:szCs w:val="18"/>
                          </w:rPr>
                          <w:t>A detailed and analytical narrative to be presented with supporting extracts embedded from data sources</w:t>
                        </w:r>
                      </w:p>
                      <w:p w:rsidR="00071EBF" w:rsidRPr="00C10942" w:rsidRDefault="00071EBF" w:rsidP="009C60B5">
                        <w:pPr>
                          <w:rPr>
                            <w:sz w:val="20"/>
                            <w:szCs w:val="20"/>
                          </w:rPr>
                        </w:pPr>
                      </w:p>
                    </w:txbxContent>
                  </v:textbox>
                </v:roundrect>
                <v:shapetype id="_x0000_t32" coordsize="21600,21600" o:spt="32" o:oned="t" path="m,l21600,21600e" filled="f">
                  <v:path arrowok="t" fillok="f" o:connecttype="none"/>
                  <o:lock v:ext="edit" shapetype="t"/>
                </v:shapetype>
                <v:shape id="Straight Arrow Connector 27" o:spid="_x0000_s1041" type="#_x0000_t32" style="position:absolute;left:49278;top:7333;width:0;height:60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gddMUAAADbAAAADwAAAGRycy9kb3ducmV2LnhtbESPzWrDMBCE74W+g9hCLyWR60OTOFGC&#10;W0gopZc4f9dF2tqm1spISuK8fVUo9DjMzDfMYjXYTlzIh9axgudxBoJYO9NyrWC/W4+mIEJENtg5&#10;JgU3CrBa3t8tsDDuylu6VLEWCcKhQAVNjH0hZdANWQxj1xMn78t5izFJX0vj8ZrgtpN5lr1Iiy2n&#10;hQZ7emtIf1dnq8A/6df8tN/ozxmWa3eYVMfy46bU48NQzkFEGuJ/+K/9bhTkE/j9k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gddMUAAADbAAAADwAAAAAAAAAA&#10;AAAAAAChAgAAZHJzL2Rvd25yZXYueG1sUEsFBgAAAAAEAAQA+QAAAJMDAAAAAA==&#10;" strokecolor="#2e75b6" strokeweight="2.25pt">
                  <v:stroke endarrow="open" joinstyle="miter"/>
                  <o:lock v:ext="edit" shapetype="f"/>
                </v:shape>
                <v:shape id="Straight Arrow Connector 28" o:spid="_x0000_s1042" type="#_x0000_t32" style="position:absolute;left:49547;top:18230;width:0;height:60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lMNsEAAADbAAAADwAAAGRycy9kb3ducmV2LnhtbERPz2uDMBS+D/Y/hDfYbY3zMMU1Ld1G&#10;obehdbDjI3lVmXkRE6vdX98cCj1+fL/X28X24kyj7xwreF0lIIi1Mx03Curj/iUH4QOywd4xKbiQ&#10;h+3m8WGNhXEzl3SuQiNiCPsCFbQhDIWUXrdk0a/cQBy5kxsthgjHRpoR5xhue5kmyZu02HFsaHGg&#10;z5b0XzVZBd87ffnNylOf1fN//lN+6emj8ko9Py27dxCBlnAX39wHoyCNY+OX+APk5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OUw2wQAAANsAAAAPAAAAAAAAAAAAAAAA&#10;AKECAABkcnMvZG93bnJldi54bWxQSwUGAAAAAAQABAD5AAAAjwMAAAAA&#10;" strokecolor="#376092" strokeweight="2.25pt">
                  <v:stroke endarrow="open"/>
                  <o:lock v:ext="edit" shapetype="f"/>
                </v:shape>
                <v:shape id="Straight Arrow Connector 29" o:spid="_x0000_s1043" type="#_x0000_t32" style="position:absolute;left:49458;top:29966;width:0;height:60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XprcQAAADbAAAADwAAAGRycy9kb3ducmV2LnhtbESPT4vCMBTE7wv7HcJb8Lam68E/XaO4&#10;iuBNWl3Y4yN5tmWbl9JEW/30RhA8DjPzG2a+7G0tLtT6yrGCr2ECglg7U3Gh4HjYfk5B+IBssHZM&#10;Cq7kYbl4f5tjalzHGV3yUIgIYZ+igjKEJpXS65Is+qFriKN3cq3FEGVbSNNiF+G2lqMkGUuLFceF&#10;Ehtal6T/87NVsF/p698kO9WTY3eb/mYbff7JvVKDj371DSJQH17hZ3tnFIxm8PgSf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demtxAAAANsAAAAPAAAAAAAAAAAA&#10;AAAAAKECAABkcnMvZG93bnJldi54bWxQSwUGAAAAAAQABAD5AAAAkgMAAAAA&#10;" strokecolor="#376092" strokeweight="2.25pt">
                  <v:stroke endarrow="open"/>
                  <o:lock v:ext="edit" shapetype="f"/>
                </v:shape>
                <v:shape id="Straight Arrow Connector 30" o:spid="_x0000_s1044" type="#_x0000_t32" style="position:absolute;left:49577;top:42764;width:0;height:60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bW7cEAAADbAAAADwAAAGRycy9kb3ducmV2LnhtbERPyWrDMBC9F/oPYgq5NXJTiIMbJaQN&#10;hdyC3RR6HKSJbWqNjCVv/frqEMjx8fbtfrKNGKjztWMFL8sEBLF2puZSweXr83kDwgdkg41jUjCT&#10;h/3u8WGLmXEj5zQUoRQxhH2GCqoQ2kxKryuy6JeuJY7c1XUWQ4RdKU2HYwy3jVwlyVparDk2VNjS&#10;R0X6t+itgvNBzz9pfm3Sy/i3+c6Pun8vvFKLp+nwBiLQFO7im/tkFLzG9fFL/AFy9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ltbtwQAAANsAAAAPAAAAAAAAAAAAAAAA&#10;AKECAABkcnMvZG93bnJldi54bWxQSwUGAAAAAAQABAD5AAAAjwMAAAAA&#10;" strokecolor="#376092" strokeweight="2.25pt">
                  <v:stroke endarrow="open"/>
                  <o:lock v:ext="edit" shapetype="f"/>
                </v:shape>
                <v:shape id="Straight Arrow Connector 31" o:spid="_x0000_s1045" type="#_x0000_t32" style="position:absolute;left:49607;top:53068;width:0;height:60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pzdsQAAADbAAAADwAAAGRycy9kb3ducmV2LnhtbESPT4vCMBTE7wt+h/AEb2uqwirVKP5B&#10;2NvSrgseH8mzLTYvpYm27qffLAgeh5n5DbPa9LYWd2p95VjBZJyAINbOVFwoOH0f3xcgfEA2WDsm&#10;BQ/ysFkP3laYGtdxRvc8FCJC2KeooAyhSaX0uiSLfuwa4uhdXGsxRNkW0rTYRbit5TRJPqTFiuNC&#10;iQ3tS9LX/GYVfG314zzPLvX81P0ufrKDvu1yr9Ro2G+XIAL14RV+tj+NgtkE/r/EH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2nN2xAAAANsAAAAPAAAAAAAAAAAA&#10;AAAAAKECAABkcnMvZG93bnJldi54bWxQSwUGAAAAAAQABAD5AAAAkgMAAAAA&#10;" strokecolor="#376092" strokeweight="2.25pt">
                  <v:stroke endarrow="open"/>
                  <o:lock v:ext="edit" shapetype="f"/>
                </v:shape>
                <v:shape id="Straight Arrow Connector 32" o:spid="_x0000_s1046" type="#_x0000_t32" style="position:absolute;top:2256;width:457;height:62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fVmMMAAADbAAAADwAAAGRycy9kb3ducmV2LnhtbESPT2vCQBTE74LfYXlCb2ajgSKpq0i0&#10;0Kt/Cj2+Zp/ZtNm3Ibua1E/vFgSPw8z8hlmuB9uIK3W+dqxglqQgiEuna64UnI7v0wUIH5A1No5J&#10;wR95WK/GoyXm2vW8p+shVCJC2OeowITQ5lL60pBFn7iWOHpn11kMUXaV1B32EW4bOU/TV2mx5rhg&#10;sKXCUPl7uFgFPaGp9tus+Ck+s++6ON++dtujUi+TYfMGItAQnuFH+0MryObw/yX+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n1ZjDAAAA2wAAAA8AAAAAAAAAAAAA&#10;AAAAoQIAAGRycy9kb3ducmV2LnhtbFBLBQYAAAAABAAEAPkAAACRAwAAAAA=&#10;" strokecolor="#2e75b6" strokeweight="2.25pt">
                  <v:stroke startarrow="open" endarrow="open" joinstyle="miter"/>
                  <o:lock v:ext="edit" shapetype="f"/>
                </v:shape>
              </v:group>
            </w:pict>
          </mc:Fallback>
        </mc:AlternateContent>
      </w:r>
      <w:r w:rsidR="00CF32DA" w:rsidRPr="009B3747">
        <w:rPr>
          <w:rFonts w:eastAsia="Times New Roman" w:cstheme="minorHAnsi"/>
          <w:color w:val="000000"/>
          <w:lang w:eastAsia="en-GB"/>
        </w:rPr>
        <w:br/>
      </w:r>
    </w:p>
    <w:p w:rsidR="009C60B5" w:rsidRPr="009B3747" w:rsidRDefault="009C60B5" w:rsidP="00A07544">
      <w:pPr>
        <w:rPr>
          <w:rFonts w:eastAsia="Times New Roman" w:cstheme="minorHAnsi"/>
          <w:color w:val="000000"/>
          <w:lang w:eastAsia="en-GB"/>
        </w:rPr>
      </w:pPr>
    </w:p>
    <w:p w:rsidR="009C60B5" w:rsidRPr="009B3747" w:rsidRDefault="009C60B5" w:rsidP="00A07544">
      <w:pPr>
        <w:rPr>
          <w:rFonts w:eastAsiaTheme="majorEastAsia" w:cstheme="minorHAnsi"/>
          <w:b/>
          <w:bCs/>
          <w:iCs/>
          <w:sz w:val="24"/>
          <w:szCs w:val="24"/>
          <w:u w:val="single"/>
        </w:rPr>
      </w:pPr>
    </w:p>
    <w:p w:rsidR="009C60B5" w:rsidRPr="009B3747" w:rsidRDefault="009C60B5" w:rsidP="00A07544">
      <w:pPr>
        <w:rPr>
          <w:rFonts w:eastAsiaTheme="majorEastAsia" w:cstheme="minorHAnsi"/>
          <w:b/>
          <w:bCs/>
          <w:iCs/>
          <w:sz w:val="24"/>
          <w:szCs w:val="24"/>
          <w:u w:val="single"/>
        </w:rPr>
      </w:pPr>
    </w:p>
    <w:p w:rsidR="009C60B5" w:rsidRPr="009B3747" w:rsidRDefault="009C60B5" w:rsidP="00A07544">
      <w:pPr>
        <w:rPr>
          <w:rFonts w:eastAsiaTheme="majorEastAsia" w:cstheme="minorHAnsi"/>
          <w:b/>
          <w:bCs/>
          <w:iCs/>
          <w:sz w:val="24"/>
          <w:szCs w:val="24"/>
          <w:u w:val="single"/>
        </w:rPr>
      </w:pPr>
    </w:p>
    <w:p w:rsidR="009C60B5" w:rsidRPr="009B3747" w:rsidRDefault="009C60B5" w:rsidP="00A07544">
      <w:pPr>
        <w:rPr>
          <w:rFonts w:eastAsiaTheme="majorEastAsia" w:cstheme="minorHAnsi"/>
          <w:b/>
          <w:bCs/>
          <w:iCs/>
          <w:sz w:val="24"/>
          <w:szCs w:val="24"/>
          <w:u w:val="single"/>
        </w:rPr>
      </w:pPr>
    </w:p>
    <w:p w:rsidR="009C60B5" w:rsidRPr="009B3747" w:rsidRDefault="009C60B5" w:rsidP="00A07544">
      <w:pPr>
        <w:rPr>
          <w:rFonts w:eastAsiaTheme="majorEastAsia" w:cstheme="minorHAnsi"/>
          <w:b/>
          <w:bCs/>
          <w:iCs/>
          <w:sz w:val="24"/>
          <w:szCs w:val="24"/>
          <w:u w:val="single"/>
        </w:rPr>
      </w:pPr>
    </w:p>
    <w:p w:rsidR="009C60B5" w:rsidRPr="009B3747" w:rsidRDefault="009C60B5" w:rsidP="00A07544">
      <w:pPr>
        <w:rPr>
          <w:rFonts w:eastAsiaTheme="majorEastAsia" w:cstheme="minorHAnsi"/>
          <w:b/>
          <w:bCs/>
          <w:iCs/>
          <w:sz w:val="24"/>
          <w:szCs w:val="24"/>
          <w:u w:val="single"/>
        </w:rPr>
      </w:pPr>
    </w:p>
    <w:p w:rsidR="009C60B5" w:rsidRPr="009B3747" w:rsidRDefault="009C60B5" w:rsidP="00A07544">
      <w:pPr>
        <w:rPr>
          <w:rFonts w:eastAsiaTheme="majorEastAsia" w:cstheme="minorHAnsi"/>
          <w:b/>
          <w:bCs/>
          <w:iCs/>
          <w:sz w:val="24"/>
          <w:szCs w:val="24"/>
          <w:u w:val="single"/>
        </w:rPr>
      </w:pPr>
    </w:p>
    <w:p w:rsidR="009C60B5" w:rsidRPr="009B3747" w:rsidRDefault="009C60B5" w:rsidP="00A07544">
      <w:pPr>
        <w:rPr>
          <w:rFonts w:eastAsiaTheme="majorEastAsia" w:cstheme="minorHAnsi"/>
          <w:b/>
          <w:bCs/>
          <w:iCs/>
          <w:sz w:val="24"/>
          <w:szCs w:val="24"/>
          <w:u w:val="single"/>
        </w:rPr>
      </w:pPr>
    </w:p>
    <w:p w:rsidR="009C60B5" w:rsidRPr="009B3747" w:rsidRDefault="009C60B5" w:rsidP="00A07544">
      <w:pPr>
        <w:rPr>
          <w:rFonts w:eastAsiaTheme="majorEastAsia" w:cstheme="minorHAnsi"/>
          <w:b/>
          <w:bCs/>
          <w:iCs/>
          <w:sz w:val="24"/>
          <w:szCs w:val="24"/>
          <w:u w:val="single"/>
        </w:rPr>
      </w:pPr>
    </w:p>
    <w:p w:rsidR="009C60B5" w:rsidRPr="009B3747" w:rsidRDefault="009C60B5" w:rsidP="00A07544">
      <w:pPr>
        <w:rPr>
          <w:rFonts w:eastAsiaTheme="majorEastAsia" w:cstheme="minorHAnsi"/>
          <w:b/>
          <w:bCs/>
          <w:iCs/>
          <w:sz w:val="24"/>
          <w:szCs w:val="24"/>
          <w:u w:val="single"/>
        </w:rPr>
      </w:pPr>
    </w:p>
    <w:p w:rsidR="009C60B5" w:rsidRPr="009B3747" w:rsidRDefault="009C60B5" w:rsidP="00A07544">
      <w:pPr>
        <w:rPr>
          <w:rFonts w:eastAsiaTheme="majorEastAsia" w:cstheme="minorHAnsi"/>
          <w:b/>
          <w:bCs/>
          <w:iCs/>
          <w:sz w:val="24"/>
          <w:szCs w:val="24"/>
          <w:u w:val="single"/>
        </w:rPr>
      </w:pPr>
    </w:p>
    <w:p w:rsidR="009C60B5" w:rsidRPr="009B3747" w:rsidRDefault="009C60B5" w:rsidP="00A07544">
      <w:pPr>
        <w:rPr>
          <w:rFonts w:eastAsiaTheme="majorEastAsia" w:cstheme="minorHAnsi"/>
          <w:b/>
          <w:bCs/>
          <w:iCs/>
          <w:sz w:val="24"/>
          <w:szCs w:val="24"/>
          <w:u w:val="single"/>
        </w:rPr>
      </w:pPr>
    </w:p>
    <w:p w:rsidR="009C60B5" w:rsidRPr="009B3747" w:rsidRDefault="009C60B5" w:rsidP="00A07544">
      <w:pPr>
        <w:rPr>
          <w:rFonts w:eastAsiaTheme="majorEastAsia" w:cstheme="minorHAnsi"/>
          <w:b/>
          <w:bCs/>
          <w:iCs/>
          <w:sz w:val="24"/>
          <w:szCs w:val="24"/>
          <w:u w:val="single"/>
        </w:rPr>
      </w:pPr>
    </w:p>
    <w:p w:rsidR="00CF32DA" w:rsidRPr="009B3747" w:rsidRDefault="00510940" w:rsidP="00A07544">
      <w:pPr>
        <w:rPr>
          <w:rFonts w:eastAsiaTheme="majorEastAsia" w:cstheme="minorHAnsi"/>
          <w:b/>
          <w:bCs/>
          <w:iCs/>
          <w:sz w:val="24"/>
          <w:szCs w:val="24"/>
          <w:u w:val="single"/>
        </w:rPr>
      </w:pPr>
      <w:r w:rsidRPr="009B3747">
        <w:rPr>
          <w:rFonts w:eastAsia="Times New Roman" w:cstheme="minorHAnsi"/>
          <w:color w:val="000000"/>
          <w:lang w:eastAsia="en-GB"/>
        </w:rPr>
        <w:br/>
      </w:r>
    </w:p>
    <w:p w:rsidR="009C60B5" w:rsidRPr="009B3747" w:rsidRDefault="009C60B5" w:rsidP="00510940">
      <w:pPr>
        <w:rPr>
          <w:rFonts w:eastAsia="Times New Roman" w:cstheme="minorHAnsi"/>
          <w:i/>
          <w:iCs/>
          <w:color w:val="000000"/>
          <w:lang w:eastAsia="en-GB"/>
        </w:rPr>
      </w:pPr>
    </w:p>
    <w:p w:rsidR="009C60B5" w:rsidRPr="009B3747" w:rsidRDefault="009C60B5" w:rsidP="00510940">
      <w:pPr>
        <w:rPr>
          <w:rFonts w:eastAsia="Times New Roman" w:cstheme="minorHAnsi"/>
          <w:i/>
          <w:iCs/>
          <w:color w:val="000000"/>
          <w:lang w:eastAsia="en-GB"/>
        </w:rPr>
      </w:pPr>
    </w:p>
    <w:p w:rsidR="006F36A0" w:rsidRPr="009B3747" w:rsidRDefault="006F36A0" w:rsidP="00510940">
      <w:pPr>
        <w:rPr>
          <w:rFonts w:eastAsia="Times New Roman" w:cstheme="minorHAnsi"/>
          <w:i/>
          <w:iCs/>
          <w:color w:val="000000"/>
          <w:lang w:eastAsia="en-GB"/>
        </w:rPr>
      </w:pPr>
    </w:p>
    <w:p w:rsidR="00161F38" w:rsidRPr="009B3747" w:rsidRDefault="00161F38" w:rsidP="00510940">
      <w:pPr>
        <w:rPr>
          <w:rFonts w:eastAsia="Times New Roman" w:cstheme="minorHAnsi"/>
          <w:i/>
          <w:iCs/>
          <w:color w:val="000000"/>
          <w:lang w:eastAsia="en-GB"/>
        </w:rPr>
      </w:pPr>
    </w:p>
    <w:p w:rsidR="00B20775" w:rsidRPr="009B3747" w:rsidRDefault="00B20775" w:rsidP="00510940">
      <w:pPr>
        <w:rPr>
          <w:rFonts w:eastAsia="Times New Roman" w:cstheme="minorHAnsi"/>
          <w:i/>
          <w:iCs/>
          <w:color w:val="000000"/>
          <w:lang w:eastAsia="en-GB"/>
        </w:rPr>
      </w:pPr>
    </w:p>
    <w:p w:rsidR="00EA7466" w:rsidRPr="009B3747" w:rsidRDefault="00B20775" w:rsidP="00EC4081">
      <w:pPr>
        <w:ind w:left="2160"/>
        <w:rPr>
          <w:rFonts w:eastAsia="Times New Roman" w:cstheme="minorHAnsi"/>
          <w:i/>
          <w:iCs/>
          <w:color w:val="000000"/>
          <w:sz w:val="20"/>
          <w:szCs w:val="20"/>
          <w:u w:val="single"/>
          <w:lang w:eastAsia="en-GB"/>
        </w:rPr>
      </w:pPr>
      <w:r w:rsidRPr="009B3747">
        <w:rPr>
          <w:rFonts w:eastAsia="Times New Roman" w:cstheme="minorHAnsi"/>
          <w:iCs/>
          <w:color w:val="000000"/>
          <w:sz w:val="20"/>
          <w:szCs w:val="20"/>
          <w:u w:val="single"/>
          <w:lang w:eastAsia="en-GB"/>
        </w:rPr>
        <w:t>F</w:t>
      </w:r>
      <w:r w:rsidR="00EA7466" w:rsidRPr="009B3747">
        <w:rPr>
          <w:rFonts w:eastAsia="Times New Roman" w:cstheme="minorHAnsi"/>
          <w:color w:val="000000"/>
          <w:sz w:val="20"/>
          <w:szCs w:val="20"/>
          <w:u w:val="single"/>
          <w:lang w:eastAsia="en-GB"/>
        </w:rPr>
        <w:t>igure 5</w:t>
      </w:r>
      <w:r w:rsidR="00EC4081" w:rsidRPr="009B3747">
        <w:rPr>
          <w:rFonts w:eastAsia="Times New Roman" w:cstheme="minorHAnsi"/>
          <w:color w:val="000000"/>
          <w:sz w:val="20"/>
          <w:szCs w:val="20"/>
          <w:u w:val="single"/>
          <w:lang w:eastAsia="en-GB"/>
        </w:rPr>
        <w:t>.1</w:t>
      </w:r>
      <w:r w:rsidR="00EA7466" w:rsidRPr="009B3747">
        <w:rPr>
          <w:rFonts w:eastAsia="Times New Roman" w:cstheme="minorHAnsi"/>
          <w:color w:val="000000"/>
          <w:sz w:val="20"/>
          <w:szCs w:val="20"/>
          <w:u w:val="single"/>
          <w:lang w:eastAsia="en-GB"/>
        </w:rPr>
        <w:t xml:space="preserve"> - Six phase process to thematic analysis (Braun and Clarke, 2006)</w:t>
      </w:r>
    </w:p>
    <w:p w:rsidR="00EA7466" w:rsidRPr="009B3747" w:rsidRDefault="00EA7466" w:rsidP="00510940">
      <w:pPr>
        <w:rPr>
          <w:rFonts w:eastAsia="Times New Roman" w:cstheme="minorHAnsi"/>
          <w:i/>
          <w:iCs/>
          <w:color w:val="000000"/>
          <w:lang w:eastAsia="en-GB"/>
        </w:rPr>
      </w:pPr>
    </w:p>
    <w:p w:rsidR="00510940" w:rsidRPr="009B3747" w:rsidRDefault="00510940" w:rsidP="00510940">
      <w:pPr>
        <w:rPr>
          <w:rFonts w:eastAsia="Times New Roman" w:cstheme="minorHAnsi"/>
          <w:sz w:val="24"/>
          <w:szCs w:val="24"/>
          <w:lang w:eastAsia="en-GB"/>
        </w:rPr>
      </w:pPr>
      <w:r w:rsidRPr="009B3747">
        <w:rPr>
          <w:rFonts w:eastAsia="Times New Roman" w:cstheme="minorHAnsi"/>
          <w:i/>
          <w:iCs/>
          <w:color w:val="000000"/>
          <w:lang w:eastAsia="en-GB"/>
        </w:rPr>
        <w:lastRenderedPageBreak/>
        <w:t>Phase 2: Generating initial codes</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B20775" w:rsidRPr="009B3747" w:rsidRDefault="00510940" w:rsidP="00510940">
      <w:pPr>
        <w:rPr>
          <w:rFonts w:eastAsia="Times New Roman" w:cstheme="minorHAnsi"/>
          <w:color w:val="000000"/>
          <w:lang w:eastAsia="en-GB"/>
        </w:rPr>
      </w:pPr>
      <w:r w:rsidRPr="009B3747">
        <w:rPr>
          <w:rFonts w:eastAsia="Times New Roman" w:cstheme="minorHAnsi"/>
          <w:color w:val="000000"/>
          <w:lang w:eastAsia="en-GB"/>
        </w:rPr>
        <w:t>Once the researcher felt phase one had been completed thoroughly, an academic supervision meeting assisted in moving forward onto the second phase of generating ini</w:t>
      </w:r>
      <w:r w:rsidR="00B20775" w:rsidRPr="009B3747">
        <w:rPr>
          <w:rFonts w:eastAsia="Times New Roman" w:cstheme="minorHAnsi"/>
          <w:color w:val="000000"/>
          <w:lang w:eastAsia="en-GB"/>
        </w:rPr>
        <w:t xml:space="preserve">tial codes.  Codes are said to </w:t>
      </w:r>
      <w:r w:rsidRPr="009B3747">
        <w:rPr>
          <w:rFonts w:eastAsia="Times New Roman" w:cstheme="minorHAnsi"/>
          <w:color w:val="000000"/>
          <w:lang w:eastAsia="en-GB"/>
        </w:rPr>
        <w:t xml:space="preserve">identify </w:t>
      </w:r>
      <w:r w:rsidR="00B20775" w:rsidRPr="009B3747">
        <w:rPr>
          <w:rFonts w:eastAsia="Times New Roman" w:cstheme="minorHAnsi"/>
          <w:color w:val="000000"/>
          <w:lang w:eastAsia="en-GB"/>
        </w:rPr>
        <w:t xml:space="preserve">an element </w:t>
      </w:r>
      <w:r w:rsidRPr="009B3747">
        <w:rPr>
          <w:rFonts w:eastAsia="Times New Roman" w:cstheme="minorHAnsi"/>
          <w:color w:val="000000"/>
          <w:lang w:eastAsia="en-GB"/>
        </w:rPr>
        <w:t>of the data that appe</w:t>
      </w:r>
      <w:r w:rsidR="00B20775" w:rsidRPr="009B3747">
        <w:rPr>
          <w:rFonts w:eastAsia="Times New Roman" w:cstheme="minorHAnsi"/>
          <w:color w:val="000000"/>
          <w:lang w:eastAsia="en-GB"/>
        </w:rPr>
        <w:t xml:space="preserve">ars interesting to the analyst </w:t>
      </w:r>
      <w:r w:rsidRPr="009B3747">
        <w:rPr>
          <w:rFonts w:eastAsia="Times New Roman" w:cstheme="minorHAnsi"/>
          <w:color w:val="000000"/>
          <w:lang w:eastAsia="en-GB"/>
        </w:rPr>
        <w:t xml:space="preserve">(Braun and Clarke, 2006) and are typically applied to portions of data, words, phrases, sentences or whole paragraphs </w:t>
      </w:r>
      <w:r w:rsidR="00B20775" w:rsidRPr="009B3747">
        <w:rPr>
          <w:rFonts w:eastAsia="Times New Roman" w:cstheme="minorHAnsi"/>
          <w:color w:val="000000"/>
          <w:lang w:eastAsia="en-GB"/>
        </w:rPr>
        <w:fldChar w:fldCharType="begin" w:fldLock="1"/>
      </w:r>
      <w:r w:rsidR="00B22CC4" w:rsidRPr="009B3747">
        <w:rPr>
          <w:rFonts w:eastAsia="Times New Roman" w:cstheme="minorHAnsi"/>
          <w:color w:val="000000"/>
          <w:lang w:eastAsia="en-GB"/>
        </w:rPr>
        <w:instrText>ADDIN CSL_CITATION { "citationItems" : [ { "id" : "ITEM-1", "itemData" : { "DOI" : "10.1080/0013188032000133548", "ISBN" : "0013-1881", "ISSN" : "0013-1881", "abstract" : "Data analysis is the most difficult and most crucial aspect of qualitative research. Coding is one of the significant steps taken during analysis to organize and make sense of textual data. This paper examines the use of manual and electronic methods to code data in two rather different projects in which the data were collected mainly by in-depth interviewing. The author looks at both the methods in the light of her own experience and concludes that the choice will be dependent on the size of the project, the funds and time available, and the inclination and expertise of the researcher.", "author" : [ { "dropping-particle" : "", "family" : "Basit", "given" : "Tehmina N.", "non-dropping-particle" : "", "parse-names" : false, "suffix" : "" } ], "container-title" : "Educational Research", "id" : "ITEM-1", "issue" : "2", "issued" : { "date-parts" : [ [ "2003", "6" ] ] }, "page" : "143-154", "publisher" : "Taylor &amp; Francis", "title" : "Manual or Electronic: the Role of Coding in Qualitative Data Analysis", "type" : "article-journal", "volume" : "45" }, "uris" : [ "http://www.mendeley.com/documents/?uuid=7162e3fb-bce0-3429-b83e-ad0c51722ba7" ] } ], "mendeley" : { "formattedCitation" : "(Basit, 2003)", "plainTextFormattedCitation" : "(Basit, 2003)", "previouslyFormattedCitation" : "(Basit, 2003)" }, "properties" : { "noteIndex" : 0 }, "schema" : "https://github.com/citation-style-language/schema/raw/master/csl-citation.json" }</w:instrText>
      </w:r>
      <w:r w:rsidR="00B20775" w:rsidRPr="009B3747">
        <w:rPr>
          <w:rFonts w:eastAsia="Times New Roman" w:cstheme="minorHAnsi"/>
          <w:color w:val="000000"/>
          <w:lang w:eastAsia="en-GB"/>
        </w:rPr>
        <w:fldChar w:fldCharType="separate"/>
      </w:r>
      <w:r w:rsidR="00B20775" w:rsidRPr="009B3747">
        <w:rPr>
          <w:rFonts w:eastAsia="Times New Roman" w:cstheme="minorHAnsi"/>
          <w:noProof/>
          <w:color w:val="000000"/>
          <w:lang w:eastAsia="en-GB"/>
        </w:rPr>
        <w:t>(Basit, 2003)</w:t>
      </w:r>
      <w:r w:rsidR="00B20775" w:rsidRPr="009B3747">
        <w:rPr>
          <w:rFonts w:eastAsia="Times New Roman" w:cstheme="minorHAnsi"/>
          <w:color w:val="000000"/>
          <w:lang w:eastAsia="en-GB"/>
        </w:rPr>
        <w:fldChar w:fldCharType="end"/>
      </w:r>
      <w:r w:rsidR="00B20775" w:rsidRPr="009B3747">
        <w:rPr>
          <w:rFonts w:eastAsia="Times New Roman" w:cstheme="minorHAnsi"/>
          <w:color w:val="000000"/>
          <w:lang w:eastAsia="en-GB"/>
        </w:rPr>
        <w:t>.</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t>After discussing initial ideas developed from data familiarisation, a sample of extracts from different transcripts were reviewed with academic supervisors in order to practically explore the process of initial coding.  Both academic supervisors and the researcher initially coded the sample of extracts to compare and contrast what interesting elements had arisen.  </w:t>
      </w:r>
      <w:r w:rsidRPr="009B3747">
        <w:rPr>
          <w:rFonts w:eastAsia="Times New Roman" w:cstheme="minorHAnsi"/>
          <w:b/>
          <w:bCs/>
          <w:color w:val="000000"/>
          <w:lang w:eastAsia="en-GB"/>
        </w:rPr>
        <w:t> </w:t>
      </w:r>
      <w:r w:rsidRPr="009B3747">
        <w:rPr>
          <w:rFonts w:eastAsia="Times New Roman" w:cstheme="minorHAnsi"/>
          <w:color w:val="000000"/>
          <w:lang w:eastAsia="en-GB"/>
        </w:rPr>
        <w:t>The decision to undertake this group coding activity was based on the recognition that learning qualitative analytical methods can be enhanced through interaction with a more experienced researchers</w:t>
      </w:r>
      <w:r w:rsidR="00B20775" w:rsidRPr="009B3747">
        <w:rPr>
          <w:rFonts w:eastAsia="Times New Roman" w:cstheme="minorHAnsi"/>
          <w:color w:val="000000"/>
          <w:lang w:eastAsia="en-GB"/>
        </w:rPr>
        <w:t xml:space="preserve"> </w:t>
      </w:r>
      <w:r w:rsidR="00B20775" w:rsidRPr="009B3747">
        <w:rPr>
          <w:rFonts w:eastAsia="Times New Roman" w:cstheme="minorHAnsi"/>
          <w:color w:val="000000"/>
          <w:lang w:eastAsia="en-GB"/>
        </w:rPr>
        <w:fldChar w:fldCharType="begin" w:fldLock="1"/>
      </w:r>
      <w:r w:rsidR="00B20775" w:rsidRPr="009B3747">
        <w:rPr>
          <w:rFonts w:eastAsia="Times New Roman" w:cstheme="minorHAnsi"/>
          <w:color w:val="000000"/>
          <w:lang w:eastAsia="en-GB"/>
        </w:rPr>
        <w:instrText>ADDIN CSL_CITATION { "citationItems" : [ { "id" : "ITEM-1", "itemData" : { "DOI" : "10.1080/0305498042000215502", "ISSN" : "0305-4985", "abstract" : "The core idea of action research is that there should be an intimate relationship between inquiry and practical or political activities. A challenge to this idea based on an influential ancient Greek hierarchy between theoria and praxis is examined. The contrary, pragmatist, notion that all inquiry arises out of human activity is accepted, but not the instrumentalism sometimes derived from it. Research must be treated as operating on the same plane as any other activity, but the relationship between the two will always be less than isomorphic, and this creates the prospect of severe tensions. These can be managed contextually in two ways: by subordinating inquiry, or by making it primary. Both are legitimate, but any attempt to treat the two components of action research as equal faces contradiction.", "author" : [ { "dropping-particle" : "", "family" : "Hammersley *", "given" : "Martyn", "non-dropping-particle" : "", "parse-names" : false, "suffix" : "" } ], "container-title" : "Oxford Review of Education", "id" : "ITEM-1", "issue" : "2", "issued" : { "date-parts" : [ [ "2004", "6" ] ] }, "page" : "165-181", "publisher" : " Taylor and Francis Ltd ", "title" : "Action research: a contradiction in terms?", "type" : "article-journal", "volume" : "30" }, "uris" : [ "http://www.mendeley.com/documents/?uuid=6a0c68a8-de21-31fc-ba64-8f305472f709" ] } ], "mendeley" : { "formattedCitation" : "(Hammersley *, 2004)", "manualFormatting" : "(Hammersley, 2004)", "plainTextFormattedCitation" : "(Hammersley *, 2004)", "previouslyFormattedCitation" : "(Hammersley *, 2004)" }, "properties" : { "noteIndex" : 0 }, "schema" : "https://github.com/citation-style-language/schema/raw/master/csl-citation.json" }</w:instrText>
      </w:r>
      <w:r w:rsidR="00B20775" w:rsidRPr="009B3747">
        <w:rPr>
          <w:rFonts w:eastAsia="Times New Roman" w:cstheme="minorHAnsi"/>
          <w:color w:val="000000"/>
          <w:lang w:eastAsia="en-GB"/>
        </w:rPr>
        <w:fldChar w:fldCharType="separate"/>
      </w:r>
      <w:r w:rsidR="00B20775" w:rsidRPr="009B3747">
        <w:rPr>
          <w:rFonts w:eastAsia="Times New Roman" w:cstheme="minorHAnsi"/>
          <w:noProof/>
          <w:color w:val="000000"/>
          <w:lang w:eastAsia="en-GB"/>
        </w:rPr>
        <w:t>(Hammersley, 2004)</w:t>
      </w:r>
      <w:r w:rsidR="00B20775" w:rsidRPr="009B3747">
        <w:rPr>
          <w:rFonts w:eastAsia="Times New Roman" w:cstheme="minorHAnsi"/>
          <w:color w:val="000000"/>
          <w:lang w:eastAsia="en-GB"/>
        </w:rPr>
        <w:fldChar w:fldCharType="end"/>
      </w:r>
      <w:r w:rsidRPr="009B3747">
        <w:rPr>
          <w:rFonts w:eastAsia="Times New Roman" w:cstheme="minorHAnsi"/>
          <w:color w:val="000000"/>
          <w:lang w:eastAsia="en-GB"/>
        </w:rPr>
        <w:t>.  Despite mutual or group coding, not necessarily leading to more accurate coding (Braun and Clarke, 2006), the exercise was merely undertaken to develop researcher confidence and understanding of the task in hand.    </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t xml:space="preserve">Over 150,000 words of data were generated from conducting the 22 interviews.  Consequently, this was a substantial amount of data to manage and code.  To </w:t>
      </w:r>
      <w:r w:rsidR="00154224">
        <w:rPr>
          <w:rFonts w:eastAsia="Times New Roman" w:cstheme="minorHAnsi"/>
          <w:color w:val="000000"/>
          <w:lang w:eastAsia="en-GB"/>
        </w:rPr>
        <w:t>obtain a</w:t>
      </w:r>
      <w:r w:rsidRPr="009B3747">
        <w:rPr>
          <w:rFonts w:eastAsia="Times New Roman" w:cstheme="minorHAnsi"/>
          <w:color w:val="000000"/>
          <w:lang w:eastAsia="en-GB"/>
        </w:rPr>
        <w:t xml:space="preserve"> physical and visual sense of the data, the first five transcripts were coded initially by hand on paper, using highlighters, pens an</w:t>
      </w:r>
      <w:r w:rsidR="00F82667" w:rsidRPr="009B3747">
        <w:rPr>
          <w:rFonts w:eastAsia="Times New Roman" w:cstheme="minorHAnsi"/>
          <w:color w:val="000000"/>
          <w:lang w:eastAsia="en-GB"/>
        </w:rPr>
        <w:t>d post-</w:t>
      </w:r>
      <w:r w:rsidR="00B20775" w:rsidRPr="009B3747">
        <w:rPr>
          <w:rFonts w:eastAsia="Times New Roman" w:cstheme="minorHAnsi"/>
          <w:color w:val="000000"/>
          <w:lang w:eastAsia="en-GB"/>
        </w:rPr>
        <w:t>it notes (</w:t>
      </w:r>
      <w:r w:rsidR="0051772A" w:rsidRPr="009B3747">
        <w:rPr>
          <w:rFonts w:eastAsia="Times New Roman" w:cstheme="minorHAnsi"/>
          <w:color w:val="000000"/>
          <w:lang w:eastAsia="en-GB"/>
        </w:rPr>
        <w:t>Appendix G</w:t>
      </w:r>
      <w:r w:rsidRPr="009B3747">
        <w:rPr>
          <w:rFonts w:eastAsia="Times New Roman" w:cstheme="minorHAnsi"/>
          <w:color w:val="000000"/>
          <w:lang w:eastAsia="en-GB"/>
        </w:rPr>
        <w:t>).  These five transcripts and all remaining transcripts were then uploaded to the qualitative data analysis software - QSR International NVivo 11</w:t>
      </w:r>
      <w:r w:rsidR="00B20775" w:rsidRPr="009B3747">
        <w:rPr>
          <w:rFonts w:eastAsia="Times New Roman" w:cstheme="minorHAnsi"/>
          <w:color w:val="000000"/>
          <w:lang w:eastAsia="en-GB"/>
        </w:rPr>
        <w:t xml:space="preserve"> </w:t>
      </w:r>
      <w:r w:rsidR="00B20775"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"QSR International", "given" : "", "non-dropping-particle" : "", "parse-names" : false, "suffix" : "" } ], "id" : "ITEM-1", "issued" : { "date-parts" : [ [ "2015" ] ] }, "publisher" : "QSR International Pty Ltd", "title" : "NVivo 11 for Windows", "type" : "article" }, "uris" : [ "http://www.mendeley.com/documents/?uuid=addad48e-aa34-43b8-9fc4-0c96f2c021e4" ] } ], "mendeley" : { "formattedCitation" : "(QSR International, 2015)", "plainTextFormattedCitation" : "(QSR International, 2015)", "previouslyFormattedCitation" : "(QSR International, 2015)" }, "properties" : { "noteIndex" : 0 }, "schema" : "https://github.com/citation-style-language/schema/raw/master/csl-citation.json" }</w:instrText>
      </w:r>
      <w:r w:rsidR="00B20775" w:rsidRPr="009B3747">
        <w:rPr>
          <w:rFonts w:eastAsia="Times New Roman" w:cstheme="minorHAnsi"/>
          <w:color w:val="000000"/>
          <w:lang w:eastAsia="en-GB"/>
        </w:rPr>
        <w:fldChar w:fldCharType="separate"/>
      </w:r>
      <w:r w:rsidR="00B20775" w:rsidRPr="009B3747">
        <w:rPr>
          <w:rFonts w:eastAsia="Times New Roman" w:cstheme="minorHAnsi"/>
          <w:noProof/>
          <w:color w:val="000000"/>
          <w:lang w:eastAsia="en-GB"/>
        </w:rPr>
        <w:t>(QSR International, 2015)</w:t>
      </w:r>
      <w:r w:rsidR="00B20775" w:rsidRPr="009B3747">
        <w:rPr>
          <w:rFonts w:eastAsia="Times New Roman" w:cstheme="minorHAnsi"/>
          <w:color w:val="000000"/>
          <w:lang w:eastAsia="en-GB"/>
        </w:rPr>
        <w:fldChar w:fldCharType="end"/>
      </w:r>
      <w:r w:rsidR="00B20775" w:rsidRPr="009B3747">
        <w:rPr>
          <w:rFonts w:eastAsia="Times New Roman" w:cstheme="minorHAnsi"/>
          <w:color w:val="000000"/>
          <w:lang w:eastAsia="en-GB"/>
        </w:rPr>
        <w:t xml:space="preserve"> </w:t>
      </w:r>
      <w:r w:rsidRPr="009B3747">
        <w:rPr>
          <w:rFonts w:eastAsia="Times New Roman" w:cstheme="minorHAnsi"/>
          <w:color w:val="000000"/>
          <w:lang w:eastAsia="en-GB"/>
        </w:rPr>
        <w:t>and coded.  Whilst not performing an analytical role, the use of NVivo aided in collecting and organising the anonymised transcriptions, managing the generated codes and collating relevant data extracts</w:t>
      </w:r>
      <w:r w:rsidR="00B20775" w:rsidRPr="009B3747">
        <w:rPr>
          <w:rFonts w:eastAsia="Times New Roman" w:cstheme="minorHAnsi"/>
          <w:color w:val="000000"/>
          <w:lang w:eastAsia="en-GB"/>
        </w:rPr>
        <w:t xml:space="preserve"> </w:t>
      </w:r>
      <w:r w:rsidR="00B20775"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"ISBN" : "9781446249727", "abstract" : "Second edition. Previous edition: 2007. Qualitative data analysis and CAQDAS -- The nature of software support for research projects -- Software summaries -- Data and their preparation for CAQDAS packages -- Early steps in software : practical tasks and familiarisation -- Exploration and data-level work -- Qualitative coding in software : principles and processes -- Basic retrieval of coded data -- Working with coding schemes -- Managing processes and interpretations by writing -- Mapping ideas and linking concepts -- Organising data by known characteristics -- Interrogating the dataset -- Convergence, closeness, choice.", "author" : [ { "dropping-particle" : "", "family" : "Silver", "given" : "Christina", "non-dropping-particle" : "", "parse-names" : false, "suffix" : "" }, { "dropping-particle" : "", "family" : "Lewins", "given" : "Ann", "non-dropping-particle" : "", "parse-names" : false, "suffix" : "" } ], "id" : "ITEM-1", "issued" : { "date-parts" : [ [ "2014" ] ] }, "number-of-pages" : "355", "publisher" : "SAGE Publications Ltd", "publisher-place" : "London", "title" : "Using software in qualitative research : a step-by-step guide", "type" : "book" }, "uris" : [ "http://www.mendeley.com/documents/?uuid=46e2694e-c8f7-372c-ba09-3f5eb9e2b0c0" ] } ], "mendeley" : { "formattedCitation" : "(Silver and Lewins, 2014)", "manualFormatting" : "(Silver and Lewins, 2014)", "plainTextFormattedCitation" : "(Silver and Lewins, 2014)", "previouslyFormattedCitation" : "(Silver and Lewins, 2014)" }, "properties" : { "noteIndex" : 0 }, "schema" : "https://github.com/citation-style-language/schema/raw/master/csl-citation.json" }</w:instrText>
      </w:r>
      <w:r w:rsidR="00B20775" w:rsidRPr="009B3747">
        <w:rPr>
          <w:rFonts w:eastAsia="Times New Roman" w:cstheme="minorHAnsi"/>
          <w:color w:val="000000"/>
          <w:lang w:eastAsia="en-GB"/>
        </w:rPr>
        <w:fldChar w:fldCharType="separate"/>
      </w:r>
      <w:r w:rsidR="00B20775" w:rsidRPr="009B3747">
        <w:rPr>
          <w:rFonts w:eastAsia="Times New Roman" w:cstheme="minorHAnsi"/>
          <w:noProof/>
          <w:color w:val="000000"/>
          <w:lang w:eastAsia="en-GB"/>
        </w:rPr>
        <w:t>(Silver and Lewins, 2014)</w:t>
      </w:r>
      <w:r w:rsidR="00B20775" w:rsidRPr="009B3747">
        <w:rPr>
          <w:rFonts w:eastAsia="Times New Roman" w:cstheme="minorHAnsi"/>
          <w:color w:val="000000"/>
          <w:lang w:eastAsia="en-GB"/>
        </w:rPr>
        <w:fldChar w:fldCharType="end"/>
      </w:r>
      <w:r w:rsidR="00B20775" w:rsidRPr="009B3747">
        <w:rPr>
          <w:rFonts w:eastAsia="Times New Roman" w:cstheme="minorHAnsi"/>
          <w:color w:val="000000"/>
          <w:lang w:eastAsia="en-GB"/>
        </w:rPr>
        <w:t xml:space="preserve">.  </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t>The broad, open and exploratory nature of the interview questions posted, coupled with the researchers limited experience in undertaking qualitative data analysis, resulted in a high number of initial codes being generated, 396 in total. Common with PhD researchers who perceive they lack the skills, confidence or practice experience in knowing what, when and how to code (Li and Seale, 2007; Liamputtong, 2009), the researcher potentially over coded for fear of missing something of importance or interest in the data set.  </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990EFD" w:rsidP="00510940">
      <w:pPr>
        <w:rPr>
          <w:rFonts w:eastAsia="Times New Roman" w:cstheme="minorHAnsi"/>
          <w:sz w:val="24"/>
          <w:szCs w:val="24"/>
          <w:lang w:eastAsia="en-GB"/>
        </w:rPr>
      </w:pPr>
      <w:r w:rsidRPr="009B3747">
        <w:rPr>
          <w:rFonts w:eastAsia="Times New Roman" w:cstheme="minorHAnsi"/>
          <w:color w:val="000000"/>
          <w:lang w:eastAsia="en-GB"/>
        </w:rPr>
        <w:lastRenderedPageBreak/>
        <w:t>Once the entire code</w:t>
      </w:r>
      <w:r w:rsidR="00510940" w:rsidRPr="009B3747">
        <w:rPr>
          <w:rFonts w:eastAsia="Times New Roman" w:cstheme="minorHAnsi"/>
          <w:color w:val="000000"/>
          <w:lang w:eastAsia="en-GB"/>
        </w:rPr>
        <w:t xml:space="preserve"> list was generated, academic supervision assisted in understanding that this experience was part of the learning process and at the very least demonstrated a thorough and comprehensive approach.  </w:t>
      </w:r>
    </w:p>
    <w:p w:rsidR="00510940"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154224" w:rsidRPr="009B3747" w:rsidRDefault="00154224" w:rsidP="00510940">
      <w:pPr>
        <w:rPr>
          <w:rFonts w:eastAsia="Times New Roman" w:cstheme="minorHAnsi"/>
          <w:sz w:val="24"/>
          <w:szCs w:val="24"/>
          <w:lang w:eastAsia="en-GB"/>
        </w:rPr>
      </w:pPr>
    </w:p>
    <w:p w:rsidR="00510940" w:rsidRPr="009B3747" w:rsidRDefault="00510940" w:rsidP="00510940">
      <w:pPr>
        <w:rPr>
          <w:rFonts w:eastAsia="Times New Roman" w:cstheme="minorHAnsi"/>
          <w:i/>
          <w:sz w:val="24"/>
          <w:szCs w:val="24"/>
          <w:lang w:eastAsia="en-GB"/>
        </w:rPr>
      </w:pPr>
      <w:r w:rsidRPr="009B3747">
        <w:rPr>
          <w:rFonts w:eastAsia="Times New Roman" w:cstheme="minorHAnsi"/>
          <w:i/>
          <w:color w:val="000000"/>
          <w:lang w:eastAsia="en-GB"/>
        </w:rPr>
        <w:t>Phase 3: Searching for themes</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t>Once the list of initial codes had been generated, the process of sorting and organising them into broader themes began.  Again the use of NVivo aided in collating and organising the coded data extracts.  The researcher created a series of mind maps on paper, in order to visually understand the relationship between codes and how codes could be combined to form p</w:t>
      </w:r>
      <w:r w:rsidR="00503908" w:rsidRPr="009B3747">
        <w:rPr>
          <w:rFonts w:eastAsia="Times New Roman" w:cstheme="minorHAnsi"/>
          <w:color w:val="000000"/>
          <w:lang w:eastAsia="en-GB"/>
        </w:rPr>
        <w:t>otential themes.  A</w:t>
      </w:r>
      <w:r w:rsidRPr="009B3747">
        <w:rPr>
          <w:rFonts w:eastAsia="Times New Roman" w:cstheme="minorHAnsi"/>
          <w:color w:val="000000"/>
          <w:lang w:eastAsia="en-GB"/>
        </w:rPr>
        <w:t>t this point, some of the codes were</w:t>
      </w:r>
      <w:r w:rsidR="00CA766F" w:rsidRPr="009B3747">
        <w:rPr>
          <w:rFonts w:eastAsia="Times New Roman" w:cstheme="minorHAnsi"/>
          <w:color w:val="000000"/>
          <w:lang w:eastAsia="en-GB"/>
        </w:rPr>
        <w:t xml:space="preserve"> combined or merged, or </w:t>
      </w:r>
      <w:r w:rsidRPr="009B3747">
        <w:rPr>
          <w:rFonts w:eastAsia="Times New Roman" w:cstheme="minorHAnsi"/>
          <w:color w:val="000000"/>
          <w:lang w:eastAsia="en-GB"/>
        </w:rPr>
        <w:t>disregarded entirely</w:t>
      </w:r>
      <w:r w:rsidR="00CA766F" w:rsidRPr="009B3747">
        <w:rPr>
          <w:rFonts w:eastAsia="Times New Roman" w:cstheme="minorHAnsi"/>
          <w:color w:val="000000"/>
          <w:lang w:eastAsia="en-GB"/>
        </w:rPr>
        <w:t xml:space="preserve"> based on their perceived irrelevance</w:t>
      </w:r>
      <w:r w:rsidRPr="009B3747">
        <w:rPr>
          <w:rFonts w:eastAsia="Times New Roman" w:cstheme="minorHAnsi"/>
          <w:color w:val="000000"/>
          <w:lang w:eastAsia="en-GB"/>
        </w:rPr>
        <w:t>.   A group of codes were temporarily categorised as miscellaneous as they didn’t seem to ‘fit’ one or more of the emerging main themes.  The end of this phase resulted in a draft structure of three themes. It was at this stage that interpretative analysis of the data occurs and arguments about the shape and meaning of the phen</w:t>
      </w:r>
      <w:r w:rsidR="00CA766F" w:rsidRPr="009B3747">
        <w:rPr>
          <w:rFonts w:eastAsia="Times New Roman" w:cstheme="minorHAnsi"/>
          <w:color w:val="000000"/>
          <w:lang w:eastAsia="en-GB"/>
        </w:rPr>
        <w:t xml:space="preserve">omenon under study are made </w:t>
      </w:r>
      <w:r w:rsidRPr="009B3747">
        <w:rPr>
          <w:rFonts w:eastAsia="Times New Roman" w:cstheme="minorHAnsi"/>
          <w:color w:val="000000"/>
          <w:lang w:eastAsia="en-GB"/>
        </w:rPr>
        <w:t>(Boyatzis, 1998</w:t>
      </w:r>
      <w:r w:rsidR="00CA766F" w:rsidRPr="009B3747">
        <w:rPr>
          <w:rFonts w:eastAsia="Times New Roman" w:cstheme="minorHAnsi"/>
          <w:color w:val="000000"/>
          <w:lang w:eastAsia="en-GB"/>
        </w:rPr>
        <w:t>; Braun and Clarke, 2006</w:t>
      </w:r>
      <w:r w:rsidRPr="009B3747">
        <w:rPr>
          <w:rFonts w:eastAsia="Times New Roman" w:cstheme="minorHAnsi"/>
          <w:color w:val="000000"/>
          <w:lang w:eastAsia="en-GB"/>
        </w:rPr>
        <w:t xml:space="preserve">). </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i/>
          <w:sz w:val="24"/>
          <w:szCs w:val="24"/>
          <w:lang w:eastAsia="en-GB"/>
        </w:rPr>
      </w:pPr>
      <w:r w:rsidRPr="009B3747">
        <w:rPr>
          <w:rFonts w:eastAsia="Times New Roman" w:cstheme="minorHAnsi"/>
          <w:i/>
          <w:color w:val="000000"/>
          <w:lang w:eastAsia="en-GB"/>
        </w:rPr>
        <w:t>Phase 4: Reviewing themes</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t xml:space="preserve">Once the draft or newly proposed themes were developed, a refinement process began.  Coded data extracts were once again reviewed, although this time under each draft theme heading. This phase focused on ascertaining whether the identified potential themes could be supported by the data, were coherent in terms of the patterns form and distinct from one another.  This process confirmed the appropriateness of the three draft themes, however it </w:t>
      </w:r>
      <w:r w:rsidR="00154224">
        <w:rPr>
          <w:rFonts w:eastAsia="Times New Roman" w:cstheme="minorHAnsi"/>
          <w:color w:val="000000"/>
          <w:lang w:eastAsia="en-GB"/>
        </w:rPr>
        <w:t xml:space="preserve">also </w:t>
      </w:r>
      <w:r w:rsidRPr="009B3747">
        <w:rPr>
          <w:rFonts w:eastAsia="Times New Roman" w:cstheme="minorHAnsi"/>
          <w:color w:val="000000"/>
          <w:lang w:eastAsia="en-GB"/>
        </w:rPr>
        <w:t>resulted in the development of a new theme due to specific data extracts not fitting in the draft structure.  The second part of this phase, required the researcher to re-read all transcripts and coded data ext</w:t>
      </w:r>
      <w:r w:rsidR="00CA766F" w:rsidRPr="009B3747">
        <w:rPr>
          <w:rFonts w:eastAsia="Times New Roman" w:cstheme="minorHAnsi"/>
          <w:color w:val="000000"/>
          <w:lang w:eastAsia="en-GB"/>
        </w:rPr>
        <w:t xml:space="preserve">racts in order to consider the </w:t>
      </w:r>
      <w:r w:rsidRPr="009B3747">
        <w:rPr>
          <w:rFonts w:eastAsia="Times New Roman" w:cstheme="minorHAnsi"/>
          <w:color w:val="000000"/>
          <w:lang w:eastAsia="en-GB"/>
        </w:rPr>
        <w:t>validity of individual the</w:t>
      </w:r>
      <w:r w:rsidR="00CA766F" w:rsidRPr="009B3747">
        <w:rPr>
          <w:rFonts w:eastAsia="Times New Roman" w:cstheme="minorHAnsi"/>
          <w:color w:val="000000"/>
          <w:lang w:eastAsia="en-GB"/>
        </w:rPr>
        <w:t>mes in relation to the data set</w:t>
      </w:r>
      <w:r w:rsidRPr="009B3747">
        <w:rPr>
          <w:rFonts w:eastAsia="Times New Roman" w:cstheme="minorHAnsi"/>
          <w:color w:val="000000"/>
          <w:lang w:eastAsia="en-GB"/>
        </w:rPr>
        <w:t>.  This also provided the advantage of identifying data</w:t>
      </w:r>
      <w:r w:rsidR="009025E2">
        <w:rPr>
          <w:rFonts w:eastAsia="Times New Roman" w:cstheme="minorHAnsi"/>
          <w:color w:val="000000"/>
          <w:lang w:eastAsia="en-GB"/>
        </w:rPr>
        <w:t>,</w:t>
      </w:r>
      <w:r w:rsidRPr="009B3747">
        <w:rPr>
          <w:rFonts w:eastAsia="Times New Roman" w:cstheme="minorHAnsi"/>
          <w:color w:val="000000"/>
          <w:lang w:eastAsia="en-GB"/>
        </w:rPr>
        <w:t xml:space="preserve"> which had previously been missed from earlier stages of coding.  </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i/>
          <w:sz w:val="24"/>
          <w:szCs w:val="24"/>
          <w:lang w:eastAsia="en-GB"/>
        </w:rPr>
      </w:pPr>
      <w:r w:rsidRPr="009B3747">
        <w:rPr>
          <w:rFonts w:eastAsia="Times New Roman" w:cstheme="minorHAnsi"/>
          <w:i/>
          <w:color w:val="000000"/>
          <w:lang w:eastAsia="en-GB"/>
        </w:rPr>
        <w:t>Phase 5: Defining and naming themes</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t>Once the thematic map had</w:t>
      </w:r>
      <w:r w:rsidR="00CA766F" w:rsidRPr="009B3747">
        <w:rPr>
          <w:rFonts w:eastAsia="Times New Roman" w:cstheme="minorHAnsi"/>
          <w:color w:val="000000"/>
          <w:lang w:eastAsia="en-GB"/>
        </w:rPr>
        <w:t xml:space="preserve"> bee</w:t>
      </w:r>
      <w:r w:rsidR="004B073C" w:rsidRPr="009B3747">
        <w:rPr>
          <w:rFonts w:eastAsia="Times New Roman" w:cstheme="minorHAnsi"/>
          <w:color w:val="000000"/>
          <w:lang w:eastAsia="en-GB"/>
        </w:rPr>
        <w:t>n finalised (Figure 6.1</w:t>
      </w:r>
      <w:r w:rsidR="00CA766F" w:rsidRPr="009B3747">
        <w:rPr>
          <w:rFonts w:eastAsia="Times New Roman" w:cstheme="minorHAnsi"/>
          <w:color w:val="000000"/>
          <w:lang w:eastAsia="en-GB"/>
        </w:rPr>
        <w:t>)</w:t>
      </w:r>
      <w:r w:rsidRPr="009B3747">
        <w:rPr>
          <w:rFonts w:eastAsia="Times New Roman" w:cstheme="minorHAnsi"/>
          <w:color w:val="000000"/>
          <w:lang w:eastAsia="en-GB"/>
        </w:rPr>
        <w:t xml:space="preserve"> and the themes had been refined, it was important to define exactly what each theme captured in terms of meaning in the data and why this </w:t>
      </w:r>
      <w:r w:rsidRPr="009B3747">
        <w:rPr>
          <w:rFonts w:eastAsia="Times New Roman" w:cstheme="minorHAnsi"/>
          <w:color w:val="000000"/>
          <w:lang w:eastAsia="en-GB"/>
        </w:rPr>
        <w:lastRenderedPageBreak/>
        <w:t>was of interest.  Braun and Clarke (2006), suggest within this phase the r</w:t>
      </w:r>
      <w:r w:rsidR="00CA766F" w:rsidRPr="009B3747">
        <w:rPr>
          <w:rFonts w:eastAsia="Times New Roman" w:cstheme="minorHAnsi"/>
          <w:color w:val="000000"/>
          <w:lang w:eastAsia="en-GB"/>
        </w:rPr>
        <w:t xml:space="preserve">esearcher is then aiming to go </w:t>
      </w:r>
      <w:r w:rsidR="00CA766F" w:rsidRPr="009B3747">
        <w:rPr>
          <w:rFonts w:eastAsia="Times New Roman" w:cstheme="minorHAnsi"/>
          <w:i/>
          <w:color w:val="000000"/>
          <w:lang w:eastAsia="en-GB"/>
        </w:rPr>
        <w:t>“</w:t>
      </w:r>
      <w:r w:rsidRPr="009B3747">
        <w:rPr>
          <w:rFonts w:eastAsia="Times New Roman" w:cstheme="minorHAnsi"/>
          <w:i/>
          <w:color w:val="000000"/>
          <w:lang w:eastAsia="en-GB"/>
        </w:rPr>
        <w:t>back to collated data extracts for each theme, and organizing them into a coherent and internally consistent accoun</w:t>
      </w:r>
      <w:r w:rsidR="00CA766F" w:rsidRPr="009B3747">
        <w:rPr>
          <w:rFonts w:eastAsia="Times New Roman" w:cstheme="minorHAnsi"/>
          <w:i/>
          <w:color w:val="000000"/>
          <w:lang w:eastAsia="en-GB"/>
        </w:rPr>
        <w:t>t, with accompanying narrative”</w:t>
      </w:r>
      <w:r w:rsidR="00EC4081" w:rsidRPr="009B3747">
        <w:rPr>
          <w:rFonts w:eastAsia="Times New Roman" w:cstheme="minorHAnsi"/>
          <w:i/>
          <w:color w:val="000000"/>
          <w:lang w:eastAsia="en-GB"/>
        </w:rPr>
        <w:t xml:space="preserve"> </w:t>
      </w:r>
      <w:r w:rsidR="00EC4081" w:rsidRPr="00154224">
        <w:rPr>
          <w:rFonts w:eastAsia="Times New Roman" w:cstheme="minorHAnsi"/>
          <w:color w:val="000000"/>
          <w:lang w:eastAsia="en-GB"/>
        </w:rPr>
        <w:t>(p22)</w:t>
      </w:r>
      <w:r w:rsidR="00CA766F" w:rsidRPr="00154224">
        <w:rPr>
          <w:rFonts w:eastAsia="Times New Roman" w:cstheme="minorHAnsi"/>
          <w:color w:val="000000"/>
          <w:lang w:eastAsia="en-GB"/>
        </w:rPr>
        <w:t>.</w:t>
      </w:r>
      <w:r w:rsidR="00CA766F" w:rsidRPr="009B3747">
        <w:rPr>
          <w:rFonts w:eastAsia="Times New Roman" w:cstheme="minorHAnsi"/>
          <w:color w:val="000000"/>
          <w:lang w:eastAsia="en-GB"/>
        </w:rPr>
        <w:t xml:space="preserve">  </w:t>
      </w:r>
      <w:r w:rsidRPr="009B3747">
        <w:rPr>
          <w:rFonts w:eastAsia="Times New Roman" w:cstheme="minorHAnsi"/>
          <w:color w:val="000000"/>
          <w:lang w:eastAsia="en-GB"/>
        </w:rPr>
        <w:t>In addition to defining individual themes, carefully considered how each would contribute to and form an overall account of the findings obtained.  In order to provide additional structure to the themes both individually and as a collective, sub-themes were identified and defined (fourteen in total).  Once the researcher established the definitions of each theme and sub-theme, names or more precisely working titles were drafted to succinctly portray the included scope and content.  This process took a considerable time as constant refinement was required until the researcher felt confident that the name given would pro</w:t>
      </w:r>
      <w:r w:rsidR="00CA766F" w:rsidRPr="009B3747">
        <w:rPr>
          <w:rFonts w:eastAsia="Times New Roman" w:cstheme="minorHAnsi"/>
          <w:color w:val="000000"/>
          <w:lang w:eastAsia="en-GB"/>
        </w:rPr>
        <w:t xml:space="preserve">vide readers with </w:t>
      </w:r>
      <w:r w:rsidR="00CA766F" w:rsidRPr="009B3747">
        <w:rPr>
          <w:rFonts w:eastAsia="Times New Roman" w:cstheme="minorHAnsi"/>
          <w:i/>
          <w:color w:val="000000"/>
          <w:lang w:eastAsia="en-GB"/>
        </w:rPr>
        <w:t>“</w:t>
      </w:r>
      <w:r w:rsidRPr="009B3747">
        <w:rPr>
          <w:rFonts w:eastAsia="Times New Roman" w:cstheme="minorHAnsi"/>
          <w:i/>
          <w:color w:val="000000"/>
          <w:lang w:eastAsia="en-GB"/>
        </w:rPr>
        <w:t>a s</w:t>
      </w:r>
      <w:r w:rsidR="00CA766F" w:rsidRPr="009B3747">
        <w:rPr>
          <w:rFonts w:eastAsia="Times New Roman" w:cstheme="minorHAnsi"/>
          <w:i/>
          <w:color w:val="000000"/>
          <w:lang w:eastAsia="en-GB"/>
        </w:rPr>
        <w:t>ense of what the theme is about”</w:t>
      </w:r>
      <w:r w:rsidRPr="009B3747">
        <w:rPr>
          <w:rFonts w:eastAsia="Times New Roman" w:cstheme="minorHAnsi"/>
          <w:i/>
          <w:color w:val="000000"/>
          <w:lang w:eastAsia="en-GB"/>
        </w:rPr>
        <w:t xml:space="preserve"> </w:t>
      </w:r>
      <w:r w:rsidRPr="009B3747">
        <w:rPr>
          <w:rFonts w:eastAsia="Times New Roman" w:cstheme="minorHAnsi"/>
          <w:color w:val="000000"/>
          <w:lang w:eastAsia="en-GB"/>
        </w:rPr>
        <w:t>(Braun and Clarke, 2006, p</w:t>
      </w:r>
      <w:r w:rsidR="00CA766F" w:rsidRPr="009B3747">
        <w:rPr>
          <w:rFonts w:eastAsia="Times New Roman" w:cstheme="minorHAnsi"/>
          <w:color w:val="000000"/>
          <w:lang w:eastAsia="en-GB"/>
        </w:rPr>
        <w:t xml:space="preserve">g </w:t>
      </w:r>
      <w:r w:rsidRPr="009B3747">
        <w:rPr>
          <w:rFonts w:eastAsia="Times New Roman" w:cstheme="minorHAnsi"/>
          <w:color w:val="000000"/>
          <w:lang w:eastAsia="en-GB"/>
        </w:rPr>
        <w:t>23).</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i/>
          <w:sz w:val="24"/>
          <w:szCs w:val="24"/>
          <w:lang w:eastAsia="en-GB"/>
        </w:rPr>
      </w:pPr>
      <w:r w:rsidRPr="009B3747">
        <w:rPr>
          <w:rFonts w:eastAsia="Times New Roman" w:cstheme="minorHAnsi"/>
          <w:i/>
          <w:color w:val="000000"/>
          <w:lang w:eastAsia="en-GB"/>
        </w:rPr>
        <w:t>Phase 6: Producing the report</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t>The sixth and final phase required the researcher to write a comprehensive, interesting and analytical narrative of the thematic analysis.  Braun and Clark, (2006) argu</w:t>
      </w:r>
      <w:r w:rsidR="00CA766F" w:rsidRPr="009B3747">
        <w:rPr>
          <w:rFonts w:eastAsia="Times New Roman" w:cstheme="minorHAnsi"/>
          <w:color w:val="000000"/>
          <w:lang w:eastAsia="en-GB"/>
        </w:rPr>
        <w:t xml:space="preserve">e that this phase aims to tell </w:t>
      </w:r>
      <w:r w:rsidR="00CA766F" w:rsidRPr="009B3747">
        <w:rPr>
          <w:rFonts w:eastAsia="Times New Roman" w:cstheme="minorHAnsi"/>
          <w:i/>
          <w:color w:val="000000"/>
          <w:lang w:eastAsia="en-GB"/>
        </w:rPr>
        <w:t>“</w:t>
      </w:r>
      <w:r w:rsidRPr="009B3747">
        <w:rPr>
          <w:rFonts w:eastAsia="Times New Roman" w:cstheme="minorHAnsi"/>
          <w:i/>
          <w:color w:val="000000"/>
          <w:lang w:eastAsia="en-GB"/>
        </w:rPr>
        <w:t>the complicated story of your data in a way which convinces the reader of the merit of your merit and validity of your analysis</w:t>
      </w:r>
      <w:r w:rsidR="00CA766F" w:rsidRPr="009B3747">
        <w:rPr>
          <w:rFonts w:eastAsia="Times New Roman" w:cstheme="minorHAnsi"/>
          <w:i/>
          <w:color w:val="000000"/>
          <w:lang w:eastAsia="en-GB"/>
        </w:rPr>
        <w:t>”</w:t>
      </w:r>
      <w:r w:rsidRPr="009B3747">
        <w:rPr>
          <w:rFonts w:eastAsia="Times New Roman" w:cstheme="minorHAnsi"/>
          <w:i/>
          <w:color w:val="000000"/>
          <w:lang w:eastAsia="en-GB"/>
        </w:rPr>
        <w:t xml:space="preserve"> </w:t>
      </w:r>
      <w:r w:rsidRPr="009B3747">
        <w:rPr>
          <w:rFonts w:eastAsia="Times New Roman" w:cstheme="minorHAnsi"/>
          <w:color w:val="000000"/>
          <w:lang w:eastAsia="en-GB"/>
        </w:rPr>
        <w:t>(p</w:t>
      </w:r>
      <w:r w:rsidR="00E3179E" w:rsidRPr="009B3747">
        <w:rPr>
          <w:rFonts w:eastAsia="Times New Roman" w:cstheme="minorHAnsi"/>
          <w:color w:val="000000"/>
          <w:lang w:eastAsia="en-GB"/>
        </w:rPr>
        <w:t>.</w:t>
      </w:r>
      <w:r w:rsidRPr="009B3747">
        <w:rPr>
          <w:rFonts w:eastAsia="Times New Roman" w:cstheme="minorHAnsi"/>
          <w:color w:val="000000"/>
          <w:lang w:eastAsia="en-GB"/>
        </w:rPr>
        <w:t>23).  Of vital importance in this task, was the researcher’s ability to balance the use of meaningful extracts of data within the account presented.  Given the researcher had only once undertaken a full thematic analysis, trying to achieve this balance was problematic.  Initially during this write-up phase, the researcher included too many data extracts amongst the analytical narrative in a bid to demonstrate either the prevalence or the importance of the theme.  A process of review and reflection under academic supervision, assisted the researcher in identifying which extracts would most effectively illuminate or illustrate the story being told.</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161F38" w:rsidP="00510940">
      <w:pPr>
        <w:rPr>
          <w:rFonts w:eastAsia="Times New Roman" w:cstheme="minorHAnsi"/>
          <w:sz w:val="24"/>
          <w:szCs w:val="24"/>
          <w:lang w:eastAsia="en-GB"/>
        </w:rPr>
      </w:pPr>
      <w:r w:rsidRPr="009B3747">
        <w:rPr>
          <w:rFonts w:eastAsia="Times New Roman" w:cstheme="minorHAnsi"/>
          <w:b/>
          <w:bCs/>
          <w:color w:val="000000"/>
          <w:sz w:val="24"/>
          <w:szCs w:val="24"/>
          <w:u w:val="single"/>
          <w:lang w:eastAsia="en-GB"/>
        </w:rPr>
        <w:t>5</w:t>
      </w:r>
      <w:r w:rsidR="00C456CB" w:rsidRPr="009B3747">
        <w:rPr>
          <w:rFonts w:eastAsia="Times New Roman" w:cstheme="minorHAnsi"/>
          <w:b/>
          <w:bCs/>
          <w:color w:val="000000"/>
          <w:sz w:val="24"/>
          <w:szCs w:val="24"/>
          <w:u w:val="single"/>
          <w:lang w:eastAsia="en-GB"/>
        </w:rPr>
        <w:t>.6</w:t>
      </w:r>
      <w:r w:rsidR="006F36A0" w:rsidRPr="009B3747">
        <w:rPr>
          <w:rFonts w:eastAsia="Times New Roman" w:cstheme="minorHAnsi"/>
          <w:b/>
          <w:bCs/>
          <w:color w:val="000000"/>
          <w:sz w:val="24"/>
          <w:szCs w:val="24"/>
          <w:u w:val="single"/>
          <w:lang w:eastAsia="en-GB"/>
        </w:rPr>
        <w:t xml:space="preserve"> </w:t>
      </w:r>
      <w:r w:rsidR="00510940" w:rsidRPr="009B3747">
        <w:rPr>
          <w:rFonts w:eastAsia="Times New Roman" w:cstheme="minorHAnsi"/>
          <w:b/>
          <w:bCs/>
          <w:color w:val="000000"/>
          <w:sz w:val="24"/>
          <w:szCs w:val="24"/>
          <w:u w:val="single"/>
          <w:lang w:eastAsia="en-GB"/>
        </w:rPr>
        <w:t>Quality in research</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shd w:val="clear" w:color="auto" w:fill="FFFFFF"/>
          <w:lang w:eastAsia="en-GB"/>
        </w:rPr>
        <w:t xml:space="preserve">The issues of quality and quality criteria across various research disciplines have become </w:t>
      </w:r>
      <w:r w:rsidR="00CA766F" w:rsidRPr="009B3747">
        <w:rPr>
          <w:rFonts w:eastAsia="Times New Roman" w:cstheme="minorHAnsi"/>
          <w:color w:val="000000"/>
          <w:shd w:val="clear" w:color="auto" w:fill="FFFFFF"/>
          <w:lang w:eastAsia="en-GB"/>
        </w:rPr>
        <w:t xml:space="preserve">increasingly more apparent, </w:t>
      </w:r>
      <w:r w:rsidRPr="009B3747">
        <w:rPr>
          <w:rFonts w:eastAsia="Times New Roman" w:cstheme="minorHAnsi"/>
          <w:color w:val="000000"/>
          <w:shd w:val="clear" w:color="auto" w:fill="FFFFFF"/>
          <w:lang w:eastAsia="en-GB"/>
        </w:rPr>
        <w:t xml:space="preserve">with </w:t>
      </w:r>
      <w:r w:rsidRPr="009B3747">
        <w:rPr>
          <w:rFonts w:eastAsia="Times New Roman" w:cstheme="minorHAnsi"/>
          <w:color w:val="000000"/>
          <w:lang w:eastAsia="en-GB"/>
        </w:rPr>
        <w:t>unique methodological challenges being identified for achieving and assessing quality in mixed methods research (</w:t>
      </w:r>
      <w:r w:rsidR="00CA766F" w:rsidRPr="009B3747">
        <w:rPr>
          <w:rFonts w:eastAsia="Times New Roman" w:cstheme="minorHAnsi"/>
          <w:color w:val="000000"/>
          <w:shd w:val="clear" w:color="auto" w:fill="FFFFFF"/>
          <w:lang w:eastAsia="en-GB"/>
        </w:rPr>
        <w:t xml:space="preserve">Bryman et al., 2008; </w:t>
      </w:r>
      <w:r w:rsidRPr="009B3747">
        <w:rPr>
          <w:rFonts w:eastAsia="Times New Roman" w:cstheme="minorHAnsi"/>
          <w:color w:val="000000"/>
          <w:lang w:eastAsia="en-GB"/>
        </w:rPr>
        <w:t xml:space="preserve">Wisdom, </w:t>
      </w:r>
      <w:r w:rsidR="00990EFD" w:rsidRPr="009B3747">
        <w:rPr>
          <w:rFonts w:eastAsia="Times New Roman" w:cstheme="minorHAnsi"/>
          <w:color w:val="000000"/>
          <w:lang w:eastAsia="en-GB"/>
        </w:rPr>
        <w:t xml:space="preserve">2012).  As detailed in </w:t>
      </w:r>
      <w:r w:rsidR="00CA766F" w:rsidRPr="009B3747">
        <w:rPr>
          <w:rFonts w:eastAsia="Times New Roman" w:cstheme="minorHAnsi"/>
          <w:color w:val="000000"/>
          <w:lang w:eastAsia="en-GB"/>
        </w:rPr>
        <w:t xml:space="preserve">section 4.4 </w:t>
      </w:r>
      <w:r w:rsidRPr="009B3747">
        <w:rPr>
          <w:rFonts w:eastAsia="Times New Roman" w:cstheme="minorHAnsi"/>
          <w:color w:val="000000"/>
          <w:lang w:eastAsia="en-GB"/>
        </w:rPr>
        <w:t>and in recognition of the fact that there is more to</w:t>
      </w:r>
      <w:r w:rsidR="00CA766F" w:rsidRPr="009B3747">
        <w:rPr>
          <w:rFonts w:eastAsia="Times New Roman" w:cstheme="minorHAnsi"/>
          <w:color w:val="000000"/>
          <w:lang w:eastAsia="en-GB"/>
        </w:rPr>
        <w:t xml:space="preserve"> mixed methods research than it</w:t>
      </w:r>
      <w:r w:rsidRPr="009B3747">
        <w:rPr>
          <w:rFonts w:eastAsia="Times New Roman" w:cstheme="minorHAnsi"/>
          <w:color w:val="000000"/>
          <w:lang w:eastAsia="en-GB"/>
        </w:rPr>
        <w:t>s individual strands, the researcher has committed to adopting an overarching quality framework for reporting mixed methods studies</w:t>
      </w:r>
      <w:r w:rsidR="00CA766F" w:rsidRPr="009B3747">
        <w:rPr>
          <w:rFonts w:eastAsia="Times New Roman" w:cstheme="minorHAnsi"/>
          <w:color w:val="000000"/>
          <w:lang w:eastAsia="en-GB"/>
        </w:rPr>
        <w:t xml:space="preserve"> </w:t>
      </w:r>
      <w:r w:rsidR="00CA766F"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"O'Cathain", "given" : "A", "non-dropping-particle" : "", "parse-names" : false, "suffix" : "" }, { "dropping-particle" : "", "family" : "Murphy", "given" : "E", "non-dropping-particle" : "", "parse-names" : false, "suffix" : "" }, { "dropping-particle" : "", "family" : "Nicholl", "given" : "J", "non-dropping-particle" : "", "parse-names" : false, "suffix" : "" } ], "container-title" : "Journal of Health Services Research &amp; Policy", "id" : "ITEM-1", "issue" : "2", "issued" : { "date-parts" : [ [ "2008" ] ] }, "page" : "92-98", "title" : "The quality of mixed methods studies in health services research", "type" : "article-journal", "volume" : "13" }, "uris" : [ "http://www.mendeley.com/documents/?uuid=e48720a1-82c5-42fe-b696-00941b8ca04d" ] } ], "mendeley" : { "formattedCitation" : "(O\u2019Cathain et al., 2008)", "plainTextFormattedCitation" : "(O\u2019Cathain et al., 2008)", "previouslyFormattedCitation" : "(O\u2019Cathain et al., 2008)" }, "properties" : { "noteIndex" : 0 }, "schema" : "https://github.com/citation-style-language/schema/raw/master/csl-citation.json" }</w:instrText>
      </w:r>
      <w:r w:rsidR="00CA766F" w:rsidRPr="009B3747">
        <w:rPr>
          <w:rFonts w:eastAsia="Times New Roman" w:cstheme="minorHAnsi"/>
          <w:color w:val="000000"/>
          <w:lang w:eastAsia="en-GB"/>
        </w:rPr>
        <w:fldChar w:fldCharType="separate"/>
      </w:r>
      <w:r w:rsidR="00CA766F" w:rsidRPr="009B3747">
        <w:rPr>
          <w:rFonts w:eastAsia="Times New Roman" w:cstheme="minorHAnsi"/>
          <w:noProof/>
          <w:color w:val="000000"/>
          <w:lang w:eastAsia="en-GB"/>
        </w:rPr>
        <w:t>(O’Cathain et al., 2008)</w:t>
      </w:r>
      <w:r w:rsidR="00CA766F" w:rsidRPr="009B3747">
        <w:rPr>
          <w:rFonts w:eastAsia="Times New Roman" w:cstheme="minorHAnsi"/>
          <w:color w:val="000000"/>
          <w:lang w:eastAsia="en-GB"/>
        </w:rPr>
        <w:fldChar w:fldCharType="end"/>
      </w:r>
      <w:r w:rsidR="00CA766F" w:rsidRPr="009B3747">
        <w:rPr>
          <w:rFonts w:eastAsia="Times New Roman" w:cstheme="minorHAnsi"/>
          <w:color w:val="000000"/>
          <w:lang w:eastAsia="en-GB"/>
        </w:rPr>
        <w:t>.</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CA766F" w:rsidP="00510940">
      <w:pPr>
        <w:rPr>
          <w:rFonts w:eastAsia="Times New Roman" w:cstheme="minorHAnsi"/>
          <w:sz w:val="24"/>
          <w:szCs w:val="24"/>
          <w:lang w:eastAsia="en-GB"/>
        </w:rPr>
      </w:pPr>
      <w:r w:rsidRPr="009B3747">
        <w:rPr>
          <w:rFonts w:eastAsia="Times New Roman" w:cstheme="minorHAnsi"/>
          <w:color w:val="000000"/>
          <w:lang w:eastAsia="en-GB"/>
        </w:rPr>
        <w:lastRenderedPageBreak/>
        <w:t>In addition to this, an ‘</w:t>
      </w:r>
      <w:r w:rsidR="00510940" w:rsidRPr="009B3747">
        <w:rPr>
          <w:rFonts w:eastAsia="Times New Roman" w:cstheme="minorHAnsi"/>
          <w:color w:val="000000"/>
          <w:lang w:eastAsia="en-GB"/>
        </w:rPr>
        <w:t>individual components approach’</w:t>
      </w:r>
      <w:r w:rsidRPr="009B3747">
        <w:rPr>
          <w:rFonts w:eastAsia="Times New Roman" w:cstheme="minorHAnsi"/>
          <w:color w:val="000000"/>
          <w:lang w:eastAsia="en-GB"/>
        </w:rPr>
        <w:t xml:space="preserve"> </w:t>
      </w:r>
      <w:r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"O'Cathain", "given" : "A", "non-dropping-particle" : "", "parse-names" : false, "suffix" : "" } ], "container-title" : "SAGE Handbook of Mixed Methods in Social &amp; Behavioral Research", "editor" : [ { "dropping-particle" : "", "family" : "Tashakkori", "given" : "A", "non-dropping-particle" : "", "parse-names" : false, "suffix" : "" }, { "dropping-particle" : "", "family" : "Teddlie", "given" : "C", "non-dropping-particle" : "", "parse-names" : false, "suffix" : "" } ], "id" : "ITEM-1", "issued" : { "date-parts" : [ [ "2010" ] ] }, "page" : "531-556", "publisher" : "SAGE Publications Ltd", "publisher-place" : "Los Angeles", "title" : "Assessing the quality of mixed methods research: Towards a comprehensive framework", "type" : "chapter" }, "uris" : [ "http://www.mendeley.com/documents/?uuid=2bdf7120-61ce-4245-8db0-792b3572f6bf" ] } ], "mendeley" : { "formattedCitation" : "(O\u2019Cathain, 2010)", "plainTextFormattedCitation" : "(O\u2019Cathain, 2010)", "previouslyFormattedCitation" : "(O\u2019Cathain, 2010)" }, "properties" : { "noteIndex" : 0 }, "schema" : "https://github.com/citation-style-language/schema/raw/master/csl-citation.json" }</w:instrText>
      </w:r>
      <w:r w:rsidRPr="009B3747">
        <w:rPr>
          <w:rFonts w:eastAsia="Times New Roman" w:cstheme="minorHAnsi"/>
          <w:color w:val="000000"/>
          <w:lang w:eastAsia="en-GB"/>
        </w:rPr>
        <w:fldChar w:fldCharType="separate"/>
      </w:r>
      <w:r w:rsidRPr="009B3747">
        <w:rPr>
          <w:rFonts w:eastAsia="Times New Roman" w:cstheme="minorHAnsi"/>
          <w:noProof/>
          <w:color w:val="000000"/>
          <w:lang w:eastAsia="en-GB"/>
        </w:rPr>
        <w:t>(O’Cathain, 2010)</w:t>
      </w:r>
      <w:r w:rsidRPr="009B3747">
        <w:rPr>
          <w:rFonts w:eastAsia="Times New Roman" w:cstheme="minorHAnsi"/>
          <w:color w:val="000000"/>
          <w:lang w:eastAsia="en-GB"/>
        </w:rPr>
        <w:fldChar w:fldCharType="end"/>
      </w:r>
      <w:r w:rsidR="00154224">
        <w:rPr>
          <w:rFonts w:eastAsia="Times New Roman" w:cstheme="minorHAnsi"/>
          <w:color w:val="000000"/>
          <w:lang w:eastAsia="en-GB"/>
        </w:rPr>
        <w:t xml:space="preserve"> will be utilised, </w:t>
      </w:r>
      <w:r w:rsidR="00510940" w:rsidRPr="009B3747">
        <w:rPr>
          <w:rFonts w:eastAsia="Times New Roman" w:cstheme="minorHAnsi"/>
          <w:color w:val="000000"/>
          <w:lang w:eastAsia="en-GB"/>
        </w:rPr>
        <w:t>where specific quality issues and separate quality criteria pertinent to each phase of the research will be assessed and reflected upon in depth.  The decision to utilise this approach is based on widely proposed belief that sufficiently rigorous mixed methods studies</w:t>
      </w:r>
      <w:r w:rsidR="00154224">
        <w:rPr>
          <w:rFonts w:eastAsia="Times New Roman" w:cstheme="minorHAnsi"/>
          <w:color w:val="000000"/>
          <w:lang w:eastAsia="en-GB"/>
        </w:rPr>
        <w:t>,</w:t>
      </w:r>
      <w:r w:rsidR="00510940" w:rsidRPr="009B3747">
        <w:rPr>
          <w:rFonts w:eastAsia="Times New Roman" w:cstheme="minorHAnsi"/>
          <w:color w:val="000000"/>
          <w:lang w:eastAsia="en-GB"/>
        </w:rPr>
        <w:t xml:space="preserve"> require both the quantitative and qualitative components to adhere to recognised quality criteria in their respective fields</w:t>
      </w:r>
      <w:r w:rsidR="00E0278C" w:rsidRPr="009B3747">
        <w:rPr>
          <w:rFonts w:eastAsia="Times New Roman" w:cstheme="minorHAnsi"/>
          <w:color w:val="000000"/>
          <w:lang w:eastAsia="en-GB"/>
        </w:rPr>
        <w:t xml:space="preserve"> </w:t>
      </w:r>
      <w:r w:rsidR="00E0278C" w:rsidRPr="009B3747">
        <w:rPr>
          <w:rFonts w:eastAsia="Times New Roman" w:cstheme="minorHAnsi"/>
          <w:color w:val="000000"/>
          <w:lang w:eastAsia="en-GB"/>
        </w:rPr>
        <w:fldChar w:fldCharType="begin" w:fldLock="1"/>
      </w:r>
      <w:r w:rsidR="00C83875" w:rsidRPr="009B3747">
        <w:rPr>
          <w:rFonts w:eastAsia="Times New Roman" w:cstheme="minorHAnsi"/>
          <w:color w:val="000000"/>
          <w:lang w:eastAsia="en-GB"/>
        </w:rPr>
        <w:instrText>ADDIN CSL_CITATION { "citationItems" : [ { "id" : "ITEM-1", "itemData" : { "DOI" : "10.1108/17465640810900568", "ISSN" : "1746-5648", "abstract" : "Purpose \u2013 The purpose of this paper is to explore what the term \u201cmethodology\u201d might be taken to mean. It uses an aphorism by Howard Becker as a springboard for examining the nature of methodology, arguing that Becker's view of methodology was misleading.Design/methodology/approach \u2013 There are two components. First, \u201cinsider\u201d account of research findings concerning the nature of mixed methods research is presented. These findings derive from a content analysis of articles based on mixed methods research and from interviews with mixed methods researchers. Second, the paper examines the paradox that qualitative research is often viewed as generating interesting findings but that qualitative researchers frequently feel that they experience difficulty in placing qualitative articles in mainstream journals.Findings \u2013 The findings from the mixed methods study demonstrate that mixed methods research is often rationalized in a different way from how it is actually employed.Research limitations/implications \u2013 The s...", "author" : [ { "dropping-particle" : "", "family" : "Bryman", "given" : "Alan", "non-dropping-particle" : "", "parse-names" : false, "suffix" : "" } ], "container-title" : "Qualitative Research in Organizations and Management: An International Journal", "id" : "ITEM-1", "issue" : "2", "issued" : { "date-parts" : [ [ "2008", "8", "22" ] ] }, "page" : "159-168", "publisher" : "Emerald Group Publishing Limited", "title" : "Of methods and methodology", "type" : "article-journal", "volume" : "3" }, "uris" : [ "http://www.mendeley.com/documents/?uuid=2ba9558a-05d9-3e58-b628-6fec686ac1c4" ] }, { "id" : "ITEM-2", "itemData" : { "DOI" : "10.1161/CIRCULATIONAHA.107.742775", "ISSN" : "0009-7322", "PMID" : "19289649", "author" : [ { "dropping-particle" : "", "family" : "Curry", "given" : "L. A.", "non-dropping-particle" : "", "parse-names" : false, "suffix" : "" }, { "dropping-particle" : "", "family" : "Nembhard", "given" : "I. M.", "non-dropping-particle" : "", "parse-names" : false, "suffix" : "" }, { "dropping-particle" : "", "family" : "Bradley", "given" : "E. H.", "non-dropping-particle" : "", "parse-names" : false, "suffix" : "" } ], "container-title" : "Circulation", "id" : "ITEM-2", "issue" : "10", "issued" : { "date-parts" : [ [ "2009", "3", "17" ] ] }, "page" : "1442-1452", "title" : "Qualitative and Mixed Methods Provide Unique Contributions to Outcomes Research", "type" : "article-journal", "volume" : "119" }, "uris" : [ "http://www.mendeley.com/documents/?uuid=7430a498-df69-35e8-a26d-6f5e8a4aac19" ] }, { "id" : "ITEM-3", "itemData" : { "author" : [ { "dropping-particle" : "", "family" : "Teddlie", "given" : "C", "non-dropping-particle" : "", "parse-names" : false, "suffix" : "" }, { "dropping-particle" : "", "family" : "Tashakkori", "given" : "A", "non-dropping-particle" : "", "parse-names" : false, "suffix" : "" } ], "id" : "ITEM-3", "issued" : { "date-parts" : [ [ "2009" ] ] }, "publisher" : "SAGE Publications Inc.", "publisher-place" : "Thousand Oaks", "title" : "Foundations of mixed methods research: Integrating quantitative and qualitative approaches in the social and behavioral sciences", "type" : "book" }, "uris" : [ "http://www.mendeley.com/documents/?uuid=bbf94a8b-67b4-494f-92ca-828dd65fa45c" ] }, { "id" : "ITEM-4", "itemData" : { "author" : [ { "dropping-particle" : "", "family" : "O'Cathain", "given" : "A", "non-dropping-particle" : "", "parse-names" : false, "suffix" : "" } ], "container-title" : "SAGE Handbook of Mixed Methods in Social &amp; Behavioral Research", "editor" : [ { "dropping-particle" : "", "family" : "Tashakkori", "given" : "A", "non-dropping-particle" : "", "parse-names" : false, "suffix" : "" }, { "dropping-particle" : "", "family" : "Teddlie", "given" : "C", "non-dropping-particle" : "", "parse-names" : false, "suffix" : "" } ], "id" : "ITEM-4", "issued" : { "date-parts" : [ [ "2010" ] ] }, "page" : "531-556", "publisher" : "SAGE Publications Ltd", "publisher-place" : "Los Angeles", "title" : "Assessing the quality of mixed methods research: Towards a comprehensive framework", "type" : "chapter" }, "uris" : [ "http://www.mendeley.com/documents/?uuid=2bdf7120-61ce-4245-8db0-792b3572f6bf" ] }, { "id" : "ITEM-5", "itemData" : { "ISBN" : "9781412975179", "abstract" : "2nd ed. \"Combining the latest thinking about mixed methods research designs with practical, step-by-step guidance, the Second Edition of Designing and Conducting Mixed Methods Research now covers six major mixed methods designs. Authors John W. Creswell and Vicki L. Plano Clark walk readers through the entire research process, from formulating questions to designing, collecting data, and interpreting results and include updated examples from published mixed methods studies drawn from the social, behavioral, health, and education disciplines.\"--Pub. desc. The nature of mixed methods research -- The foundations of mixed methods research -- Choosing a mixed methods design -- Examples of mixed methods designs -- Introducing a mixed methods study -- Collecting data in mixed methods research -- Analyzing and interpreting data in mixed methods research -- Writing and evaluating mixed methods research -- Summary and recommendations.", "author" : [ { "dropping-particle" : "", "family" : "Creswell", "given" : "John W.", "non-dropping-particle" : "", "parse-names" : false, "suffix" : "" }, { "dropping-particle" : "", "family" : "Plano Clark", "given" : "Vicki L.", "non-dropping-particle" : "", "parse-names" : false, "suffix" : "" } ], "edition" : "2nd", "id" : "ITEM-5", "issued" : { "date-parts" : [ [ "2011" ] ] }, "number-of-pages" : "457", "publisher" : "SAGE Publications", "publisher-place" : "Thousand Oaks", "title" : "Designing and conducting mixed methods research", "type" : "book" }, "uris" : [ "http://www.mendeley.com/documents/?uuid=7cf67537-d009-3386-be02-c159c4f6ff80" ] } ], "mendeley" : { "formattedCitation" : "(Bryman, 2008; Curry et al., 2009; Teddlie and Tashakkori, 2009; O\u2019Cathain, 2010; Creswell and Plano Clark, 2011)", "plainTextFormattedCitation" : "(Bryman, 2008; Curry et al., 2009; Teddlie and Tashakkori, 2009; O\u2019Cathain, 2010; Creswell and Plano Clark, 2011)", "previouslyFormattedCitation" : "(Bryman, 2008; Curry et al., 2009; Teddlie and Tashakkori, 2009; O\u2019Cathain, 2010; Creswell and Plano Clark, 2011)" }, "properties" : { "noteIndex" : 0 }, "schema" : "https://github.com/citation-style-language/schema/raw/master/csl-citation.json" }</w:instrText>
      </w:r>
      <w:r w:rsidR="00E0278C" w:rsidRPr="009B3747">
        <w:rPr>
          <w:rFonts w:eastAsia="Times New Roman" w:cstheme="minorHAnsi"/>
          <w:color w:val="000000"/>
          <w:lang w:eastAsia="en-GB"/>
        </w:rPr>
        <w:fldChar w:fldCharType="separate"/>
      </w:r>
      <w:r w:rsidR="00E0278C" w:rsidRPr="009B3747">
        <w:rPr>
          <w:rFonts w:eastAsia="Times New Roman" w:cstheme="minorHAnsi"/>
          <w:noProof/>
          <w:color w:val="000000"/>
          <w:lang w:eastAsia="en-GB"/>
        </w:rPr>
        <w:t>(Bryman, 2008; Curry et al., 2009; Teddlie and Tashakkori, 2009; O’Cathain, 2010; Creswell and Plano Clark, 2011)</w:t>
      </w:r>
      <w:r w:rsidR="00E0278C" w:rsidRPr="009B3747">
        <w:rPr>
          <w:rFonts w:eastAsia="Times New Roman" w:cstheme="minorHAnsi"/>
          <w:color w:val="000000"/>
          <w:lang w:eastAsia="en-GB"/>
        </w:rPr>
        <w:fldChar w:fldCharType="end"/>
      </w:r>
      <w:r w:rsidR="00510940" w:rsidRPr="009B3747">
        <w:rPr>
          <w:rFonts w:eastAsia="Times New Roman" w:cstheme="minorHAnsi"/>
          <w:color w:val="000000"/>
          <w:lang w:eastAsia="en-GB"/>
        </w:rPr>
        <w:t>.  Furthermore</w:t>
      </w:r>
      <w:r w:rsidR="00510940" w:rsidRPr="009B3747">
        <w:rPr>
          <w:rFonts w:eastAsia="Times New Roman" w:cstheme="minorHAnsi"/>
          <w:color w:val="000000"/>
          <w:shd w:val="clear" w:color="auto" w:fill="FFFFFF"/>
          <w:lang w:eastAsia="en-GB"/>
        </w:rPr>
        <w:t xml:space="preserve">, </w:t>
      </w:r>
      <w:r w:rsidR="00510940" w:rsidRPr="009B3747">
        <w:rPr>
          <w:rFonts w:eastAsia="Times New Roman" w:cstheme="minorHAnsi"/>
          <w:i/>
          <w:color w:val="000000"/>
          <w:shd w:val="clear" w:color="auto" w:fill="FFFFFF"/>
          <w:lang w:eastAsia="en-GB"/>
        </w:rPr>
        <w:t>“because researchers collect, analyze, and interpret both forms of data, traditional approaches to validity should not be minimized in mix</w:t>
      </w:r>
      <w:r w:rsidR="00E0278C" w:rsidRPr="009B3747">
        <w:rPr>
          <w:rFonts w:eastAsia="Times New Roman" w:cstheme="minorHAnsi"/>
          <w:i/>
          <w:color w:val="000000"/>
          <w:shd w:val="clear" w:color="auto" w:fill="FFFFFF"/>
          <w:lang w:eastAsia="en-GB"/>
        </w:rPr>
        <w:t xml:space="preserve">ed methods research” </w:t>
      </w:r>
      <w:r w:rsidR="00E0278C" w:rsidRPr="009B3747">
        <w:rPr>
          <w:rFonts w:eastAsia="Times New Roman" w:cstheme="minorHAnsi"/>
          <w:color w:val="000000"/>
          <w:shd w:val="clear" w:color="auto" w:fill="FFFFFF"/>
          <w:lang w:eastAsia="en-GB"/>
        </w:rPr>
        <w:t>(Creswell and</w:t>
      </w:r>
      <w:r w:rsidR="00510940" w:rsidRPr="009B3747">
        <w:rPr>
          <w:rFonts w:eastAsia="Times New Roman" w:cstheme="minorHAnsi"/>
          <w:color w:val="000000"/>
          <w:shd w:val="clear" w:color="auto" w:fill="FFFFFF"/>
          <w:lang w:eastAsia="en-GB"/>
        </w:rPr>
        <w:t xml:space="preserve"> Plano Clark, 2007, </w:t>
      </w:r>
      <w:r w:rsidR="00E3179E" w:rsidRPr="009B3747">
        <w:rPr>
          <w:rFonts w:eastAsia="Times New Roman" w:cstheme="minorHAnsi"/>
          <w:color w:val="000000"/>
          <w:shd w:val="clear" w:color="auto" w:fill="FFFFFF"/>
          <w:lang w:eastAsia="en-GB"/>
        </w:rPr>
        <w:t>p.</w:t>
      </w:r>
      <w:r w:rsidR="00E0278C" w:rsidRPr="009B3747">
        <w:rPr>
          <w:rFonts w:eastAsia="Times New Roman" w:cstheme="minorHAnsi"/>
          <w:color w:val="000000"/>
          <w:shd w:val="clear" w:color="auto" w:fill="FFFFFF"/>
          <w:lang w:eastAsia="en-GB"/>
        </w:rPr>
        <w:t>146</w:t>
      </w:r>
      <w:r w:rsidR="00510940" w:rsidRPr="009B3747">
        <w:rPr>
          <w:rFonts w:eastAsia="Times New Roman" w:cstheme="minorHAnsi"/>
          <w:color w:val="000000"/>
          <w:shd w:val="clear" w:color="auto" w:fill="FFFFFF"/>
          <w:lang w:eastAsia="en-GB"/>
        </w:rPr>
        <w:t xml:space="preserve">). </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t>Consequently, the issues of quality and rigor and the proposed relevant criteria for assessing each will first be considered for the qualitative phase and then latterly for the quantitativ</w:t>
      </w:r>
      <w:r w:rsidR="00990EFD" w:rsidRPr="009B3747">
        <w:rPr>
          <w:rFonts w:eastAsia="Times New Roman" w:cstheme="minorHAnsi"/>
          <w:color w:val="000000"/>
          <w:lang w:eastAsia="en-GB"/>
        </w:rPr>
        <w:t>e phase (</w:t>
      </w:r>
      <w:r w:rsidR="00E0278C" w:rsidRPr="009B3747">
        <w:rPr>
          <w:rFonts w:eastAsia="Times New Roman" w:cstheme="minorHAnsi"/>
          <w:color w:val="000000"/>
          <w:lang w:eastAsia="en-GB"/>
        </w:rPr>
        <w:t>chapter 7</w:t>
      </w:r>
      <w:r w:rsidRPr="009B3747">
        <w:rPr>
          <w:rFonts w:eastAsia="Times New Roman" w:cstheme="minorHAnsi"/>
          <w:color w:val="000000"/>
          <w:lang w:eastAsia="en-GB"/>
        </w:rPr>
        <w:t>).</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161F38" w:rsidP="00510940">
      <w:pPr>
        <w:rPr>
          <w:rFonts w:eastAsia="Times New Roman" w:cstheme="minorHAnsi"/>
          <w:sz w:val="24"/>
          <w:szCs w:val="24"/>
          <w:lang w:eastAsia="en-GB"/>
        </w:rPr>
      </w:pPr>
      <w:r w:rsidRPr="009B3747">
        <w:rPr>
          <w:rFonts w:eastAsia="Times New Roman" w:cstheme="minorHAnsi"/>
          <w:color w:val="000000"/>
          <w:u w:val="single"/>
          <w:lang w:eastAsia="en-GB"/>
        </w:rPr>
        <w:t>5</w:t>
      </w:r>
      <w:r w:rsidR="009D727E" w:rsidRPr="009B3747">
        <w:rPr>
          <w:rFonts w:eastAsia="Times New Roman" w:cstheme="minorHAnsi"/>
          <w:color w:val="000000"/>
          <w:u w:val="single"/>
          <w:lang w:eastAsia="en-GB"/>
        </w:rPr>
        <w:t>.6</w:t>
      </w:r>
      <w:r w:rsidR="006F36A0" w:rsidRPr="009B3747">
        <w:rPr>
          <w:rFonts w:eastAsia="Times New Roman" w:cstheme="minorHAnsi"/>
          <w:color w:val="000000"/>
          <w:u w:val="single"/>
          <w:lang w:eastAsia="en-GB"/>
        </w:rPr>
        <w:t xml:space="preserve">.1 </w:t>
      </w:r>
      <w:r w:rsidR="00510940" w:rsidRPr="009B3747">
        <w:rPr>
          <w:rFonts w:eastAsia="Times New Roman" w:cstheme="minorHAnsi"/>
          <w:color w:val="000000"/>
          <w:u w:val="single"/>
          <w:lang w:eastAsia="en-GB"/>
        </w:rPr>
        <w:t xml:space="preserve">Qualitative quality criteria </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t>There is much debate about whether the same concepts for assessing quality in quantitative research can be a</w:t>
      </w:r>
      <w:r w:rsidR="00E0278C" w:rsidRPr="009B3747">
        <w:rPr>
          <w:rFonts w:eastAsia="Times New Roman" w:cstheme="minorHAnsi"/>
          <w:color w:val="000000"/>
          <w:lang w:eastAsia="en-GB"/>
        </w:rPr>
        <w:t xml:space="preserve">pplied to qualitative research </w:t>
      </w:r>
      <w:r w:rsidR="00713B08"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"Pope", "given" : "C", "non-dropping-particle" : "", "parse-names" : false, "suffix" : "" }, { "dropping-particle" : "", "family" : "Mays", "given" : "N", "non-dropping-particle" : "", "parse-names" : false, "suffix" : "" } ], "container-title" : "Qualitative Research in Health Care", "edition" : "3rd", "editor" : [ { "dropping-particle" : "", "family" : "Pope", "given" : "C", "non-dropping-particle" : "", "parse-names" : false, "suffix" : "" }, { "dropping-particle" : "", "family" : "Mays", "given" : "N", "non-dropping-particle" : "", "parse-names" : false, "suffix" : "" } ], "id" : "ITEM-1", "issued" : { "date-parts" : [ [ "2006" ] ] }, "page" : "1-11", "publisher-place" : "Malden", "title" : "Qualitative Methods in Health Research", "type" : "chapter" }, "uris" : [ "http://www.mendeley.com/documents/?uuid=6de6e72d-2aeb-44ba-bec2-1e2a3c103a01" ] }, { "id" : "ITEM-2", "itemData" : { "ISBN" : "9781446209110", "abstract" : "Second edition. First edition published in 2003 and reprinted every year, ending in 2013. Providing a clear and accessible account of the qualitative research process, this book discusses the different forms and uses of qualitative research, the design, data collection, analysis and reporting. The foundations of qualitative research / Rachel Ormston, Liz Spencer, Matt Barnard, Dawn Snape -- The applications of qualitative methods to social research / Jane Ritchie and Rachel Ormston -- Design issues / Jane Lewis and Carol McNaughton Nicholls -- Ethical considerations in qualitative research / Stephen Webster, Jane Lewis and Ashley Brown -- Designing and selecting samples / Jane Ritchie, Jane Lewis, Gilliam Elam, Rosalind Tennant and Nilufer Rahim -- Designing fieldwork / Sue Arthur, Martin Mitchell, Jane Lewis and Carol McNaughton Nicholls -- In-depth interviews / Alice Yeo, Robin Legard, Jill Keegan, Kit Ward, Carol McNaughton Nicholls and Jane Lewis -- Focus groups / Helen Finch, Jane Lewis and Caroline Turley -- Observation / Carol McNaughton Nicholls, Lisa Mills and Mehul Kotecha -- Analysis: principles and processes / Liz Spencer, Jane Ritchie, Rachel Ormston, William O'Connor and Matt Barnard -- Analysis in practice / Liz Spencer, Jane Ritchie, William O'Connor, Gareth Morrell and Rachel Ormston -- Generalising from qualitative research / Jane Lewis, Jane Ritchie, Rachel Ormston and Gareth Morrell -- Writing up qualitative research / Clarissa White, Kandy Woodfield, Jane Ritchie and Rachel Ormston.", "author" : [ { "dropping-particle" : "", "family" : "Ritchie", "given" : "Jane", "non-dropping-particle" : "", "parse-names" : false, "suffix" : "" }, { "dropping-particle" : "", "family" : "Lewis", "given" : "Jane", "non-dropping-particle" : "", "parse-names" : false, "suffix" : "" }, { "dropping-particle" : "", "family" : "McNaughton Nicholls", "given" : "Carol.", "non-dropping-particle" : "", "parse-names" : false, "suffix" : "" }, { "dropping-particle" : "", "family" : "Ormston", "given" : "Rachel.", "non-dropping-particle" : "", "parse-names" : false, "suffix" : "" } ], "edition" : "2nd", "id" : "ITEM-2", "issued" : { "date-parts" : [ [ "2014" ] ] }, "number-of-pages" : "430", "publisher" : "SAGE Publications Ltd", "publisher-place" : "London", "title" : "Qualitative research practice : a guide for social science students and researchers", "type" : "book" }, "uris" : [ "http://www.mendeley.com/documents/?uuid=54782e48-e425-37de-9c30-38e6a8364708" ] } ], "mendeley" : { "formattedCitation" : "(Pope and Mays, 2006; Ritchie et al., 2014)", "plainTextFormattedCitation" : "(Pope and Mays, 2006; Ritchie et al., 2014)", "previouslyFormattedCitation" : "(Pope and Mays, 2006; Ritchie et al., 2014)" }, "properties" : { "noteIndex" : 0 }, "schema" : "https://github.com/citation-style-language/schema/raw/master/csl-citation.json" }</w:instrText>
      </w:r>
      <w:r w:rsidR="00713B08" w:rsidRPr="009B3747">
        <w:rPr>
          <w:rFonts w:eastAsia="Times New Roman" w:cstheme="minorHAnsi"/>
          <w:color w:val="000000"/>
          <w:lang w:eastAsia="en-GB"/>
        </w:rPr>
        <w:fldChar w:fldCharType="separate"/>
      </w:r>
      <w:r w:rsidR="009C2ECF" w:rsidRPr="009B3747">
        <w:rPr>
          <w:rFonts w:eastAsia="Times New Roman" w:cstheme="minorHAnsi"/>
          <w:noProof/>
          <w:color w:val="000000"/>
          <w:lang w:eastAsia="en-GB"/>
        </w:rPr>
        <w:t>(Pope and Mays, 2006; Ritchie et al., 2014)</w:t>
      </w:r>
      <w:r w:rsidR="00713B08" w:rsidRPr="009B3747">
        <w:rPr>
          <w:rFonts w:eastAsia="Times New Roman" w:cstheme="minorHAnsi"/>
          <w:color w:val="000000"/>
          <w:lang w:eastAsia="en-GB"/>
        </w:rPr>
        <w:fldChar w:fldCharType="end"/>
      </w:r>
      <w:r w:rsidR="00AA1C87" w:rsidRPr="009B3747">
        <w:rPr>
          <w:rFonts w:eastAsia="Times New Roman" w:cstheme="minorHAnsi"/>
          <w:color w:val="000000"/>
          <w:lang w:eastAsia="en-GB"/>
        </w:rPr>
        <w:t xml:space="preserve">.  </w:t>
      </w:r>
      <w:r w:rsidRPr="009B3747">
        <w:rPr>
          <w:rFonts w:eastAsia="Times New Roman" w:cstheme="minorHAnsi"/>
          <w:color w:val="000000"/>
          <w:lang w:eastAsia="en-GB"/>
        </w:rPr>
        <w:t>Typically</w:t>
      </w:r>
      <w:r w:rsidR="00E0278C" w:rsidRPr="009B3747">
        <w:rPr>
          <w:rFonts w:eastAsia="Times New Roman" w:cstheme="minorHAnsi"/>
          <w:color w:val="000000"/>
          <w:lang w:eastAsia="en-GB"/>
        </w:rPr>
        <w:t>,</w:t>
      </w:r>
      <w:r w:rsidRPr="009B3747">
        <w:rPr>
          <w:rFonts w:eastAsia="Times New Roman" w:cstheme="minorHAnsi"/>
          <w:color w:val="000000"/>
          <w:lang w:eastAsia="en-GB"/>
        </w:rPr>
        <w:t xml:space="preserve"> the concep</w:t>
      </w:r>
      <w:r w:rsidR="00713B08" w:rsidRPr="009B3747">
        <w:rPr>
          <w:rFonts w:eastAsia="Times New Roman" w:cstheme="minorHAnsi"/>
          <w:color w:val="000000"/>
          <w:lang w:eastAsia="en-GB"/>
        </w:rPr>
        <w:t xml:space="preserve">ts of validity and reliability </w:t>
      </w:r>
      <w:r w:rsidRPr="009B3747">
        <w:rPr>
          <w:rFonts w:eastAsia="Times New Roman" w:cstheme="minorHAnsi"/>
          <w:color w:val="000000"/>
          <w:lang w:eastAsia="en-GB"/>
        </w:rPr>
        <w:t>are important criteria for establishing and assessing the qu</w:t>
      </w:r>
      <w:r w:rsidR="00AA1C87" w:rsidRPr="009B3747">
        <w:rPr>
          <w:rFonts w:eastAsia="Times New Roman" w:cstheme="minorHAnsi"/>
          <w:color w:val="000000"/>
          <w:lang w:eastAsia="en-GB"/>
        </w:rPr>
        <w:t xml:space="preserve">ality of quantitative research </w:t>
      </w:r>
      <w:r w:rsidR="00AA1C87" w:rsidRPr="009B3747">
        <w:rPr>
          <w:rFonts w:eastAsia="Times New Roman" w:cstheme="minorHAnsi"/>
          <w:color w:val="000000"/>
          <w:lang w:eastAsia="en-GB"/>
        </w:rPr>
        <w:fldChar w:fldCharType="begin" w:fldLock="1"/>
      </w:r>
      <w:r w:rsidR="002D0012">
        <w:rPr>
          <w:rFonts w:eastAsia="Times New Roman" w:cstheme="minorHAnsi"/>
          <w:color w:val="000000"/>
          <w:lang w:eastAsia="en-GB"/>
        </w:rPr>
        <w:instrText>ADDIN CSL_CITATION { "citationItems" : [ { "id" : "ITEM-1", "itemData" : { "ISBN" : "1446296164", "abstract" : "3rd ed. Previous edition: 2005. In the new edition of Introduction to Social Resarch, Keith Punch takes a fresh look at the entire research process, from formulating a research question to writing up your research. Introduction -- Theory and method in social science research -- Ethics in social science research -- Research questions -- From research questions to data -- Literature searching and reviewing -- Qualitative research design -- Collecting qualitative data -- Analysing qualitative data -- Quantitative research design -- Collecting quatitative data -- Analysing quantitative data -- The internet and research -- Mixed methods and evaluation -- Research writing.", "author" : [ { "dropping-particle" : "", "family" : "Punch", "given" : "K", "non-dropping-particle" : "", "parse-names" : false, "suffix" : "" } ], "edition" : "3rd", "id" : "ITEM-1", "issued" : { "date-parts" : [ [ "2014" ] ] }, "number-of-pages" : "386", "publisher" : "SAGE Publications Ltd", "publisher-place" : "London", "title" : "Introduction to social research : Quantitative and qualitative approaches", "type" : "book" }, "uris" : [ "http://www.mendeley.com/documents/?uuid=7e80c4f6-afa1-3067-9430-96a282ce3e85" ] } ], "mendeley" : { "formattedCitation" : "(Punch, 2014)", "manualFormatting" : "(Punch, 2014)", "plainTextFormattedCitation" : "(Punch, 2014)", "previouslyFormattedCitation" : "(Punch, 2014)" }, "properties" : { "noteIndex" : 0 }, "schema" : "https://github.com/citation-style-language/schema/raw/master/csl-citation.json" }</w:instrText>
      </w:r>
      <w:r w:rsidR="00AA1C87" w:rsidRPr="009B3747">
        <w:rPr>
          <w:rFonts w:eastAsia="Times New Roman" w:cstheme="minorHAnsi"/>
          <w:color w:val="000000"/>
          <w:lang w:eastAsia="en-GB"/>
        </w:rPr>
        <w:fldChar w:fldCharType="separate"/>
      </w:r>
      <w:r w:rsidR="004862DC">
        <w:rPr>
          <w:rFonts w:eastAsia="Times New Roman" w:cstheme="minorHAnsi"/>
          <w:noProof/>
          <w:color w:val="000000"/>
          <w:lang w:eastAsia="en-GB"/>
        </w:rPr>
        <w:t>(</w:t>
      </w:r>
      <w:r w:rsidR="00395650" w:rsidRPr="009B3747">
        <w:rPr>
          <w:rFonts w:eastAsia="Times New Roman" w:cstheme="minorHAnsi"/>
          <w:noProof/>
          <w:color w:val="000000"/>
          <w:lang w:eastAsia="en-GB"/>
        </w:rPr>
        <w:t>Punch, 2014)</w:t>
      </w:r>
      <w:r w:rsidR="00AA1C87" w:rsidRPr="009B3747">
        <w:rPr>
          <w:rFonts w:eastAsia="Times New Roman" w:cstheme="minorHAnsi"/>
          <w:color w:val="000000"/>
          <w:lang w:eastAsia="en-GB"/>
        </w:rPr>
        <w:fldChar w:fldCharType="end"/>
      </w:r>
      <w:r w:rsidR="00AA1C87" w:rsidRPr="009B3747">
        <w:rPr>
          <w:rFonts w:eastAsia="Times New Roman" w:cstheme="minorHAnsi"/>
          <w:color w:val="000000"/>
          <w:lang w:eastAsia="en-GB"/>
        </w:rPr>
        <w:t xml:space="preserve">.  </w:t>
      </w:r>
      <w:r w:rsidRPr="009B3747">
        <w:rPr>
          <w:rFonts w:eastAsia="Times New Roman" w:cstheme="minorHAnsi"/>
          <w:color w:val="000000"/>
          <w:lang w:eastAsia="en-GB"/>
        </w:rPr>
        <w:t>However, academics have argued that the quality of qualitative research cannot be determined by the same concepts or set of criteria as in quantitative research</w:t>
      </w:r>
      <w:r w:rsidR="00713B08" w:rsidRPr="009B3747">
        <w:rPr>
          <w:rFonts w:eastAsia="Times New Roman" w:cstheme="minorHAnsi"/>
          <w:color w:val="000000"/>
          <w:lang w:eastAsia="en-GB"/>
        </w:rPr>
        <w:t xml:space="preserve"> </w:t>
      </w:r>
      <w:r w:rsidR="00713B08" w:rsidRPr="009B3747">
        <w:rPr>
          <w:rFonts w:eastAsia="Times New Roman" w:cstheme="minorHAnsi"/>
          <w:color w:val="000000"/>
          <w:lang w:eastAsia="en-GB"/>
        </w:rPr>
        <w:fldChar w:fldCharType="begin" w:fldLock="1"/>
      </w:r>
      <w:r w:rsidR="00713B08" w:rsidRPr="009B3747">
        <w:rPr>
          <w:rFonts w:eastAsia="Times New Roman" w:cstheme="minorHAnsi"/>
          <w:color w:val="000000"/>
          <w:lang w:eastAsia="en-GB"/>
        </w:rPr>
        <w:instrText>ADDIN CSL_CITATION { "citationItems" : [ { "id" : "ITEM-1", "itemData" : { "author" : [ { "dropping-particle" : "", "family" : "Mays", "given" : "Nicholas", "non-dropping-particle" : "", "parse-names" : false, "suffix" : "" }, { "dropping-particle" : "", "family" : "Pope", "given" : "Catherine", "non-dropping-particle" : "", "parse-names" : false, "suffix" : "" } ], "container-title" : "BMJ", "id" : "ITEM-1", "issue" : "6997", "issued" : { "date-parts" : [ [ "1995" ] ] }, "title" : "Qualitative Research: Rigour and qualitative research", "type" : "article-journal", "volume" : "311" }, "uris" : [ "http://www.mendeley.com/documents/?uuid=2595df9f-000a-3393-bd03-b6e7de652fb3" ] } ], "mendeley" : { "formattedCitation" : "(Mays and Pope, 1995)", "plainTextFormattedCitation" : "(Mays and Pope, 1995)", "previouslyFormattedCitation" : "(Mays and Pope, 1995)" }, "properties" : { "noteIndex" : 0 }, "schema" : "https://github.com/citation-style-language/schema/raw/master/csl-citation.json" }</w:instrText>
      </w:r>
      <w:r w:rsidR="00713B08" w:rsidRPr="009B3747">
        <w:rPr>
          <w:rFonts w:eastAsia="Times New Roman" w:cstheme="minorHAnsi"/>
          <w:color w:val="000000"/>
          <w:lang w:eastAsia="en-GB"/>
        </w:rPr>
        <w:fldChar w:fldCharType="separate"/>
      </w:r>
      <w:r w:rsidR="00713B08" w:rsidRPr="009B3747">
        <w:rPr>
          <w:rFonts w:eastAsia="Times New Roman" w:cstheme="minorHAnsi"/>
          <w:noProof/>
          <w:color w:val="000000"/>
          <w:lang w:eastAsia="en-GB"/>
        </w:rPr>
        <w:t>(Mays and Pope, 1995)</w:t>
      </w:r>
      <w:r w:rsidR="00713B08" w:rsidRPr="009B3747">
        <w:rPr>
          <w:rFonts w:eastAsia="Times New Roman" w:cstheme="minorHAnsi"/>
          <w:color w:val="000000"/>
          <w:lang w:eastAsia="en-GB"/>
        </w:rPr>
        <w:fldChar w:fldCharType="end"/>
      </w:r>
      <w:r w:rsidRPr="009B3747">
        <w:rPr>
          <w:rFonts w:eastAsia="Times New Roman" w:cstheme="minorHAnsi"/>
          <w:color w:val="000000"/>
          <w:lang w:eastAsia="en-GB"/>
        </w:rPr>
        <w:t>.  Consequently, alternatives have been proposed to those concepts or criteria traditionally developed in the natural sciences a</w:t>
      </w:r>
      <w:r w:rsidR="00AA1C87" w:rsidRPr="009B3747">
        <w:rPr>
          <w:rFonts w:eastAsia="Times New Roman" w:cstheme="minorHAnsi"/>
          <w:color w:val="000000"/>
          <w:lang w:eastAsia="en-GB"/>
        </w:rPr>
        <w:t xml:space="preserve">nd quantitative social science </w:t>
      </w:r>
      <w:r w:rsidR="00AA1C87"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"ISBN" : "9781446209110", "abstract" : "Second edition. First edition published in 2003 and reprinted every year, ending in 2013. Providing a clear and accessible account of the qualitative research process, this book discusses the different forms and uses of qualitative research, the design, data collection, analysis and reporting. The foundations of qualitative research / Rachel Ormston, Liz Spencer, Matt Barnard, Dawn Snape -- The applications of qualitative methods to social research / Jane Ritchie and Rachel Ormston -- Design issues / Jane Lewis and Carol McNaughton Nicholls -- Ethical considerations in qualitative research / Stephen Webster, Jane Lewis and Ashley Brown -- Designing and selecting samples / Jane Ritchie, Jane Lewis, Gilliam Elam, Rosalind Tennant and Nilufer Rahim -- Designing fieldwork / Sue Arthur, Martin Mitchell, Jane Lewis and Carol McNaughton Nicholls -- In-depth interviews / Alice Yeo, Robin Legard, Jill Keegan, Kit Ward, Carol McNaughton Nicholls and Jane Lewis -- Focus groups / Helen Finch, Jane Lewis and Caroline Turley -- Observation / Carol McNaughton Nicholls, Lisa Mills and Mehul Kotecha -- Analysis: principles and processes / Liz Spencer, Jane Ritchie, Rachel Ormston, William O'Connor and Matt Barnard -- Analysis in practice / Liz Spencer, Jane Ritchie, William O'Connor, Gareth Morrell and Rachel Ormston -- Generalising from qualitative research / Jane Lewis, Jane Ritchie, Rachel Ormston and Gareth Morrell -- Writing up qualitative research / Clarissa White, Kandy Woodfield, Jane Ritchie and Rachel Ormston.", "author" : [ { "dropping-particle" : "", "family" : "Ritchie", "given" : "Jane", "non-dropping-particle" : "", "parse-names" : false, "suffix" : "" }, { "dropping-particle" : "", "family" : "Lewis", "given" : "Jane", "non-dropping-particle" : "", "parse-names" : false, "suffix" : "" }, { "dropping-particle" : "", "family" : "McNaughton Nicholls", "given" : "Carol.", "non-dropping-particle" : "", "parse-names" : false, "suffix" : "" }, { "dropping-particle" : "", "family" : "Ormston", "given" : "Rachel.", "non-dropping-particle" : "", "parse-names" : false, "suffix" : "" } ], "edition" : "2nd", "id" : "ITEM-1", "issued" : { "date-parts" : [ [ "2014" ] ] }, "number-of-pages" : "430", "publisher" : "SAGE Publications Ltd", "publisher-place" : "London", "title" : "Qualitative research practice : a guide for social science students and researchers", "type" : "book" }, "uris" : [ "http://www.mendeley.com/documents/?uuid=54782e48-e425-37de-9c30-38e6a8364708" ] } ], "mendeley" : { "formattedCitation" : "(Ritchie et al., 2014)", "plainTextFormattedCitation" : "(Ritchie et al., 2014)", "previouslyFormattedCitation" : "(Ritchie et al., 2014)" }, "properties" : { "noteIndex" : 0 }, "schema" : "https://github.com/citation-style-language/schema/raw/master/csl-citation.json" }</w:instrText>
      </w:r>
      <w:r w:rsidR="00AA1C87" w:rsidRPr="009B3747">
        <w:rPr>
          <w:rFonts w:eastAsia="Times New Roman" w:cstheme="minorHAnsi"/>
          <w:color w:val="000000"/>
          <w:lang w:eastAsia="en-GB"/>
        </w:rPr>
        <w:fldChar w:fldCharType="separate"/>
      </w:r>
      <w:r w:rsidR="00AA1C87" w:rsidRPr="009B3747">
        <w:rPr>
          <w:rFonts w:eastAsia="Times New Roman" w:cstheme="minorHAnsi"/>
          <w:noProof/>
          <w:color w:val="000000"/>
          <w:lang w:eastAsia="en-GB"/>
        </w:rPr>
        <w:t>(Ritchie et al., 2014)</w:t>
      </w:r>
      <w:r w:rsidR="00AA1C87" w:rsidRPr="009B3747">
        <w:rPr>
          <w:rFonts w:eastAsia="Times New Roman" w:cstheme="minorHAnsi"/>
          <w:color w:val="000000"/>
          <w:lang w:eastAsia="en-GB"/>
        </w:rPr>
        <w:fldChar w:fldCharType="end"/>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spacing w:after="340"/>
        <w:rPr>
          <w:rFonts w:eastAsia="Times New Roman" w:cstheme="minorHAnsi"/>
          <w:sz w:val="24"/>
          <w:szCs w:val="24"/>
          <w:lang w:eastAsia="en-GB"/>
        </w:rPr>
      </w:pPr>
      <w:r w:rsidRPr="009B3747">
        <w:rPr>
          <w:rFonts w:eastAsia="Times New Roman" w:cstheme="minorHAnsi"/>
          <w:color w:val="000000"/>
          <w:shd w:val="clear" w:color="auto" w:fill="FFFFFF"/>
          <w:lang w:eastAsia="en-GB"/>
        </w:rPr>
        <w:t xml:space="preserve">Despite the absence of a universally agreed criteria for assessing quality in qualitative research </w:t>
      </w:r>
      <w:r w:rsidR="00AA1C87" w:rsidRPr="009B3747">
        <w:rPr>
          <w:rFonts w:eastAsia="Times New Roman" w:cstheme="minorHAnsi"/>
          <w:color w:val="000000"/>
          <w:shd w:val="clear" w:color="auto" w:fill="FFFFFF"/>
          <w:lang w:eastAsia="en-GB"/>
        </w:rPr>
        <w:fldChar w:fldCharType="begin" w:fldLock="1"/>
      </w:r>
      <w:r w:rsidR="00395650" w:rsidRPr="009B3747">
        <w:rPr>
          <w:rFonts w:eastAsia="Times New Roman" w:cstheme="minorHAnsi"/>
          <w:color w:val="000000"/>
          <w:shd w:val="clear" w:color="auto" w:fill="FFFFFF"/>
          <w:lang w:eastAsia="en-GB"/>
        </w:rPr>
        <w:instrText>ADDIN CSL_CITATION { "citationItems" : [ { "id" : "ITEM-1", "itemData" : { "ISBN" : "0761971092", "abstract" : "Snape, D. \\&amp; Spencer, L. 2003. The foundation of qualitative research. Ritchie, J. \\&amp; Lewis, J. (eds.) Qualitative Research Practice: A Guide for Social Science Students and Researchers, 123. London \\&amp; Thousand Oaks: Sage.", "author" : [ { "dropping-particle" : "", "family" : "Snape", "given" : "Dawn", "non-dropping-particle" : "", "parse-names" : false, "suffix" : "" }, { "dropping-particle" : "", "family" : "Spencer", "given" : "Liz", "non-dropping-particle" : "", "parse-names" : false, "suffix" : "" } ], "chapter-number" : "1", "container-title" : "Qualitative Research Practice: A Guide for Social Science Students and Researchers", "id" : "ITEM-1", "issue" : "1", "issued" : { "date-parts" : [ [ "2003" ] ] }, "page" : "1-23", "publisher" : "SAGE Publications Inc.", "publisher-place" : "Thousand Oaks", "title" : "The Foundations of Qualitative Research", "type" : "chapter", "volume" : "11" }, "uris" : [ "http://www.mendeley.com/documents/?uuid=a1b90904-5f21-4348-af1f-c93c70300059" ] } ], "mendeley" : { "formattedCitation" : "(Snape and Spencer, 2003)", "plainTextFormattedCitation" : "(Snape and Spencer, 2003)", "previouslyFormattedCitation" : "(Snape and Spencer, 2003)" }, "properties" : { "noteIndex" : 0 }, "schema" : "https://github.com/citation-style-language/schema/raw/master/csl-citation.json" }</w:instrText>
      </w:r>
      <w:r w:rsidR="00AA1C87" w:rsidRPr="009B3747">
        <w:rPr>
          <w:rFonts w:eastAsia="Times New Roman" w:cstheme="minorHAnsi"/>
          <w:color w:val="000000"/>
          <w:shd w:val="clear" w:color="auto" w:fill="FFFFFF"/>
          <w:lang w:eastAsia="en-GB"/>
        </w:rPr>
        <w:fldChar w:fldCharType="separate"/>
      </w:r>
      <w:r w:rsidR="00AA1C87" w:rsidRPr="009B3747">
        <w:rPr>
          <w:rFonts w:eastAsia="Times New Roman" w:cstheme="minorHAnsi"/>
          <w:noProof/>
          <w:color w:val="000000"/>
          <w:shd w:val="clear" w:color="auto" w:fill="FFFFFF"/>
          <w:lang w:eastAsia="en-GB"/>
        </w:rPr>
        <w:t>(Snape and Spencer, 2003)</w:t>
      </w:r>
      <w:r w:rsidR="00AA1C87" w:rsidRPr="009B3747">
        <w:rPr>
          <w:rFonts w:eastAsia="Times New Roman" w:cstheme="minorHAnsi"/>
          <w:color w:val="000000"/>
          <w:shd w:val="clear" w:color="auto" w:fill="FFFFFF"/>
          <w:lang w:eastAsia="en-GB"/>
        </w:rPr>
        <w:fldChar w:fldCharType="end"/>
      </w:r>
      <w:r w:rsidRPr="009B3747">
        <w:rPr>
          <w:rFonts w:eastAsia="Times New Roman" w:cstheme="minorHAnsi"/>
          <w:color w:val="000000"/>
          <w:shd w:val="clear" w:color="auto" w:fill="FFFFFF"/>
          <w:lang w:eastAsia="en-GB"/>
        </w:rPr>
        <w:t xml:space="preserve">, arguably the most well-known and cited is that by </w:t>
      </w:r>
      <w:r w:rsidR="00AA1C87" w:rsidRPr="009B3747">
        <w:rPr>
          <w:rFonts w:eastAsia="Times New Roman" w:cstheme="minorHAnsi"/>
          <w:color w:val="000000"/>
          <w:shd w:val="clear" w:color="auto" w:fill="FFFFFF"/>
          <w:lang w:eastAsia="en-GB"/>
        </w:rPr>
        <w:fldChar w:fldCharType="begin" w:fldLock="1"/>
      </w:r>
      <w:r w:rsidR="00395650" w:rsidRPr="009B3747">
        <w:rPr>
          <w:rFonts w:eastAsia="Times New Roman" w:cstheme="minorHAnsi"/>
          <w:color w:val="000000"/>
          <w:shd w:val="clear" w:color="auto" w:fill="FFFFFF"/>
          <w:lang w:eastAsia="en-GB"/>
        </w:rPr>
        <w:instrText>ADDIN CSL_CITATION { "citationItems" : [ { "id" : "ITEM-1", "itemData" : { "author" : [ { "dropping-particle" : "", "family" : "Lincoln", "given" : "YS", "non-dropping-particle" : "", "parse-names" : false, "suffix" : "" }, { "dropping-particle" : "", "family" : "Guba", "given" : "EG", "non-dropping-particle" : "", "parse-names" : false, "suffix" : "" } ], "id" : "ITEM-1", "issued" : { "date-parts" : [ [ "1985" ] ] }, "publisher" : "SAGE Publications Inc.", "publisher-place" : "Los Angeles", "title" : "Naturalistic inquiry", "type" : "book" }, "uris" : [ "http://www.mendeley.com/documents/?uuid=9334e68e-7afa-4a75-b859-2f0b3a983fba" ] } ], "mendeley" : { "formattedCitation" : "(Lincoln and Guba, 1985)", "manualFormatting" : "Lincoln and Guba, (1985)", "plainTextFormattedCitation" : "(Lincoln and Guba, 1985)", "previouslyFormattedCitation" : "(Lincoln and Guba, 1985)" }, "properties" : { "noteIndex" : 0 }, "schema" : "https://github.com/citation-style-language/schema/raw/master/csl-citation.json" }</w:instrText>
      </w:r>
      <w:r w:rsidR="00AA1C87" w:rsidRPr="009B3747">
        <w:rPr>
          <w:rFonts w:eastAsia="Times New Roman" w:cstheme="minorHAnsi"/>
          <w:color w:val="000000"/>
          <w:shd w:val="clear" w:color="auto" w:fill="FFFFFF"/>
          <w:lang w:eastAsia="en-GB"/>
        </w:rPr>
        <w:fldChar w:fldCharType="separate"/>
      </w:r>
      <w:r w:rsidR="00AA1C87" w:rsidRPr="009B3747">
        <w:rPr>
          <w:rFonts w:eastAsia="Times New Roman" w:cstheme="minorHAnsi"/>
          <w:noProof/>
          <w:color w:val="000000"/>
          <w:shd w:val="clear" w:color="auto" w:fill="FFFFFF"/>
          <w:lang w:eastAsia="en-GB"/>
        </w:rPr>
        <w:t>Lincoln and Guba, (1985)</w:t>
      </w:r>
      <w:r w:rsidR="00AA1C87" w:rsidRPr="009B3747">
        <w:rPr>
          <w:rFonts w:eastAsia="Times New Roman" w:cstheme="minorHAnsi"/>
          <w:color w:val="000000"/>
          <w:shd w:val="clear" w:color="auto" w:fill="FFFFFF"/>
          <w:lang w:eastAsia="en-GB"/>
        </w:rPr>
        <w:fldChar w:fldCharType="end"/>
      </w:r>
      <w:r w:rsidR="00AA1C87" w:rsidRPr="009B3747">
        <w:rPr>
          <w:rFonts w:eastAsia="Times New Roman" w:cstheme="minorHAnsi"/>
          <w:color w:val="000000"/>
          <w:shd w:val="clear" w:color="auto" w:fill="FFFFFF"/>
          <w:lang w:eastAsia="en-GB"/>
        </w:rPr>
        <w:t xml:space="preserve"> and </w:t>
      </w:r>
      <w:r w:rsidR="00AA1C87" w:rsidRPr="009B3747">
        <w:rPr>
          <w:rFonts w:eastAsia="Times New Roman" w:cstheme="minorHAnsi"/>
          <w:color w:val="000000"/>
          <w:shd w:val="clear" w:color="auto" w:fill="FFFFFF"/>
          <w:lang w:eastAsia="en-GB"/>
        </w:rPr>
        <w:fldChar w:fldCharType="begin" w:fldLock="1"/>
      </w:r>
      <w:r w:rsidR="00AA1C87" w:rsidRPr="009B3747">
        <w:rPr>
          <w:rFonts w:eastAsia="Times New Roman" w:cstheme="minorHAnsi"/>
          <w:color w:val="000000"/>
          <w:shd w:val="clear" w:color="auto" w:fill="FFFFFF"/>
          <w:lang w:eastAsia="en-GB"/>
        </w:rPr>
        <w:instrText>ADDIN CSL_CITATION { "citationItems" : [ { "id" : "ITEM-1", "itemData" : { "author" : [ { "dropping-particle" : "", "family" : "Guba", "given" : "EG", "non-dropping-particle" : "", "parse-names" : false, "suffix" : "" }, { "dropping-particle" : "", "family" : "Lincoln", "given" : "YS", "non-dropping-particle" : "", "parse-names" : false, "suffix" : "" } ], "container-title" : "Handbook of qualitative research", "id" : "ITEM-1", "issued" : { "date-parts" : [ [ "1994" ] ] }, "title" : "Competing paradigms in qualitative research", "type" : "article-journal" }, "uris" : [ "http://www.mendeley.com/documents/?uuid=001542db-eb13-43aa-b1f9-a6e475ab17bc" ] } ], "mendeley" : { "formattedCitation" : "(Guba and Lincoln, 1994)", "manualFormatting" : "Guba and Lincoln (1994)", "plainTextFormattedCitation" : "(Guba and Lincoln, 1994)", "previouslyFormattedCitation" : "(Guba and Lincoln, 1994)" }, "properties" : { "noteIndex" : 0 }, "schema" : "https://github.com/citation-style-language/schema/raw/master/csl-citation.json" }</w:instrText>
      </w:r>
      <w:r w:rsidR="00AA1C87" w:rsidRPr="009B3747">
        <w:rPr>
          <w:rFonts w:eastAsia="Times New Roman" w:cstheme="minorHAnsi"/>
          <w:color w:val="000000"/>
          <w:shd w:val="clear" w:color="auto" w:fill="FFFFFF"/>
          <w:lang w:eastAsia="en-GB"/>
        </w:rPr>
        <w:fldChar w:fldCharType="separate"/>
      </w:r>
      <w:r w:rsidR="00AA1C87" w:rsidRPr="009B3747">
        <w:rPr>
          <w:rFonts w:eastAsia="Times New Roman" w:cstheme="minorHAnsi"/>
          <w:noProof/>
          <w:color w:val="000000"/>
          <w:shd w:val="clear" w:color="auto" w:fill="FFFFFF"/>
          <w:lang w:eastAsia="en-GB"/>
        </w:rPr>
        <w:t>Guba and Lincoln (1994)</w:t>
      </w:r>
      <w:r w:rsidR="00AA1C87" w:rsidRPr="009B3747">
        <w:rPr>
          <w:rFonts w:eastAsia="Times New Roman" w:cstheme="minorHAnsi"/>
          <w:color w:val="000000"/>
          <w:shd w:val="clear" w:color="auto" w:fill="FFFFFF"/>
          <w:lang w:eastAsia="en-GB"/>
        </w:rPr>
        <w:fldChar w:fldCharType="end"/>
      </w:r>
      <w:r w:rsidRPr="009B3747">
        <w:rPr>
          <w:rFonts w:eastAsia="Times New Roman" w:cstheme="minorHAnsi"/>
          <w:color w:val="000000"/>
          <w:shd w:val="clear" w:color="auto" w:fill="FFFFFF"/>
          <w:lang w:eastAsia="en-GB"/>
        </w:rPr>
        <w:t xml:space="preserve">.  Their work proposes two primary criteria - trustworthiness and authenticity to assess quality in qualitative research.  Trustworthiness </w:t>
      </w:r>
      <w:r w:rsidRPr="009B3747">
        <w:rPr>
          <w:rFonts w:eastAsia="Times New Roman" w:cstheme="minorHAnsi"/>
          <w:color w:val="000000"/>
          <w:lang w:eastAsia="en-GB"/>
        </w:rPr>
        <w:t xml:space="preserve">involves establishing four criteria - credibility, transferability, dependability and confirmability.  Below examines each of these four criteria in turn, in addition to presenting how the researcher employed techniques for enhancing each throughout the qualitative phase. </w:t>
      </w:r>
    </w:p>
    <w:p w:rsidR="00510940" w:rsidRPr="009B3747" w:rsidRDefault="00510940" w:rsidP="00510940">
      <w:pPr>
        <w:rPr>
          <w:rFonts w:eastAsia="Times New Roman" w:cstheme="minorHAnsi"/>
          <w:sz w:val="24"/>
          <w:szCs w:val="24"/>
          <w:lang w:eastAsia="en-GB"/>
        </w:rPr>
      </w:pPr>
      <w:r w:rsidRPr="009B3747">
        <w:rPr>
          <w:rFonts w:eastAsia="Times New Roman" w:cstheme="minorHAnsi"/>
          <w:i/>
          <w:iCs/>
          <w:color w:val="000000"/>
          <w:lang w:eastAsia="en-GB"/>
        </w:rPr>
        <w:t>Credibility</w:t>
      </w:r>
      <w:r w:rsidRPr="009B3747">
        <w:rPr>
          <w:rFonts w:eastAsia="Times New Roman" w:cstheme="minorHAnsi"/>
          <w:color w:val="000000"/>
          <w:lang w:eastAsia="en-GB"/>
        </w:rPr>
        <w:t xml:space="preserve"> </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lastRenderedPageBreak/>
        <w:t> </w:t>
      </w:r>
    </w:p>
    <w:p w:rsidR="00510940" w:rsidRPr="009B3747" w:rsidRDefault="009025E2" w:rsidP="00510940">
      <w:pPr>
        <w:rPr>
          <w:rFonts w:eastAsia="Times New Roman" w:cstheme="minorHAnsi"/>
          <w:sz w:val="24"/>
          <w:szCs w:val="24"/>
          <w:lang w:eastAsia="en-GB"/>
        </w:rPr>
      </w:pPr>
      <w:r>
        <w:rPr>
          <w:rFonts w:eastAsia="Times New Roman" w:cstheme="minorHAnsi"/>
          <w:color w:val="000000"/>
          <w:shd w:val="clear" w:color="auto" w:fill="FFFFFF"/>
          <w:lang w:eastAsia="en-GB"/>
        </w:rPr>
        <w:t>Credibility refers to whether</w:t>
      </w:r>
      <w:r w:rsidR="00AA1C87" w:rsidRPr="009B3747">
        <w:rPr>
          <w:rFonts w:eastAsia="Times New Roman" w:cstheme="minorHAnsi"/>
          <w:color w:val="000000"/>
          <w:shd w:val="clear" w:color="auto" w:fill="FFFFFF"/>
          <w:lang w:eastAsia="en-GB"/>
        </w:rPr>
        <w:t xml:space="preserve"> the findings are </w:t>
      </w:r>
      <w:r w:rsidR="00AA1C87" w:rsidRPr="009B3747">
        <w:rPr>
          <w:rFonts w:eastAsia="Times New Roman" w:cstheme="minorHAnsi"/>
          <w:i/>
          <w:color w:val="000000"/>
          <w:shd w:val="clear" w:color="auto" w:fill="FFFFFF"/>
          <w:lang w:eastAsia="en-GB"/>
        </w:rPr>
        <w:t>“</w:t>
      </w:r>
      <w:r w:rsidR="00510940" w:rsidRPr="009B3747">
        <w:rPr>
          <w:rFonts w:eastAsia="Times New Roman" w:cstheme="minorHAnsi"/>
          <w:i/>
          <w:color w:val="000000"/>
          <w:shd w:val="clear" w:color="auto" w:fill="FFFFFF"/>
          <w:lang w:eastAsia="en-GB"/>
        </w:rPr>
        <w:t xml:space="preserve">credible to the constructors of </w:t>
      </w:r>
      <w:r w:rsidR="00AA1C87" w:rsidRPr="009B3747">
        <w:rPr>
          <w:rFonts w:eastAsia="Times New Roman" w:cstheme="minorHAnsi"/>
          <w:i/>
          <w:color w:val="000000"/>
          <w:shd w:val="clear" w:color="auto" w:fill="FFFFFF"/>
          <w:lang w:eastAsia="en-GB"/>
        </w:rPr>
        <w:t>the original multiple realities”</w:t>
      </w:r>
      <w:r w:rsidR="00510940" w:rsidRPr="009B3747">
        <w:rPr>
          <w:rFonts w:eastAsia="Times New Roman" w:cstheme="minorHAnsi"/>
          <w:i/>
          <w:color w:val="000000"/>
          <w:shd w:val="clear" w:color="auto" w:fill="FFFFFF"/>
          <w:lang w:eastAsia="en-GB"/>
        </w:rPr>
        <w:t xml:space="preserve"> </w:t>
      </w:r>
      <w:r w:rsidR="00510940" w:rsidRPr="009B3747">
        <w:rPr>
          <w:rFonts w:eastAsia="Times New Roman" w:cstheme="minorHAnsi"/>
          <w:color w:val="000000"/>
          <w:shd w:val="clear" w:color="auto" w:fill="FFFFFF"/>
          <w:lang w:eastAsia="en-GB"/>
        </w:rPr>
        <w:t>(Lincoln and Guba, 1985, p</w:t>
      </w:r>
      <w:r w:rsidR="00E3179E" w:rsidRPr="009B3747">
        <w:rPr>
          <w:rFonts w:eastAsia="Times New Roman" w:cstheme="minorHAnsi"/>
          <w:color w:val="000000"/>
          <w:shd w:val="clear" w:color="auto" w:fill="FFFFFF"/>
          <w:lang w:eastAsia="en-GB"/>
        </w:rPr>
        <w:t>.</w:t>
      </w:r>
      <w:r w:rsidR="007F3CF4">
        <w:rPr>
          <w:rFonts w:eastAsia="Times New Roman" w:cstheme="minorHAnsi"/>
          <w:color w:val="000000"/>
          <w:shd w:val="clear" w:color="auto" w:fill="FFFFFF"/>
          <w:lang w:eastAsia="en-GB"/>
        </w:rPr>
        <w:t xml:space="preserve">296), </w:t>
      </w:r>
      <w:r w:rsidR="00510940" w:rsidRPr="009B3747">
        <w:rPr>
          <w:rFonts w:eastAsia="Times New Roman" w:cstheme="minorHAnsi"/>
          <w:color w:val="000000"/>
          <w:shd w:val="clear" w:color="auto" w:fill="FFFFFF"/>
          <w:lang w:eastAsia="en-GB"/>
        </w:rPr>
        <w:t>i.e. establishing the confidence that can be placed in the truth of the phenomena under scrutiny</w:t>
      </w:r>
      <w:r w:rsidR="00AA1C87" w:rsidRPr="009B3747">
        <w:rPr>
          <w:rFonts w:eastAsia="Times New Roman" w:cstheme="minorHAnsi"/>
          <w:color w:val="000000"/>
          <w:shd w:val="clear" w:color="auto" w:fill="FFFFFF"/>
          <w:lang w:eastAsia="en-GB"/>
        </w:rPr>
        <w:t xml:space="preserve"> </w:t>
      </w:r>
      <w:r w:rsidR="00AA1C87" w:rsidRPr="009B3747">
        <w:rPr>
          <w:rFonts w:eastAsia="Times New Roman" w:cstheme="minorHAnsi"/>
          <w:color w:val="000000"/>
          <w:shd w:val="clear" w:color="auto" w:fill="FFFFFF"/>
          <w:lang w:eastAsia="en-GB"/>
        </w:rPr>
        <w:fldChar w:fldCharType="begin" w:fldLock="1"/>
      </w:r>
      <w:r w:rsidR="00395650" w:rsidRPr="009B3747">
        <w:rPr>
          <w:rFonts w:eastAsia="Times New Roman" w:cstheme="minorHAnsi"/>
          <w:color w:val="000000"/>
          <w:shd w:val="clear" w:color="auto" w:fill="FFFFFF"/>
          <w:lang w:eastAsia="en-GB"/>
        </w:rPr>
        <w:instrText>ADDIN CSL_CITATION { "citationItems" : [ { "id" : "ITEM-1", "itemData" : { "ISBN" : "0787910090", "abstract" : "2nd ed. Rev. and expanded ed. of: Case study research in education. 1st ed. 1988. \"A joint publication in the Jossey-Bass education series and the Jossey-Bass higher and adult education series\"--Page [vii]. Part 1: Foundations of qualitative case study research -- Part 2: Mastering qualitative data collection methods -- Part 3: Analyzing and reporting case study data.", "author" : [ { "dropping-particle" : "", "family" : "Merriam", "given" : "Sharan B.", "non-dropping-particle" : "", "parse-names" : false, "suffix" : "" }, { "dropping-particle" : "", "family" : "Merriam", "given" : "Sharan B.", "non-dropping-particle" : "", "parse-names" : false, "suffix" : "" } ], "edition" : "2nd", "id" : "ITEM-1", "issued" : { "date-parts" : [ [ "1998" ] ] }, "number-of-pages" : "275", "publisher" : "John Wiley &amp; Sons, Inc.", "publisher-place" : "San Francisco", "title" : "Qualitative research and case study applications in education", "type" : "book" }, "uris" : [ "http://www.mendeley.com/documents/?uuid=5dbb10aa-b39e-32e0-ad8d-267a81bb59dd" ] }, { "id" : "ITEM-2", "itemData" : { "DOI" : "10.3233/EFI-2004-22201", "ISSN" : "18758649", "author" : [ { "dropping-particle" : "", "family" : "Shenton", "given" : "Andrew K.", "non-dropping-particle" : "", "parse-names" : false, "suffix" : "" } ], "container-title" : "Education for Information", "id" : "ITEM-2", "issue" : "2", "issued" : { "date-parts" : [ [ "2004", "7", "19" ] ] }, "page" : "63-75", "publisher" : "IOS Press", "title" : "Strategies for ensuring trustworthiness in qualitative research projects", "type" : "article-journal", "volume" : "22" }, "uris" : [ "http://www.mendeley.com/documents/?uuid=3203b860-00f8-3172-8a4f-696d180d57eb" ] } ], "mendeley" : { "formattedCitation" : "(Merriam and Merriam, 1998; Shenton, 2004)", "plainTextFormattedCitation" : "(Merriam and Merriam, 1998; Shenton, 2004)", "previouslyFormattedCitation" : "(Merriam and Merriam, 1998; Shenton, 2004)" }, "properties" : { "noteIndex" : 0 }, "schema" : "https://github.com/citation-style-language/schema/raw/master/csl-citation.json" }</w:instrText>
      </w:r>
      <w:r w:rsidR="00AA1C87" w:rsidRPr="009B3747">
        <w:rPr>
          <w:rFonts w:eastAsia="Times New Roman" w:cstheme="minorHAnsi"/>
          <w:color w:val="000000"/>
          <w:shd w:val="clear" w:color="auto" w:fill="FFFFFF"/>
          <w:lang w:eastAsia="en-GB"/>
        </w:rPr>
        <w:fldChar w:fldCharType="separate"/>
      </w:r>
      <w:r w:rsidR="00AA1C87" w:rsidRPr="009B3747">
        <w:rPr>
          <w:rFonts w:eastAsia="Times New Roman" w:cstheme="minorHAnsi"/>
          <w:noProof/>
          <w:color w:val="000000"/>
          <w:shd w:val="clear" w:color="auto" w:fill="FFFFFF"/>
          <w:lang w:eastAsia="en-GB"/>
        </w:rPr>
        <w:t>(Merriam and Merriam, 1998; Shenton, 2004)</w:t>
      </w:r>
      <w:r w:rsidR="00AA1C87" w:rsidRPr="009B3747">
        <w:rPr>
          <w:rFonts w:eastAsia="Times New Roman" w:cstheme="minorHAnsi"/>
          <w:color w:val="000000"/>
          <w:shd w:val="clear" w:color="auto" w:fill="FFFFFF"/>
          <w:lang w:eastAsia="en-GB"/>
        </w:rPr>
        <w:fldChar w:fldCharType="end"/>
      </w:r>
      <w:r w:rsidR="00AA1C87" w:rsidRPr="009B3747">
        <w:rPr>
          <w:rFonts w:eastAsia="Times New Roman" w:cstheme="minorHAnsi"/>
          <w:color w:val="000000"/>
          <w:shd w:val="clear" w:color="auto" w:fill="FFFFFF"/>
          <w:lang w:eastAsia="en-GB"/>
        </w:rPr>
        <w:t xml:space="preserve">.  </w:t>
      </w:r>
      <w:r w:rsidR="00510940" w:rsidRPr="009B3747">
        <w:rPr>
          <w:rFonts w:eastAsia="Times New Roman" w:cstheme="minorHAnsi"/>
          <w:color w:val="000000"/>
          <w:shd w:val="clear" w:color="auto" w:fill="FFFFFF"/>
          <w:lang w:eastAsia="en-GB"/>
        </w:rPr>
        <w:t>Fundamentally credibility establishes whether or not the findings represent plausible information drawn from the participants’ original data and is a correct interpretation of the participants’ original views</w:t>
      </w:r>
      <w:r w:rsidR="00AA1C87" w:rsidRPr="009B3747">
        <w:rPr>
          <w:rFonts w:eastAsia="Times New Roman" w:cstheme="minorHAnsi"/>
          <w:color w:val="000000"/>
          <w:shd w:val="clear" w:color="auto" w:fill="FFFFFF"/>
          <w:lang w:eastAsia="en-GB"/>
        </w:rPr>
        <w:t xml:space="preserve"> </w:t>
      </w:r>
      <w:r w:rsidR="00AA1C87" w:rsidRPr="009B3747">
        <w:rPr>
          <w:rFonts w:eastAsia="Times New Roman" w:cstheme="minorHAnsi"/>
          <w:color w:val="000000"/>
          <w:shd w:val="clear" w:color="auto" w:fill="FFFFFF"/>
          <w:lang w:eastAsia="en-GB"/>
        </w:rPr>
        <w:fldChar w:fldCharType="begin" w:fldLock="1"/>
      </w:r>
      <w:r w:rsidR="00AA1C87" w:rsidRPr="009B3747">
        <w:rPr>
          <w:rFonts w:eastAsia="Times New Roman" w:cstheme="minorHAnsi"/>
          <w:color w:val="000000"/>
          <w:shd w:val="clear" w:color="auto" w:fill="FFFFFF"/>
          <w:lang w:eastAsia="en-GB"/>
        </w:rPr>
        <w:instrText>ADDIN CSL_CITATION { "citationItems" : [ { "id" : "ITEM-1", "itemData" : { "author" : [ { "dropping-particle" : "", "family" : "Guba", "given" : "EG", "non-dropping-particle" : "", "parse-names" : false, "suffix" : "" }, { "dropping-particle" : "", "family" : "Lincoln", "given" : "YS", "non-dropping-particle" : "", "parse-names" : false, "suffix" : "" } ], "container-title" : "Handbook of qualitative research", "id" : "ITEM-1", "issued" : { "date-parts" : [ [ "1994" ] ] }, "title" : "Competing paradigms in qualitative research", "type" : "article-journal" }, "uris" : [ "http://www.mendeley.com/documents/?uuid=001542db-eb13-43aa-b1f9-a6e475ab17bc" ] }, { "id" : "ITEM-2", "itemData" : { "DOI" : "10.1016/j.nedt.2003.10.001", "ISSN" : "02606917", "PMID" : "14769454", "abstract" : "Qualitative content analysis as described in published literature shows conflicting opinions and unsolved issues regarding meaning and use of concepts, procedures and interpretation. This paper provides an overview of important concepts (manifest and latent content, unit of analysis, meaning unit, condensation, abstraction, content area, code, category and theme) related to qualitative content analysis; illustrates the use of concepts related to the research procedure; and proposes measures to achieve trustworthiness (credibility, dependability and transferability) throughout the steps of the research procedure. Interpretation in qualitative content analysis is discussed in light of Watzlawick et al.'s [Pragmatics of Human Communication. A Study of Interactional Patterns, Pathologies and Paradoxes. W.W. Norton &amp; Company, New York, London] theory of communication.", "author" : [ { "dropping-particle" : "", "family" : "Graneheim", "given" : "U.H", "non-dropping-particle" : "", "parse-names" : false, "suffix" : "" }, { "dropping-particle" : "", "family" : "Lundman", "given" : "B", "non-dropping-particle" : "", "parse-names" : false, "suffix" : "" } ], "container-title" : "Nurse Education Today", "id" : "ITEM-2", "issue" : "2", "issued" : { "date-parts" : [ [ "2004", "2" ] ] }, "page" : "105-112", "title" : "Qualitative content analysis in nursing research: concepts, procedures and measures to achieve trustworthiness", "type" : "article-journal", "volume" : "24" }, "uris" : [ "http://www.mendeley.com/documents/?uuid=cea0abe2-a0f5-3aea-95f8-55a56f972b9c" ] } ], "mendeley" : { "formattedCitation" : "(Guba and Lincoln, 1994; Graneheim and Lundman, 2004)", "plainTextFormattedCitation" : "(Guba and Lincoln, 1994; Graneheim and Lundman, 2004)", "previouslyFormattedCitation" : "(Guba and Lincoln, 1994; Graneheim and Lundman, 2004)" }, "properties" : { "noteIndex" : 0 }, "schema" : "https://github.com/citation-style-language/schema/raw/master/csl-citation.json" }</w:instrText>
      </w:r>
      <w:r w:rsidR="00AA1C87" w:rsidRPr="009B3747">
        <w:rPr>
          <w:rFonts w:eastAsia="Times New Roman" w:cstheme="minorHAnsi"/>
          <w:color w:val="000000"/>
          <w:shd w:val="clear" w:color="auto" w:fill="FFFFFF"/>
          <w:lang w:eastAsia="en-GB"/>
        </w:rPr>
        <w:fldChar w:fldCharType="separate"/>
      </w:r>
      <w:r w:rsidR="00AA1C87" w:rsidRPr="009B3747">
        <w:rPr>
          <w:rFonts w:eastAsia="Times New Roman" w:cstheme="minorHAnsi"/>
          <w:noProof/>
          <w:color w:val="000000"/>
          <w:shd w:val="clear" w:color="auto" w:fill="FFFFFF"/>
          <w:lang w:eastAsia="en-GB"/>
        </w:rPr>
        <w:t>(Guba and Lincoln, 1994; Graneheim and Lundman, 2004)</w:t>
      </w:r>
      <w:r w:rsidR="00AA1C87" w:rsidRPr="009B3747">
        <w:rPr>
          <w:rFonts w:eastAsia="Times New Roman" w:cstheme="minorHAnsi"/>
          <w:color w:val="000000"/>
          <w:shd w:val="clear" w:color="auto" w:fill="FFFFFF"/>
          <w:lang w:eastAsia="en-GB"/>
        </w:rPr>
        <w:fldChar w:fldCharType="end"/>
      </w:r>
      <w:r w:rsidR="00AA1C87" w:rsidRPr="009B3747">
        <w:rPr>
          <w:rFonts w:eastAsia="Times New Roman" w:cstheme="minorHAnsi"/>
          <w:color w:val="000000"/>
          <w:shd w:val="clear" w:color="auto" w:fill="FFFFFF"/>
          <w:lang w:eastAsia="en-GB"/>
        </w:rPr>
        <w:t>.</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shd w:val="clear" w:color="auto" w:fill="FFFFFF"/>
          <w:lang w:eastAsia="en-GB"/>
        </w:rPr>
        <w:t xml:space="preserve">In addition to the robust approach employed to accurately obtain data for analysis (audio recording, systematic transcription process), the following strategies to enhance credibility (Lincoln and Guba, 1985) were utilised within the qualitative phase of the research - </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color w:val="000000"/>
          <w:shd w:val="clear" w:color="auto" w:fill="FFFFFF"/>
          <w:lang w:eastAsia="en-GB"/>
        </w:rPr>
      </w:pPr>
      <w:r w:rsidRPr="009B3747">
        <w:rPr>
          <w:rFonts w:eastAsia="Times New Roman" w:cstheme="minorHAnsi"/>
          <w:color w:val="000000"/>
          <w:u w:val="single"/>
          <w:shd w:val="clear" w:color="auto" w:fill="FFFFFF"/>
          <w:lang w:eastAsia="en-GB"/>
        </w:rPr>
        <w:t>Peer debriefing</w:t>
      </w:r>
      <w:r w:rsidR="00161F38" w:rsidRPr="009B3747">
        <w:rPr>
          <w:rFonts w:eastAsia="Times New Roman" w:cstheme="minorHAnsi"/>
          <w:color w:val="000000"/>
          <w:shd w:val="clear" w:color="auto" w:fill="FFFFFF"/>
          <w:lang w:eastAsia="en-GB"/>
        </w:rPr>
        <w:t xml:space="preserve"> </w:t>
      </w:r>
      <w:r w:rsidR="00EC4081" w:rsidRPr="009B3747">
        <w:rPr>
          <w:rFonts w:eastAsia="Times New Roman" w:cstheme="minorHAnsi"/>
          <w:color w:val="000000"/>
          <w:shd w:val="clear" w:color="auto" w:fill="FFFFFF"/>
          <w:lang w:eastAsia="en-GB"/>
        </w:rPr>
        <w:t>–</w:t>
      </w:r>
      <w:r w:rsidR="00161F38" w:rsidRPr="009B3747">
        <w:rPr>
          <w:rFonts w:eastAsia="Times New Roman" w:cstheme="minorHAnsi"/>
          <w:color w:val="000000"/>
          <w:shd w:val="clear" w:color="auto" w:fill="FFFFFF"/>
          <w:lang w:eastAsia="en-GB"/>
        </w:rPr>
        <w:t xml:space="preserve"> </w:t>
      </w:r>
      <w:r w:rsidRPr="009B3747">
        <w:rPr>
          <w:rFonts w:eastAsia="Times New Roman" w:cstheme="minorHAnsi"/>
          <w:color w:val="000000"/>
          <w:shd w:val="clear" w:color="auto" w:fill="FFFFFF"/>
          <w:lang w:eastAsia="en-GB"/>
        </w:rPr>
        <w:t xml:space="preserve">Throughout the data collection and analysis process the researcher committed to regular opportunities for external scrutiny and reflection from peers.  Academic supervisors, an additional academic advisor (based at The University of Birmingham) and </w:t>
      </w:r>
      <w:r w:rsidR="00990EFD" w:rsidRPr="009B3747">
        <w:rPr>
          <w:rFonts w:eastAsia="Times New Roman" w:cstheme="minorHAnsi"/>
          <w:color w:val="000000"/>
          <w:shd w:val="clear" w:color="auto" w:fill="FFFFFF"/>
          <w:lang w:eastAsia="en-GB"/>
        </w:rPr>
        <w:t>an</w:t>
      </w:r>
      <w:r w:rsidRPr="009B3747">
        <w:rPr>
          <w:rFonts w:eastAsia="Times New Roman" w:cstheme="minorHAnsi"/>
          <w:color w:val="000000"/>
          <w:shd w:val="clear" w:color="auto" w:fill="FFFFFF"/>
          <w:lang w:eastAsia="en-GB"/>
        </w:rPr>
        <w:t xml:space="preserve"> expert peer (secondary headteacher not involved in the research) assisted the researcher in uncovering any bias, perspective or assumptions that could affect her position towards the data and analysis.   </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color w:val="000000"/>
          <w:shd w:val="clear" w:color="auto" w:fill="FFFFFF"/>
          <w:lang w:eastAsia="en-GB"/>
        </w:rPr>
      </w:pPr>
      <w:r w:rsidRPr="009B3747">
        <w:rPr>
          <w:rFonts w:eastAsia="Times New Roman" w:cstheme="minorHAnsi"/>
          <w:color w:val="000000"/>
          <w:u w:val="single"/>
          <w:shd w:val="clear" w:color="auto" w:fill="FFFFFF"/>
          <w:lang w:eastAsia="en-GB"/>
        </w:rPr>
        <w:t>Negative case analysis</w:t>
      </w:r>
      <w:r w:rsidRPr="009B3747">
        <w:rPr>
          <w:rFonts w:eastAsia="Times New Roman" w:cstheme="minorHAnsi"/>
          <w:color w:val="000000"/>
          <w:shd w:val="clear" w:color="auto" w:fill="FFFFFF"/>
          <w:lang w:eastAsia="en-GB"/>
        </w:rPr>
        <w:t xml:space="preserve"> </w:t>
      </w:r>
      <w:r w:rsidR="00EC4081" w:rsidRPr="009B3747">
        <w:rPr>
          <w:rFonts w:eastAsia="Times New Roman" w:cstheme="minorHAnsi"/>
          <w:color w:val="000000"/>
          <w:shd w:val="clear" w:color="auto" w:fill="FFFFFF"/>
          <w:lang w:eastAsia="en-GB"/>
        </w:rPr>
        <w:t>–</w:t>
      </w:r>
      <w:r w:rsidRPr="009B3747">
        <w:rPr>
          <w:rFonts w:eastAsia="Times New Roman" w:cstheme="minorHAnsi"/>
          <w:color w:val="000000"/>
          <w:shd w:val="clear" w:color="auto" w:fill="FFFFFF"/>
          <w:lang w:eastAsia="en-GB"/>
        </w:rPr>
        <w:t xml:space="preserve"> During the process of thematic analysis, the researcher searched for and discussed with academic supervision</w:t>
      </w:r>
      <w:r w:rsidR="00154224">
        <w:rPr>
          <w:rFonts w:eastAsia="Times New Roman" w:cstheme="minorHAnsi"/>
          <w:color w:val="000000"/>
          <w:shd w:val="clear" w:color="auto" w:fill="FFFFFF"/>
          <w:lang w:eastAsia="en-GB"/>
        </w:rPr>
        <w:t>,</w:t>
      </w:r>
      <w:r w:rsidRPr="009B3747">
        <w:rPr>
          <w:rFonts w:eastAsia="Times New Roman" w:cstheme="minorHAnsi"/>
          <w:color w:val="000000"/>
          <w:shd w:val="clear" w:color="auto" w:fill="FFFFFF"/>
          <w:lang w:eastAsia="en-GB"/>
        </w:rPr>
        <w:t xml:space="preserve"> elements of the data that contradicted both emerging and identified patterns in the data set.  Given the concurrent nature of data analysis, identified deviant cases were tested in subsequent interviews.  Within the </w:t>
      </w:r>
      <w:r w:rsidR="00AA1C87" w:rsidRPr="009B3747">
        <w:rPr>
          <w:rFonts w:eastAsia="Times New Roman" w:cstheme="minorHAnsi"/>
          <w:color w:val="000000"/>
          <w:shd w:val="clear" w:color="auto" w:fill="FFFFFF"/>
          <w:lang w:eastAsia="en-GB"/>
        </w:rPr>
        <w:t>qualitative findings (chapter 6</w:t>
      </w:r>
      <w:r w:rsidRPr="009B3747">
        <w:rPr>
          <w:rFonts w:eastAsia="Times New Roman" w:cstheme="minorHAnsi"/>
          <w:color w:val="000000"/>
          <w:shd w:val="clear" w:color="auto" w:fill="FFFFFF"/>
          <w:lang w:eastAsia="en-GB"/>
        </w:rPr>
        <w:t>), where negative cases exist, these were reported to improve credibility.  </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i/>
          <w:iCs/>
          <w:color w:val="000000"/>
          <w:shd w:val="clear" w:color="auto" w:fill="FFFFFF"/>
          <w:lang w:eastAsia="en-GB"/>
        </w:rPr>
        <w:t xml:space="preserve">Transferability </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shd w:val="clear" w:color="auto" w:fill="FFFFFF"/>
          <w:lang w:eastAsia="en-GB"/>
        </w:rPr>
        <w:t>Transferability refers to extent to which the qualitative findings can be transferred to other contexts with other participants</w:t>
      </w:r>
      <w:r w:rsidR="00AA1C87" w:rsidRPr="009B3747">
        <w:rPr>
          <w:rFonts w:eastAsia="Times New Roman" w:cstheme="minorHAnsi"/>
          <w:color w:val="000000"/>
          <w:shd w:val="clear" w:color="auto" w:fill="FFFFFF"/>
          <w:lang w:eastAsia="en-GB"/>
        </w:rPr>
        <w:t xml:space="preserve"> </w:t>
      </w:r>
      <w:r w:rsidR="00AA1C87" w:rsidRPr="009B3747">
        <w:rPr>
          <w:rFonts w:eastAsia="Times New Roman" w:cstheme="minorHAnsi"/>
          <w:color w:val="000000"/>
          <w:shd w:val="clear" w:color="auto" w:fill="FFFFFF"/>
          <w:lang w:eastAsia="en-GB"/>
        </w:rPr>
        <w:fldChar w:fldCharType="begin" w:fldLock="1"/>
      </w:r>
      <w:r w:rsidR="0047189B" w:rsidRPr="009B3747">
        <w:rPr>
          <w:rFonts w:eastAsia="Times New Roman" w:cstheme="minorHAnsi"/>
          <w:color w:val="000000"/>
          <w:shd w:val="clear" w:color="auto" w:fill="FFFFFF"/>
          <w:lang w:eastAsia="en-GB"/>
        </w:rPr>
        <w:instrText>ADDIN CSL_CITATION { "citationItems" : [ { "id" : "ITEM-1", "itemData" : { "abstract" : "The qualitative research paradigm, although occasionally applied, is not widely discussed in agribusiness and agricultural economics literature. The primary goals of this paper are (a) to present insights into qualitative research approaches and processes by outlining grounded theory as an example of a systematic and rigorous qualitative approach, and (b) to discuss criteria for scientific rigor applicable to qualitative research. In addition, assessing qualitative research is demonstrated by using a published example. Econometric modeling and other quantitative approaches have become the main focus of research and publications in agricultural economics. Debertin and Pagoulatos (1992) show an increase in publications using quantitative methods in the American Journal of Agricultural Economics (AJAE) from under 5% in 1950 to more than 92% in 1992. The marginal category of \" non-quantitative methods \" comprises theoretical as well as conceptual contributions, and descriptive analyses. Qualitative research as understood in other social sciences is virtually nonexistent in the AJAE. This tendency has given rise to the question of whether research methods are chosen as a function of the problem addressed, or whether the problem is chosen as a function of the techniques available (Debertin and Pagoulatos, 1992). Johnson (1986) pointed out how different kinds of research (disciplinary, subject-matter, and problem-solving research) require different approaches and methods. Just (2001) indicated the necessity of other than traditional models and econometric characterizations in the context of the analysis of unanticipated events and timely policy recommendations. In problem-solving and subject-matter research, selected methods from under the qualitative umbrella are applied to emerging problems and to develop timely recommendations for decision support (Bitsch, 2000a). Although Vera Bitsch is assistant professor, Department of Agricultural Economics, Michigan State University. The author expresses deep gratitude to Elaine Yakura and Getachew Abate Kassa for multiple readings of the manuscript, and insightful comments and suggestions. The author also wishes to thank Scott Swinton, Christopher Peterson, and Les Manderscheid who have provided valuable suggestions and encouragement, and two anonymous reviewers for helpful critique and questions.", "author" : [ { "dropping-particle" : "", "family" : "Bitsch", "given" : "Vera", "non-dropping-particle" : "", "parse-names" : false, "suffix" : "" } ], "container-title" : "Journal of Agribusiness", "id" : "ITEM-1", "issue" : "1", "issued" : { "date-parts" : [ [ "2005" ] ] }, "page" : "75-91", "publisher" : "Agricultural Economics Association of Georgia", "title" : "Qualitative Research: A Grounded Theory Example and Evaluation Criteria", "type" : "article-journal", "volume" : "231" }, "uris" : [ "http://www.mendeley.com/documents/?uuid=325167c8-adf1-3d3f-ad84-028bf728d5fa" ] }, { "id" : "ITEM-2", "itemData" : { "DOI" : "10.1111/j.1365-2648.2004.03207.x", "ISSN" : "0309-2402", "PMID" : "15500533", "abstract" : "AIM This paper discusses the literature on establishing rigour in research studies. It describes the methodological trinity of reliability, validity and generalization and explores some of the issues relating to establishing rigour in naturalistic inquiry. BACKGROUND Those working within the naturalistic paradigm have questioned the issue of using validity, reliability and generalizability to demonstrate robustness of qualitative research. Triangulation has been used to demonstrate confirmability and completeness and has been one means of ensuring acceptability across paradigms. Emerging criteria such as goodness and trustworthiness can be used to evaluate the robustness of naturalistic inquiry. DISCUSSION It is argued that the transference of terms across paradigms is inappropriate; however, if we reject the concepts of validity and reliability, we reject the concept of rigour. Rejection of rigour undermines acceptance of qualitative research as a systematic process that can contribute to the advancement of knowledge. Emerging criteria for demonstrating robustness in qualitative inquiry, such as authenticity, trustworthiness and goodness, need to be considered. Goodness, when not seen as a separate construct but as an integral and embedded component of the research process, should be useful in assuring quality of the entire study. Triangulation is a tried and tested means of offering completeness, particularly in mixed-method research. When multiple types of triangulation are used appropriately as the 'triangulation state of mind', they approach the concept of crystallization, which allows for infinite variety of angles of approach. CONCLUSION Qualitative researchers need to be explicit about how and why they choose specific legitimizing criteria in ensuring the robustness of their inquiries. A shift from a position of fundamentalism to a more pluralistic approach as a means of legitimizing naturalistic inquiry is advocated.", "author" : [ { "dropping-particle" : "", "family" : "Tobin", "given" : "Gerard A.", "non-dropping-particle" : "", "parse-names" : false, "suffix" : "" }, { "dropping-particle" : "", "family" : "Begley", "given" : "Cecily M.", "non-dropping-particle" : "", "parse-names" : false, "suffix" : "" } ], "container-title" : "Journal of Advanced Nursing", "id" : "ITEM-2", "issue" : "4", "issued" : { "date-parts" : [ [ "2004", "11" ] ] }, "page" : "388-396", "title" : "Methodological rigour within a qualitative framework", "type" : "article-journal", "volume" : "48" }, "uris" : [ "http://www.mendeley.com/documents/?uuid=4ef9bcd3-6c82-3f91-a028-228528dc0fb8" ] } ], "mendeley" : { "formattedCitation" : "(Bitsch, 2005; Tobin and Begley, 2004)", "plainTextFormattedCitation" : "(Bitsch, 2005; Tobin and Begley, 2004)", "previouslyFormattedCitation" : "(Bitsch, 2005; Tobin and Begley, 2004)" }, "properties" : { "noteIndex" : 0 }, "schema" : "https://github.com/citation-style-language/schema/raw/master/csl-citation.json" }</w:instrText>
      </w:r>
      <w:r w:rsidR="00AA1C87" w:rsidRPr="009B3747">
        <w:rPr>
          <w:rFonts w:eastAsia="Times New Roman" w:cstheme="minorHAnsi"/>
          <w:color w:val="000000"/>
          <w:shd w:val="clear" w:color="auto" w:fill="FFFFFF"/>
          <w:lang w:eastAsia="en-GB"/>
        </w:rPr>
        <w:fldChar w:fldCharType="separate"/>
      </w:r>
      <w:r w:rsidR="00B22CC4" w:rsidRPr="009B3747">
        <w:rPr>
          <w:rFonts w:eastAsia="Times New Roman" w:cstheme="minorHAnsi"/>
          <w:noProof/>
          <w:color w:val="000000"/>
          <w:shd w:val="clear" w:color="auto" w:fill="FFFFFF"/>
          <w:lang w:eastAsia="en-GB"/>
        </w:rPr>
        <w:t>(Bitsch, 2005; Tobin and Begley, 2004)</w:t>
      </w:r>
      <w:r w:rsidR="00AA1C87" w:rsidRPr="009B3747">
        <w:rPr>
          <w:rFonts w:eastAsia="Times New Roman" w:cstheme="minorHAnsi"/>
          <w:color w:val="000000"/>
          <w:shd w:val="clear" w:color="auto" w:fill="FFFFFF"/>
          <w:lang w:eastAsia="en-GB"/>
        </w:rPr>
        <w:fldChar w:fldCharType="end"/>
      </w:r>
      <w:r w:rsidR="00AA1C87" w:rsidRPr="009B3747">
        <w:rPr>
          <w:rFonts w:eastAsia="Times New Roman" w:cstheme="minorHAnsi"/>
          <w:color w:val="000000"/>
          <w:shd w:val="clear" w:color="auto" w:fill="FFFFFF"/>
          <w:lang w:eastAsia="en-GB"/>
        </w:rPr>
        <w:t xml:space="preserve">.  </w:t>
      </w:r>
      <w:r w:rsidRPr="009B3747">
        <w:rPr>
          <w:rFonts w:eastAsia="Times New Roman" w:cstheme="minorHAnsi"/>
          <w:color w:val="000000"/>
          <w:shd w:val="clear" w:color="auto" w:fill="FFFFFF"/>
          <w:lang w:eastAsia="en-GB"/>
        </w:rPr>
        <w:t>Despite qual</w:t>
      </w:r>
      <w:r w:rsidR="00AA1C87" w:rsidRPr="009B3747">
        <w:rPr>
          <w:rFonts w:eastAsia="Times New Roman" w:cstheme="minorHAnsi"/>
          <w:color w:val="000000"/>
          <w:shd w:val="clear" w:color="auto" w:fill="FFFFFF"/>
          <w:lang w:eastAsia="en-GB"/>
        </w:rPr>
        <w:t xml:space="preserve">itative findings tending to be </w:t>
      </w:r>
      <w:r w:rsidR="00AA1C87" w:rsidRPr="009B3747">
        <w:rPr>
          <w:rFonts w:eastAsia="Times New Roman" w:cstheme="minorHAnsi"/>
          <w:i/>
          <w:color w:val="000000"/>
          <w:shd w:val="clear" w:color="auto" w:fill="FFFFFF"/>
          <w:lang w:eastAsia="en-GB"/>
        </w:rPr>
        <w:t>“</w:t>
      </w:r>
      <w:r w:rsidRPr="009B3747">
        <w:rPr>
          <w:rFonts w:eastAsia="Times New Roman" w:cstheme="minorHAnsi"/>
          <w:i/>
          <w:color w:val="000000"/>
          <w:shd w:val="clear" w:color="auto" w:fill="FFFFFF"/>
          <w:lang w:eastAsia="en-GB"/>
        </w:rPr>
        <w:t xml:space="preserve">oriented to the contextual uniqueness and significance of the aspect of </w:t>
      </w:r>
      <w:r w:rsidR="00AA1C87" w:rsidRPr="009B3747">
        <w:rPr>
          <w:rFonts w:eastAsia="Times New Roman" w:cstheme="minorHAnsi"/>
          <w:i/>
          <w:color w:val="000000"/>
          <w:shd w:val="clear" w:color="auto" w:fill="FFFFFF"/>
          <w:lang w:eastAsia="en-GB"/>
        </w:rPr>
        <w:t>the social world being studied”</w:t>
      </w:r>
      <w:r w:rsidR="00AA1C87" w:rsidRPr="009B3747">
        <w:rPr>
          <w:rFonts w:eastAsia="Times New Roman" w:cstheme="minorHAnsi"/>
          <w:color w:val="000000"/>
          <w:shd w:val="clear" w:color="auto" w:fill="FFFFFF"/>
          <w:lang w:eastAsia="en-GB"/>
        </w:rPr>
        <w:t xml:space="preserve"> </w:t>
      </w:r>
      <w:r w:rsidRPr="009B3747">
        <w:rPr>
          <w:rFonts w:eastAsia="Times New Roman" w:cstheme="minorHAnsi"/>
          <w:color w:val="000000"/>
          <w:shd w:val="clear" w:color="auto" w:fill="FFFFFF"/>
          <w:lang w:eastAsia="en-GB"/>
        </w:rPr>
        <w:t>(Bryman, 2016, p</w:t>
      </w:r>
      <w:r w:rsidR="00E3179E" w:rsidRPr="009B3747">
        <w:rPr>
          <w:rFonts w:eastAsia="Times New Roman" w:cstheme="minorHAnsi"/>
          <w:color w:val="000000"/>
          <w:shd w:val="clear" w:color="auto" w:fill="FFFFFF"/>
          <w:lang w:eastAsia="en-GB"/>
        </w:rPr>
        <w:t>.</w:t>
      </w:r>
      <w:r w:rsidRPr="009B3747">
        <w:rPr>
          <w:rFonts w:eastAsia="Times New Roman" w:cstheme="minorHAnsi"/>
          <w:color w:val="000000"/>
          <w:shd w:val="clear" w:color="auto" w:fill="FFFFFF"/>
          <w:lang w:eastAsia="en-GB"/>
        </w:rPr>
        <w:t>384), enhancing transferability enables others to make judgements about whether the findings could fit into contexts outside of the study situation (Merriam</w:t>
      </w:r>
      <w:r w:rsidR="00AA1C87" w:rsidRPr="009B3747">
        <w:rPr>
          <w:rFonts w:eastAsia="Times New Roman" w:cstheme="minorHAnsi"/>
          <w:color w:val="000000"/>
          <w:shd w:val="clear" w:color="auto" w:fill="FFFFFF"/>
          <w:lang w:eastAsia="en-GB"/>
        </w:rPr>
        <w:t xml:space="preserve"> and Merriam</w:t>
      </w:r>
      <w:r w:rsidRPr="009B3747">
        <w:rPr>
          <w:rFonts w:eastAsia="Times New Roman" w:cstheme="minorHAnsi"/>
          <w:color w:val="000000"/>
          <w:shd w:val="clear" w:color="auto" w:fill="FFFFFF"/>
          <w:lang w:eastAsia="en-GB"/>
        </w:rPr>
        <w:t xml:space="preserve">, 1998).  According to Bitsch (2005), the </w:t>
      </w:r>
      <w:r w:rsidRPr="009B3747">
        <w:rPr>
          <w:rFonts w:eastAsia="Times New Roman" w:cstheme="minorHAnsi"/>
          <w:i/>
          <w:color w:val="000000"/>
          <w:shd w:val="clear" w:color="auto" w:fill="FFFFFF"/>
          <w:lang w:eastAsia="en-GB"/>
        </w:rPr>
        <w:t>“researcher facilitates the transferability judgme</w:t>
      </w:r>
      <w:r w:rsidR="00E3179E" w:rsidRPr="009B3747">
        <w:rPr>
          <w:rFonts w:eastAsia="Times New Roman" w:cstheme="minorHAnsi"/>
          <w:i/>
          <w:color w:val="000000"/>
          <w:shd w:val="clear" w:color="auto" w:fill="FFFFFF"/>
          <w:lang w:eastAsia="en-GB"/>
        </w:rPr>
        <w:t xml:space="preserve">nt by a potential user through </w:t>
      </w:r>
      <w:r w:rsidRPr="009B3747">
        <w:rPr>
          <w:rFonts w:eastAsia="Times New Roman" w:cstheme="minorHAnsi"/>
          <w:i/>
          <w:color w:val="000000"/>
          <w:shd w:val="clear" w:color="auto" w:fill="FFFFFF"/>
          <w:lang w:eastAsia="en-GB"/>
        </w:rPr>
        <w:t>thick descri</w:t>
      </w:r>
      <w:r w:rsidR="00AA1C87" w:rsidRPr="009B3747">
        <w:rPr>
          <w:rFonts w:eastAsia="Times New Roman" w:cstheme="minorHAnsi"/>
          <w:i/>
          <w:color w:val="000000"/>
          <w:shd w:val="clear" w:color="auto" w:fill="FFFFFF"/>
          <w:lang w:eastAsia="en-GB"/>
        </w:rPr>
        <w:t>ption’ and purposeful sampling”</w:t>
      </w:r>
      <w:r w:rsidR="00E3179E" w:rsidRPr="009B3747">
        <w:rPr>
          <w:rFonts w:eastAsia="Times New Roman" w:cstheme="minorHAnsi"/>
          <w:i/>
          <w:color w:val="000000"/>
          <w:shd w:val="clear" w:color="auto" w:fill="FFFFFF"/>
          <w:lang w:eastAsia="en-GB"/>
        </w:rPr>
        <w:t xml:space="preserve"> </w:t>
      </w:r>
      <w:r w:rsidR="00E3179E" w:rsidRPr="009B3747">
        <w:rPr>
          <w:rFonts w:eastAsia="Times New Roman" w:cstheme="minorHAnsi"/>
          <w:color w:val="000000"/>
          <w:shd w:val="clear" w:color="auto" w:fill="FFFFFF"/>
          <w:lang w:eastAsia="en-GB"/>
        </w:rPr>
        <w:t>(p.85)</w:t>
      </w:r>
      <w:r w:rsidR="00AA1C87" w:rsidRPr="009B3747">
        <w:rPr>
          <w:rFonts w:eastAsia="Times New Roman" w:cstheme="minorHAnsi"/>
          <w:color w:val="000000"/>
          <w:shd w:val="clear" w:color="auto" w:fill="FFFFFF"/>
          <w:lang w:eastAsia="en-GB"/>
        </w:rPr>
        <w:t xml:space="preserve">, </w:t>
      </w:r>
      <w:r w:rsidRPr="009B3747">
        <w:rPr>
          <w:rFonts w:eastAsia="Times New Roman" w:cstheme="minorHAnsi"/>
          <w:color w:val="000000"/>
          <w:shd w:val="clear" w:color="auto" w:fill="FFFFFF"/>
          <w:lang w:eastAsia="en-GB"/>
        </w:rPr>
        <w:t>thereby enabling a reader evaluate</w:t>
      </w:r>
      <w:r w:rsidR="009025E2">
        <w:rPr>
          <w:rFonts w:eastAsia="Times New Roman" w:cstheme="minorHAnsi"/>
          <w:color w:val="000000"/>
          <w:shd w:val="clear" w:color="auto" w:fill="FFFFFF"/>
          <w:lang w:eastAsia="en-GB"/>
        </w:rPr>
        <w:t>,</w:t>
      </w:r>
      <w:r w:rsidRPr="009B3747">
        <w:rPr>
          <w:rFonts w:eastAsia="Times New Roman" w:cstheme="minorHAnsi"/>
          <w:color w:val="000000"/>
          <w:shd w:val="clear" w:color="auto" w:fill="FFFFFF"/>
          <w:lang w:eastAsia="en-GB"/>
        </w:rPr>
        <w:t xml:space="preserve"> </w:t>
      </w:r>
      <w:r w:rsidR="009025E2">
        <w:rPr>
          <w:rFonts w:eastAsia="Times New Roman" w:cstheme="minorHAnsi"/>
          <w:color w:val="000000"/>
          <w:shd w:val="clear" w:color="auto" w:fill="FFFFFF"/>
          <w:lang w:eastAsia="en-GB"/>
        </w:rPr>
        <w:t>whether</w:t>
      </w:r>
      <w:r w:rsidRPr="009B3747">
        <w:rPr>
          <w:rFonts w:eastAsia="Times New Roman" w:cstheme="minorHAnsi"/>
          <w:color w:val="000000"/>
          <w:shd w:val="clear" w:color="auto" w:fill="FFFFFF"/>
          <w:lang w:eastAsia="en-GB"/>
        </w:rPr>
        <w:t xml:space="preserve"> </w:t>
      </w:r>
      <w:r w:rsidR="009025E2">
        <w:rPr>
          <w:rFonts w:eastAsia="Times New Roman" w:cstheme="minorHAnsi"/>
          <w:color w:val="000000"/>
          <w:shd w:val="clear" w:color="auto" w:fill="FFFFFF"/>
          <w:lang w:eastAsia="en-GB"/>
        </w:rPr>
        <w:t xml:space="preserve">the </w:t>
      </w:r>
      <w:r w:rsidRPr="009B3747">
        <w:rPr>
          <w:rFonts w:eastAsia="Times New Roman" w:cstheme="minorHAnsi"/>
          <w:color w:val="000000"/>
          <w:shd w:val="clear" w:color="auto" w:fill="FFFFFF"/>
          <w:lang w:eastAsia="en-GB"/>
        </w:rPr>
        <w:t xml:space="preserve">conclusions drawn are transferable to other times, settings, situation and </w:t>
      </w:r>
      <w:r w:rsidRPr="009B3747">
        <w:rPr>
          <w:rFonts w:eastAsia="Times New Roman" w:cstheme="minorHAnsi"/>
          <w:color w:val="000000"/>
          <w:shd w:val="clear" w:color="auto" w:fill="FFFFFF"/>
          <w:lang w:eastAsia="en-GB"/>
        </w:rPr>
        <w:lastRenderedPageBreak/>
        <w:t xml:space="preserve">people.  The following strategies particular to this criteria were therefore employed to enhance the transferability of the qualitative findings (Lincoln </w:t>
      </w:r>
      <w:r w:rsidR="00AA1C87" w:rsidRPr="009B3747">
        <w:rPr>
          <w:rFonts w:eastAsia="Times New Roman" w:cstheme="minorHAnsi"/>
          <w:color w:val="000000"/>
          <w:shd w:val="clear" w:color="auto" w:fill="FFFFFF"/>
          <w:lang w:eastAsia="en-GB"/>
        </w:rPr>
        <w:t>and Guba, 1985; Bryman, 2016).</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i/>
          <w:iCs/>
          <w:color w:val="000000"/>
          <w:lang w:eastAsia="en-GB"/>
        </w:rPr>
      </w:pPr>
      <w:r w:rsidRPr="009B3747">
        <w:rPr>
          <w:rFonts w:eastAsia="Times New Roman" w:cstheme="minorHAnsi"/>
          <w:color w:val="000000"/>
          <w:u w:val="single"/>
          <w:lang w:eastAsia="en-GB"/>
        </w:rPr>
        <w:t xml:space="preserve">Thick description </w:t>
      </w:r>
      <w:r w:rsidR="00EC4081" w:rsidRPr="009B3747">
        <w:rPr>
          <w:rFonts w:eastAsia="Times New Roman" w:cstheme="minorHAnsi"/>
          <w:i/>
          <w:iCs/>
          <w:color w:val="000000"/>
          <w:lang w:eastAsia="en-GB"/>
        </w:rPr>
        <w:t xml:space="preserve">– </w:t>
      </w:r>
      <w:r w:rsidRPr="009B3747">
        <w:rPr>
          <w:rFonts w:eastAsia="Times New Roman" w:cstheme="minorHAnsi"/>
          <w:color w:val="000000"/>
          <w:lang w:eastAsia="en-GB"/>
        </w:rPr>
        <w:t xml:space="preserve">A comprehensive account of how this study was conducted has been provided throughout the thesis and within this qualitative methodology chapter.  This account has included the provision of a detailed overview of the research context and setting, in addition to ‘thick’ descriptions of all procedures employed during data collection and analysis.  Furthermore, within the </w:t>
      </w:r>
      <w:r w:rsidR="00990EFD" w:rsidRPr="009B3747">
        <w:rPr>
          <w:rFonts w:eastAsia="Times New Roman" w:cstheme="minorHAnsi"/>
          <w:color w:val="000000"/>
          <w:lang w:eastAsia="en-GB"/>
        </w:rPr>
        <w:t>qualitative findings chapter (chapter six</w:t>
      </w:r>
      <w:r w:rsidRPr="009B3747">
        <w:rPr>
          <w:rFonts w:eastAsia="Times New Roman" w:cstheme="minorHAnsi"/>
          <w:color w:val="000000"/>
          <w:lang w:eastAsia="en-GB"/>
        </w:rPr>
        <w:t>), the researcher committed to embedding verbatim quotations of participants throughout the presentation of an analytical narrative.</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i/>
          <w:iCs/>
          <w:color w:val="000000"/>
          <w:lang w:eastAsia="en-GB"/>
        </w:rPr>
        <w:t>Dependability</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t>According to Bitsch (2005), dependability refers to the stability of f</w:t>
      </w:r>
      <w:r w:rsidR="00AA1C87" w:rsidRPr="009B3747">
        <w:rPr>
          <w:rFonts w:eastAsia="Times New Roman" w:cstheme="minorHAnsi"/>
          <w:color w:val="000000"/>
          <w:lang w:eastAsia="en-GB"/>
        </w:rPr>
        <w:t>indings over time</w:t>
      </w:r>
      <w:r w:rsidR="007F3CF4">
        <w:rPr>
          <w:rFonts w:eastAsia="Times New Roman" w:cstheme="minorHAnsi"/>
          <w:color w:val="000000"/>
          <w:lang w:eastAsia="en-GB"/>
        </w:rPr>
        <w:t>,</w:t>
      </w:r>
      <w:r w:rsidR="00AA1C87" w:rsidRPr="009B3747">
        <w:rPr>
          <w:rFonts w:eastAsia="Times New Roman" w:cstheme="minorHAnsi"/>
          <w:color w:val="000000"/>
          <w:lang w:eastAsia="en-GB"/>
        </w:rPr>
        <w:t xml:space="preserve"> i.e. whether </w:t>
      </w:r>
      <w:r w:rsidR="00AA1C87" w:rsidRPr="009B3747">
        <w:rPr>
          <w:rFonts w:eastAsia="Times New Roman" w:cstheme="minorHAnsi"/>
          <w:i/>
          <w:color w:val="000000"/>
          <w:lang w:eastAsia="en-GB"/>
        </w:rPr>
        <w:t>“</w:t>
      </w:r>
      <w:r w:rsidRPr="009B3747">
        <w:rPr>
          <w:rFonts w:eastAsia="Times New Roman" w:cstheme="minorHAnsi"/>
          <w:i/>
          <w:color w:val="000000"/>
          <w:lang w:eastAsia="en-GB"/>
        </w:rPr>
        <w:t>results would be the same, were the study replicated with the same or similar partici</w:t>
      </w:r>
      <w:r w:rsidR="00AA1C87" w:rsidRPr="009B3747">
        <w:rPr>
          <w:rFonts w:eastAsia="Times New Roman" w:cstheme="minorHAnsi"/>
          <w:i/>
          <w:color w:val="000000"/>
          <w:lang w:eastAsia="en-GB"/>
        </w:rPr>
        <w:t>pants in a similar context”</w:t>
      </w:r>
      <w:r w:rsidRPr="009B3747">
        <w:rPr>
          <w:rFonts w:eastAsia="Times New Roman" w:cstheme="minorHAnsi"/>
          <w:color w:val="000000"/>
          <w:lang w:eastAsia="en-GB"/>
        </w:rPr>
        <w:t xml:space="preserve"> (p</w:t>
      </w:r>
      <w:r w:rsidR="00E3179E" w:rsidRPr="009B3747">
        <w:rPr>
          <w:rFonts w:eastAsia="Times New Roman" w:cstheme="minorHAnsi"/>
          <w:color w:val="000000"/>
          <w:lang w:eastAsia="en-GB"/>
        </w:rPr>
        <w:t>.</w:t>
      </w:r>
      <w:r w:rsidRPr="009B3747">
        <w:rPr>
          <w:rFonts w:eastAsia="Times New Roman" w:cstheme="minorHAnsi"/>
          <w:color w:val="000000"/>
          <w:lang w:eastAsia="en-GB"/>
        </w:rPr>
        <w:t>86).  Credibility and dependability as two criteria for trustworthiness are argued to be closely tied, although Lincoln and Guba (1985) suggest that evidence of the former assists in ensuring the latt</w:t>
      </w:r>
      <w:r w:rsidR="00E3179E" w:rsidRPr="009B3747">
        <w:rPr>
          <w:rFonts w:eastAsia="Times New Roman" w:cstheme="minorHAnsi"/>
          <w:color w:val="000000"/>
          <w:lang w:eastAsia="en-GB"/>
        </w:rPr>
        <w:t xml:space="preserve">er.  The use of an </w:t>
      </w:r>
      <w:r w:rsidR="00E3179E" w:rsidRPr="009B3747">
        <w:rPr>
          <w:rFonts w:eastAsia="Times New Roman" w:cstheme="minorHAnsi"/>
          <w:i/>
          <w:color w:val="000000"/>
          <w:lang w:eastAsia="en-GB"/>
        </w:rPr>
        <w:t>“audit trail”</w:t>
      </w:r>
      <w:r w:rsidRPr="009B3747">
        <w:rPr>
          <w:rFonts w:eastAsia="Times New Roman" w:cstheme="minorHAnsi"/>
          <w:color w:val="000000"/>
          <w:lang w:eastAsia="en-GB"/>
        </w:rPr>
        <w:t xml:space="preserve"> is important to enhance and establish dependability</w:t>
      </w:r>
      <w:r w:rsidR="00E3179E" w:rsidRPr="009B3747">
        <w:rPr>
          <w:rFonts w:eastAsia="Times New Roman" w:cstheme="minorHAnsi"/>
          <w:color w:val="000000"/>
          <w:lang w:eastAsia="en-GB"/>
        </w:rPr>
        <w:t xml:space="preserve"> (Bryman, 2016, p.384</w:t>
      </w:r>
      <w:r w:rsidR="00EC4081" w:rsidRPr="009B3747">
        <w:rPr>
          <w:rFonts w:eastAsia="Times New Roman" w:cstheme="minorHAnsi"/>
          <w:color w:val="000000"/>
          <w:lang w:eastAsia="en-GB"/>
        </w:rPr>
        <w:t>)</w:t>
      </w:r>
      <w:r w:rsidRPr="009B3747">
        <w:rPr>
          <w:rFonts w:eastAsia="Times New Roman" w:cstheme="minorHAnsi"/>
          <w:color w:val="000000"/>
          <w:lang w:eastAsia="en-GB"/>
        </w:rPr>
        <w:t>.  An audit trail enables a researcher to account for all the decisions made during the process of collecting, recording and analysing data.  Consequently, for the purpose of this qualitative phase</w:t>
      </w:r>
      <w:r w:rsidR="00EC4081" w:rsidRPr="009B3747">
        <w:rPr>
          <w:rFonts w:eastAsia="Times New Roman" w:cstheme="minorHAnsi"/>
          <w:color w:val="000000"/>
          <w:lang w:eastAsia="en-GB"/>
        </w:rPr>
        <w:t xml:space="preserve"> the following was undertaken:</w:t>
      </w:r>
      <w:r w:rsidRPr="009B3747">
        <w:rPr>
          <w:rFonts w:eastAsia="Times New Roman" w:cstheme="minorHAnsi"/>
          <w:color w:val="000000"/>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color w:val="000000"/>
          <w:lang w:eastAsia="en-GB"/>
        </w:rPr>
      </w:pPr>
      <w:r w:rsidRPr="009B3747">
        <w:rPr>
          <w:rFonts w:eastAsia="Times New Roman" w:cstheme="minorHAnsi"/>
          <w:color w:val="000000"/>
          <w:u w:val="single"/>
          <w:lang w:eastAsia="en-GB"/>
        </w:rPr>
        <w:t>Audit trail</w:t>
      </w:r>
      <w:r w:rsidRPr="009B3747">
        <w:rPr>
          <w:rFonts w:eastAsia="Times New Roman" w:cstheme="minorHAnsi"/>
          <w:color w:val="000000"/>
          <w:lang w:eastAsia="en-GB"/>
        </w:rPr>
        <w:t xml:space="preserve"> </w:t>
      </w:r>
      <w:r w:rsidR="00EC4081" w:rsidRPr="009B3747">
        <w:rPr>
          <w:rFonts w:eastAsia="Times New Roman" w:cstheme="minorHAnsi"/>
          <w:color w:val="000000"/>
          <w:lang w:eastAsia="en-GB"/>
        </w:rPr>
        <w:t>–</w:t>
      </w:r>
      <w:r w:rsidRPr="009B3747">
        <w:rPr>
          <w:rFonts w:eastAsia="Times New Roman" w:cstheme="minorHAnsi"/>
          <w:color w:val="000000"/>
          <w:lang w:eastAsia="en-GB"/>
        </w:rPr>
        <w:t xml:space="preserve"> Complete records from both the original conception of the research project right through to its final reporting have been kept.  This has facilitated if required, the ability for academic supervisors and both internal/external examiners to be able to act as auditors in establishing establish whether the researcher has followed appropriate and reported procedures.  The audit trail includes comp</w:t>
      </w:r>
      <w:r w:rsidR="00EC4081" w:rsidRPr="009B3747">
        <w:rPr>
          <w:rFonts w:eastAsia="Times New Roman" w:cstheme="minorHAnsi"/>
          <w:color w:val="000000"/>
          <w:lang w:eastAsia="en-GB"/>
        </w:rPr>
        <w:t>lete records of the following:</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C27072">
      <w:pPr>
        <w:numPr>
          <w:ilvl w:val="0"/>
          <w:numId w:val="36"/>
        </w:numPr>
        <w:textAlignment w:val="baseline"/>
        <w:rPr>
          <w:rFonts w:eastAsia="Times New Roman" w:cstheme="minorHAnsi"/>
          <w:color w:val="000000"/>
          <w:lang w:eastAsia="en-GB"/>
        </w:rPr>
      </w:pPr>
      <w:r w:rsidRPr="009B3747">
        <w:rPr>
          <w:rFonts w:eastAsia="Times New Roman" w:cstheme="minorHAnsi"/>
          <w:color w:val="000000"/>
          <w:lang w:eastAsia="en-GB"/>
        </w:rPr>
        <w:t>Communication with participants both before and after data collection</w:t>
      </w:r>
    </w:p>
    <w:p w:rsidR="00510940" w:rsidRPr="009B3747" w:rsidRDefault="00510940" w:rsidP="00C27072">
      <w:pPr>
        <w:numPr>
          <w:ilvl w:val="0"/>
          <w:numId w:val="36"/>
        </w:numPr>
        <w:textAlignment w:val="baseline"/>
        <w:rPr>
          <w:rFonts w:eastAsia="Times New Roman" w:cstheme="minorHAnsi"/>
          <w:color w:val="000000"/>
          <w:lang w:eastAsia="en-GB"/>
        </w:rPr>
      </w:pPr>
      <w:r w:rsidRPr="009B3747">
        <w:rPr>
          <w:rFonts w:eastAsia="Times New Roman" w:cstheme="minorHAnsi"/>
          <w:color w:val="000000"/>
          <w:lang w:eastAsia="en-GB"/>
        </w:rPr>
        <w:t>Fieldwork notes</w:t>
      </w:r>
    </w:p>
    <w:p w:rsidR="00510940" w:rsidRPr="009B3747" w:rsidRDefault="00510940" w:rsidP="00C27072">
      <w:pPr>
        <w:numPr>
          <w:ilvl w:val="0"/>
          <w:numId w:val="36"/>
        </w:numPr>
        <w:textAlignment w:val="baseline"/>
        <w:rPr>
          <w:rFonts w:eastAsia="Times New Roman" w:cstheme="minorHAnsi"/>
          <w:color w:val="000000"/>
          <w:lang w:eastAsia="en-GB"/>
        </w:rPr>
      </w:pPr>
      <w:r w:rsidRPr="009B3747">
        <w:rPr>
          <w:rFonts w:eastAsia="Times New Roman" w:cstheme="minorHAnsi"/>
          <w:color w:val="000000"/>
          <w:lang w:eastAsia="en-GB"/>
        </w:rPr>
        <w:t>Verbatim (anonymised) interview transcripts</w:t>
      </w:r>
    </w:p>
    <w:p w:rsidR="00510940" w:rsidRPr="009B3747" w:rsidRDefault="00510940" w:rsidP="00C27072">
      <w:pPr>
        <w:numPr>
          <w:ilvl w:val="0"/>
          <w:numId w:val="36"/>
        </w:numPr>
        <w:textAlignment w:val="baseline"/>
        <w:rPr>
          <w:rFonts w:eastAsia="Times New Roman" w:cstheme="minorHAnsi"/>
          <w:color w:val="000000"/>
          <w:lang w:eastAsia="en-GB"/>
        </w:rPr>
      </w:pPr>
      <w:r w:rsidRPr="009B3747">
        <w:rPr>
          <w:rFonts w:eastAsia="Times New Roman" w:cstheme="minorHAnsi"/>
          <w:color w:val="000000"/>
          <w:lang w:eastAsia="en-GB"/>
        </w:rPr>
        <w:t>Monthly academic supervision meetings where decision-making processes and outcomes from peer-debriefing were recorded.  </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color w:val="000000"/>
          <w:lang w:eastAsia="en-GB"/>
        </w:rPr>
      </w:pPr>
      <w:r w:rsidRPr="009B3747">
        <w:rPr>
          <w:rFonts w:eastAsia="Times New Roman" w:cstheme="minorHAnsi"/>
          <w:color w:val="000000"/>
          <w:u w:val="single"/>
          <w:lang w:eastAsia="en-GB"/>
        </w:rPr>
        <w:lastRenderedPageBreak/>
        <w:t xml:space="preserve">Code-recode strategy </w:t>
      </w:r>
      <w:r w:rsidR="00EC4081" w:rsidRPr="009B3747">
        <w:rPr>
          <w:rFonts w:eastAsia="Times New Roman" w:cstheme="minorHAnsi"/>
          <w:color w:val="000000"/>
          <w:lang w:eastAsia="en-GB"/>
        </w:rPr>
        <w:t>–</w:t>
      </w:r>
      <w:r w:rsidR="00AA1C87" w:rsidRPr="009B3747">
        <w:rPr>
          <w:rFonts w:eastAsia="Times New Roman" w:cstheme="minorHAnsi"/>
          <w:color w:val="000000"/>
          <w:lang w:eastAsia="en-GB"/>
        </w:rPr>
        <w:t xml:space="preserve"> The researcher spent</w:t>
      </w:r>
      <w:r w:rsidRPr="009B3747">
        <w:rPr>
          <w:rFonts w:eastAsia="Times New Roman" w:cstheme="minorHAnsi"/>
          <w:color w:val="000000"/>
          <w:lang w:eastAsia="en-GB"/>
        </w:rPr>
        <w:t xml:space="preserve"> approximately two months coding and recoding study data as part of the thematic analysis.  Results from separate coding exercises were compared under academic supervision frequently over this period of time to establish whether codes and resultant themes/sub-themes remained stable over time or were different.  Over time, the increasing agreement in coding results enabled the researcher to gain an in-depth understanding of patterns within the data set.</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r w:rsidRPr="009B3747">
        <w:rPr>
          <w:rFonts w:eastAsia="Times New Roman" w:cstheme="minorHAnsi"/>
          <w:i/>
          <w:iCs/>
          <w:color w:val="000000"/>
          <w:shd w:val="clear" w:color="auto" w:fill="FFFFFF"/>
          <w:lang w:eastAsia="en-GB"/>
        </w:rPr>
        <w:t xml:space="preserve">Confirmability </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AD7A7D" w:rsidRPr="009B3747" w:rsidRDefault="00510940" w:rsidP="00AD7A7D">
      <w:pPr>
        <w:rPr>
          <w:rFonts w:eastAsia="Times New Roman" w:cstheme="minorHAnsi"/>
          <w:color w:val="000000"/>
          <w:shd w:val="clear" w:color="auto" w:fill="FFFFFF"/>
          <w:lang w:eastAsia="en-GB"/>
        </w:rPr>
      </w:pPr>
      <w:r w:rsidRPr="009B3747">
        <w:rPr>
          <w:rFonts w:eastAsia="Times New Roman" w:cstheme="minorHAnsi"/>
          <w:color w:val="000000"/>
          <w:shd w:val="clear" w:color="auto" w:fill="FFFFFF"/>
          <w:lang w:eastAsia="en-GB"/>
        </w:rPr>
        <w:t>Confirmability is concerned wi</w:t>
      </w:r>
      <w:r w:rsidR="00E3179E" w:rsidRPr="009B3747">
        <w:rPr>
          <w:rFonts w:eastAsia="Times New Roman" w:cstheme="minorHAnsi"/>
          <w:color w:val="000000"/>
          <w:shd w:val="clear" w:color="auto" w:fill="FFFFFF"/>
          <w:lang w:eastAsia="en-GB"/>
        </w:rPr>
        <w:t xml:space="preserve">th showing that the researcher </w:t>
      </w:r>
      <w:r w:rsidR="00E3179E" w:rsidRPr="009B3747">
        <w:rPr>
          <w:rFonts w:eastAsia="Times New Roman" w:cstheme="minorHAnsi"/>
          <w:i/>
          <w:color w:val="000000"/>
          <w:shd w:val="clear" w:color="auto" w:fill="FFFFFF"/>
          <w:lang w:eastAsia="en-GB"/>
        </w:rPr>
        <w:t>“</w:t>
      </w:r>
      <w:r w:rsidRPr="009B3747">
        <w:rPr>
          <w:rFonts w:eastAsia="Times New Roman" w:cstheme="minorHAnsi"/>
          <w:i/>
          <w:color w:val="000000"/>
          <w:shd w:val="clear" w:color="auto" w:fill="FFFFFF"/>
          <w:lang w:eastAsia="en-GB"/>
        </w:rPr>
        <w:t>has not overtly allowed personal values or theoretical inclinations to sway the conduct of the research and the findings derivi</w:t>
      </w:r>
      <w:r w:rsidR="00E3179E" w:rsidRPr="009B3747">
        <w:rPr>
          <w:rFonts w:eastAsia="Times New Roman" w:cstheme="minorHAnsi"/>
          <w:i/>
          <w:color w:val="000000"/>
          <w:shd w:val="clear" w:color="auto" w:fill="FFFFFF"/>
          <w:lang w:eastAsia="en-GB"/>
        </w:rPr>
        <w:t>ng from it</w:t>
      </w:r>
      <w:r w:rsidR="00AD7A7D" w:rsidRPr="009B3747">
        <w:rPr>
          <w:rFonts w:eastAsia="Times New Roman" w:cstheme="minorHAnsi"/>
          <w:i/>
          <w:color w:val="000000"/>
          <w:shd w:val="clear" w:color="auto" w:fill="FFFFFF"/>
          <w:lang w:eastAsia="en-GB"/>
        </w:rPr>
        <w:t>”</w:t>
      </w:r>
      <w:r w:rsidRPr="009B3747">
        <w:rPr>
          <w:rFonts w:eastAsia="Times New Roman" w:cstheme="minorHAnsi"/>
          <w:color w:val="000000"/>
          <w:shd w:val="clear" w:color="auto" w:fill="FFFFFF"/>
          <w:lang w:eastAsia="en-GB"/>
        </w:rPr>
        <w:t xml:space="preserve"> (Bryman, 2016, p</w:t>
      </w:r>
      <w:r w:rsidR="00E3179E" w:rsidRPr="009B3747">
        <w:rPr>
          <w:rFonts w:eastAsia="Times New Roman" w:cstheme="minorHAnsi"/>
          <w:color w:val="000000"/>
          <w:shd w:val="clear" w:color="auto" w:fill="FFFFFF"/>
          <w:lang w:eastAsia="en-GB"/>
        </w:rPr>
        <w:t>.</w:t>
      </w:r>
      <w:r w:rsidRPr="009B3747">
        <w:rPr>
          <w:rFonts w:eastAsia="Times New Roman" w:cstheme="minorHAnsi"/>
          <w:color w:val="000000"/>
          <w:shd w:val="clear" w:color="auto" w:fill="FFFFFF"/>
          <w:lang w:eastAsia="en-GB"/>
        </w:rPr>
        <w:t>386).  Despite it being impossible to achieve complete objectivity in qualitative research, in order to enhance confirmability, researchers are expected to be explicit in their personal values, beliefs and biases</w:t>
      </w:r>
      <w:r w:rsidR="00AA1C87" w:rsidRPr="009B3747">
        <w:rPr>
          <w:rFonts w:eastAsia="Times New Roman" w:cstheme="minorHAnsi"/>
          <w:color w:val="000000"/>
          <w:shd w:val="clear" w:color="auto" w:fill="FFFFFF"/>
          <w:lang w:eastAsia="en-GB"/>
        </w:rPr>
        <w:t xml:space="preserve"> </w:t>
      </w:r>
      <w:r w:rsidR="00AA1C87" w:rsidRPr="009B3747">
        <w:rPr>
          <w:rFonts w:eastAsia="Times New Roman" w:cstheme="minorHAnsi"/>
          <w:color w:val="000000"/>
          <w:shd w:val="clear" w:color="auto" w:fill="FFFFFF"/>
          <w:lang w:eastAsia="en-GB"/>
        </w:rPr>
        <w:fldChar w:fldCharType="begin" w:fldLock="1"/>
      </w:r>
      <w:r w:rsidR="00CF0D9C" w:rsidRPr="009B3747">
        <w:rPr>
          <w:rFonts w:eastAsia="Times New Roman" w:cstheme="minorHAnsi"/>
          <w:color w:val="000000"/>
          <w:shd w:val="clear" w:color="auto" w:fill="FFFFFF"/>
          <w:lang w:eastAsia="en-GB"/>
        </w:rPr>
        <w:instrText>ADDIN CSL_CITATION { "citationItems" : [ { "id" : "ITEM-1", "itemData" : { "DOI" : "10.3233/EFI-2004-22201", "ISSN" : "18758649", "author" : [ { "dropping-particle" : "", "family" : "Shenton", "given" : "Andrew K.", "non-dropping-particle" : "", "parse-names" : false, "suffix" : "" } ], "container-title" : "Education for Information", "id" : "ITEM-1", "issue" : "2", "issued" : { "date-parts" : [ [ "2004", "7", "19" ] ] }, "page" : "63-75", "publisher" : "IOS Press", "title" : "Strategies for ensuring trustworthiness in qualitative research projects", "type" : "article-journal", "volume" : "22" }, "uris" : [ "http://www.mendeley.com/documents/?uuid=3203b860-00f8-3172-8a4f-696d180d57eb" ] }, { "id" : "ITEM-2", "itemData" : { "DOI" : "10.1037/0022-0167.52.2.250", "ISBN" : "1-59147-288-1", "ISSN" : "1939-2168", "author" : [ { "dropping-particle" : "", "family" : "Morrow", "given" : "Susan", "non-dropping-particle" : "", "parse-names" : false, "suffix" : "" } ], "container-title" : "Journal of Counseling Psychology", "id" : "ITEM-2", "issue" : "2", "issued" : { "date-parts" : [ [ "2005" ] ] }, "page" : "250-260", "publisher" : "American Psychological Association", "title" : "Quality and trustworthiness in qualitative research in counseling psychology.", "type" : "article-journal", "volume" : "52" }, "uris" : [ "http://www.mendeley.com/documents/?uuid=e7e15e7c-bf50-352e-b09f-0b9c5515928a" ] } ], "mendeley" : { "formattedCitation" : "(Shenton, 2004; Morrow, 2005)", "manualFormatting" : "(Shenton, 2004; Morrow, 2005)", "plainTextFormattedCitation" : "(Shenton, 2004; Morrow, 2005)", "previouslyFormattedCitation" : "(Shenton, 2004; Morrow, 2005)" }, "properties" : { "noteIndex" : 0 }, "schema" : "https://github.com/citation-style-language/schema/raw/master/csl-citation.json" }</w:instrText>
      </w:r>
      <w:r w:rsidR="00AA1C87" w:rsidRPr="009B3747">
        <w:rPr>
          <w:rFonts w:eastAsia="Times New Roman" w:cstheme="minorHAnsi"/>
          <w:color w:val="000000"/>
          <w:shd w:val="clear" w:color="auto" w:fill="FFFFFF"/>
          <w:lang w:eastAsia="en-GB"/>
        </w:rPr>
        <w:fldChar w:fldCharType="separate"/>
      </w:r>
      <w:r w:rsidR="00AA1C87" w:rsidRPr="009B3747">
        <w:rPr>
          <w:rFonts w:eastAsia="Times New Roman" w:cstheme="minorHAnsi"/>
          <w:noProof/>
          <w:color w:val="000000"/>
          <w:shd w:val="clear" w:color="auto" w:fill="FFFFFF"/>
          <w:lang w:eastAsia="en-GB"/>
        </w:rPr>
        <w:t>(Shenton, 2004; Morrow, 2005)</w:t>
      </w:r>
      <w:r w:rsidR="00AA1C87" w:rsidRPr="009B3747">
        <w:rPr>
          <w:rFonts w:eastAsia="Times New Roman" w:cstheme="minorHAnsi"/>
          <w:color w:val="000000"/>
          <w:shd w:val="clear" w:color="auto" w:fill="FFFFFF"/>
          <w:lang w:eastAsia="en-GB"/>
        </w:rPr>
        <w:fldChar w:fldCharType="end"/>
      </w:r>
      <w:r w:rsidR="00AA1C87" w:rsidRPr="009B3747">
        <w:rPr>
          <w:rFonts w:eastAsia="Times New Roman" w:cstheme="minorHAnsi"/>
          <w:color w:val="000000"/>
          <w:shd w:val="clear" w:color="auto" w:fill="FFFFFF"/>
          <w:lang w:eastAsia="en-GB"/>
        </w:rPr>
        <w:t xml:space="preserve">.  </w:t>
      </w:r>
      <w:r w:rsidRPr="009B3747">
        <w:rPr>
          <w:rFonts w:eastAsia="Times New Roman" w:cstheme="minorHAnsi"/>
          <w:color w:val="000000"/>
          <w:shd w:val="clear" w:color="auto" w:fill="FFFFFF"/>
          <w:lang w:eastAsia="en-GB"/>
        </w:rPr>
        <w:t>A common and widely promoted approach to enhancing confirmability is the importance of practising reflexivity (Teddlie and Tashakkori, 2009; Creswell, 2014).  </w:t>
      </w:r>
    </w:p>
    <w:p w:rsidR="00AD7A7D" w:rsidRPr="009B3747" w:rsidRDefault="00AD7A7D" w:rsidP="00AD7A7D">
      <w:pPr>
        <w:rPr>
          <w:rFonts w:eastAsia="Times New Roman" w:cstheme="minorHAnsi"/>
          <w:color w:val="000000"/>
          <w:shd w:val="clear" w:color="auto" w:fill="FFFFFF"/>
          <w:lang w:eastAsia="en-GB"/>
        </w:rPr>
      </w:pPr>
    </w:p>
    <w:p w:rsidR="00AD7A7D" w:rsidRPr="009B3747" w:rsidRDefault="00AD7A7D" w:rsidP="00510940">
      <w:pPr>
        <w:rPr>
          <w:rFonts w:eastAsia="Times New Roman" w:cstheme="minorHAnsi"/>
          <w:color w:val="000000"/>
          <w:shd w:val="clear" w:color="auto" w:fill="FFFFFF"/>
          <w:lang w:eastAsia="en-GB"/>
        </w:rPr>
      </w:pPr>
      <w:r w:rsidRPr="009B3747">
        <w:rPr>
          <w:rFonts w:eastAsia="Times New Roman" w:cstheme="minorHAnsi"/>
          <w:color w:val="000000"/>
          <w:lang w:eastAsia="en-GB"/>
        </w:rPr>
        <w:t xml:space="preserve">Reflexivity is a critical process, relevant for both quantitative, qualitative and mixed-methods research.  Defined as, </w:t>
      </w:r>
      <w:r w:rsidR="009C2ECF" w:rsidRPr="009B3747">
        <w:rPr>
          <w:rFonts w:eastAsia="Times New Roman" w:cstheme="minorHAnsi"/>
          <w:i/>
          <w:color w:val="000000"/>
          <w:lang w:eastAsia="en-GB"/>
        </w:rPr>
        <w:t>“</w:t>
      </w:r>
      <w:r w:rsidRPr="009B3747">
        <w:rPr>
          <w:rFonts w:eastAsia="Times New Roman" w:cstheme="minorHAnsi"/>
          <w:i/>
          <w:color w:val="000000"/>
          <w:lang w:eastAsia="en-GB"/>
        </w:rPr>
        <w:t>thoug</w:t>
      </w:r>
      <w:r w:rsidR="009C2ECF" w:rsidRPr="009B3747">
        <w:rPr>
          <w:rFonts w:eastAsia="Times New Roman" w:cstheme="minorHAnsi"/>
          <w:i/>
          <w:color w:val="000000"/>
          <w:lang w:eastAsia="en-GB"/>
        </w:rPr>
        <w:t>htful, conscious self-awareness”</w:t>
      </w:r>
      <w:r w:rsidRPr="009B3747">
        <w:rPr>
          <w:rFonts w:eastAsia="Times New Roman" w:cstheme="minorHAnsi"/>
          <w:color w:val="000000"/>
          <w:lang w:eastAsia="en-GB"/>
        </w:rPr>
        <w:t xml:space="preserve"> </w:t>
      </w:r>
      <w:r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"Finlay", "given" : "L", "non-dropping-particle" : "", "parse-names" : false, "suffix" : "" } ], "container-title" : "Qualitative research", "id" : "ITEM-1", "issue" : "2", "issued" : { "date-parts" : [ [ "2002" ] ] }, "page" : "209-230", "title" : "Negotiating the swamp: the opportunity and challenge of reflexivity in research practice", "type" : "article-journal", "volume" : "2" }, "uris" : [ "http://www.mendeley.com/documents/?uuid=7a1963c6-e863-433e-bf37-82b4b37a5d1e" ] } ], "mendeley" : { "formattedCitation" : "(Finlay, 2002a)", "manualFormatting" : "(Finlay, 2002a, pg 532)", "plainTextFormattedCitation" : "(Finlay, 2002a)", "previouslyFormattedCitation" : "(Finlay, 2002a)" }, "properties" : { "noteIndex" : 0 }, "schema" : "https://github.com/citation-style-language/schema/raw/master/csl-citation.json" }</w:instrText>
      </w:r>
      <w:r w:rsidRPr="009B3747">
        <w:rPr>
          <w:rFonts w:eastAsia="Times New Roman" w:cstheme="minorHAnsi"/>
          <w:color w:val="000000"/>
          <w:lang w:eastAsia="en-GB"/>
        </w:rPr>
        <w:fldChar w:fldCharType="separate"/>
      </w:r>
      <w:r w:rsidRPr="009B3747">
        <w:rPr>
          <w:rFonts w:eastAsia="Times New Roman" w:cstheme="minorHAnsi"/>
          <w:noProof/>
          <w:color w:val="000000"/>
          <w:lang w:eastAsia="en-GB"/>
        </w:rPr>
        <w:t>(Finlay, 2002a, pg 532)</w:t>
      </w:r>
      <w:r w:rsidRPr="009B3747">
        <w:rPr>
          <w:rFonts w:eastAsia="Times New Roman" w:cstheme="minorHAnsi"/>
          <w:color w:val="000000"/>
          <w:lang w:eastAsia="en-GB"/>
        </w:rPr>
        <w:fldChar w:fldCharType="end"/>
      </w:r>
      <w:r w:rsidRPr="009B3747">
        <w:rPr>
          <w:rFonts w:eastAsia="Times New Roman" w:cstheme="minorHAnsi"/>
          <w:color w:val="000000"/>
          <w:lang w:eastAsia="en-GB"/>
        </w:rPr>
        <w:t>, particularly pertinent to qualitative methods</w:t>
      </w:r>
      <w:r w:rsidR="00281979">
        <w:rPr>
          <w:rFonts w:eastAsia="Times New Roman" w:cstheme="minorHAnsi"/>
          <w:color w:val="000000"/>
          <w:lang w:eastAsia="en-GB"/>
        </w:rPr>
        <w:t>,</w:t>
      </w:r>
      <w:r w:rsidRPr="009B3747">
        <w:rPr>
          <w:rFonts w:eastAsia="Times New Roman" w:cstheme="minorHAnsi"/>
          <w:color w:val="000000"/>
          <w:lang w:eastAsia="en-GB"/>
        </w:rPr>
        <w:t xml:space="preserve"> but not exclusively, reflexivity should occur throughout the entire research process, including design, collection and interpretation of data </w:t>
      </w:r>
      <w:r w:rsidRPr="009B3747">
        <w:rPr>
          <w:rFonts w:eastAsia="Times New Roman" w:cstheme="minorHAnsi"/>
          <w:color w:val="000000"/>
          <w:lang w:eastAsia="en-GB"/>
        </w:rPr>
        <w:fldChar w:fldCharType="begin" w:fldLock="1"/>
      </w:r>
      <w:r w:rsidRPr="009B3747">
        <w:rPr>
          <w:rFonts w:eastAsia="Times New Roman" w:cstheme="minorHAnsi"/>
          <w:color w:val="000000"/>
          <w:lang w:eastAsia="en-GB"/>
        </w:rPr>
        <w:instrText>ADDIN CSL_CITATION { "citationItems" : [ { "id" : "ITEM-1", "itemData" : { "author" : [ { "dropping-particle" : "", "family" : "Jootun", "given" : "D", "non-dropping-particle" : "", "parse-names" : false, "suffix" : "" }, { "dropping-particle" : "", "family" : "McGhee", "given" : "G", "non-dropping-particle" : "", "parse-names" : false, "suffix" : "" }, { "dropping-particle" : "", "family" : "Marland", "given" : "GR", "non-dropping-particle" : "", "parse-names" : false, "suffix" : "" } ], "container-title" : "Nursing Standard", "id" : "ITEM-1", "issued" : { "date-parts" : [ [ "2009" ] ] }, "title" : "Reflexivity: promoting rigour in qualitative research", "type" : "article-journal" }, "uris" : [ "http://www.mendeley.com/documents/?uuid=4fabb824-f159-4c05-bad3-84877fa58b74" ] } ], "mendeley" : { "formattedCitation" : "(Jootun et al., 2009)", "plainTextFormattedCitation" : "(Jootun et al., 2009)", "previouslyFormattedCitation" : "(Jootun et al., 2009)" }, "properties" : { "noteIndex" : 0 }, "schema" : "https://github.com/citation-style-language/schema/raw/master/csl-citation.json" }</w:instrText>
      </w:r>
      <w:r w:rsidRPr="009B3747">
        <w:rPr>
          <w:rFonts w:eastAsia="Times New Roman" w:cstheme="minorHAnsi"/>
          <w:color w:val="000000"/>
          <w:lang w:eastAsia="en-GB"/>
        </w:rPr>
        <w:fldChar w:fldCharType="separate"/>
      </w:r>
      <w:r w:rsidRPr="009B3747">
        <w:rPr>
          <w:rFonts w:eastAsia="Times New Roman" w:cstheme="minorHAnsi"/>
          <w:noProof/>
          <w:color w:val="000000"/>
          <w:lang w:eastAsia="en-GB"/>
        </w:rPr>
        <w:t>(Jootun et al., 2009)</w:t>
      </w:r>
      <w:r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Whilst total reflexive awareness is unlikely to be achieved, engaging in explicit self-awareness will enhance the integrity and trustworthiness of the study’s findings  </w:t>
      </w:r>
      <w:r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"Patton", "given" : "MQ", "non-dropping-particle" : "", "parse-names" : false, "suffix" : "" } ], "id" : "ITEM-1", "issued" : { "date-parts" : [ [ "1990" ] ] }, "publisher" : "SAGE Publications Inc.", "publisher-place" : "Thousand Oaks", "title" : "Qualitative evaluation and research methods .", "type" : "book" }, "uris" : [ "http://www.mendeley.com/documents/?uuid=9225ea63-af32-4b1a-8445-c8d31666b4a7" ] }, { "id" : "ITEM-2", "itemData" : { "author" : [ { "dropping-particle" : "", "family" : "Finlay", "given" : "L", "non-dropping-particle" : "", "parse-names" : false, "suffix" : "" } ], "container-title" : "Qualitative health research", "id" : "ITEM-2", "issue" : "4", "issued" : { "date-parts" : [ [ "2002" ] ] }, "page" : "531-45", "title" : "\u201cOuting\u201d the researcher: The provenance, process, and practice of reflexivity", "type" : "article-journal", "volume" : "12" }, "uris" : [ "http://www.mendeley.com/documents/?uuid=7576f082-1e2b-411c-86c7-bfc33aeb707e" ] } ], "mendeley" : { "formattedCitation" : "(Patton, 1990; Finlay, 2002b)", "plainTextFormattedCitation" : "(Patton, 1990; Finlay, 2002b)", "previouslyFormattedCitation" : "(Patton, 1990; Finlay, 2002b)" }, "properties" : { "noteIndex" : 0 }, "schema" : "https://github.com/citation-style-language/schema/raw/master/csl-citation.json" }</w:instrText>
      </w:r>
      <w:r w:rsidRPr="009B3747">
        <w:rPr>
          <w:rFonts w:eastAsia="Times New Roman" w:cstheme="minorHAnsi"/>
          <w:color w:val="000000"/>
          <w:lang w:eastAsia="en-GB"/>
        </w:rPr>
        <w:fldChar w:fldCharType="separate"/>
      </w:r>
      <w:r w:rsidRPr="009B3747">
        <w:rPr>
          <w:rFonts w:eastAsia="Times New Roman" w:cstheme="minorHAnsi"/>
          <w:noProof/>
          <w:color w:val="000000"/>
          <w:lang w:eastAsia="en-GB"/>
        </w:rPr>
        <w:t>(Patton, 1990; Finlay, 2002b)</w:t>
      </w:r>
      <w:r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Part of the reflexive process is being transparent about one’s own background and experiences </w:t>
      </w:r>
      <w:r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"Davies", "given" : "D", "non-dropping-particle" : "", "parse-names" : false, "suffix" : "" }, { "dropping-particle" : "", "family" : "Dodd", "given" : "J", "non-dropping-particle" : "", "parse-names" : false, "suffix" : "" } ], "container-title" : "Qualitative health research", "id" : "ITEM-1", "issue" : "2", "issued" : { "date-parts" : [ [ "2002" ] ] }, "page" : "279-89", "title" : "Qualitative research and the question of rigor", "type" : "article-journal", "volume" : "12" }, "uris" : [ "http://www.mendeley.com/documents/?uuid=d3a23a57-261e-4cda-924f-5e639b37f28a" ] }, { "id" : "ITEM-2", "itemData" : { "author" : [ { "dropping-particle" : "", "family" : "Starks", "given" : "H", "non-dropping-particle" : "", "parse-names" : false, "suffix" : "" }, { "dropping-particle" : "", "family" : "Trinidad", "given" : "SB", "non-dropping-particle" : "", "parse-names" : false, "suffix" : "" } ], "container-title" : "Qualitative health research", "id" : "ITEM-2", "issue" : "10", "issued" : { "date-parts" : [ [ "2007" ] ] }, "page" : "1372-1380", "title" : "Choose your method: A comparison of phenomenology, discourse analysis, and grounded theory", "type" : "article-journal", "volume" : "17" }, "uris" : [ "http://www.mendeley.com/documents/?uuid=f86caa42-de6c-4845-b72e-65b2e973b1cc" ] } ], "mendeley" : { "formattedCitation" : "(Davies and Dodd, 2002; Starks and Trinidad, 2007)", "plainTextFormattedCitation" : "(Davies and Dodd, 2002; Starks and Trinidad, 2007)", "previouslyFormattedCitation" : "(Davies and Dodd, 2002; Starks and Trinidad, 2007)" }, "properties" : { "noteIndex" : 0 }, "schema" : "https://github.com/citation-style-language/schema/raw/master/csl-citation.json" }</w:instrText>
      </w:r>
      <w:r w:rsidRPr="009B3747">
        <w:rPr>
          <w:rFonts w:eastAsia="Times New Roman" w:cstheme="minorHAnsi"/>
          <w:color w:val="000000"/>
          <w:lang w:eastAsia="en-GB"/>
        </w:rPr>
        <w:fldChar w:fldCharType="separate"/>
      </w:r>
      <w:r w:rsidRPr="009B3747">
        <w:rPr>
          <w:rFonts w:eastAsia="Times New Roman" w:cstheme="minorHAnsi"/>
          <w:noProof/>
          <w:color w:val="000000"/>
          <w:lang w:eastAsia="en-GB"/>
        </w:rPr>
        <w:t>(Davies and Dodd, 2002; Starks and Trinidad, 2007)</w:t>
      </w:r>
      <w:r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w:t>
      </w:r>
    </w:p>
    <w:p w:rsidR="00AD7A7D" w:rsidRPr="009B3747" w:rsidRDefault="00AD7A7D" w:rsidP="00510940">
      <w:pPr>
        <w:rPr>
          <w:rFonts w:eastAsia="Times New Roman" w:cstheme="minorHAnsi"/>
          <w:color w:val="000000"/>
          <w:shd w:val="clear" w:color="auto" w:fill="FFFFFF"/>
          <w:lang w:eastAsia="en-GB"/>
        </w:rPr>
      </w:pP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shd w:val="clear" w:color="auto" w:fill="FFFFFF"/>
          <w:lang w:eastAsia="en-GB"/>
        </w:rPr>
        <w:t>In addition to the audit trail previously mentioned, throughout the research process, the following techniques were utili</w:t>
      </w:r>
      <w:r w:rsidR="00022E3D" w:rsidRPr="009B3747">
        <w:rPr>
          <w:rFonts w:eastAsia="Times New Roman" w:cstheme="minorHAnsi"/>
          <w:color w:val="000000"/>
          <w:shd w:val="clear" w:color="auto" w:fill="FFFFFF"/>
          <w:lang w:eastAsia="en-GB"/>
        </w:rPr>
        <w:t>sed to enhance confirmability:</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color w:val="000000"/>
          <w:shd w:val="clear" w:color="auto" w:fill="FFFFFF"/>
          <w:lang w:eastAsia="en-GB"/>
        </w:rPr>
      </w:pPr>
      <w:r w:rsidRPr="009B3747">
        <w:rPr>
          <w:rFonts w:eastAsia="Times New Roman" w:cstheme="minorHAnsi"/>
          <w:color w:val="000000"/>
          <w:u w:val="single"/>
          <w:shd w:val="clear" w:color="auto" w:fill="FFFFFF"/>
          <w:lang w:eastAsia="en-GB"/>
        </w:rPr>
        <w:t>Researcher position</w:t>
      </w:r>
      <w:r w:rsidRPr="009B3747">
        <w:rPr>
          <w:rFonts w:eastAsia="Times New Roman" w:cstheme="minorHAnsi"/>
          <w:color w:val="000000"/>
          <w:shd w:val="clear" w:color="auto" w:fill="FFFFFF"/>
          <w:lang w:eastAsia="en-GB"/>
        </w:rPr>
        <w:t xml:space="preserve"> </w:t>
      </w:r>
      <w:r w:rsidR="00EC4081" w:rsidRPr="009B3747">
        <w:rPr>
          <w:rFonts w:eastAsia="Times New Roman" w:cstheme="minorHAnsi"/>
          <w:color w:val="000000"/>
          <w:shd w:val="clear" w:color="auto" w:fill="FFFFFF"/>
          <w:lang w:eastAsia="en-GB"/>
        </w:rPr>
        <w:t>–</w:t>
      </w:r>
      <w:r w:rsidRPr="009B3747">
        <w:rPr>
          <w:rFonts w:eastAsia="Times New Roman" w:cstheme="minorHAnsi"/>
          <w:color w:val="000000"/>
          <w:shd w:val="clear" w:color="auto" w:fill="FFFFFF"/>
          <w:lang w:eastAsia="en-GB"/>
        </w:rPr>
        <w:t xml:space="preserve"> Presented e</w:t>
      </w:r>
      <w:r w:rsidR="00990EFD" w:rsidRPr="009B3747">
        <w:rPr>
          <w:rFonts w:eastAsia="Times New Roman" w:cstheme="minorHAnsi"/>
          <w:color w:val="000000"/>
          <w:shd w:val="clear" w:color="auto" w:fill="FFFFFF"/>
          <w:lang w:eastAsia="en-GB"/>
        </w:rPr>
        <w:t>arlier in the thesis</w:t>
      </w:r>
      <w:r w:rsidRPr="009B3747">
        <w:rPr>
          <w:rFonts w:eastAsia="Times New Roman" w:cstheme="minorHAnsi"/>
          <w:color w:val="000000"/>
          <w:shd w:val="clear" w:color="auto" w:fill="FFFFFF"/>
          <w:lang w:eastAsia="en-GB"/>
        </w:rPr>
        <w:t>, the researcher reflexively presented her ‘position’.  Detailing both her professional and personal background and history, the researcher committed to overtly identifying factors which could result in affecting aspects of the research process.  </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color w:val="000000"/>
          <w:shd w:val="clear" w:color="auto" w:fill="FFFFFF"/>
          <w:lang w:eastAsia="en-GB"/>
        </w:rPr>
      </w:pPr>
      <w:r w:rsidRPr="009B3747">
        <w:rPr>
          <w:rFonts w:eastAsia="Times New Roman" w:cstheme="minorHAnsi"/>
          <w:color w:val="000000"/>
          <w:u w:val="single"/>
          <w:shd w:val="clear" w:color="auto" w:fill="FFFFFF"/>
          <w:lang w:eastAsia="en-GB"/>
        </w:rPr>
        <w:lastRenderedPageBreak/>
        <w:t>Reflexive journal</w:t>
      </w:r>
      <w:r w:rsidRPr="009B3747">
        <w:rPr>
          <w:rFonts w:eastAsia="Times New Roman" w:cstheme="minorHAnsi"/>
          <w:color w:val="000000"/>
          <w:shd w:val="clear" w:color="auto" w:fill="FFFFFF"/>
          <w:lang w:eastAsia="en-GB"/>
        </w:rPr>
        <w:t xml:space="preserve"> </w:t>
      </w:r>
      <w:r w:rsidR="00EC4081" w:rsidRPr="009B3747">
        <w:rPr>
          <w:rFonts w:eastAsia="Times New Roman" w:cstheme="minorHAnsi"/>
          <w:color w:val="000000"/>
          <w:shd w:val="clear" w:color="auto" w:fill="FFFFFF"/>
          <w:lang w:eastAsia="en-GB"/>
        </w:rPr>
        <w:t>–</w:t>
      </w:r>
      <w:r w:rsidRPr="009B3747">
        <w:rPr>
          <w:rFonts w:eastAsia="Times New Roman" w:cstheme="minorHAnsi"/>
          <w:color w:val="000000"/>
          <w:shd w:val="clear" w:color="auto" w:fill="FFFFFF"/>
          <w:lang w:eastAsia="en-GB"/>
        </w:rPr>
        <w:t xml:space="preserve"> The researcher committed to writing reflexive notes both in hard copy and electronic form.  These notes centred on recording personal reflections throughout the research process regarding the decisions made, experiences gained, challenges faced and problems solved.  Furthermore the use of peer review and debrief with both academic supervisors, academic advisors and peers was crucial in developing a reflexive and introspective approach to conducting research.</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161F38" w:rsidP="00510940">
      <w:pPr>
        <w:rPr>
          <w:rFonts w:eastAsia="Times New Roman" w:cstheme="minorHAnsi"/>
          <w:sz w:val="24"/>
          <w:szCs w:val="24"/>
          <w:lang w:eastAsia="en-GB"/>
        </w:rPr>
      </w:pPr>
      <w:r w:rsidRPr="009B3747">
        <w:rPr>
          <w:rFonts w:eastAsia="Times New Roman" w:cstheme="minorHAnsi"/>
          <w:b/>
          <w:bCs/>
          <w:color w:val="000000"/>
          <w:sz w:val="24"/>
          <w:szCs w:val="24"/>
          <w:u w:val="single"/>
          <w:lang w:eastAsia="en-GB"/>
        </w:rPr>
        <w:t>5</w:t>
      </w:r>
      <w:r w:rsidR="009D727E" w:rsidRPr="009B3747">
        <w:rPr>
          <w:rFonts w:eastAsia="Times New Roman" w:cstheme="minorHAnsi"/>
          <w:b/>
          <w:bCs/>
          <w:color w:val="000000"/>
          <w:sz w:val="24"/>
          <w:szCs w:val="24"/>
          <w:u w:val="single"/>
          <w:lang w:eastAsia="en-GB"/>
        </w:rPr>
        <w:t xml:space="preserve">.7 </w:t>
      </w:r>
      <w:r w:rsidR="00510940" w:rsidRPr="009B3747">
        <w:rPr>
          <w:rFonts w:eastAsia="Times New Roman" w:cstheme="minorHAnsi"/>
          <w:b/>
          <w:bCs/>
          <w:color w:val="000000"/>
          <w:sz w:val="24"/>
          <w:szCs w:val="24"/>
          <w:u w:val="single"/>
          <w:lang w:eastAsia="en-GB"/>
        </w:rPr>
        <w:t>Ethical approach and procedures</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t>An important aspect of research quality is the consideration and application of a robust ethical approach and related procedures (Spencer et al., 2003; Bryman, 2016).  This section will examine how the importance of research ethics and how this study inclusive of both phases was guided by key ethical principles.  In addition and more specifically to the qualitative phase, this section will then discuss the ethical procedures employed and adhered to during the process of participant recruitment, data collection and analysis.  The ethical procedures relevant to the quantitative phase of the research study</w:t>
      </w:r>
      <w:r w:rsidR="00990EFD" w:rsidRPr="009B3747">
        <w:rPr>
          <w:rFonts w:eastAsia="Times New Roman" w:cstheme="minorHAnsi"/>
          <w:color w:val="000000"/>
          <w:lang w:eastAsia="en-GB"/>
        </w:rPr>
        <w:t xml:space="preserve"> are discussed within chapter seven</w:t>
      </w:r>
      <w:r w:rsidRPr="009B3747">
        <w:rPr>
          <w:rFonts w:eastAsia="Times New Roman" w:cstheme="minorHAnsi"/>
          <w:color w:val="000000"/>
          <w:lang w:eastAsia="en-GB"/>
        </w:rPr>
        <w:t>.</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color w:val="000000"/>
          <w:lang w:eastAsia="en-GB"/>
        </w:rPr>
      </w:pPr>
      <w:r w:rsidRPr="009B3747">
        <w:rPr>
          <w:rFonts w:eastAsia="Times New Roman" w:cstheme="minorHAnsi"/>
          <w:color w:val="000000"/>
          <w:lang w:eastAsia="en-GB"/>
        </w:rPr>
        <w:t>The nature of collecting data from people and about people means that researchers should consider ethical issues throughout an entire</w:t>
      </w:r>
      <w:r w:rsidR="00154224">
        <w:rPr>
          <w:rFonts w:eastAsia="Times New Roman" w:cstheme="minorHAnsi"/>
          <w:color w:val="000000"/>
          <w:lang w:eastAsia="en-GB"/>
        </w:rPr>
        <w:t xml:space="preserve"> research process (Punch, 2013), </w:t>
      </w:r>
      <w:r w:rsidRPr="009B3747">
        <w:rPr>
          <w:rFonts w:eastAsia="Times New Roman" w:cstheme="minorHAnsi"/>
          <w:color w:val="000000"/>
          <w:lang w:eastAsia="en-GB"/>
        </w:rPr>
        <w:t>and adhere to values of honesty and scientific integrity</w:t>
      </w:r>
      <w:r w:rsidR="00CF0D9C" w:rsidRPr="009B3747">
        <w:rPr>
          <w:rFonts w:eastAsia="Times New Roman" w:cstheme="minorHAnsi"/>
          <w:color w:val="000000"/>
          <w:lang w:eastAsia="en-GB"/>
        </w:rPr>
        <w:t xml:space="preserve"> </w:t>
      </w:r>
      <w:r w:rsidR="00CF0D9C"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"DOI" : "10.4135/9781848607927", "ISBN" : "9781412907804", "author" : [ { "dropping-particle" : "", "family" : "Brinkmann", "given" : "Svend", "non-dropping-particle" : "", "parse-names" : false, "suffix" : "" }, { "dropping-particle" : "", "family" : "Kvale", "given" : "Steinar", "non-dropping-particle" : "", "parse-names" : false, "suffix" : "" } ], "container-title" : "The SAGE Handbook of Qualitative Research in Psychology Ethics in Qualitative Psychological Research", "editor" : [ { "dropping-particle" : "", "family" : "Willig", "given" : "C", "non-dropping-particle" : "", "parse-names" : false, "suffix" : "" }, { "dropping-particle" : "", "family" : "Stainton-Rogers", "given" : "W", "non-dropping-particle" : "", "parse-names" : false, "suffix" : "" } ], "id" : "ITEM-1", "issued" : { "date-parts" : [ [ "2008" ] ] }, "page" : "263-279", "publisher" : "Sage Publications, Incorporated", "publisher-place" : "London", "title" : "Ethics in Qualitative Psychological Research", "type" : "chapter" }, "uris" : [ "http://www.mendeley.com/documents/?uuid=5a641b51-130d-3ced-a536-3f786e29a94d" ] } ], "mendeley" : { "formattedCitation" : "(Brinkmann and Kvale, 2008)", "plainTextFormattedCitation" : "(Brinkmann and Kvale, 2008)", "previouslyFormattedCitation" : "(Brinkmann and Kvale, 2008)" }, "properties" : { "noteIndex" : 0 }, "schema" : "https://github.com/citation-style-language/schema/raw/master/csl-citation.json" }</w:instrText>
      </w:r>
      <w:r w:rsidR="00CF0D9C" w:rsidRPr="009B3747">
        <w:rPr>
          <w:rFonts w:eastAsia="Times New Roman" w:cstheme="minorHAnsi"/>
          <w:color w:val="000000"/>
          <w:lang w:eastAsia="en-GB"/>
        </w:rPr>
        <w:fldChar w:fldCharType="separate"/>
      </w:r>
      <w:r w:rsidR="00CF0D9C" w:rsidRPr="009B3747">
        <w:rPr>
          <w:rFonts w:eastAsia="Times New Roman" w:cstheme="minorHAnsi"/>
          <w:noProof/>
          <w:color w:val="000000"/>
          <w:lang w:eastAsia="en-GB"/>
        </w:rPr>
        <w:t>(Brinkmann and Kvale, 2008)</w:t>
      </w:r>
      <w:r w:rsidR="00CF0D9C" w:rsidRPr="009B3747">
        <w:rPr>
          <w:rFonts w:eastAsia="Times New Roman" w:cstheme="minorHAnsi"/>
          <w:color w:val="000000"/>
          <w:lang w:eastAsia="en-GB"/>
        </w:rPr>
        <w:fldChar w:fldCharType="end"/>
      </w:r>
      <w:r w:rsidRPr="009B3747">
        <w:rPr>
          <w:rFonts w:eastAsia="Times New Roman" w:cstheme="minorHAnsi"/>
          <w:color w:val="000000"/>
          <w:lang w:eastAsia="en-GB"/>
        </w:rPr>
        <w:t>.   The principles of ethics are widely discussed in research methods texts with broad consensus evident about what constitutes ethical research (Pope and Mays, 2006; Punch, 2009; Creswell, 2014; Ritchie et al, 2014; Bryman, 2016).  In the main, this consensus centres on the need for researchers to consider the following i</w:t>
      </w:r>
      <w:r w:rsidR="00022E3D" w:rsidRPr="009B3747">
        <w:rPr>
          <w:rFonts w:eastAsia="Times New Roman" w:cstheme="minorHAnsi"/>
          <w:color w:val="000000"/>
          <w:lang w:eastAsia="en-GB"/>
        </w:rPr>
        <w:t>ssues or key ethical principles:</w:t>
      </w:r>
      <w:r w:rsidRPr="009B3747">
        <w:rPr>
          <w:rFonts w:eastAsia="Times New Roman" w:cstheme="minorHAnsi"/>
          <w:color w:val="000000"/>
          <w:lang w:eastAsia="en-GB"/>
        </w:rPr>
        <w:t xml:space="preserve"> </w:t>
      </w:r>
    </w:p>
    <w:p w:rsidR="006F36A0" w:rsidRPr="009B3747" w:rsidRDefault="006F36A0" w:rsidP="00510940">
      <w:pPr>
        <w:rPr>
          <w:rFonts w:eastAsia="Times New Roman" w:cstheme="minorHAnsi"/>
          <w:sz w:val="24"/>
          <w:szCs w:val="24"/>
          <w:lang w:eastAsia="en-GB"/>
        </w:rPr>
      </w:pPr>
    </w:p>
    <w:p w:rsidR="00510940" w:rsidRPr="009B3747" w:rsidRDefault="00510940" w:rsidP="00C27072">
      <w:pPr>
        <w:numPr>
          <w:ilvl w:val="0"/>
          <w:numId w:val="37"/>
        </w:numPr>
        <w:textAlignment w:val="baseline"/>
        <w:rPr>
          <w:rFonts w:eastAsia="Times New Roman" w:cstheme="minorHAnsi"/>
          <w:color w:val="000000"/>
          <w:lang w:eastAsia="en-GB"/>
        </w:rPr>
      </w:pPr>
      <w:r w:rsidRPr="009B3747">
        <w:rPr>
          <w:rFonts w:eastAsia="Times New Roman" w:cstheme="minorHAnsi"/>
          <w:color w:val="000000"/>
          <w:lang w:eastAsia="en-GB"/>
        </w:rPr>
        <w:t>Research should be worthwhile and should not make unreasonable demands on participants</w:t>
      </w:r>
    </w:p>
    <w:p w:rsidR="00510940" w:rsidRPr="009B3747" w:rsidRDefault="00510940" w:rsidP="00C27072">
      <w:pPr>
        <w:numPr>
          <w:ilvl w:val="0"/>
          <w:numId w:val="37"/>
        </w:numPr>
        <w:textAlignment w:val="baseline"/>
        <w:rPr>
          <w:rFonts w:eastAsia="Times New Roman" w:cstheme="minorHAnsi"/>
          <w:color w:val="000000"/>
          <w:lang w:eastAsia="en-GB"/>
        </w:rPr>
      </w:pPr>
      <w:r w:rsidRPr="009B3747">
        <w:rPr>
          <w:rFonts w:eastAsia="Times New Roman" w:cstheme="minorHAnsi"/>
          <w:color w:val="000000"/>
          <w:lang w:eastAsia="en-GB"/>
        </w:rPr>
        <w:t>Participation in research should be based on informed consent</w:t>
      </w:r>
    </w:p>
    <w:p w:rsidR="00510940" w:rsidRPr="009B3747" w:rsidRDefault="00510940" w:rsidP="00C27072">
      <w:pPr>
        <w:numPr>
          <w:ilvl w:val="0"/>
          <w:numId w:val="37"/>
        </w:numPr>
        <w:textAlignment w:val="baseline"/>
        <w:rPr>
          <w:rFonts w:eastAsia="Times New Roman" w:cstheme="minorHAnsi"/>
          <w:color w:val="000000"/>
          <w:lang w:eastAsia="en-GB"/>
        </w:rPr>
      </w:pPr>
      <w:r w:rsidRPr="009B3747">
        <w:rPr>
          <w:rFonts w:eastAsia="Times New Roman" w:cstheme="minorHAnsi"/>
          <w:color w:val="000000"/>
          <w:lang w:eastAsia="en-GB"/>
        </w:rPr>
        <w:t>Participation should be voluntary and free from coercion or pressure</w:t>
      </w:r>
    </w:p>
    <w:p w:rsidR="00510940" w:rsidRPr="009B3747" w:rsidRDefault="00510940" w:rsidP="00C27072">
      <w:pPr>
        <w:numPr>
          <w:ilvl w:val="0"/>
          <w:numId w:val="37"/>
        </w:numPr>
        <w:textAlignment w:val="baseline"/>
        <w:rPr>
          <w:rFonts w:eastAsia="Times New Roman" w:cstheme="minorHAnsi"/>
          <w:color w:val="000000"/>
          <w:lang w:eastAsia="en-GB"/>
        </w:rPr>
      </w:pPr>
      <w:r w:rsidRPr="009B3747">
        <w:rPr>
          <w:rFonts w:eastAsia="Times New Roman" w:cstheme="minorHAnsi"/>
          <w:color w:val="000000"/>
          <w:lang w:eastAsia="en-GB"/>
        </w:rPr>
        <w:t>Adverse consequences of participation should be avoided and risks of harm known</w:t>
      </w:r>
    </w:p>
    <w:p w:rsidR="00510940" w:rsidRPr="009B3747" w:rsidRDefault="00510940" w:rsidP="00C27072">
      <w:pPr>
        <w:numPr>
          <w:ilvl w:val="0"/>
          <w:numId w:val="37"/>
        </w:numPr>
        <w:textAlignment w:val="baseline"/>
        <w:rPr>
          <w:rFonts w:eastAsia="Times New Roman" w:cstheme="minorHAnsi"/>
          <w:color w:val="000000"/>
          <w:lang w:eastAsia="en-GB"/>
        </w:rPr>
      </w:pPr>
      <w:r w:rsidRPr="009B3747">
        <w:rPr>
          <w:rFonts w:eastAsia="Times New Roman" w:cstheme="minorHAnsi"/>
          <w:color w:val="000000"/>
          <w:lang w:eastAsia="en-GB"/>
        </w:rPr>
        <w:t>Confidentiality and anonymity should be respected</w:t>
      </w:r>
    </w:p>
    <w:p w:rsidR="00510940" w:rsidRPr="009B3747" w:rsidRDefault="00510940" w:rsidP="00510940">
      <w:pPr>
        <w:ind w:left="6480"/>
        <w:rPr>
          <w:rFonts w:eastAsia="Times New Roman" w:cstheme="minorHAnsi"/>
          <w:sz w:val="24"/>
          <w:szCs w:val="24"/>
          <w:lang w:eastAsia="en-GB"/>
        </w:rPr>
      </w:pPr>
      <w:r w:rsidRPr="009B3747">
        <w:rPr>
          <w:rFonts w:eastAsia="Times New Roman" w:cstheme="minorHAnsi"/>
          <w:color w:val="000000"/>
          <w:lang w:eastAsia="en-GB"/>
        </w:rPr>
        <w:t>(Ritchie et al, 2014, p</w:t>
      </w:r>
      <w:r w:rsidR="00E3179E" w:rsidRPr="009B3747">
        <w:rPr>
          <w:rFonts w:eastAsia="Times New Roman" w:cstheme="minorHAnsi"/>
          <w:color w:val="000000"/>
          <w:lang w:eastAsia="en-GB"/>
        </w:rPr>
        <w:t>.</w:t>
      </w:r>
      <w:r w:rsidRPr="009B3747">
        <w:rPr>
          <w:rFonts w:eastAsia="Times New Roman" w:cstheme="minorHAnsi"/>
          <w:color w:val="000000"/>
          <w:lang w:eastAsia="en-GB"/>
        </w:rPr>
        <w:t>78)</w:t>
      </w:r>
    </w:p>
    <w:p w:rsidR="006F36A0" w:rsidRPr="009B3747" w:rsidRDefault="006F36A0" w:rsidP="00510940">
      <w:pPr>
        <w:rPr>
          <w:rFonts w:eastAsia="Times New Roman" w:cstheme="minorHAnsi"/>
          <w:color w:val="000000"/>
          <w:lang w:eastAsia="en-GB"/>
        </w:rPr>
      </w:pP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t xml:space="preserve">In addition to featuring in an extensive range of research texts, these key principles also feature throughout The University of Sheffield’s ‘Ethics Policy Governing Research Involving Human </w:t>
      </w:r>
      <w:r w:rsidRPr="009B3747">
        <w:rPr>
          <w:rFonts w:eastAsia="Times New Roman" w:cstheme="minorHAnsi"/>
          <w:color w:val="000000"/>
          <w:lang w:eastAsia="en-GB"/>
        </w:rPr>
        <w:lastRenderedPageBreak/>
        <w:t xml:space="preserve">Participants, Personal Data and Human Tissue: Version 6’.  As a researcher at The University of Sheffield, this policy guided the researchers approach and conduct throughout both phases of the study, ensuring both samples in the qualitative and quantitative phases had their rights protected.  Furthermore, to support this process the study received ethical approval from the ScHARR Research Ethics Committee (SREC) in December 2015 </w:t>
      </w:r>
      <w:r w:rsidR="00CF0D9C" w:rsidRPr="009B3747">
        <w:rPr>
          <w:rFonts w:eastAsia="Times New Roman" w:cstheme="minorHAnsi"/>
          <w:color w:val="000000"/>
          <w:lang w:eastAsia="en-GB"/>
        </w:rPr>
        <w:t>(</w:t>
      </w:r>
      <w:r w:rsidR="003F4A2E" w:rsidRPr="009B3747">
        <w:rPr>
          <w:rFonts w:eastAsia="Times New Roman" w:cstheme="minorHAnsi"/>
          <w:color w:val="000000"/>
          <w:lang w:eastAsia="en-GB"/>
        </w:rPr>
        <w:t xml:space="preserve">reference number </w:t>
      </w:r>
      <w:r w:rsidR="00CF0D9C" w:rsidRPr="009B3747">
        <w:rPr>
          <w:rFonts w:eastAsia="Times New Roman" w:cstheme="minorHAnsi"/>
          <w:color w:val="000000"/>
          <w:lang w:eastAsia="en-GB"/>
        </w:rPr>
        <w:t xml:space="preserve">006808 - </w:t>
      </w:r>
      <w:r w:rsidR="003F4A2E" w:rsidRPr="009B3747">
        <w:rPr>
          <w:rFonts w:eastAsia="Times New Roman" w:cstheme="minorHAnsi"/>
          <w:color w:val="000000"/>
          <w:lang w:eastAsia="en-GB"/>
        </w:rPr>
        <w:t>Appendix H</w:t>
      </w:r>
      <w:r w:rsidRPr="009B3747">
        <w:rPr>
          <w:rFonts w:eastAsia="Times New Roman" w:cstheme="minorHAnsi"/>
          <w:color w:val="000000"/>
          <w:lang w:eastAsia="en-GB"/>
        </w:rPr>
        <w:t xml:space="preserve">).  Given that the exact methodology and data collection tool for the quantitative phase couldn’t be developed until the qualitative phase was completed (i.e. due to the exploratory sequential design), it was agreed by the SREC that the researcher would submit an ethics amendment prior to the commencement of the second phase.  This was undertaken </w:t>
      </w:r>
      <w:r w:rsidR="00FA7E10" w:rsidRPr="009B3747">
        <w:rPr>
          <w:rFonts w:eastAsia="Times New Roman" w:cstheme="minorHAnsi"/>
          <w:color w:val="000000"/>
          <w:lang w:eastAsia="en-GB"/>
        </w:rPr>
        <w:t>and the amendment was approved by the committee in</w:t>
      </w:r>
      <w:r w:rsidRPr="009B3747">
        <w:rPr>
          <w:rFonts w:eastAsia="Times New Roman" w:cstheme="minorHAnsi"/>
          <w:color w:val="000000"/>
          <w:lang w:eastAsia="en-GB"/>
        </w:rPr>
        <w:t xml:space="preserve"> </w:t>
      </w:r>
      <w:r w:rsidR="00FA7E10" w:rsidRPr="009B3747">
        <w:rPr>
          <w:rFonts w:eastAsia="Times New Roman" w:cstheme="minorHAnsi"/>
          <w:color w:val="000000"/>
          <w:lang w:eastAsia="en-GB"/>
        </w:rPr>
        <w:t xml:space="preserve">November 2016 (reference </w:t>
      </w:r>
      <w:r w:rsidR="003F4A2E" w:rsidRPr="009B3747">
        <w:rPr>
          <w:rFonts w:eastAsia="Times New Roman" w:cstheme="minorHAnsi"/>
          <w:color w:val="000000"/>
          <w:lang w:eastAsia="en-GB"/>
        </w:rPr>
        <w:t>number</w:t>
      </w:r>
      <w:r w:rsidR="00FA7E10" w:rsidRPr="009B3747">
        <w:rPr>
          <w:rFonts w:eastAsia="Times New Roman" w:cstheme="minorHAnsi"/>
          <w:color w:val="000000"/>
          <w:lang w:eastAsia="en-GB"/>
        </w:rPr>
        <w:t xml:space="preserve"> 006808).  </w:t>
      </w:r>
      <w:r w:rsidRPr="009B3747">
        <w:rPr>
          <w:rFonts w:eastAsia="Times New Roman" w:cstheme="minorHAnsi"/>
          <w:color w:val="000000"/>
          <w:lang w:eastAsia="en-GB"/>
        </w:rPr>
        <w:t xml:space="preserve">   </w:t>
      </w:r>
    </w:p>
    <w:p w:rsidR="00510940" w:rsidRPr="009B3747" w:rsidRDefault="00510940" w:rsidP="0051094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510940">
      <w:pPr>
        <w:rPr>
          <w:rFonts w:eastAsia="Times New Roman" w:cstheme="minorHAnsi"/>
          <w:sz w:val="24"/>
          <w:szCs w:val="24"/>
          <w:lang w:eastAsia="en-GB"/>
        </w:rPr>
      </w:pPr>
      <w:r w:rsidRPr="009B3747">
        <w:rPr>
          <w:rFonts w:eastAsia="Times New Roman" w:cstheme="minorHAnsi"/>
          <w:color w:val="000000"/>
          <w:lang w:eastAsia="en-GB"/>
        </w:rPr>
        <w:t>Based on the key ethical principles identified b</w:t>
      </w:r>
      <w:r w:rsidR="00CF0D9C" w:rsidRPr="009B3747">
        <w:rPr>
          <w:rFonts w:eastAsia="Times New Roman" w:cstheme="minorHAnsi"/>
          <w:color w:val="000000"/>
          <w:lang w:eastAsia="en-GB"/>
        </w:rPr>
        <w:t>y Ritchie et al</w:t>
      </w:r>
      <w:r w:rsidR="003F4A2E" w:rsidRPr="009B3747">
        <w:rPr>
          <w:rFonts w:eastAsia="Times New Roman" w:cstheme="minorHAnsi"/>
          <w:color w:val="000000"/>
          <w:lang w:eastAsia="en-GB"/>
        </w:rPr>
        <w:t>.,</w:t>
      </w:r>
      <w:r w:rsidR="00CF0D9C" w:rsidRPr="009B3747">
        <w:rPr>
          <w:rFonts w:eastAsia="Times New Roman" w:cstheme="minorHAnsi"/>
          <w:color w:val="000000"/>
          <w:lang w:eastAsia="en-GB"/>
        </w:rPr>
        <w:t xml:space="preserve"> (2014), table 5.1</w:t>
      </w:r>
      <w:r w:rsidR="0043140D"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presents how each were addressed during the qualitative phase.  As </w:t>
      </w:r>
      <w:r w:rsidR="00990EFD" w:rsidRPr="009B3747">
        <w:rPr>
          <w:rFonts w:eastAsia="Times New Roman" w:cstheme="minorHAnsi"/>
          <w:color w:val="000000"/>
          <w:lang w:eastAsia="en-GB"/>
        </w:rPr>
        <w:t>previously mentioned, chapter seven</w:t>
      </w:r>
      <w:r w:rsidRPr="009B3747">
        <w:rPr>
          <w:rFonts w:eastAsia="Times New Roman" w:cstheme="minorHAnsi"/>
          <w:color w:val="000000"/>
          <w:lang w:eastAsia="en-GB"/>
        </w:rPr>
        <w:t>, details how the same ethical principles were addressed during the quantitative phase.   </w:t>
      </w:r>
    </w:p>
    <w:p w:rsidR="00FA7E10" w:rsidRPr="009B3747" w:rsidRDefault="00510940" w:rsidP="00FA7E10">
      <w:pPr>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CF0D9C" w:rsidP="00FA7E10">
      <w:pPr>
        <w:rPr>
          <w:rFonts w:eastAsia="Times New Roman" w:cstheme="minorHAnsi"/>
          <w:bCs/>
          <w:color w:val="000000"/>
          <w:u w:val="single"/>
          <w:lang w:eastAsia="en-GB"/>
        </w:rPr>
      </w:pPr>
      <w:r w:rsidRPr="009B3747">
        <w:rPr>
          <w:rFonts w:eastAsia="Times New Roman" w:cstheme="minorHAnsi"/>
          <w:bCs/>
          <w:color w:val="000000"/>
          <w:u w:val="single"/>
          <w:lang w:eastAsia="en-GB"/>
        </w:rPr>
        <w:t>Table 5.1</w:t>
      </w:r>
      <w:r w:rsidR="00510940" w:rsidRPr="009B3747">
        <w:rPr>
          <w:rFonts w:eastAsia="Times New Roman" w:cstheme="minorHAnsi"/>
          <w:bCs/>
          <w:color w:val="000000"/>
          <w:u w:val="single"/>
          <w:lang w:eastAsia="en-GB"/>
        </w:rPr>
        <w:t xml:space="preserve"> - Ethical Principles and how these were addressed in qualitative phase of study</w:t>
      </w:r>
    </w:p>
    <w:tbl>
      <w:tblPr>
        <w:tblW w:w="0" w:type="auto"/>
        <w:tblCellMar>
          <w:top w:w="15" w:type="dxa"/>
          <w:left w:w="15" w:type="dxa"/>
          <w:bottom w:w="15" w:type="dxa"/>
          <w:right w:w="15" w:type="dxa"/>
        </w:tblCellMar>
        <w:tblLook w:val="04A0" w:firstRow="1" w:lastRow="0" w:firstColumn="1" w:lastColumn="0" w:noHBand="0" w:noVBand="1"/>
      </w:tblPr>
      <w:tblGrid>
        <w:gridCol w:w="2258"/>
        <w:gridCol w:w="6748"/>
      </w:tblGrid>
      <w:tr w:rsidR="00510940" w:rsidRPr="009B3747" w:rsidTr="006D039B">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0940" w:rsidRPr="009B3747" w:rsidRDefault="00510940" w:rsidP="00827CCD">
            <w:pPr>
              <w:spacing w:line="276" w:lineRule="auto"/>
              <w:rPr>
                <w:rFonts w:eastAsia="Times New Roman" w:cstheme="minorHAnsi"/>
                <w:sz w:val="24"/>
                <w:szCs w:val="24"/>
                <w:lang w:eastAsia="en-GB"/>
              </w:rPr>
            </w:pPr>
            <w:r w:rsidRPr="009B3747">
              <w:rPr>
                <w:rFonts w:eastAsia="Times New Roman" w:cstheme="minorHAnsi"/>
                <w:color w:val="000000"/>
                <w:lang w:eastAsia="en-GB"/>
              </w:rPr>
              <w:t>Research should be worthwhile and should not make unreasonable demands on participants</w:t>
            </w:r>
          </w:p>
        </w:tc>
        <w:tc>
          <w:tcPr>
            <w:tcW w:w="6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0940" w:rsidRPr="009B3747" w:rsidRDefault="00510940" w:rsidP="00827CCD">
            <w:pPr>
              <w:spacing w:line="276" w:lineRule="auto"/>
              <w:rPr>
                <w:rFonts w:eastAsia="Times New Roman" w:cstheme="minorHAnsi"/>
                <w:sz w:val="24"/>
                <w:szCs w:val="24"/>
                <w:lang w:eastAsia="en-GB"/>
              </w:rPr>
            </w:pPr>
            <w:r w:rsidRPr="009B3747">
              <w:rPr>
                <w:rFonts w:eastAsia="Times New Roman" w:cstheme="minorHAnsi"/>
                <w:color w:val="000000"/>
                <w:lang w:eastAsia="en-GB"/>
              </w:rPr>
              <w:t>It was established during the process of confirmation review (PhD upgrade) and obtaining ethics approval that the research was worthwhile and of some value given its potential for contributing to a valuable evidence base.      </w:t>
            </w:r>
          </w:p>
          <w:p w:rsidR="00510940" w:rsidRPr="009B3747" w:rsidRDefault="00510940" w:rsidP="00827CCD">
            <w:pPr>
              <w:spacing w:line="276" w:lineRule="auto"/>
              <w:rPr>
                <w:rFonts w:eastAsia="Times New Roman" w:cstheme="minorHAnsi"/>
                <w:sz w:val="24"/>
                <w:szCs w:val="24"/>
                <w:lang w:eastAsia="en-GB"/>
              </w:rPr>
            </w:pPr>
            <w:r w:rsidRPr="009B3747">
              <w:rPr>
                <w:rFonts w:eastAsia="Times New Roman" w:cstheme="minorHAnsi"/>
                <w:sz w:val="24"/>
                <w:szCs w:val="24"/>
                <w:lang w:eastAsia="en-GB"/>
              </w:rPr>
              <w:t> </w:t>
            </w:r>
          </w:p>
          <w:p w:rsidR="00CF0D9C" w:rsidRPr="009B3747" w:rsidRDefault="00510940" w:rsidP="00827CCD">
            <w:pPr>
              <w:spacing w:line="276" w:lineRule="auto"/>
              <w:rPr>
                <w:rFonts w:eastAsia="Times New Roman" w:cstheme="minorHAnsi"/>
                <w:color w:val="000000"/>
                <w:lang w:eastAsia="en-GB"/>
              </w:rPr>
            </w:pPr>
            <w:r w:rsidRPr="009B3747">
              <w:rPr>
                <w:rFonts w:eastAsia="Times New Roman" w:cstheme="minorHAnsi"/>
                <w:color w:val="000000"/>
                <w:lang w:eastAsia="en-GB"/>
              </w:rPr>
              <w:t>In addition, during the process of ethical approval it was confirmed that the qualitative phase and proposed methodology did not make unreasonable demands on participants.  Despite this, it was important for the researcher to recognise the considerable time commitment of participating in face to face interviews and consequently ensure minimal demands were placed on their time.  </w:t>
            </w:r>
          </w:p>
          <w:p w:rsidR="00CF0D9C" w:rsidRPr="009B3747" w:rsidRDefault="00CF0D9C" w:rsidP="00827CCD">
            <w:pPr>
              <w:spacing w:line="276" w:lineRule="auto"/>
              <w:rPr>
                <w:rFonts w:eastAsia="Times New Roman" w:cstheme="minorHAnsi"/>
                <w:color w:val="000000"/>
                <w:lang w:eastAsia="en-GB"/>
              </w:rPr>
            </w:pPr>
          </w:p>
          <w:p w:rsidR="00510940" w:rsidRPr="009B3747" w:rsidRDefault="00510940" w:rsidP="00827CCD">
            <w:pPr>
              <w:spacing w:line="276" w:lineRule="auto"/>
              <w:rPr>
                <w:rFonts w:eastAsia="Times New Roman" w:cstheme="minorHAnsi"/>
                <w:sz w:val="24"/>
                <w:szCs w:val="24"/>
                <w:lang w:eastAsia="en-GB"/>
              </w:rPr>
            </w:pPr>
            <w:r w:rsidRPr="009B3747">
              <w:rPr>
                <w:rFonts w:eastAsia="Times New Roman" w:cstheme="minorHAnsi"/>
                <w:color w:val="000000"/>
                <w:lang w:eastAsia="en-GB"/>
              </w:rPr>
              <w:t>Interviews were therefore conducted at the participants chosen location and at a date and time convenient to each.  It was also deemed important to recognise their investment of time, so after the completion of each interview, a personalised email was sent to participants thanking them for their contribution.</w:t>
            </w:r>
          </w:p>
        </w:tc>
      </w:tr>
      <w:tr w:rsidR="00510940" w:rsidRPr="009B3747" w:rsidTr="006D039B">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0940" w:rsidRPr="009B3747" w:rsidRDefault="00510940" w:rsidP="00827CCD">
            <w:pPr>
              <w:spacing w:line="276" w:lineRule="auto"/>
              <w:rPr>
                <w:rFonts w:eastAsia="Times New Roman" w:cstheme="minorHAnsi"/>
                <w:sz w:val="24"/>
                <w:szCs w:val="24"/>
                <w:lang w:eastAsia="en-GB"/>
              </w:rPr>
            </w:pPr>
            <w:r w:rsidRPr="009B3747">
              <w:rPr>
                <w:rFonts w:eastAsia="Times New Roman" w:cstheme="minorHAnsi"/>
                <w:color w:val="000000"/>
                <w:lang w:eastAsia="en-GB"/>
              </w:rPr>
              <w:t>Participation in research should be based on informed consent</w:t>
            </w:r>
          </w:p>
        </w:tc>
        <w:tc>
          <w:tcPr>
            <w:tcW w:w="6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0940" w:rsidRPr="009B3747" w:rsidRDefault="00510940" w:rsidP="00827CCD">
            <w:pPr>
              <w:spacing w:line="276" w:lineRule="auto"/>
              <w:rPr>
                <w:rFonts w:eastAsia="Times New Roman" w:cstheme="minorHAnsi"/>
                <w:sz w:val="24"/>
                <w:szCs w:val="24"/>
                <w:lang w:eastAsia="en-GB"/>
              </w:rPr>
            </w:pPr>
            <w:r w:rsidRPr="009B3747">
              <w:rPr>
                <w:rFonts w:eastAsia="Times New Roman" w:cstheme="minorHAnsi"/>
                <w:color w:val="000000"/>
                <w:lang w:eastAsia="en-GB"/>
              </w:rPr>
              <w:t xml:space="preserve">Adopting best practice (Bowling, 2014; Bryman, 2016), all participants were fully informed and consented about the research process both prior to, during and after data collection.  At the point of recruitment and therefore in advance of data collection, each participant was </w:t>
            </w:r>
            <w:r w:rsidRPr="009B3747">
              <w:rPr>
                <w:rFonts w:eastAsia="Times New Roman" w:cstheme="minorHAnsi"/>
                <w:color w:val="000000"/>
                <w:lang w:eastAsia="en-GB"/>
              </w:rPr>
              <w:lastRenderedPageBreak/>
              <w:t>provided with a Participant Information Sheet a</w:t>
            </w:r>
            <w:r w:rsidR="00CF0D9C" w:rsidRPr="009B3747">
              <w:rPr>
                <w:rFonts w:eastAsia="Times New Roman" w:cstheme="minorHAnsi"/>
                <w:color w:val="000000"/>
                <w:lang w:eastAsia="en-GB"/>
              </w:rPr>
              <w:t>nd Consent Form (</w:t>
            </w:r>
            <w:r w:rsidR="00FA7E10" w:rsidRPr="009B3747">
              <w:rPr>
                <w:rFonts w:eastAsia="Times New Roman" w:cstheme="minorHAnsi"/>
                <w:color w:val="000000"/>
                <w:lang w:eastAsia="en-GB"/>
              </w:rPr>
              <w:t xml:space="preserve">Appendix </w:t>
            </w:r>
            <w:r w:rsidR="003F4A2E" w:rsidRPr="009B3747">
              <w:rPr>
                <w:rFonts w:eastAsia="Times New Roman" w:cstheme="minorHAnsi"/>
                <w:color w:val="000000"/>
                <w:lang w:eastAsia="en-GB"/>
              </w:rPr>
              <w:t>I</w:t>
            </w:r>
            <w:r w:rsidR="00503908" w:rsidRPr="009B3747">
              <w:rPr>
                <w:rFonts w:eastAsia="Times New Roman" w:cstheme="minorHAnsi"/>
                <w:color w:val="000000"/>
                <w:lang w:eastAsia="en-GB"/>
              </w:rPr>
              <w:t xml:space="preserve"> </w:t>
            </w:r>
            <w:r w:rsidR="0051772A" w:rsidRPr="009B3747">
              <w:rPr>
                <w:rFonts w:eastAsia="Times New Roman" w:cstheme="minorHAnsi"/>
                <w:color w:val="000000"/>
                <w:lang w:eastAsia="en-GB"/>
              </w:rPr>
              <w:t xml:space="preserve">and Appendix </w:t>
            </w:r>
            <w:r w:rsidR="003F4A2E" w:rsidRPr="009B3747">
              <w:rPr>
                <w:rFonts w:eastAsia="Times New Roman" w:cstheme="minorHAnsi"/>
                <w:color w:val="000000"/>
                <w:lang w:eastAsia="en-GB"/>
              </w:rPr>
              <w:t>J</w:t>
            </w:r>
            <w:r w:rsidRPr="009B3747">
              <w:rPr>
                <w:rFonts w:eastAsia="Times New Roman" w:cstheme="minorHAnsi"/>
                <w:color w:val="000000"/>
                <w:lang w:eastAsia="en-GB"/>
              </w:rPr>
              <w:t>).  </w:t>
            </w:r>
            <w:r w:rsidR="00CF0D9C" w:rsidRPr="009B3747">
              <w:rPr>
                <w:rFonts w:eastAsia="Times New Roman" w:cstheme="minorHAnsi"/>
                <w:color w:val="000000"/>
                <w:lang w:eastAsia="en-GB"/>
              </w:rPr>
              <w:t>The Information Sheet provided:</w:t>
            </w:r>
            <w:r w:rsidRPr="009B3747">
              <w:rPr>
                <w:rFonts w:eastAsia="Times New Roman" w:cstheme="minorHAnsi"/>
                <w:color w:val="000000"/>
                <w:lang w:eastAsia="en-GB"/>
              </w:rPr>
              <w:t xml:space="preserve"> </w:t>
            </w:r>
          </w:p>
          <w:p w:rsidR="00510940" w:rsidRPr="009B3747" w:rsidRDefault="00510940" w:rsidP="00827CCD">
            <w:pPr>
              <w:spacing w:line="276" w:lineRule="auto"/>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C27072">
            <w:pPr>
              <w:numPr>
                <w:ilvl w:val="0"/>
                <w:numId w:val="38"/>
              </w:numPr>
              <w:spacing w:line="276" w:lineRule="auto"/>
              <w:textAlignment w:val="baseline"/>
              <w:rPr>
                <w:rFonts w:eastAsia="Times New Roman" w:cstheme="minorHAnsi"/>
                <w:color w:val="000000"/>
                <w:lang w:eastAsia="en-GB"/>
              </w:rPr>
            </w:pPr>
            <w:r w:rsidRPr="009B3747">
              <w:rPr>
                <w:rFonts w:eastAsia="Times New Roman" w:cstheme="minorHAnsi"/>
                <w:color w:val="000000"/>
                <w:lang w:eastAsia="en-GB"/>
              </w:rPr>
              <w:t>A comprehensive overview of the proposed research</w:t>
            </w:r>
          </w:p>
          <w:p w:rsidR="00510940" w:rsidRPr="009B3747" w:rsidRDefault="00510940" w:rsidP="00C27072">
            <w:pPr>
              <w:numPr>
                <w:ilvl w:val="0"/>
                <w:numId w:val="38"/>
              </w:numPr>
              <w:spacing w:line="276" w:lineRule="auto"/>
              <w:textAlignment w:val="baseline"/>
              <w:rPr>
                <w:rFonts w:eastAsia="Times New Roman" w:cstheme="minorHAnsi"/>
                <w:color w:val="000000"/>
                <w:lang w:eastAsia="en-GB"/>
              </w:rPr>
            </w:pPr>
            <w:r w:rsidRPr="009B3747">
              <w:rPr>
                <w:rFonts w:eastAsia="Times New Roman" w:cstheme="minorHAnsi"/>
                <w:color w:val="000000"/>
                <w:lang w:eastAsia="en-GB"/>
              </w:rPr>
              <w:t xml:space="preserve">An outline of the participants expected role including details about potential risks and benefits of participation </w:t>
            </w:r>
          </w:p>
          <w:p w:rsidR="00510940" w:rsidRPr="009B3747" w:rsidRDefault="00510940" w:rsidP="00C27072">
            <w:pPr>
              <w:numPr>
                <w:ilvl w:val="0"/>
                <w:numId w:val="38"/>
              </w:numPr>
              <w:spacing w:line="276" w:lineRule="auto"/>
              <w:textAlignment w:val="baseline"/>
              <w:rPr>
                <w:rFonts w:eastAsia="Times New Roman" w:cstheme="minorHAnsi"/>
                <w:color w:val="000000"/>
                <w:lang w:eastAsia="en-GB"/>
              </w:rPr>
            </w:pPr>
            <w:r w:rsidRPr="009B3747">
              <w:rPr>
                <w:rFonts w:eastAsia="Times New Roman" w:cstheme="minorHAnsi"/>
                <w:color w:val="000000"/>
                <w:lang w:eastAsia="en-GB"/>
              </w:rPr>
              <w:t>An explanation about voluntary participation and the right to withdraw at any point, without consequence</w:t>
            </w:r>
          </w:p>
          <w:p w:rsidR="00510940" w:rsidRPr="009B3747" w:rsidRDefault="00510940" w:rsidP="00C27072">
            <w:pPr>
              <w:numPr>
                <w:ilvl w:val="0"/>
                <w:numId w:val="38"/>
              </w:numPr>
              <w:spacing w:line="276" w:lineRule="auto"/>
              <w:textAlignment w:val="baseline"/>
              <w:rPr>
                <w:rFonts w:eastAsia="Times New Roman" w:cstheme="minorHAnsi"/>
                <w:color w:val="000000"/>
                <w:lang w:eastAsia="en-GB"/>
              </w:rPr>
            </w:pPr>
            <w:r w:rsidRPr="009B3747">
              <w:rPr>
                <w:rFonts w:eastAsia="Times New Roman" w:cstheme="minorHAnsi"/>
                <w:color w:val="000000"/>
                <w:lang w:eastAsia="en-GB"/>
              </w:rPr>
              <w:t xml:space="preserve">The data management procedures </w:t>
            </w:r>
          </w:p>
          <w:p w:rsidR="00510940" w:rsidRPr="009B3747" w:rsidRDefault="00510940" w:rsidP="00C27072">
            <w:pPr>
              <w:numPr>
                <w:ilvl w:val="0"/>
                <w:numId w:val="38"/>
              </w:numPr>
              <w:spacing w:line="276" w:lineRule="auto"/>
              <w:textAlignment w:val="baseline"/>
              <w:rPr>
                <w:rFonts w:eastAsia="Times New Roman" w:cstheme="minorHAnsi"/>
                <w:color w:val="000000"/>
                <w:lang w:eastAsia="en-GB"/>
              </w:rPr>
            </w:pPr>
            <w:r w:rsidRPr="009B3747">
              <w:rPr>
                <w:rFonts w:eastAsia="Times New Roman" w:cstheme="minorHAnsi"/>
                <w:color w:val="000000"/>
                <w:lang w:eastAsia="en-GB"/>
              </w:rPr>
              <w:t>The researchers and academic supervisor's contact information and information about complaint procedures</w:t>
            </w:r>
          </w:p>
          <w:p w:rsidR="00510940" w:rsidRPr="009B3747" w:rsidRDefault="00510940" w:rsidP="00827CCD">
            <w:pPr>
              <w:spacing w:line="276" w:lineRule="auto"/>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827CCD">
            <w:pPr>
              <w:spacing w:line="276" w:lineRule="auto"/>
              <w:rPr>
                <w:rFonts w:eastAsia="Times New Roman" w:cstheme="minorHAnsi"/>
                <w:sz w:val="24"/>
                <w:szCs w:val="24"/>
                <w:lang w:eastAsia="en-GB"/>
              </w:rPr>
            </w:pPr>
            <w:r w:rsidRPr="009B3747">
              <w:rPr>
                <w:rFonts w:eastAsia="Times New Roman" w:cstheme="minorHAnsi"/>
                <w:color w:val="000000"/>
                <w:lang w:eastAsia="en-GB"/>
              </w:rPr>
              <w:t>Prior to each interview commencing participants were given the opportunity to query details within the Information Sheet or pose any questions about their participation in the research.  Once confirmation of willingness to participate was established, the researcher asked for the consent form to be signed.  The researcher obtained both verbal and written consent (in the consent form) for the use of audio recording.  No participant objected to the use of audio recording or withdrew his/her consent to participate.  Once the data had been collected, the follow-up emailing thanking each participant for their contribution also included an assurance that if any further queries arose then the researcher could be contacted.</w:t>
            </w:r>
          </w:p>
        </w:tc>
      </w:tr>
      <w:tr w:rsidR="00510940" w:rsidRPr="009B3747" w:rsidTr="006D039B">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0940" w:rsidRPr="009B3747" w:rsidRDefault="00510940" w:rsidP="00827CCD">
            <w:pPr>
              <w:spacing w:line="276" w:lineRule="auto"/>
              <w:rPr>
                <w:rFonts w:eastAsia="Times New Roman" w:cstheme="minorHAnsi"/>
                <w:sz w:val="24"/>
                <w:szCs w:val="24"/>
                <w:lang w:eastAsia="en-GB"/>
              </w:rPr>
            </w:pPr>
            <w:r w:rsidRPr="009B3747">
              <w:rPr>
                <w:rFonts w:eastAsia="Times New Roman" w:cstheme="minorHAnsi"/>
                <w:color w:val="000000"/>
                <w:lang w:eastAsia="en-GB"/>
              </w:rPr>
              <w:lastRenderedPageBreak/>
              <w:t>Participation should be voluntary and free from coercion or pressure</w:t>
            </w:r>
          </w:p>
        </w:tc>
        <w:tc>
          <w:tcPr>
            <w:tcW w:w="6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0940" w:rsidRPr="009B3747" w:rsidRDefault="00510940" w:rsidP="00827CCD">
            <w:pPr>
              <w:spacing w:line="276" w:lineRule="auto"/>
              <w:rPr>
                <w:rFonts w:eastAsia="Times New Roman" w:cstheme="minorHAnsi"/>
                <w:sz w:val="24"/>
                <w:szCs w:val="24"/>
                <w:lang w:eastAsia="en-GB"/>
              </w:rPr>
            </w:pPr>
            <w:r w:rsidRPr="009B3747">
              <w:rPr>
                <w:rFonts w:eastAsia="Times New Roman" w:cstheme="minorHAnsi"/>
                <w:color w:val="000000"/>
                <w:lang w:eastAsia="en-GB"/>
              </w:rPr>
              <w:t>Regular opportunities were made available pre, during and post data collection for participants to withdraw their agreement to take part without penalty or consequence.  Furthermore both the information sheet and consent form explicitly detailed that participation was on an entirely voluntary basis and consent could be retracted at any point.  This approach hereby aimed to respect the fact that consent is dynamic in nature and a continual and evolving proce</w:t>
            </w:r>
            <w:r w:rsidR="00990EFD" w:rsidRPr="009B3747">
              <w:rPr>
                <w:rFonts w:eastAsia="Times New Roman" w:cstheme="minorHAnsi"/>
                <w:color w:val="000000"/>
                <w:lang w:eastAsia="en-GB"/>
              </w:rPr>
              <w:t xml:space="preserve">ss rather than a single action </w:t>
            </w:r>
            <w:r w:rsidRPr="009B3747">
              <w:rPr>
                <w:rFonts w:eastAsia="Times New Roman" w:cstheme="minorHAnsi"/>
                <w:color w:val="000000"/>
                <w:lang w:eastAsia="en-GB"/>
              </w:rPr>
              <w:t>(Pope and Mays, 2006).  </w:t>
            </w:r>
          </w:p>
          <w:p w:rsidR="00510940" w:rsidRPr="009B3747" w:rsidRDefault="00510940" w:rsidP="00827CCD">
            <w:pPr>
              <w:spacing w:line="276" w:lineRule="auto"/>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827CCD">
            <w:pPr>
              <w:spacing w:line="276" w:lineRule="auto"/>
              <w:rPr>
                <w:rFonts w:eastAsia="Times New Roman" w:cstheme="minorHAnsi"/>
                <w:sz w:val="24"/>
                <w:szCs w:val="24"/>
                <w:lang w:eastAsia="en-GB"/>
              </w:rPr>
            </w:pPr>
            <w:r w:rsidRPr="009B3747">
              <w:rPr>
                <w:rFonts w:eastAsia="Times New Roman" w:cstheme="minorHAnsi"/>
                <w:color w:val="000000"/>
                <w:lang w:eastAsia="en-GB"/>
              </w:rPr>
              <w:t xml:space="preserve">No incentive was offered for participants to take part in the study.  In addition, whilst an explanation of the potential benefits of participation (related to the future impact of the research) were provided, in accordance with best practice (Ritchie et al, 2014), caution was used to not </w:t>
            </w:r>
            <w:r w:rsidR="00990EFD" w:rsidRPr="009B3747">
              <w:rPr>
                <w:rFonts w:eastAsia="Times New Roman" w:cstheme="minorHAnsi"/>
                <w:color w:val="000000"/>
                <w:lang w:eastAsia="en-GB"/>
              </w:rPr>
              <w:t>over claim</w:t>
            </w:r>
            <w:r w:rsidRPr="009B3747">
              <w:rPr>
                <w:rFonts w:eastAsia="Times New Roman" w:cstheme="minorHAnsi"/>
                <w:color w:val="000000"/>
                <w:lang w:eastAsia="en-GB"/>
              </w:rPr>
              <w:t xml:space="preserve"> the potential benefits and thereby indirectly pressure agreement to participate. </w:t>
            </w:r>
          </w:p>
        </w:tc>
      </w:tr>
      <w:tr w:rsidR="00510940" w:rsidRPr="009B3747" w:rsidTr="006D039B">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0940" w:rsidRPr="009B3747" w:rsidRDefault="00510940" w:rsidP="00827CCD">
            <w:pPr>
              <w:spacing w:line="276" w:lineRule="auto"/>
              <w:rPr>
                <w:rFonts w:eastAsia="Times New Roman" w:cstheme="minorHAnsi"/>
                <w:sz w:val="24"/>
                <w:szCs w:val="24"/>
                <w:lang w:eastAsia="en-GB"/>
              </w:rPr>
            </w:pPr>
            <w:r w:rsidRPr="009B3747">
              <w:rPr>
                <w:rFonts w:eastAsia="Times New Roman" w:cstheme="minorHAnsi"/>
                <w:color w:val="000000"/>
                <w:lang w:eastAsia="en-GB"/>
              </w:rPr>
              <w:t>Adverse consequences of participation should be avoided and risks of harm known</w:t>
            </w:r>
          </w:p>
        </w:tc>
        <w:tc>
          <w:tcPr>
            <w:tcW w:w="6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0940" w:rsidRDefault="00510940" w:rsidP="00827CCD">
            <w:pPr>
              <w:spacing w:line="276" w:lineRule="auto"/>
              <w:rPr>
                <w:rFonts w:eastAsia="Times New Roman" w:cstheme="minorHAnsi"/>
                <w:color w:val="000000"/>
                <w:lang w:eastAsia="en-GB"/>
              </w:rPr>
            </w:pPr>
            <w:r w:rsidRPr="009B3747">
              <w:rPr>
                <w:rFonts w:eastAsia="Times New Roman" w:cstheme="minorHAnsi"/>
                <w:color w:val="000000"/>
                <w:lang w:eastAsia="en-GB"/>
              </w:rPr>
              <w:t>Potential adverse consequences or risks were assessed and outlined within the ethics application to the ScHARR Ethics Committee.  It was anticipated that minimal (if any) harm would result from participation in the interviews.  The only potential</w:t>
            </w:r>
            <w:r w:rsidR="00CF0D9C" w:rsidRPr="009B3747">
              <w:rPr>
                <w:rFonts w:eastAsia="Times New Roman" w:cstheme="minorHAnsi"/>
                <w:color w:val="000000"/>
                <w:lang w:eastAsia="en-GB"/>
              </w:rPr>
              <w:t xml:space="preserve"> and minor issues proposed were:</w:t>
            </w:r>
            <w:r w:rsidRPr="009B3747">
              <w:rPr>
                <w:rFonts w:eastAsia="Times New Roman" w:cstheme="minorHAnsi"/>
                <w:color w:val="000000"/>
                <w:lang w:eastAsia="en-GB"/>
              </w:rPr>
              <w:t xml:space="preserve"> </w:t>
            </w:r>
          </w:p>
          <w:p w:rsidR="00154224" w:rsidRPr="009B3747" w:rsidRDefault="00154224" w:rsidP="00827CCD">
            <w:pPr>
              <w:spacing w:line="276" w:lineRule="auto"/>
              <w:rPr>
                <w:rFonts w:eastAsia="Times New Roman" w:cstheme="minorHAnsi"/>
                <w:sz w:val="24"/>
                <w:szCs w:val="24"/>
                <w:lang w:eastAsia="en-GB"/>
              </w:rPr>
            </w:pPr>
          </w:p>
          <w:p w:rsidR="00510940" w:rsidRPr="009B3747" w:rsidRDefault="00510940" w:rsidP="00C27072">
            <w:pPr>
              <w:numPr>
                <w:ilvl w:val="0"/>
                <w:numId w:val="39"/>
              </w:numPr>
              <w:spacing w:line="276" w:lineRule="auto"/>
              <w:textAlignment w:val="baseline"/>
              <w:rPr>
                <w:rFonts w:eastAsia="Times New Roman" w:cstheme="minorHAnsi"/>
                <w:color w:val="000000"/>
                <w:lang w:eastAsia="en-GB"/>
              </w:rPr>
            </w:pPr>
            <w:r w:rsidRPr="009B3747">
              <w:rPr>
                <w:rFonts w:eastAsia="Times New Roman" w:cstheme="minorHAnsi"/>
                <w:color w:val="000000"/>
                <w:lang w:eastAsia="en-GB"/>
              </w:rPr>
              <w:t>The time demands on participants to take part in the interview</w:t>
            </w:r>
          </w:p>
          <w:p w:rsidR="00510940" w:rsidRPr="009B3747" w:rsidRDefault="00510940" w:rsidP="00C27072">
            <w:pPr>
              <w:numPr>
                <w:ilvl w:val="0"/>
                <w:numId w:val="39"/>
              </w:numPr>
              <w:spacing w:line="276" w:lineRule="auto"/>
              <w:textAlignment w:val="baseline"/>
              <w:rPr>
                <w:rFonts w:eastAsia="Times New Roman" w:cstheme="minorHAnsi"/>
                <w:color w:val="000000"/>
                <w:lang w:eastAsia="en-GB"/>
              </w:rPr>
            </w:pPr>
            <w:r w:rsidRPr="009B3747">
              <w:rPr>
                <w:rFonts w:eastAsia="Times New Roman" w:cstheme="minorHAnsi"/>
                <w:color w:val="000000"/>
                <w:lang w:eastAsia="en-GB"/>
              </w:rPr>
              <w:t>Participants may feel uncomfortable about sharing or answering certain questions related to their views or experiences</w:t>
            </w:r>
          </w:p>
          <w:p w:rsidR="00510940" w:rsidRPr="009B3747" w:rsidRDefault="00510940" w:rsidP="00C27072">
            <w:pPr>
              <w:numPr>
                <w:ilvl w:val="0"/>
                <w:numId w:val="39"/>
              </w:numPr>
              <w:spacing w:line="276" w:lineRule="auto"/>
              <w:textAlignment w:val="baseline"/>
              <w:rPr>
                <w:rFonts w:eastAsia="Times New Roman" w:cstheme="minorHAnsi"/>
                <w:color w:val="000000"/>
                <w:lang w:eastAsia="en-GB"/>
              </w:rPr>
            </w:pPr>
            <w:r w:rsidRPr="009B3747">
              <w:rPr>
                <w:rFonts w:eastAsia="Times New Roman" w:cstheme="minorHAnsi"/>
                <w:color w:val="000000"/>
                <w:lang w:eastAsia="en-GB"/>
              </w:rPr>
              <w:t>Participants may feel concerned about the  use of personal information</w:t>
            </w:r>
            <w:r w:rsidR="007F3CF4">
              <w:rPr>
                <w:rFonts w:eastAsia="Times New Roman" w:cstheme="minorHAnsi"/>
                <w:color w:val="000000"/>
                <w:lang w:eastAsia="en-GB"/>
              </w:rPr>
              <w:t>,</w:t>
            </w:r>
            <w:r w:rsidRPr="009B3747">
              <w:rPr>
                <w:rFonts w:eastAsia="Times New Roman" w:cstheme="minorHAnsi"/>
                <w:color w:val="000000"/>
                <w:lang w:eastAsia="en-GB"/>
              </w:rPr>
              <w:t xml:space="preserve"> i.e. contact details, school information</w:t>
            </w:r>
          </w:p>
          <w:p w:rsidR="00510940" w:rsidRPr="009B3747" w:rsidRDefault="00510940" w:rsidP="00827CCD">
            <w:pPr>
              <w:spacing w:line="276" w:lineRule="auto"/>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827CCD">
            <w:pPr>
              <w:spacing w:line="276" w:lineRule="auto"/>
              <w:rPr>
                <w:rFonts w:eastAsia="Times New Roman" w:cstheme="minorHAnsi"/>
                <w:sz w:val="24"/>
                <w:szCs w:val="24"/>
                <w:lang w:eastAsia="en-GB"/>
              </w:rPr>
            </w:pPr>
            <w:r w:rsidRPr="009B3747">
              <w:rPr>
                <w:rFonts w:eastAsia="Times New Roman" w:cstheme="minorHAnsi"/>
                <w:color w:val="000000"/>
                <w:lang w:eastAsia="en-GB"/>
              </w:rPr>
              <w:t>To address these issues, as discussed previously interviews were arranged around participant schedules.  Secondly participants were assured that they were free to decline answering any question posed without penalty or consequence.  Lastly a detailed description both in the Information Sheet and verbally was provided to participants about the robust approach to managing data and ensuring confidentiality and anonymity (explained in latterly in the table).  </w:t>
            </w:r>
          </w:p>
        </w:tc>
      </w:tr>
      <w:tr w:rsidR="00510940" w:rsidRPr="009B3747" w:rsidTr="006D039B">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0940" w:rsidRPr="009B3747" w:rsidRDefault="00510940" w:rsidP="00827CCD">
            <w:pPr>
              <w:spacing w:line="276" w:lineRule="auto"/>
              <w:rPr>
                <w:rFonts w:eastAsia="Times New Roman" w:cstheme="minorHAnsi"/>
                <w:sz w:val="24"/>
                <w:szCs w:val="24"/>
                <w:lang w:eastAsia="en-GB"/>
              </w:rPr>
            </w:pPr>
            <w:r w:rsidRPr="009B3747">
              <w:rPr>
                <w:rFonts w:eastAsia="Times New Roman" w:cstheme="minorHAnsi"/>
                <w:color w:val="000000"/>
                <w:lang w:eastAsia="en-GB"/>
              </w:rPr>
              <w:lastRenderedPageBreak/>
              <w:t>Confidentiality and anonymity should be respected</w:t>
            </w:r>
          </w:p>
        </w:tc>
        <w:tc>
          <w:tcPr>
            <w:tcW w:w="6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0940" w:rsidRPr="009B3747" w:rsidRDefault="00510940" w:rsidP="00827CCD">
            <w:pPr>
              <w:spacing w:line="276" w:lineRule="auto"/>
              <w:rPr>
                <w:rFonts w:eastAsia="Times New Roman" w:cstheme="minorHAnsi"/>
                <w:sz w:val="24"/>
                <w:szCs w:val="24"/>
                <w:lang w:eastAsia="en-GB"/>
              </w:rPr>
            </w:pPr>
            <w:r w:rsidRPr="009B3747">
              <w:rPr>
                <w:rFonts w:eastAsia="Times New Roman" w:cstheme="minorHAnsi"/>
                <w:color w:val="000000"/>
                <w:lang w:eastAsia="en-GB"/>
              </w:rPr>
              <w:t>Participants were assured their privacy would be protected at all times and were fully informed of the information governance systems in place for the study (Polit and Beck, 2012).</w:t>
            </w:r>
          </w:p>
          <w:p w:rsidR="00510940" w:rsidRPr="009B3747" w:rsidRDefault="00510940" w:rsidP="00827CCD">
            <w:pPr>
              <w:spacing w:line="276" w:lineRule="auto"/>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827CCD">
            <w:pPr>
              <w:spacing w:line="276" w:lineRule="auto"/>
              <w:rPr>
                <w:rFonts w:eastAsia="Times New Roman" w:cstheme="minorHAnsi"/>
                <w:sz w:val="24"/>
                <w:szCs w:val="24"/>
                <w:lang w:eastAsia="en-GB"/>
              </w:rPr>
            </w:pPr>
            <w:r w:rsidRPr="009B3747">
              <w:rPr>
                <w:rFonts w:eastAsia="Times New Roman" w:cstheme="minorHAnsi"/>
                <w:color w:val="000000"/>
                <w:lang w:eastAsia="en-GB"/>
              </w:rPr>
              <w:t xml:space="preserve">Ways of protecting participants’ confidentiality and ensuring participant anonymity were explicitly stated in the Information sheet and discussed with participants prior to their participation in this research.  Information collected from participants were treated and handled in strict confidence. </w:t>
            </w:r>
          </w:p>
          <w:p w:rsidR="00510940" w:rsidRPr="009B3747" w:rsidRDefault="00510940" w:rsidP="00827CCD">
            <w:pPr>
              <w:spacing w:line="276" w:lineRule="auto"/>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827CCD">
            <w:pPr>
              <w:spacing w:line="276" w:lineRule="auto"/>
              <w:rPr>
                <w:rFonts w:eastAsia="Times New Roman" w:cstheme="minorHAnsi"/>
                <w:sz w:val="24"/>
                <w:szCs w:val="24"/>
                <w:lang w:eastAsia="en-GB"/>
              </w:rPr>
            </w:pPr>
            <w:r w:rsidRPr="009B3747">
              <w:rPr>
                <w:rFonts w:eastAsia="Times New Roman" w:cstheme="minorHAnsi"/>
                <w:color w:val="000000"/>
                <w:lang w:eastAsia="en-GB"/>
              </w:rPr>
              <w:t>The following information governance and data management procedures were adopted during the qua</w:t>
            </w:r>
            <w:r w:rsidR="00CF0D9C" w:rsidRPr="009B3747">
              <w:rPr>
                <w:rFonts w:eastAsia="Times New Roman" w:cstheme="minorHAnsi"/>
                <w:color w:val="000000"/>
                <w:lang w:eastAsia="en-GB"/>
              </w:rPr>
              <w:t>litative phase of the research:</w:t>
            </w:r>
          </w:p>
          <w:p w:rsidR="00510940" w:rsidRPr="009B3747" w:rsidRDefault="00510940" w:rsidP="00827CCD">
            <w:pPr>
              <w:spacing w:line="276" w:lineRule="auto"/>
              <w:rPr>
                <w:rFonts w:eastAsia="Times New Roman" w:cstheme="minorHAnsi"/>
                <w:sz w:val="24"/>
                <w:szCs w:val="24"/>
                <w:lang w:eastAsia="en-GB"/>
              </w:rPr>
            </w:pPr>
            <w:r w:rsidRPr="009B3747">
              <w:rPr>
                <w:rFonts w:eastAsia="Times New Roman" w:cstheme="minorHAnsi"/>
                <w:sz w:val="24"/>
                <w:szCs w:val="24"/>
                <w:lang w:eastAsia="en-GB"/>
              </w:rPr>
              <w:t> </w:t>
            </w:r>
          </w:p>
          <w:p w:rsidR="00510940" w:rsidRPr="009B3747" w:rsidRDefault="00510940" w:rsidP="00C27072">
            <w:pPr>
              <w:numPr>
                <w:ilvl w:val="0"/>
                <w:numId w:val="40"/>
              </w:numPr>
              <w:spacing w:line="276" w:lineRule="auto"/>
              <w:textAlignment w:val="baseline"/>
              <w:rPr>
                <w:rFonts w:eastAsia="Times New Roman" w:cstheme="minorHAnsi"/>
                <w:color w:val="000000"/>
                <w:lang w:eastAsia="en-GB"/>
              </w:rPr>
            </w:pPr>
            <w:r w:rsidRPr="009B3747">
              <w:rPr>
                <w:rFonts w:eastAsia="Times New Roman" w:cstheme="minorHAnsi"/>
                <w:color w:val="000000"/>
                <w:lang w:eastAsia="en-GB"/>
              </w:rPr>
              <w:t>All electronic data sources including audio files, typed transcripts and emails were either saved and backed up in password-protected folders on a secure server approved by The University of Sheffield or where relevant deleted (i.e. audio recordings).  Folders were only accessible by the researcher and were assessed on a computer with firewall, antivirus software and alphanumeric password protection.</w:t>
            </w:r>
          </w:p>
          <w:p w:rsidR="00510940" w:rsidRPr="009B3747" w:rsidRDefault="00510940" w:rsidP="00C27072">
            <w:pPr>
              <w:numPr>
                <w:ilvl w:val="0"/>
                <w:numId w:val="40"/>
              </w:numPr>
              <w:spacing w:line="276" w:lineRule="auto"/>
              <w:textAlignment w:val="baseline"/>
              <w:rPr>
                <w:rFonts w:eastAsia="Times New Roman" w:cstheme="minorHAnsi"/>
                <w:color w:val="000000"/>
                <w:lang w:eastAsia="en-GB"/>
              </w:rPr>
            </w:pPr>
            <w:r w:rsidRPr="009B3747">
              <w:rPr>
                <w:rFonts w:eastAsia="Times New Roman" w:cstheme="minorHAnsi"/>
                <w:color w:val="000000"/>
                <w:lang w:eastAsia="en-GB"/>
              </w:rPr>
              <w:t xml:space="preserve">Consent forms (in paper form) signed by both the researcher and the participant were scanned, emailed to the participant and the electronic file saved onto the approved secure server.  The paper copy was then securely </w:t>
            </w:r>
            <w:r w:rsidR="006D039B">
              <w:rPr>
                <w:rFonts w:eastAsia="Times New Roman" w:cstheme="minorHAnsi"/>
                <w:color w:val="000000"/>
                <w:lang w:eastAsia="en-GB"/>
              </w:rPr>
              <w:t xml:space="preserve">shredded and </w:t>
            </w:r>
            <w:r w:rsidRPr="009B3747">
              <w:rPr>
                <w:rFonts w:eastAsia="Times New Roman" w:cstheme="minorHAnsi"/>
                <w:color w:val="000000"/>
                <w:lang w:eastAsia="en-GB"/>
              </w:rPr>
              <w:t xml:space="preserve">destroyed. </w:t>
            </w:r>
          </w:p>
          <w:p w:rsidR="00510940" w:rsidRPr="009B3747" w:rsidRDefault="00510940" w:rsidP="00C27072">
            <w:pPr>
              <w:numPr>
                <w:ilvl w:val="0"/>
                <w:numId w:val="40"/>
              </w:numPr>
              <w:spacing w:line="276" w:lineRule="auto"/>
              <w:textAlignment w:val="baseline"/>
              <w:rPr>
                <w:rFonts w:eastAsia="Times New Roman" w:cstheme="minorHAnsi"/>
                <w:color w:val="000000"/>
                <w:lang w:eastAsia="en-GB"/>
              </w:rPr>
            </w:pPr>
            <w:r w:rsidRPr="009B3747">
              <w:rPr>
                <w:rFonts w:eastAsia="Times New Roman" w:cstheme="minorHAnsi"/>
                <w:color w:val="000000"/>
                <w:lang w:eastAsia="en-GB"/>
              </w:rPr>
              <w:t>All interviews were transcribed verbatim with any personal information, which would enable the participant to be identified (e.g. name, school name, location) anonymised or removed by using a coding system only known to the researcher.  </w:t>
            </w:r>
          </w:p>
        </w:tc>
      </w:tr>
    </w:tbl>
    <w:p w:rsidR="00501EBC" w:rsidRPr="009B3747" w:rsidRDefault="006F36A0" w:rsidP="00F62D86">
      <w:pPr>
        <w:pStyle w:val="NormalWeb"/>
        <w:spacing w:before="0" w:beforeAutospacing="0" w:after="0" w:afterAutospacing="0" w:line="360" w:lineRule="auto"/>
        <w:ind w:left="2880" w:firstLine="720"/>
        <w:rPr>
          <w:rFonts w:asciiTheme="minorHAnsi" w:hAnsiTheme="minorHAnsi" w:cstheme="minorHAnsi"/>
          <w:b/>
          <w:bCs/>
          <w:color w:val="000000"/>
          <w:sz w:val="36"/>
          <w:szCs w:val="36"/>
          <w:u w:val="single"/>
        </w:rPr>
      </w:pPr>
      <w:r w:rsidRPr="009B3747">
        <w:rPr>
          <w:rFonts w:asciiTheme="minorHAnsi" w:hAnsiTheme="minorHAnsi" w:cstheme="minorHAnsi"/>
          <w:b/>
          <w:bCs/>
          <w:color w:val="000000"/>
          <w:sz w:val="36"/>
          <w:szCs w:val="36"/>
          <w:u w:val="single"/>
        </w:rPr>
        <w:lastRenderedPageBreak/>
        <w:t>Chapter 6</w:t>
      </w:r>
    </w:p>
    <w:p w:rsidR="006F36A0" w:rsidRPr="009B3747" w:rsidRDefault="006F36A0" w:rsidP="006F36A0">
      <w:pPr>
        <w:pStyle w:val="NormalWeb"/>
        <w:spacing w:before="0" w:beforeAutospacing="0" w:after="0" w:afterAutospacing="0" w:line="360" w:lineRule="auto"/>
        <w:rPr>
          <w:rFonts w:asciiTheme="minorHAnsi" w:hAnsiTheme="minorHAnsi" w:cstheme="minorHAnsi"/>
          <w:sz w:val="32"/>
          <w:szCs w:val="32"/>
        </w:rPr>
      </w:pPr>
      <w:r w:rsidRPr="009B3747">
        <w:rPr>
          <w:rFonts w:asciiTheme="minorHAnsi" w:hAnsiTheme="minorHAnsi" w:cstheme="minorHAnsi"/>
          <w:b/>
          <w:bCs/>
          <w:color w:val="000000"/>
          <w:sz w:val="32"/>
          <w:szCs w:val="32"/>
          <w:u w:val="single"/>
        </w:rPr>
        <w:t>Qualitative findings</w:t>
      </w:r>
    </w:p>
    <w:p w:rsidR="00551065" w:rsidRPr="009B3747" w:rsidRDefault="00551065" w:rsidP="006F36A0">
      <w:pPr>
        <w:rPr>
          <w:rFonts w:eastAsia="Times New Roman" w:cstheme="minorHAnsi"/>
          <w:lang w:eastAsia="en-GB"/>
        </w:rPr>
      </w:pPr>
    </w:p>
    <w:p w:rsidR="006F36A0" w:rsidRPr="009B3747" w:rsidRDefault="00551065" w:rsidP="006F36A0">
      <w:pPr>
        <w:rPr>
          <w:rFonts w:eastAsia="Times New Roman" w:cstheme="minorHAnsi"/>
          <w:b/>
          <w:sz w:val="24"/>
          <w:szCs w:val="24"/>
          <w:u w:val="single"/>
          <w:lang w:eastAsia="en-GB"/>
        </w:rPr>
      </w:pPr>
      <w:r w:rsidRPr="009B3747">
        <w:rPr>
          <w:rFonts w:eastAsia="Times New Roman" w:cstheme="minorHAnsi"/>
          <w:b/>
          <w:sz w:val="24"/>
          <w:szCs w:val="24"/>
          <w:u w:val="single"/>
          <w:lang w:eastAsia="en-GB"/>
        </w:rPr>
        <w:t>6.1 Introduction</w:t>
      </w:r>
    </w:p>
    <w:p w:rsidR="00551065" w:rsidRPr="009B3747" w:rsidRDefault="00551065" w:rsidP="006F36A0">
      <w:pPr>
        <w:rPr>
          <w:rFonts w:eastAsia="Times New Roman" w:cstheme="minorHAnsi"/>
          <w:lang w:eastAsia="en-GB"/>
        </w:rPr>
      </w:pPr>
    </w:p>
    <w:p w:rsidR="00BB75C7" w:rsidRPr="009B3747" w:rsidRDefault="006F36A0" w:rsidP="006F36A0">
      <w:pPr>
        <w:rPr>
          <w:rFonts w:eastAsia="Times New Roman" w:cstheme="minorHAnsi"/>
          <w:color w:val="000000"/>
          <w:lang w:eastAsia="en-GB"/>
        </w:rPr>
      </w:pPr>
      <w:r w:rsidRPr="009B3747">
        <w:rPr>
          <w:rFonts w:eastAsia="Times New Roman" w:cstheme="minorHAnsi"/>
          <w:color w:val="000000"/>
          <w:lang w:eastAsia="en-GB"/>
        </w:rPr>
        <w:t>This chapter presents the findings from the qualitative phase of the study.  Beginning with an overview of participant demographics and their respective school’s characteristics, the final stratified sample is detailed.  </w:t>
      </w:r>
      <w:r w:rsidR="00C12393" w:rsidRPr="009B3747">
        <w:rPr>
          <w:rFonts w:eastAsia="Times New Roman" w:cstheme="minorHAnsi"/>
          <w:color w:val="000000"/>
          <w:lang w:eastAsia="en-GB"/>
        </w:rPr>
        <w:t xml:space="preserve">Following this, the chapter provides </w:t>
      </w:r>
      <w:r w:rsidR="00BB75C7" w:rsidRPr="009B3747">
        <w:rPr>
          <w:rFonts w:eastAsia="Times New Roman" w:cstheme="minorHAnsi"/>
          <w:color w:val="000000"/>
          <w:lang w:eastAsia="en-GB"/>
        </w:rPr>
        <w:t xml:space="preserve">an overarching </w:t>
      </w:r>
      <w:r w:rsidR="00C12393" w:rsidRPr="009B3747">
        <w:rPr>
          <w:rFonts w:eastAsia="Times New Roman" w:cstheme="minorHAnsi"/>
          <w:color w:val="000000"/>
          <w:lang w:eastAsia="en-GB"/>
        </w:rPr>
        <w:t>summary of the</w:t>
      </w:r>
      <w:r w:rsidR="00BB75C7" w:rsidRPr="009B3747">
        <w:rPr>
          <w:rFonts w:eastAsia="Times New Roman" w:cstheme="minorHAnsi"/>
          <w:color w:val="000000"/>
          <w:lang w:eastAsia="en-GB"/>
        </w:rPr>
        <w:t xml:space="preserve"> qualitative findings in respect to the themes identified from the conducted thematic analysis.  </w:t>
      </w:r>
    </w:p>
    <w:p w:rsidR="00BB75C7" w:rsidRPr="009B3747" w:rsidRDefault="00BB75C7" w:rsidP="006F36A0">
      <w:pPr>
        <w:rPr>
          <w:rFonts w:eastAsia="Times New Roman" w:cstheme="minorHAnsi"/>
          <w:color w:val="000000"/>
          <w:lang w:eastAsia="en-GB"/>
        </w:rPr>
      </w:pPr>
    </w:p>
    <w:p w:rsidR="00BB75C7" w:rsidRPr="009B3747" w:rsidRDefault="00BB75C7" w:rsidP="006F36A0">
      <w:pPr>
        <w:rPr>
          <w:rFonts w:eastAsia="Times New Roman" w:cstheme="minorHAnsi"/>
          <w:color w:val="000000"/>
          <w:lang w:eastAsia="en-GB"/>
        </w:rPr>
      </w:pPr>
      <w:r w:rsidRPr="009B3747">
        <w:rPr>
          <w:rFonts w:eastAsia="Times New Roman" w:cstheme="minorHAnsi"/>
          <w:color w:val="000000"/>
          <w:lang w:eastAsia="en-GB"/>
        </w:rPr>
        <w:t xml:space="preserve">The remaining part </w:t>
      </w:r>
      <w:r w:rsidR="0017267C" w:rsidRPr="009B3747">
        <w:rPr>
          <w:rFonts w:eastAsia="Times New Roman" w:cstheme="minorHAnsi"/>
          <w:color w:val="000000"/>
          <w:lang w:eastAsia="en-GB"/>
        </w:rPr>
        <w:t xml:space="preserve">and indeed the majority </w:t>
      </w:r>
      <w:r w:rsidRPr="009B3747">
        <w:rPr>
          <w:rFonts w:eastAsia="Times New Roman" w:cstheme="minorHAnsi"/>
          <w:color w:val="000000"/>
          <w:lang w:eastAsia="en-GB"/>
        </w:rPr>
        <w:t>of this chapter</w:t>
      </w:r>
      <w:r w:rsidR="0017267C" w:rsidRPr="009B3747">
        <w:rPr>
          <w:rFonts w:eastAsia="Times New Roman" w:cstheme="minorHAnsi"/>
          <w:color w:val="000000"/>
          <w:lang w:eastAsia="en-GB"/>
        </w:rPr>
        <w:t xml:space="preserve"> presents</w:t>
      </w:r>
      <w:r w:rsidRPr="009B3747">
        <w:rPr>
          <w:rFonts w:eastAsia="Times New Roman" w:cstheme="minorHAnsi"/>
          <w:color w:val="000000"/>
          <w:lang w:eastAsia="en-GB"/>
        </w:rPr>
        <w:t xml:space="preserve"> an </w:t>
      </w:r>
      <w:r w:rsidR="006F36A0" w:rsidRPr="009B3747">
        <w:rPr>
          <w:rFonts w:eastAsia="Times New Roman" w:cstheme="minorHAnsi"/>
          <w:color w:val="000000"/>
          <w:lang w:eastAsia="en-GB"/>
        </w:rPr>
        <w:t xml:space="preserve">in-depth exploration and </w:t>
      </w:r>
      <w:r w:rsidRPr="009B3747">
        <w:rPr>
          <w:rFonts w:eastAsia="Times New Roman" w:cstheme="minorHAnsi"/>
          <w:color w:val="000000"/>
          <w:lang w:eastAsia="en-GB"/>
        </w:rPr>
        <w:t xml:space="preserve">commentary </w:t>
      </w:r>
      <w:r w:rsidR="0017267C" w:rsidRPr="009B3747">
        <w:rPr>
          <w:rFonts w:eastAsia="Times New Roman" w:cstheme="minorHAnsi"/>
          <w:color w:val="000000"/>
          <w:lang w:eastAsia="en-GB"/>
        </w:rPr>
        <w:t>of each of the resultant four</w:t>
      </w:r>
      <w:r w:rsidRPr="009B3747">
        <w:rPr>
          <w:rFonts w:eastAsia="Times New Roman" w:cstheme="minorHAnsi"/>
          <w:color w:val="000000"/>
          <w:lang w:eastAsia="en-GB"/>
        </w:rPr>
        <w:t xml:space="preserve"> themes and related sub-themes.</w:t>
      </w:r>
      <w:r w:rsidR="0017267C" w:rsidRPr="009B3747">
        <w:rPr>
          <w:rFonts w:eastAsia="Times New Roman" w:cstheme="minorHAnsi"/>
          <w:color w:val="000000"/>
          <w:lang w:eastAsia="en-GB"/>
        </w:rPr>
        <w:t xml:space="preserve">  Verbatim quotations taken from the interview transcripts are utilised to illuminate and illustrate the findings, whilst providing an insight into the relevance and context of each theme.</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b/>
          <w:bCs/>
          <w:color w:val="000000"/>
          <w:sz w:val="24"/>
          <w:szCs w:val="24"/>
          <w:u w:val="single"/>
          <w:lang w:eastAsia="en-GB"/>
        </w:rPr>
        <w:t>6</w:t>
      </w:r>
      <w:r w:rsidR="00551065" w:rsidRPr="009B3747">
        <w:rPr>
          <w:rFonts w:eastAsia="Times New Roman" w:cstheme="minorHAnsi"/>
          <w:b/>
          <w:bCs/>
          <w:color w:val="000000"/>
          <w:sz w:val="24"/>
          <w:szCs w:val="24"/>
          <w:u w:val="single"/>
          <w:lang w:eastAsia="en-GB"/>
        </w:rPr>
        <w:t>.2</w:t>
      </w:r>
      <w:r w:rsidRPr="009B3747">
        <w:rPr>
          <w:rFonts w:eastAsia="Times New Roman" w:cstheme="minorHAnsi"/>
          <w:b/>
          <w:bCs/>
          <w:color w:val="000000"/>
          <w:sz w:val="24"/>
          <w:szCs w:val="24"/>
          <w:u w:val="single"/>
          <w:lang w:eastAsia="en-GB"/>
        </w:rPr>
        <w:t xml:space="preserve"> Participant demographics and school characteristics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The final sample of 22 interview</w:t>
      </w:r>
      <w:r w:rsidR="0017267C" w:rsidRPr="009B3747">
        <w:rPr>
          <w:rFonts w:eastAsia="Times New Roman" w:cstheme="minorHAnsi"/>
          <w:color w:val="000000"/>
          <w:lang w:eastAsia="en-GB"/>
        </w:rPr>
        <w:t xml:space="preserve"> participants, was made up of 13</w:t>
      </w:r>
      <w:r w:rsidR="00A1002B" w:rsidRPr="009B3747">
        <w:rPr>
          <w:rFonts w:eastAsia="Times New Roman" w:cstheme="minorHAnsi"/>
          <w:color w:val="000000"/>
          <w:lang w:eastAsia="en-GB"/>
        </w:rPr>
        <w:t xml:space="preserve"> headteachers (eight males, five females) and nine chairs of governors (six males, three </w:t>
      </w:r>
      <w:r w:rsidRPr="009B3747">
        <w:rPr>
          <w:rFonts w:eastAsia="Times New Roman" w:cstheme="minorHAnsi"/>
          <w:color w:val="000000"/>
          <w:lang w:eastAsia="en-GB"/>
        </w:rPr>
        <w:t>females), all employed (headteachers) or elected (chairs of governors) within their respective secondary schools at the point of data collection.  The average age of headteachers participating was 51.8 years, with the average age of chairs of governors 61.4 years.</w:t>
      </w:r>
      <w:r w:rsidR="0085424B" w:rsidRPr="009B3747">
        <w:rPr>
          <w:rFonts w:eastAsia="Times New Roman" w:cstheme="minorHAnsi"/>
          <w:color w:val="000000"/>
          <w:lang w:eastAsia="en-GB"/>
        </w:rPr>
        <w:t xml:space="preserve">  </w:t>
      </w:r>
      <w:r w:rsidRPr="009B3747">
        <w:rPr>
          <w:rFonts w:eastAsia="Times New Roman" w:cstheme="minorHAnsi"/>
          <w:color w:val="000000"/>
          <w:lang w:eastAsia="en-GB"/>
        </w:rPr>
        <w:t>An overview of the pa</w:t>
      </w:r>
      <w:r w:rsidR="0043140D" w:rsidRPr="009B3747">
        <w:rPr>
          <w:rFonts w:eastAsia="Times New Roman" w:cstheme="minorHAnsi"/>
          <w:color w:val="000000"/>
          <w:lang w:eastAsia="en-GB"/>
        </w:rPr>
        <w:t xml:space="preserve">rticipants </w:t>
      </w:r>
      <w:r w:rsidR="00A1002B" w:rsidRPr="009B3747">
        <w:rPr>
          <w:rFonts w:eastAsia="Times New Roman" w:cstheme="minorHAnsi"/>
          <w:color w:val="000000"/>
          <w:lang w:eastAsia="en-GB"/>
        </w:rPr>
        <w:t>is presented in Table 6.1 and includes</w:t>
      </w:r>
      <w:r w:rsidRPr="009B3747">
        <w:rPr>
          <w:rFonts w:eastAsia="Times New Roman" w:cstheme="minorHAnsi"/>
          <w:color w:val="000000"/>
          <w:lang w:eastAsia="en-GB"/>
        </w:rPr>
        <w:t xml:space="preserve"> the overall number of participants relative to their respective school’s characteristics (stratas).</w:t>
      </w:r>
    </w:p>
    <w:p w:rsidR="0085424B" w:rsidRPr="009B3747" w:rsidRDefault="006F36A0" w:rsidP="006F36A0">
      <w:pPr>
        <w:spacing w:line="276" w:lineRule="auto"/>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A1002B" w:rsidP="006F36A0">
      <w:pPr>
        <w:spacing w:line="276" w:lineRule="auto"/>
        <w:rPr>
          <w:rFonts w:eastAsia="Times New Roman" w:cstheme="minorHAnsi"/>
          <w:bCs/>
          <w:color w:val="000000"/>
          <w:u w:val="single"/>
          <w:lang w:eastAsia="en-GB"/>
        </w:rPr>
      </w:pPr>
      <w:r w:rsidRPr="009B3747">
        <w:rPr>
          <w:rFonts w:eastAsia="Times New Roman" w:cstheme="minorHAnsi"/>
          <w:bCs/>
          <w:color w:val="000000"/>
          <w:u w:val="single"/>
          <w:lang w:eastAsia="en-GB"/>
        </w:rPr>
        <w:t>Table 6.1</w:t>
      </w:r>
      <w:r w:rsidR="006F36A0" w:rsidRPr="009B3747">
        <w:rPr>
          <w:rFonts w:eastAsia="Times New Roman" w:cstheme="minorHAnsi"/>
          <w:bCs/>
          <w:color w:val="000000"/>
          <w:u w:val="single"/>
          <w:lang w:eastAsia="en-GB"/>
        </w:rPr>
        <w:t xml:space="preserve"> - Overview of participants</w:t>
      </w:r>
      <w:r w:rsidR="00991D2F" w:rsidRPr="009B3747">
        <w:rPr>
          <w:rFonts w:eastAsia="Times New Roman" w:cstheme="minorHAnsi"/>
          <w:bCs/>
          <w:color w:val="000000"/>
          <w:u w:val="single"/>
          <w:lang w:eastAsia="en-GB"/>
        </w:rPr>
        <w:t xml:space="preserve"> (qualitative phase)</w:t>
      </w:r>
    </w:p>
    <w:p w:rsidR="006F36A0" w:rsidRPr="009B3747" w:rsidRDefault="006F36A0" w:rsidP="006F36A0">
      <w:pPr>
        <w:spacing w:line="276" w:lineRule="auto"/>
        <w:rPr>
          <w:rFonts w:eastAsia="Times New Roman" w:cstheme="minorHAnsi"/>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3690"/>
        <w:gridCol w:w="2034"/>
      </w:tblGrid>
      <w:tr w:rsidR="006F36A0" w:rsidRPr="009B3747" w:rsidTr="006F36A0">
        <w:trPr>
          <w:trHeight w:val="360"/>
        </w:trPr>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6F36A0" w:rsidRPr="009B3747" w:rsidRDefault="006F36A0" w:rsidP="006F36A0">
            <w:pPr>
              <w:spacing w:line="276" w:lineRule="auto"/>
              <w:rPr>
                <w:rFonts w:eastAsia="Times New Roman" w:cstheme="minorHAnsi"/>
                <w:sz w:val="24"/>
                <w:szCs w:val="24"/>
                <w:lang w:eastAsia="en-GB"/>
              </w:rPr>
            </w:pPr>
            <w:r w:rsidRPr="009B3747">
              <w:rPr>
                <w:rFonts w:eastAsia="Times New Roman" w:cstheme="minorHAnsi"/>
                <w:b/>
                <w:bCs/>
                <w:color w:val="000000"/>
                <w:u w:val="single"/>
                <w:lang w:eastAsia="en-GB"/>
              </w:rPr>
              <w:t>School characteristics (Stratas)</w:t>
            </w: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6F36A0" w:rsidRPr="009B3747" w:rsidRDefault="006F36A0" w:rsidP="006F36A0">
            <w:pPr>
              <w:spacing w:line="276"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Number</w:t>
            </w:r>
            <w:r w:rsidRPr="009B3747">
              <w:rPr>
                <w:rFonts w:eastAsia="Times New Roman" w:cstheme="minorHAnsi"/>
                <w:b/>
                <w:bCs/>
                <w:color w:val="000000"/>
                <w:lang w:eastAsia="en-GB"/>
              </w:rPr>
              <w:t xml:space="preserve"> (Total = 22)</w:t>
            </w:r>
          </w:p>
        </w:tc>
      </w:tr>
      <w:tr w:rsidR="006F36A0" w:rsidRPr="009B3747" w:rsidTr="006F36A0">
        <w:trPr>
          <w:trHeight w:val="16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F36A0" w:rsidRPr="009B3747" w:rsidRDefault="006F36A0" w:rsidP="006F36A0">
            <w:pPr>
              <w:spacing w:line="276"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School type</w:t>
            </w:r>
          </w:p>
          <w:p w:rsidR="006F36A0" w:rsidRPr="009B3747" w:rsidRDefault="006F36A0" w:rsidP="006F36A0">
            <w:pPr>
              <w:spacing w:line="276"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Community </w:t>
            </w:r>
          </w:p>
          <w:p w:rsidR="006F36A0" w:rsidRPr="009B3747" w:rsidRDefault="006F36A0" w:rsidP="006F36A0">
            <w:pPr>
              <w:spacing w:line="276" w:lineRule="auto"/>
              <w:rPr>
                <w:rFonts w:eastAsia="Times New Roman" w:cstheme="minorHAnsi"/>
                <w:sz w:val="24"/>
                <w:szCs w:val="24"/>
                <w:lang w:eastAsia="en-GB"/>
              </w:rPr>
            </w:pPr>
            <w:r w:rsidRPr="009B3747">
              <w:rPr>
                <w:rFonts w:eastAsia="Times New Roman" w:cstheme="minorHAnsi"/>
                <w:color w:val="000000"/>
                <w:sz w:val="20"/>
                <w:szCs w:val="20"/>
                <w:lang w:eastAsia="en-GB"/>
              </w:rPr>
              <w:t>Academy (converter mainstream)</w:t>
            </w:r>
          </w:p>
          <w:p w:rsidR="006F36A0" w:rsidRPr="009B3747" w:rsidRDefault="006F36A0" w:rsidP="006F36A0">
            <w:pPr>
              <w:spacing w:line="276" w:lineRule="auto"/>
              <w:rPr>
                <w:rFonts w:eastAsia="Times New Roman" w:cstheme="minorHAnsi"/>
                <w:sz w:val="24"/>
                <w:szCs w:val="24"/>
                <w:lang w:eastAsia="en-GB"/>
              </w:rPr>
            </w:pPr>
            <w:r w:rsidRPr="009B3747">
              <w:rPr>
                <w:rFonts w:eastAsia="Times New Roman" w:cstheme="minorHAnsi"/>
                <w:color w:val="000000"/>
                <w:sz w:val="20"/>
                <w:szCs w:val="20"/>
                <w:lang w:eastAsia="en-GB"/>
              </w:rPr>
              <w:t>Academy (sponsor led)</w:t>
            </w:r>
          </w:p>
          <w:p w:rsidR="006F36A0" w:rsidRPr="009B3747" w:rsidRDefault="006F36A0" w:rsidP="006F36A0">
            <w:pPr>
              <w:spacing w:line="276" w:lineRule="auto"/>
              <w:rPr>
                <w:rFonts w:eastAsia="Times New Roman" w:cstheme="minorHAnsi"/>
                <w:sz w:val="24"/>
                <w:szCs w:val="24"/>
                <w:lang w:eastAsia="en-GB"/>
              </w:rPr>
            </w:pPr>
            <w:r w:rsidRPr="009B3747">
              <w:rPr>
                <w:rFonts w:eastAsia="Times New Roman" w:cstheme="minorHAnsi"/>
                <w:color w:val="000000"/>
                <w:sz w:val="20"/>
                <w:szCs w:val="20"/>
                <w:lang w:eastAsia="en-GB"/>
              </w:rPr>
              <w:t>Voluntary aided</w:t>
            </w:r>
          </w:p>
          <w:p w:rsidR="006F36A0" w:rsidRPr="009B3747" w:rsidRDefault="006F36A0" w:rsidP="006F36A0">
            <w:pPr>
              <w:spacing w:line="276" w:lineRule="auto"/>
              <w:rPr>
                <w:rFonts w:eastAsia="Times New Roman" w:cstheme="minorHAnsi"/>
                <w:sz w:val="24"/>
                <w:szCs w:val="24"/>
                <w:lang w:eastAsia="en-GB"/>
              </w:rPr>
            </w:pPr>
            <w:r w:rsidRPr="009B3747">
              <w:rPr>
                <w:rFonts w:eastAsia="Times New Roman" w:cstheme="minorHAnsi"/>
                <w:color w:val="000000"/>
                <w:sz w:val="20"/>
                <w:szCs w:val="20"/>
                <w:lang w:eastAsia="en-GB"/>
              </w:rPr>
              <w:t>Independent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F36A0" w:rsidRPr="009B3747" w:rsidRDefault="006F36A0" w:rsidP="006F36A0">
            <w:pPr>
              <w:spacing w:line="276" w:lineRule="auto"/>
              <w:jc w:val="cente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spacing w:line="276"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4</w:t>
            </w:r>
          </w:p>
          <w:p w:rsidR="006F36A0" w:rsidRPr="009B3747" w:rsidRDefault="006F36A0" w:rsidP="006F36A0">
            <w:pPr>
              <w:spacing w:line="276"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6</w:t>
            </w:r>
          </w:p>
          <w:p w:rsidR="006F36A0" w:rsidRPr="009B3747" w:rsidRDefault="006F36A0" w:rsidP="006F36A0">
            <w:pPr>
              <w:spacing w:line="276"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8</w:t>
            </w:r>
          </w:p>
          <w:p w:rsidR="006F36A0" w:rsidRPr="009B3747" w:rsidRDefault="006F36A0" w:rsidP="006F36A0">
            <w:pPr>
              <w:spacing w:line="276"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1</w:t>
            </w:r>
          </w:p>
          <w:p w:rsidR="006F36A0" w:rsidRPr="009B3747" w:rsidRDefault="006F36A0" w:rsidP="006F36A0">
            <w:pPr>
              <w:spacing w:line="276"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3</w:t>
            </w:r>
          </w:p>
        </w:tc>
      </w:tr>
      <w:tr w:rsidR="006F36A0" w:rsidRPr="009B3747" w:rsidTr="006F36A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F36A0" w:rsidRPr="009B3747" w:rsidRDefault="006F36A0" w:rsidP="006F36A0">
            <w:pPr>
              <w:spacing w:line="276" w:lineRule="auto"/>
              <w:rPr>
                <w:rFonts w:eastAsia="Times New Roman" w:cstheme="minorHAnsi"/>
                <w:sz w:val="24"/>
                <w:szCs w:val="24"/>
                <w:lang w:eastAsia="en-GB"/>
              </w:rPr>
            </w:pPr>
            <w:r w:rsidRPr="009B3747">
              <w:rPr>
                <w:rFonts w:eastAsia="Times New Roman" w:cstheme="minorHAnsi"/>
                <w:b/>
                <w:bCs/>
                <w:color w:val="000000"/>
                <w:sz w:val="20"/>
                <w:szCs w:val="20"/>
                <w:lang w:eastAsia="en-GB"/>
              </w:rPr>
              <w:lastRenderedPageBreak/>
              <w:t>Pupil population</w:t>
            </w:r>
          </w:p>
          <w:p w:rsidR="006F36A0" w:rsidRPr="009B3747" w:rsidRDefault="006F36A0" w:rsidP="006F36A0">
            <w:pPr>
              <w:spacing w:line="276" w:lineRule="auto"/>
              <w:rPr>
                <w:rFonts w:eastAsia="Times New Roman" w:cstheme="minorHAnsi"/>
                <w:sz w:val="24"/>
                <w:szCs w:val="24"/>
                <w:lang w:eastAsia="en-GB"/>
              </w:rPr>
            </w:pPr>
            <w:r w:rsidRPr="009B3747">
              <w:rPr>
                <w:rFonts w:eastAsia="Times New Roman" w:cstheme="minorHAnsi"/>
                <w:color w:val="000000"/>
                <w:sz w:val="20"/>
                <w:szCs w:val="20"/>
                <w:lang w:eastAsia="en-GB"/>
              </w:rPr>
              <w:t>≤ or eq</w:t>
            </w:r>
            <w:r w:rsidR="00BC5102" w:rsidRPr="009B3747">
              <w:rPr>
                <w:rFonts w:eastAsia="Times New Roman" w:cstheme="minorHAnsi"/>
                <w:color w:val="000000"/>
                <w:sz w:val="20"/>
                <w:szCs w:val="20"/>
                <w:lang w:eastAsia="en-GB"/>
              </w:rPr>
              <w:t>ual to the England average of 939</w:t>
            </w:r>
          </w:p>
          <w:p w:rsidR="006F36A0" w:rsidRPr="009B3747" w:rsidRDefault="006F36A0" w:rsidP="006F36A0">
            <w:pPr>
              <w:spacing w:line="276" w:lineRule="auto"/>
              <w:rPr>
                <w:rFonts w:eastAsia="Times New Roman" w:cstheme="minorHAnsi"/>
                <w:sz w:val="24"/>
                <w:szCs w:val="24"/>
                <w:lang w:eastAsia="en-GB"/>
              </w:rPr>
            </w:pPr>
            <w:r w:rsidRPr="009B3747">
              <w:rPr>
                <w:rFonts w:eastAsia="Times New Roman" w:cstheme="minorHAnsi"/>
                <w:color w:val="000000"/>
                <w:sz w:val="20"/>
                <w:szCs w:val="20"/>
                <w:lang w:eastAsia="en-GB"/>
              </w:rPr>
              <w:t>≥ or eq</w:t>
            </w:r>
            <w:r w:rsidR="00BC5102" w:rsidRPr="009B3747">
              <w:rPr>
                <w:rFonts w:eastAsia="Times New Roman" w:cstheme="minorHAnsi"/>
                <w:color w:val="000000"/>
                <w:sz w:val="20"/>
                <w:szCs w:val="20"/>
                <w:lang w:eastAsia="en-GB"/>
              </w:rPr>
              <w:t>ual to the England average of 939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F36A0" w:rsidRPr="009B3747" w:rsidRDefault="006F36A0" w:rsidP="006F36A0">
            <w:pPr>
              <w:spacing w:line="276" w:lineRule="auto"/>
              <w:jc w:val="center"/>
              <w:rPr>
                <w:rFonts w:eastAsia="Times New Roman" w:cstheme="minorHAnsi"/>
                <w:sz w:val="20"/>
                <w:szCs w:val="20"/>
                <w:lang w:eastAsia="en-GB"/>
              </w:rPr>
            </w:pPr>
            <w:r w:rsidRPr="009B3747">
              <w:rPr>
                <w:rFonts w:eastAsia="Times New Roman" w:cstheme="minorHAnsi"/>
                <w:sz w:val="20"/>
                <w:szCs w:val="20"/>
                <w:lang w:eastAsia="en-GB"/>
              </w:rPr>
              <w:t> </w:t>
            </w:r>
          </w:p>
          <w:p w:rsidR="006F36A0" w:rsidRPr="009B3747" w:rsidRDefault="00BC5102" w:rsidP="006F36A0">
            <w:pPr>
              <w:spacing w:line="276" w:lineRule="auto"/>
              <w:jc w:val="center"/>
              <w:rPr>
                <w:rFonts w:eastAsia="Times New Roman" w:cstheme="minorHAnsi"/>
                <w:sz w:val="20"/>
                <w:szCs w:val="20"/>
                <w:lang w:eastAsia="en-GB"/>
              </w:rPr>
            </w:pPr>
            <w:r w:rsidRPr="009B3747">
              <w:rPr>
                <w:rFonts w:eastAsia="Times New Roman" w:cstheme="minorHAnsi"/>
                <w:sz w:val="20"/>
                <w:szCs w:val="20"/>
                <w:lang w:eastAsia="en-GB"/>
              </w:rPr>
              <w:t>13</w:t>
            </w:r>
          </w:p>
          <w:p w:rsidR="006F36A0" w:rsidRPr="009B3747" w:rsidRDefault="00BC5102" w:rsidP="006F36A0">
            <w:pPr>
              <w:spacing w:line="276" w:lineRule="auto"/>
              <w:jc w:val="center"/>
              <w:rPr>
                <w:rFonts w:eastAsia="Times New Roman" w:cstheme="minorHAnsi"/>
                <w:sz w:val="20"/>
                <w:szCs w:val="20"/>
                <w:lang w:eastAsia="en-GB"/>
              </w:rPr>
            </w:pPr>
            <w:r w:rsidRPr="009B3747">
              <w:rPr>
                <w:rFonts w:eastAsia="Times New Roman" w:cstheme="minorHAnsi"/>
                <w:color w:val="000000"/>
                <w:sz w:val="20"/>
                <w:szCs w:val="20"/>
                <w:lang w:eastAsia="en-GB"/>
              </w:rPr>
              <w:t>9</w:t>
            </w:r>
          </w:p>
        </w:tc>
      </w:tr>
      <w:tr w:rsidR="006F36A0" w:rsidRPr="009B3747" w:rsidTr="006F36A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F36A0" w:rsidRPr="009B3747" w:rsidRDefault="006F36A0" w:rsidP="006F36A0">
            <w:pPr>
              <w:spacing w:line="276"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 free school meals*</w:t>
            </w:r>
          </w:p>
          <w:p w:rsidR="006F36A0" w:rsidRPr="009B3747" w:rsidRDefault="006F36A0" w:rsidP="006F36A0">
            <w:pPr>
              <w:spacing w:line="276" w:lineRule="auto"/>
              <w:rPr>
                <w:rFonts w:eastAsia="Times New Roman" w:cstheme="minorHAnsi"/>
                <w:sz w:val="24"/>
                <w:szCs w:val="24"/>
                <w:lang w:eastAsia="en-GB"/>
              </w:rPr>
            </w:pPr>
            <w:r w:rsidRPr="009B3747">
              <w:rPr>
                <w:rFonts w:eastAsia="Times New Roman" w:cstheme="minorHAnsi"/>
                <w:color w:val="000000"/>
                <w:sz w:val="20"/>
                <w:szCs w:val="20"/>
                <w:lang w:eastAsia="en-GB"/>
              </w:rPr>
              <w:t>≤ or eq</w:t>
            </w:r>
            <w:r w:rsidR="00BC5102" w:rsidRPr="009B3747">
              <w:rPr>
                <w:rFonts w:eastAsia="Times New Roman" w:cstheme="minorHAnsi"/>
                <w:color w:val="000000"/>
                <w:sz w:val="20"/>
                <w:szCs w:val="20"/>
                <w:lang w:eastAsia="en-GB"/>
              </w:rPr>
              <w:t>ual to the England average of 13.2</w:t>
            </w:r>
            <w:r w:rsidRPr="009B3747">
              <w:rPr>
                <w:rFonts w:eastAsia="Times New Roman" w:cstheme="minorHAnsi"/>
                <w:color w:val="000000"/>
                <w:sz w:val="20"/>
                <w:szCs w:val="20"/>
                <w:lang w:eastAsia="en-GB"/>
              </w:rPr>
              <w:t>%</w:t>
            </w:r>
          </w:p>
          <w:p w:rsidR="006F36A0" w:rsidRPr="009B3747" w:rsidRDefault="006F36A0" w:rsidP="006F36A0">
            <w:pPr>
              <w:spacing w:line="276" w:lineRule="auto"/>
              <w:rPr>
                <w:rFonts w:eastAsia="Times New Roman" w:cstheme="minorHAnsi"/>
                <w:sz w:val="24"/>
                <w:szCs w:val="24"/>
                <w:lang w:eastAsia="en-GB"/>
              </w:rPr>
            </w:pPr>
            <w:r w:rsidRPr="009B3747">
              <w:rPr>
                <w:rFonts w:eastAsia="Times New Roman" w:cstheme="minorHAnsi"/>
                <w:color w:val="000000"/>
                <w:sz w:val="20"/>
                <w:szCs w:val="20"/>
                <w:lang w:eastAsia="en-GB"/>
              </w:rPr>
              <w:t>≥ or e</w:t>
            </w:r>
            <w:r w:rsidR="00BC5102" w:rsidRPr="009B3747">
              <w:rPr>
                <w:rFonts w:eastAsia="Times New Roman" w:cstheme="minorHAnsi"/>
                <w:color w:val="000000"/>
                <w:sz w:val="20"/>
                <w:szCs w:val="20"/>
                <w:lang w:eastAsia="en-GB"/>
              </w:rPr>
              <w:t>qual to the England average of 13.2</w:t>
            </w:r>
            <w:r w:rsidRPr="009B3747">
              <w:rPr>
                <w:rFonts w:eastAsia="Times New Roman" w:cstheme="minorHAnsi"/>
                <w:color w:val="000000"/>
                <w:sz w:val="20"/>
                <w:szCs w:val="20"/>
                <w:lang w:eastAsia="en-GB"/>
              </w:rPr>
              <w:t>%</w:t>
            </w:r>
          </w:p>
          <w:p w:rsidR="006F36A0" w:rsidRPr="009B3747" w:rsidRDefault="006F36A0" w:rsidP="006F36A0">
            <w:pPr>
              <w:spacing w:line="276"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Missing or not applicable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F36A0" w:rsidRPr="009B3747" w:rsidRDefault="006F36A0" w:rsidP="006F36A0">
            <w:pPr>
              <w:spacing w:line="276" w:lineRule="auto"/>
              <w:jc w:val="center"/>
              <w:rPr>
                <w:rFonts w:eastAsia="Times New Roman" w:cstheme="minorHAnsi"/>
                <w:sz w:val="20"/>
                <w:szCs w:val="20"/>
                <w:lang w:eastAsia="en-GB"/>
              </w:rPr>
            </w:pPr>
            <w:r w:rsidRPr="009B3747">
              <w:rPr>
                <w:rFonts w:eastAsia="Times New Roman" w:cstheme="minorHAnsi"/>
                <w:sz w:val="20"/>
                <w:szCs w:val="20"/>
                <w:lang w:eastAsia="en-GB"/>
              </w:rPr>
              <w:t> </w:t>
            </w:r>
          </w:p>
          <w:p w:rsidR="006F36A0" w:rsidRPr="009B3747" w:rsidRDefault="00BC5102" w:rsidP="006F36A0">
            <w:pPr>
              <w:spacing w:line="276" w:lineRule="auto"/>
              <w:jc w:val="center"/>
              <w:rPr>
                <w:rFonts w:eastAsia="Times New Roman" w:cstheme="minorHAnsi"/>
                <w:sz w:val="20"/>
                <w:szCs w:val="20"/>
                <w:lang w:eastAsia="en-GB"/>
              </w:rPr>
            </w:pPr>
            <w:r w:rsidRPr="009B3747">
              <w:rPr>
                <w:rFonts w:eastAsia="Times New Roman" w:cstheme="minorHAnsi"/>
                <w:color w:val="000000"/>
                <w:sz w:val="20"/>
                <w:szCs w:val="20"/>
                <w:lang w:eastAsia="en-GB"/>
              </w:rPr>
              <w:t>1</w:t>
            </w:r>
          </w:p>
          <w:p w:rsidR="006F36A0" w:rsidRPr="009B3747" w:rsidRDefault="00BC5102" w:rsidP="006F36A0">
            <w:pPr>
              <w:spacing w:line="276" w:lineRule="auto"/>
              <w:jc w:val="center"/>
              <w:rPr>
                <w:rFonts w:eastAsia="Times New Roman" w:cstheme="minorHAnsi"/>
                <w:sz w:val="20"/>
                <w:szCs w:val="20"/>
                <w:lang w:eastAsia="en-GB"/>
              </w:rPr>
            </w:pPr>
            <w:r w:rsidRPr="009B3747">
              <w:rPr>
                <w:rFonts w:eastAsia="Times New Roman" w:cstheme="minorHAnsi"/>
                <w:color w:val="000000"/>
                <w:sz w:val="20"/>
                <w:szCs w:val="20"/>
                <w:lang w:eastAsia="en-GB"/>
              </w:rPr>
              <w:t>19</w:t>
            </w:r>
          </w:p>
          <w:p w:rsidR="006F36A0" w:rsidRPr="009B3747" w:rsidRDefault="00BC5102" w:rsidP="006F36A0">
            <w:pPr>
              <w:spacing w:line="276" w:lineRule="auto"/>
              <w:jc w:val="center"/>
              <w:rPr>
                <w:rFonts w:eastAsia="Times New Roman" w:cstheme="minorHAnsi"/>
                <w:sz w:val="20"/>
                <w:szCs w:val="20"/>
                <w:lang w:eastAsia="en-GB"/>
              </w:rPr>
            </w:pPr>
            <w:r w:rsidRPr="009B3747">
              <w:rPr>
                <w:rFonts w:eastAsia="Times New Roman" w:cstheme="minorHAnsi"/>
                <w:color w:val="000000"/>
                <w:sz w:val="20"/>
                <w:szCs w:val="20"/>
                <w:lang w:eastAsia="en-GB"/>
              </w:rPr>
              <w:t>2</w:t>
            </w:r>
          </w:p>
        </w:tc>
      </w:tr>
      <w:tr w:rsidR="006F36A0" w:rsidRPr="009B3747" w:rsidTr="006F36A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F36A0" w:rsidRPr="009B3747" w:rsidRDefault="006F36A0" w:rsidP="006F36A0">
            <w:pPr>
              <w:spacing w:line="276"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Ofsted performance rating</w:t>
            </w:r>
          </w:p>
          <w:p w:rsidR="006F36A0" w:rsidRPr="009B3747" w:rsidRDefault="006F36A0" w:rsidP="006F36A0">
            <w:pPr>
              <w:spacing w:line="276" w:lineRule="auto"/>
              <w:rPr>
                <w:rFonts w:eastAsia="Times New Roman" w:cstheme="minorHAnsi"/>
                <w:sz w:val="24"/>
                <w:szCs w:val="24"/>
                <w:lang w:eastAsia="en-GB"/>
              </w:rPr>
            </w:pPr>
            <w:r w:rsidRPr="009B3747">
              <w:rPr>
                <w:rFonts w:eastAsia="Times New Roman" w:cstheme="minorHAnsi"/>
                <w:color w:val="000000"/>
                <w:sz w:val="20"/>
                <w:szCs w:val="20"/>
                <w:lang w:eastAsia="en-GB"/>
              </w:rPr>
              <w:t>1 (Outstanding)</w:t>
            </w:r>
          </w:p>
          <w:p w:rsidR="006F36A0" w:rsidRPr="009B3747" w:rsidRDefault="006F36A0" w:rsidP="006F36A0">
            <w:pPr>
              <w:spacing w:line="276" w:lineRule="auto"/>
              <w:rPr>
                <w:rFonts w:eastAsia="Times New Roman" w:cstheme="minorHAnsi"/>
                <w:sz w:val="24"/>
                <w:szCs w:val="24"/>
                <w:lang w:eastAsia="en-GB"/>
              </w:rPr>
            </w:pPr>
            <w:r w:rsidRPr="009B3747">
              <w:rPr>
                <w:rFonts w:eastAsia="Times New Roman" w:cstheme="minorHAnsi"/>
                <w:color w:val="000000"/>
                <w:sz w:val="20"/>
                <w:szCs w:val="20"/>
                <w:lang w:eastAsia="en-GB"/>
              </w:rPr>
              <w:t>2</w:t>
            </w:r>
          </w:p>
          <w:p w:rsidR="006F36A0" w:rsidRPr="009B3747" w:rsidRDefault="006F36A0" w:rsidP="006F36A0">
            <w:pPr>
              <w:spacing w:line="276" w:lineRule="auto"/>
              <w:rPr>
                <w:rFonts w:eastAsia="Times New Roman" w:cstheme="minorHAnsi"/>
                <w:sz w:val="24"/>
                <w:szCs w:val="24"/>
                <w:lang w:eastAsia="en-GB"/>
              </w:rPr>
            </w:pPr>
            <w:r w:rsidRPr="009B3747">
              <w:rPr>
                <w:rFonts w:eastAsia="Times New Roman" w:cstheme="minorHAnsi"/>
                <w:color w:val="000000"/>
                <w:sz w:val="20"/>
                <w:szCs w:val="20"/>
                <w:lang w:eastAsia="en-GB"/>
              </w:rPr>
              <w:t>3</w:t>
            </w:r>
          </w:p>
          <w:p w:rsidR="006F36A0" w:rsidRPr="009B3747" w:rsidRDefault="006F36A0" w:rsidP="006F36A0">
            <w:pPr>
              <w:spacing w:line="276" w:lineRule="auto"/>
              <w:rPr>
                <w:rFonts w:eastAsia="Times New Roman" w:cstheme="minorHAnsi"/>
                <w:sz w:val="24"/>
                <w:szCs w:val="24"/>
                <w:lang w:eastAsia="en-GB"/>
              </w:rPr>
            </w:pPr>
            <w:r w:rsidRPr="009B3747">
              <w:rPr>
                <w:rFonts w:eastAsia="Times New Roman" w:cstheme="minorHAnsi"/>
                <w:color w:val="000000"/>
                <w:sz w:val="20"/>
                <w:szCs w:val="20"/>
                <w:lang w:eastAsia="en-GB"/>
              </w:rPr>
              <w:t>4</w:t>
            </w:r>
          </w:p>
          <w:p w:rsidR="006F36A0" w:rsidRPr="009B3747" w:rsidRDefault="006F36A0" w:rsidP="006F36A0">
            <w:pPr>
              <w:spacing w:line="276" w:lineRule="auto"/>
              <w:rPr>
                <w:rFonts w:eastAsia="Times New Roman" w:cstheme="minorHAnsi"/>
                <w:sz w:val="24"/>
                <w:szCs w:val="24"/>
                <w:lang w:eastAsia="en-GB"/>
              </w:rPr>
            </w:pPr>
            <w:r w:rsidRPr="009B3747">
              <w:rPr>
                <w:rFonts w:eastAsia="Times New Roman" w:cstheme="minorHAnsi"/>
                <w:color w:val="000000"/>
                <w:sz w:val="20"/>
                <w:szCs w:val="20"/>
                <w:lang w:eastAsia="en-GB"/>
              </w:rPr>
              <w:t>Missing</w:t>
            </w:r>
          </w:p>
          <w:p w:rsidR="006F36A0" w:rsidRPr="009B3747" w:rsidRDefault="006F36A0" w:rsidP="006F36A0">
            <w:pPr>
              <w:spacing w:line="276" w:lineRule="auto"/>
              <w:rPr>
                <w:rFonts w:eastAsia="Times New Roman" w:cstheme="minorHAnsi"/>
                <w:sz w:val="24"/>
                <w:szCs w:val="24"/>
                <w:lang w:eastAsia="en-GB"/>
              </w:rPr>
            </w:pPr>
            <w:r w:rsidRPr="009B3747">
              <w:rPr>
                <w:rFonts w:eastAsia="Times New Roman" w:cstheme="minorHAnsi"/>
                <w:color w:val="000000"/>
                <w:sz w:val="20"/>
                <w:szCs w:val="20"/>
                <w:lang w:eastAsia="en-GB"/>
              </w:rPr>
              <w:t>Not applicable (As not assessed by Ofsted)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F36A0" w:rsidRPr="009B3747" w:rsidRDefault="006F36A0" w:rsidP="006F36A0">
            <w:pPr>
              <w:spacing w:line="276" w:lineRule="auto"/>
              <w:jc w:val="cente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spacing w:line="276"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1</w:t>
            </w:r>
          </w:p>
          <w:p w:rsidR="006F36A0" w:rsidRPr="009B3747" w:rsidRDefault="006F36A0" w:rsidP="006F36A0">
            <w:pPr>
              <w:spacing w:line="276"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11</w:t>
            </w:r>
          </w:p>
          <w:p w:rsidR="006F36A0" w:rsidRPr="009B3747" w:rsidRDefault="006F36A0" w:rsidP="006F36A0">
            <w:pPr>
              <w:spacing w:line="276"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3</w:t>
            </w:r>
          </w:p>
          <w:p w:rsidR="006F36A0" w:rsidRPr="009B3747" w:rsidRDefault="006F36A0" w:rsidP="006F36A0">
            <w:pPr>
              <w:spacing w:line="276"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4</w:t>
            </w:r>
          </w:p>
          <w:p w:rsidR="006F36A0" w:rsidRPr="009B3747" w:rsidRDefault="006F36A0" w:rsidP="006F36A0">
            <w:pPr>
              <w:spacing w:line="276"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1</w:t>
            </w:r>
          </w:p>
          <w:p w:rsidR="006F36A0" w:rsidRPr="009B3747" w:rsidRDefault="006F36A0" w:rsidP="006F36A0">
            <w:pPr>
              <w:spacing w:line="276"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2</w:t>
            </w:r>
          </w:p>
        </w:tc>
      </w:tr>
    </w:tbl>
    <w:p w:rsidR="00991D2F" w:rsidRPr="009B3747" w:rsidRDefault="00991D2F" w:rsidP="00991D2F">
      <w:pPr>
        <w:spacing w:line="240" w:lineRule="auto"/>
        <w:rPr>
          <w:rFonts w:eastAsia="Times New Roman" w:cstheme="minorHAnsi"/>
          <w:b/>
          <w:bCs/>
          <w:color w:val="000000" w:themeColor="text1"/>
          <w:lang w:eastAsia="en-GB"/>
        </w:rPr>
      </w:pPr>
    </w:p>
    <w:p w:rsidR="006F36A0" w:rsidRPr="009B3747" w:rsidRDefault="006F36A0" w:rsidP="00991D2F">
      <w:pPr>
        <w:spacing w:line="240" w:lineRule="auto"/>
        <w:rPr>
          <w:rFonts w:eastAsia="Times New Roman" w:cstheme="minorHAnsi"/>
          <w:color w:val="000000" w:themeColor="text1"/>
          <w:sz w:val="24"/>
          <w:szCs w:val="24"/>
          <w:lang w:eastAsia="en-GB"/>
        </w:rPr>
      </w:pPr>
      <w:r w:rsidRPr="009B3747">
        <w:rPr>
          <w:rFonts w:eastAsia="Times New Roman" w:cstheme="minorHAnsi"/>
          <w:b/>
          <w:bCs/>
          <w:color w:val="000000" w:themeColor="text1"/>
          <w:lang w:eastAsia="en-GB"/>
        </w:rPr>
        <w:t>*</w:t>
      </w:r>
      <w:r w:rsidRPr="009B3747">
        <w:rPr>
          <w:rFonts w:eastAsia="Times New Roman" w:cstheme="minorHAnsi"/>
          <w:color w:val="000000" w:themeColor="text1"/>
          <w:sz w:val="20"/>
          <w:szCs w:val="20"/>
          <w:lang w:eastAsia="en-GB"/>
        </w:rPr>
        <w:t>FSM percentage - Average % of</w:t>
      </w:r>
      <w:r w:rsidR="00BC5102" w:rsidRPr="009B3747">
        <w:rPr>
          <w:rFonts w:eastAsia="Times New Roman" w:cstheme="minorHAnsi"/>
          <w:color w:val="000000" w:themeColor="text1"/>
          <w:sz w:val="20"/>
          <w:szCs w:val="20"/>
          <w:lang w:eastAsia="en-GB"/>
        </w:rPr>
        <w:t xml:space="preserve"> children eligible for and claiming free school meals during data collection period of</w:t>
      </w:r>
      <w:r w:rsidRPr="009B3747">
        <w:rPr>
          <w:rFonts w:eastAsia="Times New Roman" w:cstheme="minorHAnsi"/>
          <w:color w:val="000000" w:themeColor="text1"/>
          <w:sz w:val="20"/>
          <w:szCs w:val="20"/>
          <w:lang w:eastAsia="en-GB"/>
        </w:rPr>
        <w:t xml:space="preserve"> Jan-May 2016).</w:t>
      </w:r>
    </w:p>
    <w:p w:rsidR="006F36A0" w:rsidRPr="009B3747" w:rsidRDefault="006F36A0"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991D2F">
      <w:pPr>
        <w:rPr>
          <w:rFonts w:eastAsia="Times New Roman" w:cstheme="minorHAnsi"/>
          <w:color w:val="000000"/>
          <w:lang w:eastAsia="en-GB"/>
        </w:rPr>
      </w:pPr>
      <w:r w:rsidRPr="009B3747">
        <w:rPr>
          <w:rFonts w:eastAsia="Times New Roman" w:cstheme="minorHAnsi"/>
          <w:color w:val="000000"/>
          <w:lang w:eastAsia="en-GB"/>
        </w:rPr>
        <w:t>In order to provide context to the particip</w:t>
      </w:r>
      <w:r w:rsidR="006B3384" w:rsidRPr="009B3747">
        <w:rPr>
          <w:rFonts w:eastAsia="Times New Roman" w:cstheme="minorHAnsi"/>
          <w:color w:val="000000"/>
          <w:lang w:eastAsia="en-GB"/>
        </w:rPr>
        <w:t>a</w:t>
      </w:r>
      <w:r w:rsidR="00A1002B" w:rsidRPr="009B3747">
        <w:rPr>
          <w:rFonts w:eastAsia="Times New Roman" w:cstheme="minorHAnsi"/>
          <w:color w:val="000000"/>
          <w:lang w:eastAsia="en-GB"/>
        </w:rPr>
        <w:t>nt quotations included, table 6.2</w:t>
      </w:r>
      <w:r w:rsidRPr="009B3747">
        <w:rPr>
          <w:rFonts w:eastAsia="Times New Roman" w:cstheme="minorHAnsi"/>
          <w:color w:val="000000"/>
          <w:lang w:eastAsia="en-GB"/>
        </w:rPr>
        <w:t xml:space="preserve"> provides a detailed summary of individual participant characteristics.  This enables the understanding of each quotation to be informed by the knowledge of which role and what stratas each participant's represents.  To maintain anonymity, any</w:t>
      </w:r>
      <w:r w:rsidR="009025E2">
        <w:rPr>
          <w:rFonts w:eastAsia="Times New Roman" w:cstheme="minorHAnsi"/>
          <w:color w:val="000000"/>
          <w:lang w:eastAsia="en-GB"/>
        </w:rPr>
        <w:t xml:space="preserve"> information which could result</w:t>
      </w:r>
      <w:r w:rsidRPr="009B3747">
        <w:rPr>
          <w:rFonts w:eastAsia="Times New Roman" w:cstheme="minorHAnsi"/>
          <w:color w:val="000000"/>
          <w:lang w:eastAsia="en-GB"/>
        </w:rPr>
        <w:t xml:space="preserve"> in participants being identifiable has been presented within ranges</w:t>
      </w:r>
      <w:r w:rsidR="007F3CF4">
        <w:rPr>
          <w:rFonts w:eastAsia="Times New Roman" w:cstheme="minorHAnsi"/>
          <w:color w:val="000000"/>
          <w:lang w:eastAsia="en-GB"/>
        </w:rPr>
        <w:t>,</w:t>
      </w:r>
      <w:r w:rsidRPr="009B3747">
        <w:rPr>
          <w:rFonts w:eastAsia="Times New Roman" w:cstheme="minorHAnsi"/>
          <w:color w:val="000000"/>
          <w:lang w:eastAsia="en-GB"/>
        </w:rPr>
        <w:t xml:space="preserve"> i.e. participant age, length of time in role and their schools free school meal percentage. </w:t>
      </w:r>
    </w:p>
    <w:p w:rsidR="00356882" w:rsidRPr="009B3747" w:rsidRDefault="00356882" w:rsidP="00991D2F">
      <w:pPr>
        <w:rPr>
          <w:rFonts w:eastAsia="Times New Roman" w:cstheme="minorHAnsi"/>
          <w:color w:val="000000"/>
          <w:lang w:eastAsia="en-GB"/>
        </w:rPr>
      </w:pPr>
    </w:p>
    <w:p w:rsidR="002968BD" w:rsidRPr="009B3747" w:rsidRDefault="00550902" w:rsidP="00356882">
      <w:pPr>
        <w:rPr>
          <w:rFonts w:eastAsia="Times New Roman" w:cstheme="minorHAnsi"/>
          <w:color w:val="000000"/>
          <w:lang w:eastAsia="en-GB"/>
        </w:rPr>
      </w:pPr>
      <w:r w:rsidRPr="009B3747">
        <w:rPr>
          <w:rFonts w:eastAsia="Times New Roman" w:cstheme="minorHAnsi"/>
          <w:color w:val="000000"/>
          <w:lang w:eastAsia="en-GB"/>
        </w:rPr>
        <w:t xml:space="preserve">A </w:t>
      </w:r>
      <w:r w:rsidR="002968BD" w:rsidRPr="009B3747">
        <w:rPr>
          <w:rFonts w:eastAsia="Times New Roman" w:cstheme="minorHAnsi"/>
          <w:color w:val="000000"/>
          <w:lang w:eastAsia="en-GB"/>
        </w:rPr>
        <w:t xml:space="preserve">lack of publically available </w:t>
      </w:r>
      <w:r w:rsidR="00DB655F" w:rsidRPr="009B3747">
        <w:rPr>
          <w:rFonts w:eastAsia="Times New Roman" w:cstheme="minorHAnsi"/>
          <w:color w:val="000000"/>
          <w:lang w:eastAsia="en-GB"/>
        </w:rPr>
        <w:t xml:space="preserve">information </w:t>
      </w:r>
      <w:r w:rsidRPr="009B3747">
        <w:rPr>
          <w:rFonts w:eastAsia="Times New Roman" w:cstheme="minorHAnsi"/>
          <w:color w:val="000000"/>
          <w:lang w:eastAsia="en-GB"/>
        </w:rPr>
        <w:t xml:space="preserve">regarding </w:t>
      </w:r>
      <w:r w:rsidR="002968BD" w:rsidRPr="009B3747">
        <w:rPr>
          <w:rFonts w:eastAsia="Times New Roman" w:cstheme="minorHAnsi"/>
          <w:color w:val="000000"/>
          <w:lang w:eastAsia="en-GB"/>
        </w:rPr>
        <w:t>headteachers</w:t>
      </w:r>
      <w:r w:rsidR="00C86DA7" w:rsidRPr="009B3747">
        <w:rPr>
          <w:rFonts w:eastAsia="Times New Roman" w:cstheme="minorHAnsi"/>
          <w:color w:val="000000"/>
          <w:lang w:eastAsia="en-GB"/>
        </w:rPr>
        <w:t>’</w:t>
      </w:r>
      <w:r w:rsidR="002968BD" w:rsidRPr="009B3747">
        <w:rPr>
          <w:rFonts w:eastAsia="Times New Roman" w:cstheme="minorHAnsi"/>
          <w:color w:val="000000"/>
          <w:lang w:eastAsia="en-GB"/>
        </w:rPr>
        <w:t xml:space="preserve"> and chairs of governors</w:t>
      </w:r>
      <w:r w:rsidR="00C86DA7" w:rsidRPr="009B3747">
        <w:rPr>
          <w:rFonts w:eastAsia="Times New Roman" w:cstheme="minorHAnsi"/>
          <w:color w:val="000000"/>
          <w:lang w:eastAsia="en-GB"/>
        </w:rPr>
        <w:t>’</w:t>
      </w:r>
      <w:r w:rsidR="00DB655F" w:rsidRPr="009B3747">
        <w:rPr>
          <w:rFonts w:eastAsia="Times New Roman" w:cstheme="minorHAnsi"/>
          <w:color w:val="000000"/>
          <w:lang w:eastAsia="en-GB"/>
        </w:rPr>
        <w:t xml:space="preserve"> demographics </w:t>
      </w:r>
      <w:r w:rsidRPr="009B3747">
        <w:rPr>
          <w:rFonts w:eastAsia="Times New Roman" w:cstheme="minorHAnsi"/>
          <w:color w:val="000000"/>
          <w:lang w:eastAsia="en-GB"/>
        </w:rPr>
        <w:t>means reflecting upon the representativeness of the final sample is challenging.  Only the gender ratio of headteachers in state-funded secondary schools is published (61.% males and 39% females),</w:t>
      </w:r>
      <w:r w:rsidR="002968BD" w:rsidRPr="009B3747">
        <w:rPr>
          <w:rFonts w:eastAsia="Times New Roman" w:cstheme="minorHAnsi"/>
          <w:color w:val="000000"/>
          <w:lang w:eastAsia="en-GB"/>
        </w:rPr>
        <w:t xml:space="preserve"> (</w:t>
      </w:r>
      <w:r w:rsidR="002968BD"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"Department for Education", "given" : "", "non-dropping-particle" : "", "parse-names" : false, "suffix" : "" } ], "id" : "ITEM-1", "issued" : { "date-parts" : [ [ "2014" ] ] }, "publisher-place" : "London", "title" : "School Workforce in England", "type" : "report" }, "uris" : [ "http://www.mendeley.com/documents/?uuid=f6b20a62-f98b-43cb-bc1d-4b1803955143" ] } ], "mendeley" : { "formattedCitation" : "(Department for Education, 2014b)", "manualFormatting" : "Department for Education, 2014)", "plainTextFormattedCitation" : "(Department for Education, 2014b)", "previouslyFormattedCitation" : "(Department for Education, 2014b)" }, "properties" : { "noteIndex" : 0 }, "schema" : "https://github.com/citation-style-language/schema/raw/master/csl-citation.json" }</w:instrText>
      </w:r>
      <w:r w:rsidR="002968BD" w:rsidRPr="009B3747">
        <w:rPr>
          <w:rFonts w:eastAsia="Times New Roman" w:cstheme="minorHAnsi"/>
          <w:color w:val="000000"/>
          <w:lang w:eastAsia="en-GB"/>
        </w:rPr>
        <w:fldChar w:fldCharType="separate"/>
      </w:r>
      <w:r w:rsidR="002968BD" w:rsidRPr="009B3747">
        <w:rPr>
          <w:rFonts w:eastAsia="Times New Roman" w:cstheme="minorHAnsi"/>
          <w:noProof/>
          <w:color w:val="000000"/>
          <w:lang w:eastAsia="en-GB"/>
        </w:rPr>
        <w:t>Department for Education, 2014)</w:t>
      </w:r>
      <w:r w:rsidR="002968BD"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Of the 10 headteachers interviewed from state-funded secondary schools interviewed, 60% were males and 40% were females, indicating a broadly similar ratio to the national published statistics.   </w:t>
      </w:r>
    </w:p>
    <w:p w:rsidR="002968BD" w:rsidRPr="009B3747" w:rsidRDefault="002968BD" w:rsidP="00356882">
      <w:pPr>
        <w:rPr>
          <w:rFonts w:eastAsia="Times New Roman" w:cstheme="minorHAnsi"/>
          <w:color w:val="000000"/>
          <w:lang w:eastAsia="en-GB"/>
        </w:rPr>
      </w:pPr>
    </w:p>
    <w:p w:rsidR="002968BD" w:rsidRPr="009B3747" w:rsidRDefault="00550902" w:rsidP="00356882">
      <w:pPr>
        <w:rPr>
          <w:rFonts w:eastAsia="Times New Roman" w:cstheme="minorHAnsi"/>
          <w:color w:val="000000"/>
          <w:lang w:eastAsia="en-GB"/>
        </w:rPr>
      </w:pPr>
      <w:r w:rsidRPr="009B3747">
        <w:rPr>
          <w:rFonts w:eastAsia="Times New Roman" w:cstheme="minorHAnsi"/>
          <w:color w:val="000000"/>
          <w:lang w:eastAsia="en-GB"/>
        </w:rPr>
        <w:t>In relation to the demographics of the secondary schools represented, the D</w:t>
      </w:r>
      <w:r w:rsidR="00356882" w:rsidRPr="009B3747">
        <w:rPr>
          <w:rFonts w:eastAsia="Times New Roman" w:cstheme="minorHAnsi"/>
          <w:color w:val="000000"/>
          <w:lang w:eastAsia="en-GB"/>
        </w:rPr>
        <w:t>epartment</w:t>
      </w:r>
      <w:r w:rsidR="002968BD" w:rsidRPr="009B3747">
        <w:rPr>
          <w:rFonts w:eastAsia="Times New Roman" w:cstheme="minorHAnsi"/>
          <w:color w:val="000000"/>
          <w:lang w:eastAsia="en-GB"/>
        </w:rPr>
        <w:t xml:space="preserve"> for Education (DfE), reports annual statistics related to English state funded schools, pupils and their characteristics </w:t>
      </w:r>
      <w:r w:rsidR="002968BD"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"Department for Education", "given" : "", "non-dropping-particle" : "", "parse-names" : false, "suffix" : "" } ], "id" : "ITEM-1", "issued" : { "date-parts" : [ [ "2016" ] ] }, "publisher-place" : "London", "title" : "Schools, pupils and their characteristics", "type" : "report" }, "uris" : [ "http://www.mendeley.com/documents/?uuid=cb0a9280-f43f-4230-89f2-4d21d4c41146" ] } ], "mendeley" : { "formattedCitation" : "(Department for Education, 2016b)", "plainTextFormattedCitation" : "(Department for Education, 2016b)", "previouslyFormattedCitation" : "(Department for Education, 2016b)" }, "properties" : { "noteIndex" : 0 }, "schema" : "https://github.com/citation-style-language/schema/raw/master/csl-citation.json" }</w:instrText>
      </w:r>
      <w:r w:rsidR="002968BD" w:rsidRPr="009B3747">
        <w:rPr>
          <w:rFonts w:eastAsia="Times New Roman" w:cstheme="minorHAnsi"/>
          <w:color w:val="000000"/>
          <w:lang w:eastAsia="en-GB"/>
        </w:rPr>
        <w:fldChar w:fldCharType="separate"/>
      </w:r>
      <w:r w:rsidR="002968BD" w:rsidRPr="009B3747">
        <w:rPr>
          <w:rFonts w:eastAsia="Times New Roman" w:cstheme="minorHAnsi"/>
          <w:noProof/>
          <w:color w:val="000000"/>
          <w:lang w:eastAsia="en-GB"/>
        </w:rPr>
        <w:t>(Department for Education, 2016b)</w:t>
      </w:r>
      <w:r w:rsidR="002968BD" w:rsidRPr="009B3747">
        <w:rPr>
          <w:rFonts w:eastAsia="Times New Roman" w:cstheme="minorHAnsi"/>
          <w:color w:val="000000"/>
          <w:lang w:eastAsia="en-GB"/>
        </w:rPr>
        <w:fldChar w:fldCharType="end"/>
      </w:r>
      <w:r w:rsidR="002968BD" w:rsidRPr="009B3747">
        <w:rPr>
          <w:rFonts w:eastAsia="Times New Roman" w:cstheme="minorHAnsi"/>
          <w:color w:val="000000"/>
          <w:lang w:eastAsia="en-GB"/>
        </w:rPr>
        <w:t>.</w:t>
      </w:r>
      <w:r w:rsidRPr="009B3747">
        <w:rPr>
          <w:rFonts w:eastAsia="Times New Roman" w:cstheme="minorHAnsi"/>
          <w:color w:val="000000"/>
          <w:lang w:eastAsia="en-GB"/>
        </w:rPr>
        <w:t xml:space="preserve">  Comparisons between the </w:t>
      </w:r>
      <w:r w:rsidR="00BA6623" w:rsidRPr="009B3747">
        <w:rPr>
          <w:rFonts w:eastAsia="Times New Roman" w:cstheme="minorHAnsi"/>
          <w:color w:val="000000"/>
          <w:lang w:eastAsia="en-GB"/>
        </w:rPr>
        <w:t xml:space="preserve">state-funded schools represented and reported national </w:t>
      </w:r>
      <w:r w:rsidRPr="009B3747">
        <w:rPr>
          <w:rFonts w:eastAsia="Times New Roman" w:cstheme="minorHAnsi"/>
          <w:color w:val="000000"/>
          <w:lang w:eastAsia="en-GB"/>
        </w:rPr>
        <w:t xml:space="preserve">statistics, indicates that </w:t>
      </w:r>
      <w:r w:rsidR="00BA6623" w:rsidRPr="009B3747">
        <w:rPr>
          <w:rFonts w:eastAsia="Times New Roman" w:cstheme="minorHAnsi"/>
          <w:color w:val="000000"/>
          <w:lang w:eastAsia="en-GB"/>
        </w:rPr>
        <w:t>the final qualitative sample was overrepresented by academy school types (73.7% compared to 58.6%</w:t>
      </w:r>
      <w:r w:rsidR="000B34B1" w:rsidRPr="009B3747">
        <w:rPr>
          <w:rFonts w:eastAsia="Times New Roman" w:cstheme="minorHAnsi"/>
          <w:color w:val="000000"/>
          <w:lang w:eastAsia="en-GB"/>
        </w:rPr>
        <w:t>) and s</w:t>
      </w:r>
      <w:r w:rsidR="00BA6623" w:rsidRPr="009B3747">
        <w:rPr>
          <w:rFonts w:eastAsia="Times New Roman" w:cstheme="minorHAnsi"/>
          <w:color w:val="000000"/>
          <w:lang w:eastAsia="en-GB"/>
        </w:rPr>
        <w:t xml:space="preserve">chools with </w:t>
      </w:r>
      <w:r w:rsidR="000B34B1" w:rsidRPr="009B3747">
        <w:rPr>
          <w:rFonts w:eastAsia="Times New Roman" w:cstheme="minorHAnsi"/>
          <w:color w:val="000000"/>
          <w:lang w:eastAsia="en-GB"/>
        </w:rPr>
        <w:t xml:space="preserve">a </w:t>
      </w:r>
      <w:r w:rsidR="00BA6623" w:rsidRPr="009B3747">
        <w:rPr>
          <w:rFonts w:eastAsia="Times New Roman" w:cstheme="minorHAnsi"/>
          <w:color w:val="000000"/>
          <w:lang w:eastAsia="en-GB"/>
        </w:rPr>
        <w:t>higher than average free school meal percentage</w:t>
      </w:r>
      <w:r w:rsidR="000B34B1" w:rsidRPr="009B3747">
        <w:rPr>
          <w:rFonts w:eastAsia="Times New Roman" w:cstheme="minorHAnsi"/>
          <w:color w:val="000000"/>
          <w:lang w:eastAsia="en-GB"/>
        </w:rPr>
        <w:t xml:space="preserve"> of 13.2%</w:t>
      </w:r>
      <w:r w:rsidR="00BA6623" w:rsidRPr="009B3747">
        <w:rPr>
          <w:rFonts w:eastAsia="Times New Roman" w:cstheme="minorHAnsi"/>
          <w:color w:val="000000"/>
          <w:lang w:eastAsia="en-GB"/>
        </w:rPr>
        <w:t xml:space="preserve"> </w:t>
      </w:r>
      <w:r w:rsidR="000B34B1"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"Department for Education", "given" : "", "non-dropping-particle" : "", "parse-names" : false, "suffix" : "" } ], "id" : "ITEM-1", "issued" : { "date-parts" : [ [ "2016" ] ] }, "publisher-place" : "London", "title" : "Schools, pupils and their characteristics", "type" : "report" }, "uris" : [ "http://www.mendeley.com/documents/?uuid=cb0a9280-f43f-4230-89f2-4d21d4c41146" ] } ], "mendeley" : { "formattedCitation" : "(Department for Education, 2016b)", "plainTextFormattedCitation" : "(Department for Education, 2016b)", "previouslyFormattedCitation" : "(Department for Education, 2016b)" }, "properties" : { "noteIndex" : 0 }, "schema" : "https://github.com/citation-style-language/schema/raw/master/csl-citation.json" }</w:instrText>
      </w:r>
      <w:r w:rsidR="000B34B1" w:rsidRPr="009B3747">
        <w:rPr>
          <w:rFonts w:eastAsia="Times New Roman" w:cstheme="minorHAnsi"/>
          <w:color w:val="000000"/>
          <w:lang w:eastAsia="en-GB"/>
        </w:rPr>
        <w:fldChar w:fldCharType="separate"/>
      </w:r>
      <w:r w:rsidR="000B34B1" w:rsidRPr="009B3747">
        <w:rPr>
          <w:rFonts w:eastAsia="Times New Roman" w:cstheme="minorHAnsi"/>
          <w:noProof/>
          <w:color w:val="000000"/>
          <w:lang w:eastAsia="en-GB"/>
        </w:rPr>
        <w:t>(Department for Education, 2016b)</w:t>
      </w:r>
      <w:r w:rsidR="000B34B1" w:rsidRPr="009B3747">
        <w:rPr>
          <w:rFonts w:eastAsia="Times New Roman" w:cstheme="minorHAnsi"/>
          <w:color w:val="000000"/>
          <w:lang w:eastAsia="en-GB"/>
        </w:rPr>
        <w:fldChar w:fldCharType="end"/>
      </w:r>
      <w:r w:rsidR="000B34B1" w:rsidRPr="009B3747">
        <w:rPr>
          <w:rFonts w:eastAsia="Times New Roman" w:cstheme="minorHAnsi"/>
          <w:color w:val="000000"/>
          <w:lang w:eastAsia="en-GB"/>
        </w:rPr>
        <w:t>.</w:t>
      </w:r>
    </w:p>
    <w:p w:rsidR="006F36A0" w:rsidRPr="009B3747" w:rsidRDefault="006F36A0" w:rsidP="00FE0C7F">
      <w:pPr>
        <w:rPr>
          <w:rFonts w:eastAsia="Times New Roman" w:cstheme="minorHAnsi"/>
          <w:lang w:eastAsia="en-GB"/>
        </w:rPr>
      </w:pPr>
      <w:r w:rsidRPr="009B3747">
        <w:rPr>
          <w:rFonts w:eastAsia="Times New Roman" w:cstheme="minorHAnsi"/>
          <w:bCs/>
          <w:color w:val="000000"/>
          <w:u w:val="single"/>
          <w:lang w:eastAsia="en-GB"/>
        </w:rPr>
        <w:lastRenderedPageBreak/>
        <w:t>Tabl</w:t>
      </w:r>
      <w:r w:rsidR="00A1002B" w:rsidRPr="009B3747">
        <w:rPr>
          <w:rFonts w:eastAsia="Times New Roman" w:cstheme="minorHAnsi"/>
          <w:bCs/>
          <w:color w:val="000000"/>
          <w:u w:val="single"/>
          <w:lang w:eastAsia="en-GB"/>
        </w:rPr>
        <w:t xml:space="preserve">e 6.2 </w:t>
      </w:r>
      <w:r w:rsidRPr="009B3747">
        <w:rPr>
          <w:rFonts w:eastAsia="Times New Roman" w:cstheme="minorHAnsi"/>
          <w:bCs/>
          <w:color w:val="000000"/>
          <w:u w:val="single"/>
          <w:lang w:eastAsia="en-GB"/>
        </w:rPr>
        <w:t>- Individual participant characteristics</w:t>
      </w:r>
      <w:r w:rsidR="00991D2F" w:rsidRPr="009B3747">
        <w:rPr>
          <w:rFonts w:eastAsia="Times New Roman" w:cstheme="minorHAnsi"/>
          <w:bCs/>
          <w:color w:val="000000"/>
          <w:u w:val="single"/>
          <w:lang w:eastAsia="en-GB"/>
        </w:rPr>
        <w:t xml:space="preserve"> (qualitative phase)</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124"/>
        <w:gridCol w:w="1985"/>
        <w:gridCol w:w="2693"/>
        <w:gridCol w:w="1843"/>
        <w:gridCol w:w="1361"/>
      </w:tblGrid>
      <w:tr w:rsidR="006F36A0" w:rsidRPr="009B3747" w:rsidTr="00FE0C7F">
        <w:tc>
          <w:tcPr>
            <w:tcW w:w="1124" w:type="dxa"/>
            <w:tcBorders>
              <w:top w:val="single" w:sz="8" w:space="0" w:color="000000"/>
              <w:left w:val="single" w:sz="8" w:space="0" w:color="000000"/>
              <w:bottom w:val="single" w:sz="8" w:space="0" w:color="000000"/>
              <w:right w:val="single" w:sz="8" w:space="0" w:color="000000"/>
            </w:tcBorders>
            <w:shd w:val="clear" w:color="auto" w:fill="B7B7B7"/>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sz w:val="24"/>
                <w:szCs w:val="24"/>
                <w:lang w:eastAsia="en-GB"/>
              </w:rPr>
              <w:t> </w:t>
            </w:r>
            <w:r w:rsidRPr="009B3747">
              <w:rPr>
                <w:rFonts w:eastAsia="Times New Roman" w:cstheme="minorHAnsi"/>
                <w:b/>
                <w:bCs/>
                <w:color w:val="000000"/>
                <w:sz w:val="20"/>
                <w:szCs w:val="20"/>
                <w:lang w:eastAsia="en-GB"/>
              </w:rPr>
              <w:t>Participant number</w:t>
            </w:r>
          </w:p>
        </w:tc>
        <w:tc>
          <w:tcPr>
            <w:tcW w:w="1985" w:type="dxa"/>
            <w:tcBorders>
              <w:top w:val="single" w:sz="8" w:space="0" w:color="000000"/>
              <w:left w:val="single" w:sz="8" w:space="0" w:color="000000"/>
              <w:bottom w:val="single" w:sz="8" w:space="0" w:color="000000"/>
              <w:right w:val="single" w:sz="8" w:space="0" w:color="000000"/>
            </w:tcBorders>
            <w:shd w:val="clear" w:color="auto" w:fill="B7B7B7"/>
            <w:tcMar>
              <w:top w:w="57" w:type="dxa"/>
              <w:left w:w="57" w:type="dxa"/>
              <w:bottom w:w="57" w:type="dxa"/>
              <w:right w:w="57" w:type="dxa"/>
            </w:tcMar>
            <w:hideMark/>
          </w:tcPr>
          <w:p w:rsidR="006F36A0" w:rsidRPr="009B3747" w:rsidRDefault="00FE0C7F" w:rsidP="00FE0C7F">
            <w:pPr>
              <w:jc w:val="center"/>
              <w:rPr>
                <w:rFonts w:eastAsia="Times New Roman" w:cstheme="minorHAnsi"/>
                <w:sz w:val="24"/>
                <w:szCs w:val="24"/>
                <w:lang w:eastAsia="en-GB"/>
              </w:rPr>
            </w:pPr>
            <w:r w:rsidRPr="009B3747">
              <w:rPr>
                <w:rFonts w:eastAsia="Times New Roman" w:cstheme="minorHAnsi"/>
                <w:b/>
                <w:bCs/>
                <w:color w:val="000000"/>
                <w:sz w:val="20"/>
                <w:szCs w:val="20"/>
                <w:lang w:eastAsia="en-GB"/>
              </w:rPr>
              <w:t>Headteacher or c</w:t>
            </w:r>
            <w:r w:rsidR="006F36A0" w:rsidRPr="009B3747">
              <w:rPr>
                <w:rFonts w:eastAsia="Times New Roman" w:cstheme="minorHAnsi"/>
                <w:b/>
                <w:bCs/>
                <w:color w:val="000000"/>
                <w:sz w:val="20"/>
                <w:szCs w:val="20"/>
                <w:lang w:eastAsia="en-GB"/>
              </w:rPr>
              <w:t>hair of governors</w:t>
            </w:r>
          </w:p>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sz w:val="24"/>
                <w:szCs w:val="24"/>
                <w:lang w:eastAsia="en-GB"/>
              </w:rPr>
              <w:t> </w:t>
            </w:r>
          </w:p>
        </w:tc>
        <w:tc>
          <w:tcPr>
            <w:tcW w:w="2693" w:type="dxa"/>
            <w:tcBorders>
              <w:top w:val="single" w:sz="8" w:space="0" w:color="000000"/>
              <w:left w:val="single" w:sz="8" w:space="0" w:color="000000"/>
              <w:bottom w:val="single" w:sz="8" w:space="0" w:color="000000"/>
              <w:right w:val="single" w:sz="8" w:space="0" w:color="000000"/>
            </w:tcBorders>
            <w:shd w:val="clear" w:color="auto" w:fill="B7B7B7"/>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b/>
                <w:bCs/>
                <w:color w:val="000000"/>
                <w:sz w:val="20"/>
                <w:szCs w:val="20"/>
                <w:lang w:eastAsia="en-GB"/>
              </w:rPr>
              <w:t>Participant Gender/</w:t>
            </w:r>
          </w:p>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b/>
                <w:bCs/>
                <w:color w:val="000000"/>
                <w:sz w:val="20"/>
                <w:szCs w:val="20"/>
                <w:lang w:eastAsia="en-GB"/>
              </w:rPr>
              <w:t>Age/length of time in role*</w:t>
            </w:r>
          </w:p>
        </w:tc>
        <w:tc>
          <w:tcPr>
            <w:tcW w:w="1843" w:type="dxa"/>
            <w:tcBorders>
              <w:top w:val="single" w:sz="8" w:space="0" w:color="000000"/>
              <w:left w:val="single" w:sz="8" w:space="0" w:color="000000"/>
              <w:bottom w:val="single" w:sz="8" w:space="0" w:color="000000"/>
              <w:right w:val="single" w:sz="8" w:space="0" w:color="000000"/>
            </w:tcBorders>
            <w:shd w:val="clear" w:color="auto" w:fill="B7B7B7"/>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b/>
                <w:bCs/>
                <w:color w:val="000000"/>
                <w:sz w:val="20"/>
                <w:szCs w:val="20"/>
                <w:lang w:eastAsia="en-GB"/>
              </w:rPr>
              <w:t>School type</w:t>
            </w:r>
          </w:p>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b/>
                <w:bCs/>
                <w:color w:val="000000"/>
                <w:sz w:val="20"/>
                <w:szCs w:val="20"/>
                <w:lang w:eastAsia="en-GB"/>
              </w:rPr>
              <w:t>Gender/Age/length of role?</w:t>
            </w:r>
          </w:p>
        </w:tc>
        <w:tc>
          <w:tcPr>
            <w:tcW w:w="1361" w:type="dxa"/>
            <w:tcBorders>
              <w:top w:val="single" w:sz="8" w:space="0" w:color="000000"/>
              <w:left w:val="single" w:sz="8" w:space="0" w:color="000000"/>
              <w:bottom w:val="single" w:sz="8" w:space="0" w:color="000000"/>
              <w:right w:val="single" w:sz="8" w:space="0" w:color="000000"/>
            </w:tcBorders>
            <w:shd w:val="clear" w:color="auto" w:fill="B7B7B7"/>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b/>
                <w:bCs/>
                <w:color w:val="000000"/>
                <w:sz w:val="20"/>
                <w:szCs w:val="20"/>
                <w:lang w:eastAsia="en-GB"/>
              </w:rPr>
              <w:t>Free school meal percentage**</w:t>
            </w:r>
          </w:p>
        </w:tc>
      </w:tr>
      <w:tr w:rsidR="006F36A0" w:rsidRPr="009B3747" w:rsidTr="00FE0C7F">
        <w:trPr>
          <w:trHeight w:val="233"/>
        </w:trPr>
        <w:tc>
          <w:tcPr>
            <w:tcW w:w="1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1</w:t>
            </w:r>
          </w:p>
        </w:tc>
        <w:tc>
          <w:tcPr>
            <w:tcW w:w="198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Headteacher</w:t>
            </w:r>
          </w:p>
        </w:tc>
        <w:tc>
          <w:tcPr>
            <w:tcW w:w="269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Female/51-60yrs/ 11-15yrs</w:t>
            </w:r>
          </w:p>
        </w:tc>
        <w:tc>
          <w:tcPr>
            <w:tcW w:w="184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 xml:space="preserve">Academy </w:t>
            </w:r>
          </w:p>
        </w:tc>
        <w:tc>
          <w:tcPr>
            <w:tcW w:w="136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20-25%</w:t>
            </w:r>
          </w:p>
        </w:tc>
      </w:tr>
      <w:tr w:rsidR="006F36A0" w:rsidRPr="009B3747" w:rsidTr="00FE0C7F">
        <w:tc>
          <w:tcPr>
            <w:tcW w:w="1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2</w:t>
            </w:r>
          </w:p>
        </w:tc>
        <w:tc>
          <w:tcPr>
            <w:tcW w:w="198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Chair of governors</w:t>
            </w:r>
          </w:p>
        </w:tc>
        <w:tc>
          <w:tcPr>
            <w:tcW w:w="269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Female/61-70yrs/1-5yrs</w:t>
            </w:r>
          </w:p>
        </w:tc>
        <w:tc>
          <w:tcPr>
            <w:tcW w:w="184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 xml:space="preserve">Academy </w:t>
            </w:r>
          </w:p>
        </w:tc>
        <w:tc>
          <w:tcPr>
            <w:tcW w:w="136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20-25%</w:t>
            </w:r>
          </w:p>
        </w:tc>
      </w:tr>
      <w:tr w:rsidR="006F36A0" w:rsidRPr="009B3747" w:rsidTr="00FE0C7F">
        <w:tc>
          <w:tcPr>
            <w:tcW w:w="1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3</w:t>
            </w:r>
          </w:p>
        </w:tc>
        <w:tc>
          <w:tcPr>
            <w:tcW w:w="198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Chair of governors</w:t>
            </w:r>
          </w:p>
        </w:tc>
        <w:tc>
          <w:tcPr>
            <w:tcW w:w="269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Male/61-70yrs/6-10 yrs</w:t>
            </w:r>
          </w:p>
        </w:tc>
        <w:tc>
          <w:tcPr>
            <w:tcW w:w="184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FE0C7F"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Academy</w:t>
            </w:r>
          </w:p>
        </w:tc>
        <w:tc>
          <w:tcPr>
            <w:tcW w:w="136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Over 60%</w:t>
            </w:r>
          </w:p>
        </w:tc>
      </w:tr>
      <w:tr w:rsidR="006F36A0" w:rsidRPr="009B3747" w:rsidTr="00FE0C7F">
        <w:tc>
          <w:tcPr>
            <w:tcW w:w="1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4</w:t>
            </w:r>
          </w:p>
        </w:tc>
        <w:tc>
          <w:tcPr>
            <w:tcW w:w="198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Chair of governors</w:t>
            </w:r>
          </w:p>
        </w:tc>
        <w:tc>
          <w:tcPr>
            <w:tcW w:w="269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FE0C7F"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Male/51-60yrs/</w:t>
            </w:r>
            <w:r w:rsidR="006F36A0" w:rsidRPr="009B3747">
              <w:rPr>
                <w:rFonts w:eastAsia="Times New Roman" w:cstheme="minorHAnsi"/>
                <w:color w:val="000000"/>
                <w:sz w:val="20"/>
                <w:szCs w:val="20"/>
                <w:lang w:eastAsia="en-GB"/>
              </w:rPr>
              <w:t>6-10yrs</w:t>
            </w:r>
          </w:p>
        </w:tc>
        <w:tc>
          <w:tcPr>
            <w:tcW w:w="184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FE0C7F"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Academy</w:t>
            </w:r>
          </w:p>
        </w:tc>
        <w:tc>
          <w:tcPr>
            <w:tcW w:w="136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Over 60%</w:t>
            </w:r>
          </w:p>
        </w:tc>
      </w:tr>
      <w:tr w:rsidR="006F36A0" w:rsidRPr="009B3747" w:rsidTr="00FE0C7F">
        <w:tc>
          <w:tcPr>
            <w:tcW w:w="1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5</w:t>
            </w:r>
          </w:p>
        </w:tc>
        <w:tc>
          <w:tcPr>
            <w:tcW w:w="198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Headteacher</w:t>
            </w:r>
          </w:p>
        </w:tc>
        <w:tc>
          <w:tcPr>
            <w:tcW w:w="269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FE0C7F"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Male/41-50yrs/</w:t>
            </w:r>
            <w:r w:rsidR="006F36A0" w:rsidRPr="009B3747">
              <w:rPr>
                <w:rFonts w:eastAsia="Times New Roman" w:cstheme="minorHAnsi"/>
                <w:color w:val="000000"/>
                <w:sz w:val="20"/>
                <w:szCs w:val="20"/>
                <w:lang w:eastAsia="en-GB"/>
              </w:rPr>
              <w:t>6-10yrs</w:t>
            </w:r>
          </w:p>
        </w:tc>
        <w:tc>
          <w:tcPr>
            <w:tcW w:w="184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 xml:space="preserve">Other independent </w:t>
            </w:r>
          </w:p>
        </w:tc>
        <w:tc>
          <w:tcPr>
            <w:tcW w:w="136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N/A</w:t>
            </w:r>
          </w:p>
        </w:tc>
      </w:tr>
      <w:tr w:rsidR="006F36A0" w:rsidRPr="009B3747" w:rsidTr="00FE0C7F">
        <w:tc>
          <w:tcPr>
            <w:tcW w:w="1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6</w:t>
            </w:r>
          </w:p>
        </w:tc>
        <w:tc>
          <w:tcPr>
            <w:tcW w:w="198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Headteacher</w:t>
            </w:r>
          </w:p>
        </w:tc>
        <w:tc>
          <w:tcPr>
            <w:tcW w:w="269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Male/41-50yrs/6-10yrs</w:t>
            </w:r>
          </w:p>
        </w:tc>
        <w:tc>
          <w:tcPr>
            <w:tcW w:w="184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FE0C7F"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Academy</w:t>
            </w:r>
          </w:p>
        </w:tc>
        <w:tc>
          <w:tcPr>
            <w:tcW w:w="136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36-40%</w:t>
            </w:r>
          </w:p>
        </w:tc>
      </w:tr>
      <w:tr w:rsidR="006F36A0" w:rsidRPr="009B3747" w:rsidTr="00FE0C7F">
        <w:tc>
          <w:tcPr>
            <w:tcW w:w="1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7</w:t>
            </w:r>
          </w:p>
        </w:tc>
        <w:tc>
          <w:tcPr>
            <w:tcW w:w="198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Headteacher</w:t>
            </w:r>
          </w:p>
        </w:tc>
        <w:tc>
          <w:tcPr>
            <w:tcW w:w="269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Female/51-60yrs/1-5yrs</w:t>
            </w:r>
          </w:p>
        </w:tc>
        <w:tc>
          <w:tcPr>
            <w:tcW w:w="184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Other independent</w:t>
            </w:r>
          </w:p>
        </w:tc>
        <w:tc>
          <w:tcPr>
            <w:tcW w:w="136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N/A</w:t>
            </w:r>
          </w:p>
        </w:tc>
      </w:tr>
      <w:tr w:rsidR="006F36A0" w:rsidRPr="009B3747" w:rsidTr="00FE0C7F">
        <w:tc>
          <w:tcPr>
            <w:tcW w:w="1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8</w:t>
            </w:r>
          </w:p>
        </w:tc>
        <w:tc>
          <w:tcPr>
            <w:tcW w:w="198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Headteacher</w:t>
            </w:r>
          </w:p>
        </w:tc>
        <w:tc>
          <w:tcPr>
            <w:tcW w:w="269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Female/51-60yrs/6-10yrs</w:t>
            </w:r>
          </w:p>
        </w:tc>
        <w:tc>
          <w:tcPr>
            <w:tcW w:w="184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FE0C7F"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Academy</w:t>
            </w:r>
          </w:p>
        </w:tc>
        <w:tc>
          <w:tcPr>
            <w:tcW w:w="136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16-20%</w:t>
            </w:r>
          </w:p>
        </w:tc>
      </w:tr>
      <w:tr w:rsidR="006F36A0" w:rsidRPr="009B3747" w:rsidTr="00FE0C7F">
        <w:tc>
          <w:tcPr>
            <w:tcW w:w="1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9</w:t>
            </w:r>
          </w:p>
        </w:tc>
        <w:tc>
          <w:tcPr>
            <w:tcW w:w="198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 xml:space="preserve">Headteacher </w:t>
            </w:r>
          </w:p>
        </w:tc>
        <w:tc>
          <w:tcPr>
            <w:tcW w:w="269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Male/41-50yrs/6-10yrs</w:t>
            </w:r>
          </w:p>
        </w:tc>
        <w:tc>
          <w:tcPr>
            <w:tcW w:w="184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Community</w:t>
            </w:r>
          </w:p>
        </w:tc>
        <w:tc>
          <w:tcPr>
            <w:tcW w:w="136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26-30%</w:t>
            </w:r>
          </w:p>
        </w:tc>
      </w:tr>
      <w:tr w:rsidR="006F36A0" w:rsidRPr="009B3747" w:rsidTr="00FE0C7F">
        <w:tc>
          <w:tcPr>
            <w:tcW w:w="1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10</w:t>
            </w:r>
          </w:p>
        </w:tc>
        <w:tc>
          <w:tcPr>
            <w:tcW w:w="198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 xml:space="preserve">Headteacher </w:t>
            </w:r>
          </w:p>
        </w:tc>
        <w:tc>
          <w:tcPr>
            <w:tcW w:w="269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Male/31-40yrs/1-5yrs</w:t>
            </w:r>
          </w:p>
        </w:tc>
        <w:tc>
          <w:tcPr>
            <w:tcW w:w="184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FE0C7F"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Academy</w:t>
            </w:r>
          </w:p>
        </w:tc>
        <w:tc>
          <w:tcPr>
            <w:tcW w:w="136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Over 60%</w:t>
            </w:r>
          </w:p>
        </w:tc>
      </w:tr>
      <w:tr w:rsidR="006F36A0" w:rsidRPr="009B3747" w:rsidTr="00FE0C7F">
        <w:tc>
          <w:tcPr>
            <w:tcW w:w="1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11</w:t>
            </w:r>
          </w:p>
        </w:tc>
        <w:tc>
          <w:tcPr>
            <w:tcW w:w="198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Chair of governors</w:t>
            </w:r>
          </w:p>
        </w:tc>
        <w:tc>
          <w:tcPr>
            <w:tcW w:w="269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Female/41-50yrs/1-5yrs</w:t>
            </w:r>
          </w:p>
        </w:tc>
        <w:tc>
          <w:tcPr>
            <w:tcW w:w="184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Community</w:t>
            </w:r>
          </w:p>
        </w:tc>
        <w:tc>
          <w:tcPr>
            <w:tcW w:w="136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21-25%</w:t>
            </w:r>
          </w:p>
        </w:tc>
      </w:tr>
      <w:tr w:rsidR="006F36A0" w:rsidRPr="009B3747" w:rsidTr="00FE0C7F">
        <w:tc>
          <w:tcPr>
            <w:tcW w:w="1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12</w:t>
            </w:r>
          </w:p>
        </w:tc>
        <w:tc>
          <w:tcPr>
            <w:tcW w:w="198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Chair of governors</w:t>
            </w:r>
          </w:p>
        </w:tc>
        <w:tc>
          <w:tcPr>
            <w:tcW w:w="269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Male/51-60yrs/1-5yrs</w:t>
            </w:r>
          </w:p>
        </w:tc>
        <w:tc>
          <w:tcPr>
            <w:tcW w:w="184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Community</w:t>
            </w:r>
          </w:p>
        </w:tc>
        <w:tc>
          <w:tcPr>
            <w:tcW w:w="136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11-15%</w:t>
            </w:r>
          </w:p>
        </w:tc>
      </w:tr>
      <w:tr w:rsidR="006F36A0" w:rsidRPr="009B3747" w:rsidTr="00FE0C7F">
        <w:tc>
          <w:tcPr>
            <w:tcW w:w="1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13</w:t>
            </w:r>
          </w:p>
        </w:tc>
        <w:tc>
          <w:tcPr>
            <w:tcW w:w="198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Chair of governors</w:t>
            </w:r>
          </w:p>
        </w:tc>
        <w:tc>
          <w:tcPr>
            <w:tcW w:w="269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Male/71-80yrs/6-10yrs</w:t>
            </w:r>
          </w:p>
        </w:tc>
        <w:tc>
          <w:tcPr>
            <w:tcW w:w="184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Voluntary aided</w:t>
            </w:r>
          </w:p>
        </w:tc>
        <w:tc>
          <w:tcPr>
            <w:tcW w:w="136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26-30%</w:t>
            </w:r>
          </w:p>
        </w:tc>
      </w:tr>
      <w:tr w:rsidR="006F36A0" w:rsidRPr="009B3747" w:rsidTr="00FE0C7F">
        <w:tc>
          <w:tcPr>
            <w:tcW w:w="1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14</w:t>
            </w:r>
          </w:p>
        </w:tc>
        <w:tc>
          <w:tcPr>
            <w:tcW w:w="198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Headteacher</w:t>
            </w:r>
          </w:p>
        </w:tc>
        <w:tc>
          <w:tcPr>
            <w:tcW w:w="269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Male/51-60yrs/6-10yrs</w:t>
            </w:r>
          </w:p>
        </w:tc>
        <w:tc>
          <w:tcPr>
            <w:tcW w:w="184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Other independent</w:t>
            </w:r>
          </w:p>
        </w:tc>
        <w:tc>
          <w:tcPr>
            <w:tcW w:w="136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N/A</w:t>
            </w:r>
          </w:p>
        </w:tc>
      </w:tr>
      <w:tr w:rsidR="006F36A0" w:rsidRPr="009B3747" w:rsidTr="00FE0C7F">
        <w:tc>
          <w:tcPr>
            <w:tcW w:w="1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15</w:t>
            </w:r>
          </w:p>
        </w:tc>
        <w:tc>
          <w:tcPr>
            <w:tcW w:w="198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Chair of governors</w:t>
            </w:r>
          </w:p>
        </w:tc>
        <w:tc>
          <w:tcPr>
            <w:tcW w:w="269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Male/61-70yrs/6-10yrs</w:t>
            </w:r>
          </w:p>
        </w:tc>
        <w:tc>
          <w:tcPr>
            <w:tcW w:w="184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FE0C7F"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Academy</w:t>
            </w:r>
          </w:p>
        </w:tc>
        <w:tc>
          <w:tcPr>
            <w:tcW w:w="136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16-20%</w:t>
            </w:r>
          </w:p>
        </w:tc>
      </w:tr>
      <w:tr w:rsidR="006F36A0" w:rsidRPr="009B3747" w:rsidTr="00FE0C7F">
        <w:tc>
          <w:tcPr>
            <w:tcW w:w="1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16</w:t>
            </w:r>
          </w:p>
        </w:tc>
        <w:tc>
          <w:tcPr>
            <w:tcW w:w="198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Headteacher</w:t>
            </w:r>
          </w:p>
        </w:tc>
        <w:tc>
          <w:tcPr>
            <w:tcW w:w="269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Male/51-60yrs/1-5yrs</w:t>
            </w:r>
          </w:p>
        </w:tc>
        <w:tc>
          <w:tcPr>
            <w:tcW w:w="184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FE0C7F"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Academy</w:t>
            </w:r>
          </w:p>
        </w:tc>
        <w:tc>
          <w:tcPr>
            <w:tcW w:w="136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16-20%</w:t>
            </w:r>
          </w:p>
        </w:tc>
      </w:tr>
      <w:tr w:rsidR="006F36A0" w:rsidRPr="009B3747" w:rsidTr="00FE0C7F">
        <w:tc>
          <w:tcPr>
            <w:tcW w:w="1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17</w:t>
            </w:r>
          </w:p>
        </w:tc>
        <w:tc>
          <w:tcPr>
            <w:tcW w:w="198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Headteacher</w:t>
            </w:r>
          </w:p>
        </w:tc>
        <w:tc>
          <w:tcPr>
            <w:tcW w:w="269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Female/61-70yrs/6-10yrs</w:t>
            </w:r>
          </w:p>
        </w:tc>
        <w:tc>
          <w:tcPr>
            <w:tcW w:w="184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FE0C7F"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Academy</w:t>
            </w:r>
          </w:p>
        </w:tc>
        <w:tc>
          <w:tcPr>
            <w:tcW w:w="136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16-20%</w:t>
            </w:r>
          </w:p>
        </w:tc>
      </w:tr>
      <w:tr w:rsidR="006F36A0" w:rsidRPr="009B3747" w:rsidTr="00FE0C7F">
        <w:tc>
          <w:tcPr>
            <w:tcW w:w="1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18</w:t>
            </w:r>
          </w:p>
        </w:tc>
        <w:tc>
          <w:tcPr>
            <w:tcW w:w="198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Chair of governors</w:t>
            </w:r>
          </w:p>
        </w:tc>
        <w:tc>
          <w:tcPr>
            <w:tcW w:w="269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Male/61-70yrs/Less than 1 year</w:t>
            </w:r>
          </w:p>
        </w:tc>
        <w:tc>
          <w:tcPr>
            <w:tcW w:w="184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FE0C7F"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Academy</w:t>
            </w:r>
          </w:p>
        </w:tc>
        <w:tc>
          <w:tcPr>
            <w:tcW w:w="136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41-45%</w:t>
            </w:r>
          </w:p>
        </w:tc>
      </w:tr>
      <w:tr w:rsidR="006F36A0" w:rsidRPr="009B3747" w:rsidTr="00FE0C7F">
        <w:tc>
          <w:tcPr>
            <w:tcW w:w="1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19</w:t>
            </w:r>
          </w:p>
        </w:tc>
        <w:tc>
          <w:tcPr>
            <w:tcW w:w="198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Headteacher</w:t>
            </w:r>
          </w:p>
        </w:tc>
        <w:tc>
          <w:tcPr>
            <w:tcW w:w="269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Male/41-50yrs/11-15yrs</w:t>
            </w:r>
          </w:p>
        </w:tc>
        <w:tc>
          <w:tcPr>
            <w:tcW w:w="184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FE0C7F"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Academy</w:t>
            </w:r>
          </w:p>
        </w:tc>
        <w:tc>
          <w:tcPr>
            <w:tcW w:w="136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41-45%</w:t>
            </w:r>
          </w:p>
        </w:tc>
      </w:tr>
      <w:tr w:rsidR="006F36A0" w:rsidRPr="009B3747" w:rsidTr="00FE0C7F">
        <w:tc>
          <w:tcPr>
            <w:tcW w:w="1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20</w:t>
            </w:r>
          </w:p>
        </w:tc>
        <w:tc>
          <w:tcPr>
            <w:tcW w:w="198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Chair of governors</w:t>
            </w:r>
          </w:p>
        </w:tc>
        <w:tc>
          <w:tcPr>
            <w:tcW w:w="269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Female/51-60yrs/1-5yrs</w:t>
            </w:r>
          </w:p>
        </w:tc>
        <w:tc>
          <w:tcPr>
            <w:tcW w:w="184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 xml:space="preserve">Community </w:t>
            </w:r>
          </w:p>
        </w:tc>
        <w:tc>
          <w:tcPr>
            <w:tcW w:w="136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51-55%</w:t>
            </w:r>
          </w:p>
        </w:tc>
      </w:tr>
      <w:tr w:rsidR="006F36A0" w:rsidRPr="009B3747" w:rsidTr="00FE0C7F">
        <w:tc>
          <w:tcPr>
            <w:tcW w:w="1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21</w:t>
            </w:r>
          </w:p>
        </w:tc>
        <w:tc>
          <w:tcPr>
            <w:tcW w:w="198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Headteacher</w:t>
            </w:r>
          </w:p>
        </w:tc>
        <w:tc>
          <w:tcPr>
            <w:tcW w:w="269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 xml:space="preserve">Male/41-50yrs/Less than 1 year </w:t>
            </w:r>
          </w:p>
        </w:tc>
        <w:tc>
          <w:tcPr>
            <w:tcW w:w="184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FE0C7F"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Academy</w:t>
            </w:r>
          </w:p>
        </w:tc>
        <w:tc>
          <w:tcPr>
            <w:tcW w:w="136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41-45%</w:t>
            </w:r>
          </w:p>
        </w:tc>
      </w:tr>
      <w:tr w:rsidR="006F36A0" w:rsidRPr="009B3747" w:rsidTr="00FE0C7F">
        <w:tc>
          <w:tcPr>
            <w:tcW w:w="112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22</w:t>
            </w:r>
          </w:p>
        </w:tc>
        <w:tc>
          <w:tcPr>
            <w:tcW w:w="1985"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Headteacher</w:t>
            </w:r>
          </w:p>
        </w:tc>
        <w:tc>
          <w:tcPr>
            <w:tcW w:w="269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Female/61-70-yrs/11-15yrs</w:t>
            </w:r>
          </w:p>
        </w:tc>
        <w:tc>
          <w:tcPr>
            <w:tcW w:w="184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FE0C7F"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Academy</w:t>
            </w:r>
          </w:p>
        </w:tc>
        <w:tc>
          <w:tcPr>
            <w:tcW w:w="136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rsidR="006F36A0" w:rsidRPr="009B3747" w:rsidRDefault="006F36A0" w:rsidP="00FE0C7F">
            <w:pPr>
              <w:jc w:val="center"/>
              <w:rPr>
                <w:rFonts w:eastAsia="Times New Roman" w:cstheme="minorHAnsi"/>
                <w:sz w:val="24"/>
                <w:szCs w:val="24"/>
                <w:lang w:eastAsia="en-GB"/>
              </w:rPr>
            </w:pPr>
            <w:r w:rsidRPr="009B3747">
              <w:rPr>
                <w:rFonts w:eastAsia="Times New Roman" w:cstheme="minorHAnsi"/>
                <w:color w:val="000000"/>
                <w:sz w:val="20"/>
                <w:szCs w:val="20"/>
                <w:lang w:eastAsia="en-GB"/>
              </w:rPr>
              <w:t>36-40%</w:t>
            </w:r>
          </w:p>
        </w:tc>
      </w:tr>
    </w:tbl>
    <w:p w:rsidR="006F36A0" w:rsidRPr="009B3747" w:rsidRDefault="006F36A0" w:rsidP="00FE0C7F">
      <w:pPr>
        <w:rPr>
          <w:rFonts w:eastAsia="Times New Roman" w:cstheme="minorHAnsi"/>
          <w:color w:val="000000" w:themeColor="text1"/>
          <w:sz w:val="24"/>
          <w:szCs w:val="24"/>
          <w:lang w:eastAsia="en-GB"/>
        </w:rPr>
      </w:pPr>
      <w:r w:rsidRPr="009B3747">
        <w:rPr>
          <w:rFonts w:eastAsia="Times New Roman" w:cstheme="minorHAnsi"/>
          <w:color w:val="000000" w:themeColor="text1"/>
          <w:sz w:val="20"/>
          <w:szCs w:val="20"/>
          <w:lang w:eastAsia="en-GB"/>
        </w:rPr>
        <w:t xml:space="preserve">* Length of time in role - related to current and any previous positions </w:t>
      </w:r>
    </w:p>
    <w:p w:rsidR="0085424B" w:rsidRPr="009B3747" w:rsidRDefault="006F36A0" w:rsidP="006F36A0">
      <w:pPr>
        <w:rPr>
          <w:rFonts w:eastAsia="Times New Roman" w:cstheme="minorHAnsi"/>
          <w:color w:val="000000" w:themeColor="text1"/>
          <w:sz w:val="24"/>
          <w:szCs w:val="24"/>
          <w:lang w:eastAsia="en-GB"/>
        </w:rPr>
      </w:pPr>
      <w:r w:rsidRPr="009B3747">
        <w:rPr>
          <w:rFonts w:eastAsia="Times New Roman" w:cstheme="minorHAnsi"/>
          <w:color w:val="000000" w:themeColor="text1"/>
          <w:sz w:val="20"/>
          <w:szCs w:val="20"/>
          <w:lang w:eastAsia="en-GB"/>
        </w:rPr>
        <w:t>** FSM percentage - % of children eligible for free school meals at any point in the last six years (correct at point of data collection - Jan-May 2016).</w:t>
      </w:r>
    </w:p>
    <w:p w:rsidR="006F36A0" w:rsidRPr="009B3747" w:rsidRDefault="00991D2F" w:rsidP="006F36A0">
      <w:pPr>
        <w:rPr>
          <w:rFonts w:eastAsia="Times New Roman" w:cstheme="minorHAnsi"/>
          <w:color w:val="000000" w:themeColor="text1"/>
          <w:sz w:val="24"/>
          <w:szCs w:val="24"/>
          <w:lang w:eastAsia="en-GB"/>
        </w:rPr>
      </w:pPr>
      <w:r w:rsidRPr="009B3747">
        <w:rPr>
          <w:rFonts w:eastAsia="Times New Roman" w:cstheme="minorHAnsi"/>
          <w:b/>
          <w:bCs/>
          <w:color w:val="000000"/>
          <w:sz w:val="24"/>
          <w:szCs w:val="24"/>
          <w:u w:val="single"/>
          <w:lang w:eastAsia="en-GB"/>
        </w:rPr>
        <w:lastRenderedPageBreak/>
        <w:t>6</w:t>
      </w:r>
      <w:r w:rsidR="00551065" w:rsidRPr="009B3747">
        <w:rPr>
          <w:rFonts w:eastAsia="Times New Roman" w:cstheme="minorHAnsi"/>
          <w:b/>
          <w:bCs/>
          <w:color w:val="000000"/>
          <w:sz w:val="24"/>
          <w:szCs w:val="24"/>
          <w:u w:val="single"/>
          <w:lang w:eastAsia="en-GB"/>
        </w:rPr>
        <w:t>.3</w:t>
      </w:r>
      <w:r w:rsidR="006F36A0" w:rsidRPr="009B3747">
        <w:rPr>
          <w:rFonts w:eastAsia="Times New Roman" w:cstheme="minorHAnsi"/>
          <w:b/>
          <w:bCs/>
          <w:color w:val="000000"/>
          <w:sz w:val="24"/>
          <w:szCs w:val="24"/>
          <w:u w:val="single"/>
          <w:lang w:eastAsia="en-GB"/>
        </w:rPr>
        <w:t xml:space="preserve"> Overview of themes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85424B" w:rsidRPr="009B3747" w:rsidRDefault="006F36A0" w:rsidP="0017267C">
      <w:pPr>
        <w:rPr>
          <w:rFonts w:eastAsia="Times New Roman" w:cstheme="minorHAnsi"/>
          <w:color w:val="000000"/>
          <w:lang w:eastAsia="en-GB"/>
        </w:rPr>
      </w:pPr>
      <w:r w:rsidRPr="009B3747">
        <w:rPr>
          <w:rFonts w:eastAsia="Times New Roman" w:cstheme="minorHAnsi"/>
          <w:color w:val="000000"/>
          <w:lang w:eastAsia="en-GB"/>
        </w:rPr>
        <w:t>The process of t</w:t>
      </w:r>
      <w:r w:rsidR="00371430" w:rsidRPr="009B3747">
        <w:rPr>
          <w:rFonts w:eastAsia="Times New Roman" w:cstheme="minorHAnsi"/>
          <w:color w:val="000000"/>
          <w:lang w:eastAsia="en-GB"/>
        </w:rPr>
        <w:t>hematic analysis</w:t>
      </w:r>
      <w:r w:rsidRPr="009B3747">
        <w:rPr>
          <w:rFonts w:eastAsia="Times New Roman" w:cstheme="minorHAnsi"/>
          <w:color w:val="000000"/>
          <w:lang w:eastAsia="en-GB"/>
        </w:rPr>
        <w:t>, led to the developme</w:t>
      </w:r>
      <w:r w:rsidR="00514099" w:rsidRPr="009B3747">
        <w:rPr>
          <w:rFonts w:eastAsia="Times New Roman" w:cstheme="minorHAnsi"/>
          <w:color w:val="000000"/>
          <w:lang w:eastAsia="en-GB"/>
        </w:rPr>
        <w:t>nt and emergence of four themes:</w:t>
      </w:r>
      <w:r w:rsidRPr="009B3747">
        <w:rPr>
          <w:rFonts w:eastAsia="Times New Roman" w:cstheme="minorHAnsi"/>
          <w:color w:val="000000"/>
          <w:lang w:eastAsia="en-GB"/>
        </w:rPr>
        <w:t xml:space="preserve"> </w:t>
      </w:r>
      <w:r w:rsidR="00A1002B" w:rsidRPr="009B3747">
        <w:rPr>
          <w:rFonts w:eastAsia="Times New Roman" w:cstheme="minorHAnsi"/>
          <w:color w:val="000000"/>
          <w:lang w:eastAsia="en-GB"/>
        </w:rPr>
        <w:t xml:space="preserve">1) </w:t>
      </w:r>
      <w:r w:rsidRPr="009B3747">
        <w:rPr>
          <w:rFonts w:eastAsia="Times New Roman" w:cstheme="minorHAnsi"/>
          <w:color w:val="000000"/>
          <w:lang w:eastAsia="en-GB"/>
        </w:rPr>
        <w:t>perceptions of adolescent obesity and lifestyle behaviours,</w:t>
      </w:r>
      <w:r w:rsidR="00A1002B" w:rsidRPr="009B3747">
        <w:rPr>
          <w:rFonts w:eastAsia="Times New Roman" w:cstheme="minorHAnsi"/>
          <w:color w:val="000000"/>
          <w:lang w:eastAsia="en-GB"/>
        </w:rPr>
        <w:t xml:space="preserve"> 2)</w:t>
      </w:r>
      <w:r w:rsidRPr="009B3747">
        <w:rPr>
          <w:rFonts w:eastAsia="Times New Roman" w:cstheme="minorHAnsi"/>
          <w:color w:val="000000"/>
          <w:lang w:eastAsia="en-GB"/>
        </w:rPr>
        <w:t xml:space="preserve"> influence of place, </w:t>
      </w:r>
      <w:r w:rsidR="00A1002B" w:rsidRPr="009B3747">
        <w:rPr>
          <w:rFonts w:eastAsia="Times New Roman" w:cstheme="minorHAnsi"/>
          <w:color w:val="000000"/>
          <w:lang w:eastAsia="en-GB"/>
        </w:rPr>
        <w:t xml:space="preserve">3) </w:t>
      </w:r>
      <w:r w:rsidRPr="009B3747">
        <w:rPr>
          <w:rFonts w:eastAsia="Times New Roman" w:cstheme="minorHAnsi"/>
          <w:color w:val="000000"/>
          <w:lang w:eastAsia="en-GB"/>
        </w:rPr>
        <w:t>shared responsibilities, collective solutions and</w:t>
      </w:r>
      <w:r w:rsidR="00A1002B" w:rsidRPr="009B3747">
        <w:rPr>
          <w:rFonts w:eastAsia="Times New Roman" w:cstheme="minorHAnsi"/>
          <w:color w:val="000000"/>
          <w:lang w:eastAsia="en-GB"/>
        </w:rPr>
        <w:t xml:space="preserve"> 4)</w:t>
      </w:r>
      <w:r w:rsidRPr="009B3747">
        <w:rPr>
          <w:rFonts w:eastAsia="Times New Roman" w:cstheme="minorHAnsi"/>
          <w:color w:val="000000"/>
          <w:lang w:eastAsia="en-GB"/>
        </w:rPr>
        <w:t xml:space="preserve"> the secondary school setting.  Within these four main themes, a number of further sub-themes emerged from the process of analysis and these will be described in turn. A visual representation of the themes is presented in </w:t>
      </w:r>
      <w:r w:rsidR="00621638" w:rsidRPr="009B3747">
        <w:rPr>
          <w:rFonts w:eastAsia="Times New Roman" w:cstheme="minorHAnsi"/>
          <w:color w:val="000000"/>
          <w:lang w:eastAsia="en-GB"/>
        </w:rPr>
        <w:t>figure 6.1</w:t>
      </w:r>
      <w:r w:rsidRPr="009B3747">
        <w:rPr>
          <w:rFonts w:eastAsia="Times New Roman" w:cstheme="minorHAnsi"/>
          <w:color w:val="000000"/>
          <w:lang w:eastAsia="en-GB"/>
        </w:rPr>
        <w:t xml:space="preserve">. </w:t>
      </w:r>
    </w:p>
    <w:p w:rsidR="0085424B" w:rsidRPr="009B3747" w:rsidRDefault="0085424B" w:rsidP="0017267C">
      <w:pPr>
        <w:rPr>
          <w:rFonts w:eastAsia="Times New Roman" w:cstheme="minorHAnsi"/>
          <w:color w:val="000000"/>
          <w:lang w:eastAsia="en-GB"/>
        </w:rPr>
      </w:pPr>
    </w:p>
    <w:p w:rsidR="00022E3D" w:rsidRPr="009B3747" w:rsidRDefault="0085424B" w:rsidP="0085424B">
      <w:pPr>
        <w:rPr>
          <w:rFonts w:eastAsia="Times New Roman" w:cstheme="minorHAnsi"/>
          <w:color w:val="000000"/>
          <w:lang w:eastAsia="en-GB"/>
        </w:rPr>
      </w:pPr>
      <w:r w:rsidRPr="009B3747">
        <w:rPr>
          <w:rFonts w:eastAsia="Times New Roman" w:cstheme="minorHAnsi"/>
          <w:color w:val="000000"/>
          <w:lang w:eastAsia="en-GB"/>
        </w:rPr>
        <w:t>Despite each theme presenting distinct aspects of the qualitative findings, collectively they form a connected and interrelated narrative of participants’ perspectives.  The first theme encapsulates headteachers’ and chairs of governors’ views on the existence and variations of excess weight and related lifestyle behaviours in adolescence.  </w:t>
      </w:r>
    </w:p>
    <w:p w:rsidR="00022E3D" w:rsidRPr="009B3747" w:rsidRDefault="00022E3D" w:rsidP="0085424B">
      <w:pPr>
        <w:rPr>
          <w:rFonts w:eastAsia="Times New Roman" w:cstheme="minorHAnsi"/>
          <w:color w:val="000000"/>
          <w:lang w:eastAsia="en-GB"/>
        </w:rPr>
      </w:pPr>
    </w:p>
    <w:p w:rsidR="00022E3D" w:rsidRPr="009B3747" w:rsidRDefault="0085424B" w:rsidP="0085424B">
      <w:pPr>
        <w:rPr>
          <w:rFonts w:eastAsia="Times New Roman" w:cstheme="minorHAnsi"/>
          <w:color w:val="000000"/>
          <w:lang w:eastAsia="en-GB"/>
        </w:rPr>
      </w:pPr>
      <w:r w:rsidRPr="009B3747">
        <w:rPr>
          <w:rFonts w:eastAsia="Times New Roman" w:cstheme="minorHAnsi"/>
          <w:color w:val="000000"/>
          <w:lang w:eastAsia="en-GB"/>
        </w:rPr>
        <w:t>Offering explanations for this existence and variation, the second theme explores the perceived causative or associative factors within an adolescent’s context that influence weight status, dietary and physical activity habits.  </w:t>
      </w:r>
    </w:p>
    <w:p w:rsidR="00022E3D" w:rsidRPr="009B3747" w:rsidRDefault="00022E3D" w:rsidP="0085424B">
      <w:pPr>
        <w:rPr>
          <w:rFonts w:eastAsia="Times New Roman" w:cstheme="minorHAnsi"/>
          <w:color w:val="000000"/>
          <w:lang w:eastAsia="en-GB"/>
        </w:rPr>
      </w:pPr>
    </w:p>
    <w:p w:rsidR="00022E3D" w:rsidRPr="009B3747" w:rsidRDefault="0085424B" w:rsidP="0085424B">
      <w:pPr>
        <w:rPr>
          <w:rFonts w:eastAsia="Times New Roman" w:cstheme="minorHAnsi"/>
          <w:color w:val="000000"/>
          <w:lang w:eastAsia="en-GB"/>
        </w:rPr>
      </w:pPr>
      <w:r w:rsidRPr="009B3747">
        <w:rPr>
          <w:rFonts w:eastAsia="Times New Roman" w:cstheme="minorHAnsi"/>
          <w:color w:val="000000"/>
          <w:lang w:eastAsia="en-GB"/>
        </w:rPr>
        <w:t>Following on from these identified influences, the third theme presents participants views about who is responsible for preventing excess weight gain, which approaches would be effective to achieve effective prevention and what partnerships should be formed in order to support preventative action.  </w:t>
      </w:r>
    </w:p>
    <w:p w:rsidR="00022E3D" w:rsidRPr="009B3747" w:rsidRDefault="00022E3D" w:rsidP="0085424B">
      <w:pPr>
        <w:rPr>
          <w:rFonts w:eastAsia="Times New Roman" w:cstheme="minorHAnsi"/>
          <w:color w:val="000000"/>
          <w:lang w:eastAsia="en-GB"/>
        </w:rPr>
      </w:pPr>
    </w:p>
    <w:p w:rsidR="0085424B" w:rsidRPr="009B3747" w:rsidRDefault="0085424B" w:rsidP="0085424B">
      <w:pPr>
        <w:rPr>
          <w:rFonts w:eastAsia="Times New Roman" w:cstheme="minorHAnsi"/>
          <w:sz w:val="24"/>
          <w:szCs w:val="24"/>
          <w:lang w:eastAsia="en-GB"/>
        </w:rPr>
      </w:pPr>
      <w:r w:rsidRPr="009B3747">
        <w:rPr>
          <w:rFonts w:eastAsia="Times New Roman" w:cstheme="minorHAnsi"/>
          <w:color w:val="000000"/>
          <w:lang w:eastAsia="en-GB"/>
        </w:rPr>
        <w:t>Given that secondary schools were identified as having both responsibility towards, and a role within, excess weight prevention, the fourth theme explores this setting in more detail.  In addition to describing internal activity contributing to excess weight prevention, this last theme presents participants perspectives about key factors within a secondary school setting affecting both their ability and desire to undertake preventative action.</w:t>
      </w:r>
    </w:p>
    <w:p w:rsidR="00621638" w:rsidRPr="009B3747" w:rsidRDefault="006F36A0" w:rsidP="0017267C">
      <w:pPr>
        <w:rPr>
          <w:rFonts w:eastAsia="Times New Roman" w:cstheme="minorHAnsi"/>
          <w:sz w:val="24"/>
          <w:szCs w:val="24"/>
          <w:lang w:eastAsia="en-GB"/>
        </w:rPr>
        <w:sectPr w:rsidR="00621638" w:rsidRPr="009B3747">
          <w:pgSz w:w="11906" w:h="16838"/>
          <w:pgMar w:top="1440" w:right="1440" w:bottom="1440" w:left="1440" w:header="708" w:footer="708" w:gutter="0"/>
          <w:cols w:space="708"/>
          <w:docGrid w:linePitch="360"/>
        </w:sectPr>
      </w:pPr>
      <w:r w:rsidRPr="009B3747">
        <w:rPr>
          <w:rFonts w:eastAsia="Times New Roman" w:cstheme="minorHAnsi"/>
          <w:color w:val="000000"/>
          <w:lang w:eastAsia="en-GB"/>
        </w:rPr>
        <w:t> </w:t>
      </w:r>
      <w:r w:rsidR="0017267C" w:rsidRPr="009B3747">
        <w:rPr>
          <w:rFonts w:eastAsia="Times New Roman" w:cstheme="minorHAnsi"/>
          <w:sz w:val="24"/>
          <w:szCs w:val="24"/>
          <w:lang w:eastAsia="en-GB"/>
        </w:rPr>
        <w:t xml:space="preserve"> </w:t>
      </w:r>
    </w:p>
    <w:p w:rsidR="004B073C" w:rsidRPr="009B3747" w:rsidRDefault="00C12393" w:rsidP="006F36A0">
      <w:pPr>
        <w:rPr>
          <w:rFonts w:eastAsia="Times New Roman" w:cstheme="minorHAnsi"/>
          <w:sz w:val="24"/>
          <w:szCs w:val="24"/>
          <w:lang w:eastAsia="en-GB"/>
        </w:rPr>
      </w:pPr>
      <w:r w:rsidRPr="009B3747">
        <w:rPr>
          <w:rFonts w:cstheme="minorHAnsi"/>
          <w:noProof/>
          <w:lang w:eastAsia="en-GB"/>
        </w:rPr>
        <w:lastRenderedPageBreak/>
        <mc:AlternateContent>
          <mc:Choice Requires="wpg">
            <w:drawing>
              <wp:anchor distT="0" distB="0" distL="114300" distR="114300" simplePos="0" relativeHeight="251681792" behindDoc="1" locked="0" layoutInCell="1" allowOverlap="1" wp14:anchorId="5FEDAC25" wp14:editId="3BF1EB2C">
                <wp:simplePos x="0" y="0"/>
                <wp:positionH relativeFrom="column">
                  <wp:posOffset>-236220</wp:posOffset>
                </wp:positionH>
                <wp:positionV relativeFrom="paragraph">
                  <wp:posOffset>548</wp:posOffset>
                </wp:positionV>
                <wp:extent cx="9622878" cy="4697795"/>
                <wp:effectExtent l="0" t="0" r="16510" b="26670"/>
                <wp:wrapTight wrapText="bothSides">
                  <wp:wrapPolygon edited="0">
                    <wp:start x="7526" y="0"/>
                    <wp:lineTo x="7440" y="263"/>
                    <wp:lineTo x="7398" y="1752"/>
                    <wp:lineTo x="7483" y="2803"/>
                    <wp:lineTo x="0" y="3591"/>
                    <wp:lineTo x="0" y="6920"/>
                    <wp:lineTo x="2138" y="7182"/>
                    <wp:lineTo x="2181" y="8409"/>
                    <wp:lineTo x="641" y="8847"/>
                    <wp:lineTo x="0" y="9285"/>
                    <wp:lineTo x="0" y="20584"/>
                    <wp:lineTo x="43" y="21022"/>
                    <wp:lineTo x="428" y="21635"/>
                    <wp:lineTo x="470" y="21635"/>
                    <wp:lineTo x="4319" y="21635"/>
                    <wp:lineTo x="21466" y="21460"/>
                    <wp:lineTo x="21423" y="21022"/>
                    <wp:lineTo x="21594" y="20496"/>
                    <wp:lineTo x="21594" y="9285"/>
                    <wp:lineTo x="20953" y="8847"/>
                    <wp:lineTo x="19371" y="8409"/>
                    <wp:lineTo x="19456" y="7182"/>
                    <wp:lineTo x="21124" y="7007"/>
                    <wp:lineTo x="21594" y="6920"/>
                    <wp:lineTo x="21594" y="3766"/>
                    <wp:lineTo x="20568" y="3591"/>
                    <wp:lineTo x="13726" y="2803"/>
                    <wp:lineTo x="13726" y="263"/>
                    <wp:lineTo x="13641" y="0"/>
                    <wp:lineTo x="7526" y="0"/>
                  </wp:wrapPolygon>
                </wp:wrapTight>
                <wp:docPr id="15" name="Group 15"/>
                <wp:cNvGraphicFramePr/>
                <a:graphic xmlns:a="http://schemas.openxmlformats.org/drawingml/2006/main">
                  <a:graphicData uri="http://schemas.microsoft.com/office/word/2010/wordprocessingGroup">
                    <wpg:wgp>
                      <wpg:cNvGrpSpPr/>
                      <wpg:grpSpPr>
                        <a:xfrm>
                          <a:off x="0" y="0"/>
                          <a:ext cx="9622878" cy="4697795"/>
                          <a:chOff x="0" y="0"/>
                          <a:chExt cx="9877425" cy="5362575"/>
                        </a:xfrm>
                      </wpg:grpSpPr>
                      <wps:wsp>
                        <wps:cNvPr id="71" name="Rounded Rectangle 71"/>
                        <wps:cNvSpPr/>
                        <wps:spPr>
                          <a:xfrm>
                            <a:off x="3429000" y="0"/>
                            <a:ext cx="2819400" cy="7048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EBF" w:rsidRPr="00E73DD2" w:rsidRDefault="00071EBF" w:rsidP="00621638">
                              <w:pPr>
                                <w:jc w:val="center"/>
                                <w:rPr>
                                  <w:b/>
                                  <w:sz w:val="32"/>
                                  <w:szCs w:val="32"/>
                                  <w:u w:val="single"/>
                                </w:rPr>
                              </w:pPr>
                              <w:r w:rsidRPr="00E73DD2">
                                <w:rPr>
                                  <w:b/>
                                  <w:sz w:val="32"/>
                                  <w:szCs w:val="32"/>
                                  <w:u w:val="single"/>
                                </w:rPr>
                                <w:t xml:space="preserve">Thematic map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ounded Rectangle 72"/>
                        <wps:cNvSpPr/>
                        <wps:spPr>
                          <a:xfrm>
                            <a:off x="0" y="923925"/>
                            <a:ext cx="2190750" cy="7715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EBF" w:rsidRPr="00FE0C7F" w:rsidRDefault="00071EBF" w:rsidP="00FE0C7F">
                              <w:pPr>
                                <w:jc w:val="center"/>
                                <w:rPr>
                                  <w:b/>
                                  <w:sz w:val="24"/>
                                  <w:szCs w:val="24"/>
                                </w:rPr>
                              </w:pPr>
                              <w:r w:rsidRPr="00FE0C7F">
                                <w:rPr>
                                  <w:b/>
                                  <w:sz w:val="24"/>
                                  <w:szCs w:val="24"/>
                                </w:rPr>
                                <w:t>1)</w:t>
                              </w:r>
                              <w:r>
                                <w:rPr>
                                  <w:b/>
                                  <w:sz w:val="24"/>
                                  <w:szCs w:val="24"/>
                                </w:rPr>
                                <w:t xml:space="preserve"> </w:t>
                              </w:r>
                              <w:r w:rsidRPr="00FE0C7F">
                                <w:rPr>
                                  <w:b/>
                                  <w:sz w:val="24"/>
                                  <w:szCs w:val="24"/>
                                </w:rPr>
                                <w:t>Perceptions of adolescent obesity and lifestyle behaviours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ounded Rectangle 74"/>
                        <wps:cNvSpPr/>
                        <wps:spPr>
                          <a:xfrm>
                            <a:off x="2524125" y="933450"/>
                            <a:ext cx="2190750" cy="7715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EBF" w:rsidRPr="00E73DD2" w:rsidRDefault="00071EBF" w:rsidP="00621638">
                              <w:pPr>
                                <w:jc w:val="center"/>
                                <w:rPr>
                                  <w:b/>
                                  <w:sz w:val="24"/>
                                  <w:szCs w:val="24"/>
                                </w:rPr>
                              </w:pPr>
                              <w:r>
                                <w:rPr>
                                  <w:b/>
                                  <w:sz w:val="24"/>
                                  <w:szCs w:val="24"/>
                                </w:rPr>
                                <w:t xml:space="preserve">2) </w:t>
                              </w:r>
                              <w:r w:rsidRPr="00E73DD2">
                                <w:rPr>
                                  <w:b/>
                                  <w:sz w:val="24"/>
                                  <w:szCs w:val="24"/>
                                </w:rPr>
                                <w:t>Influence of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ounded Rectangle 75"/>
                        <wps:cNvSpPr/>
                        <wps:spPr>
                          <a:xfrm>
                            <a:off x="5067300" y="942975"/>
                            <a:ext cx="2190750" cy="7715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EBF" w:rsidRPr="00E73DD2" w:rsidRDefault="00071EBF" w:rsidP="00621638">
                              <w:pPr>
                                <w:jc w:val="center"/>
                                <w:rPr>
                                  <w:b/>
                                  <w:sz w:val="24"/>
                                  <w:szCs w:val="24"/>
                                </w:rPr>
                              </w:pPr>
                              <w:r>
                                <w:rPr>
                                  <w:b/>
                                  <w:sz w:val="24"/>
                                  <w:szCs w:val="24"/>
                                </w:rPr>
                                <w:t xml:space="preserve">3) </w:t>
                              </w:r>
                              <w:r w:rsidRPr="00E73DD2">
                                <w:rPr>
                                  <w:b/>
                                  <w:sz w:val="24"/>
                                  <w:szCs w:val="24"/>
                                </w:rPr>
                                <w:t>Shared responsibility, collective solutions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ounded Rectangle 76"/>
                        <wps:cNvSpPr/>
                        <wps:spPr>
                          <a:xfrm>
                            <a:off x="7629525" y="942975"/>
                            <a:ext cx="2190750" cy="7715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EBF" w:rsidRPr="00E73DD2" w:rsidRDefault="00071EBF" w:rsidP="00621638">
                              <w:pPr>
                                <w:jc w:val="center"/>
                                <w:rPr>
                                  <w:b/>
                                  <w:sz w:val="24"/>
                                  <w:szCs w:val="24"/>
                                </w:rPr>
                              </w:pPr>
                              <w:r>
                                <w:rPr>
                                  <w:b/>
                                  <w:sz w:val="24"/>
                                  <w:szCs w:val="24"/>
                                </w:rPr>
                                <w:t xml:space="preserve">4) </w:t>
                              </w:r>
                              <w:r w:rsidRPr="00E73DD2">
                                <w:rPr>
                                  <w:b/>
                                  <w:sz w:val="24"/>
                                  <w:szCs w:val="24"/>
                                </w:rPr>
                                <w:t>Secondary school settings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ounded Rectangle 77"/>
                        <wps:cNvSpPr/>
                        <wps:spPr>
                          <a:xfrm>
                            <a:off x="0" y="2209800"/>
                            <a:ext cx="2190750" cy="31527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EBF" w:rsidRPr="00E73DD2" w:rsidRDefault="00071EBF" w:rsidP="00621638">
                              <w:pPr>
                                <w:jc w:val="center"/>
                              </w:pPr>
                              <w:r w:rsidRPr="00E73DD2">
                                <w:t>Issue of obesity prevalence</w:t>
                              </w:r>
                            </w:p>
                            <w:p w:rsidR="00071EBF" w:rsidRPr="00E73DD2" w:rsidRDefault="00071EBF" w:rsidP="00621638">
                              <w:pPr>
                                <w:jc w:val="center"/>
                              </w:pPr>
                            </w:p>
                            <w:p w:rsidR="00071EBF" w:rsidRPr="00E73DD2" w:rsidRDefault="00071EBF" w:rsidP="00621638">
                              <w:pPr>
                                <w:jc w:val="center"/>
                              </w:pPr>
                              <w:r w:rsidRPr="00E73DD2">
                                <w:t>Dietary habits and preferences</w:t>
                              </w:r>
                            </w:p>
                            <w:p w:rsidR="00071EBF" w:rsidRPr="00E73DD2" w:rsidRDefault="00071EBF" w:rsidP="00621638">
                              <w:pPr>
                                <w:jc w:val="center"/>
                              </w:pPr>
                            </w:p>
                            <w:p w:rsidR="00071EBF" w:rsidRPr="00E73DD2" w:rsidRDefault="00071EBF" w:rsidP="00621638">
                              <w:pPr>
                                <w:jc w:val="center"/>
                              </w:pPr>
                              <w:r w:rsidRPr="00E73DD2">
                                <w:t>Physical activity and sedentary behaviour</w:t>
                              </w:r>
                            </w:p>
                            <w:p w:rsidR="00071EBF" w:rsidRPr="00E73DD2" w:rsidRDefault="00071EBF" w:rsidP="00621638">
                              <w:pPr>
                                <w:jc w:val="center"/>
                              </w:pPr>
                            </w:p>
                            <w:p w:rsidR="00071EBF" w:rsidRPr="00E73DD2" w:rsidRDefault="00071EBF" w:rsidP="00621638">
                              <w:pPr>
                                <w:jc w:val="center"/>
                              </w:pPr>
                              <w:r w:rsidRPr="00E73DD2">
                                <w:t>Wider health and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ounded Rectangle 78"/>
                        <wps:cNvSpPr/>
                        <wps:spPr>
                          <a:xfrm>
                            <a:off x="2524125" y="2209800"/>
                            <a:ext cx="2190750" cy="31051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EBF" w:rsidRPr="00E73DD2" w:rsidRDefault="00071EBF" w:rsidP="00621638">
                              <w:pPr>
                                <w:jc w:val="center"/>
                              </w:pPr>
                              <w:r w:rsidRPr="00E73DD2">
                                <w:t>Home environment</w:t>
                              </w:r>
                            </w:p>
                            <w:p w:rsidR="00071EBF" w:rsidRPr="00E73DD2" w:rsidRDefault="00071EBF" w:rsidP="00621638">
                              <w:pPr>
                                <w:jc w:val="center"/>
                              </w:pPr>
                            </w:p>
                            <w:p w:rsidR="00071EBF" w:rsidRPr="00E73DD2" w:rsidRDefault="00071EBF" w:rsidP="00621638">
                              <w:pPr>
                                <w:jc w:val="center"/>
                              </w:pPr>
                              <w:r w:rsidRPr="00E73DD2">
                                <w:t>Wider food environment</w:t>
                              </w:r>
                            </w:p>
                            <w:p w:rsidR="00071EBF" w:rsidRPr="00E73DD2" w:rsidRDefault="00071EBF" w:rsidP="00621638">
                              <w:pPr>
                                <w:jc w:val="center"/>
                              </w:pPr>
                            </w:p>
                            <w:p w:rsidR="00071EBF" w:rsidRPr="00E73DD2" w:rsidRDefault="00071EBF" w:rsidP="00621638">
                              <w:pPr>
                                <w:jc w:val="center"/>
                              </w:pPr>
                              <w:r w:rsidRPr="00E73DD2">
                                <w:t>Deprivation</w:t>
                              </w:r>
                            </w:p>
                            <w:p w:rsidR="00071EBF" w:rsidRPr="00E73DD2" w:rsidRDefault="00071EBF" w:rsidP="006216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ounded Rectangle 79"/>
                        <wps:cNvSpPr/>
                        <wps:spPr>
                          <a:xfrm>
                            <a:off x="5114925" y="2209800"/>
                            <a:ext cx="2190750" cy="31051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EBF" w:rsidRPr="00E73DD2" w:rsidRDefault="00071EBF" w:rsidP="00621638">
                              <w:pPr>
                                <w:jc w:val="center"/>
                              </w:pPr>
                              <w:r w:rsidRPr="00E73DD2">
                                <w:t>Continuum of responsibility</w:t>
                              </w:r>
                            </w:p>
                            <w:p w:rsidR="00071EBF" w:rsidRPr="00E73DD2" w:rsidRDefault="00071EBF" w:rsidP="00621638">
                              <w:pPr>
                                <w:jc w:val="center"/>
                              </w:pPr>
                            </w:p>
                            <w:p w:rsidR="00071EBF" w:rsidRPr="00E73DD2" w:rsidRDefault="00071EBF" w:rsidP="00621638">
                              <w:pPr>
                                <w:jc w:val="center"/>
                              </w:pPr>
                              <w:r w:rsidRPr="00E73DD2">
                                <w:t>Approaches to behaviour change</w:t>
                              </w:r>
                            </w:p>
                            <w:p w:rsidR="00071EBF" w:rsidRPr="00E73DD2" w:rsidRDefault="00071EBF" w:rsidP="00621638">
                              <w:pPr>
                                <w:jc w:val="center"/>
                              </w:pPr>
                            </w:p>
                            <w:p w:rsidR="00071EBF" w:rsidRPr="00E73DD2" w:rsidRDefault="00071EBF" w:rsidP="00621638">
                              <w:pPr>
                                <w:jc w:val="center"/>
                              </w:pPr>
                              <w:r w:rsidRPr="00E73DD2">
                                <w:t>Importance of partnerships</w:t>
                              </w:r>
                            </w:p>
                            <w:p w:rsidR="00071EBF" w:rsidRPr="00E73DD2" w:rsidRDefault="00071EBF" w:rsidP="00621638">
                              <w:pPr>
                                <w:jc w:val="center"/>
                              </w:pPr>
                              <w:r w:rsidRPr="00E73DD2">
                                <w:t>behaviour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ounded Rectangle 80"/>
                        <wps:cNvSpPr/>
                        <wps:spPr>
                          <a:xfrm>
                            <a:off x="7686675" y="2209800"/>
                            <a:ext cx="2190750" cy="31051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1EBF" w:rsidRPr="00E73DD2" w:rsidRDefault="00071EBF" w:rsidP="00621638">
                              <w:pPr>
                                <w:jc w:val="center"/>
                              </w:pPr>
                              <w:r w:rsidRPr="00E73DD2">
                                <w:t>Action contributing to obesity prevention</w:t>
                              </w:r>
                            </w:p>
                            <w:p w:rsidR="00071EBF" w:rsidRPr="00E73DD2" w:rsidRDefault="00071EBF" w:rsidP="00621638">
                              <w:pPr>
                                <w:jc w:val="center"/>
                              </w:pPr>
                            </w:p>
                            <w:p w:rsidR="00071EBF" w:rsidRPr="00E73DD2" w:rsidRDefault="00071EBF" w:rsidP="00621638">
                              <w:pPr>
                                <w:jc w:val="center"/>
                              </w:pPr>
                              <w:r w:rsidRPr="00E73DD2">
                                <w:t>Competing priorities</w:t>
                              </w:r>
                            </w:p>
                            <w:p w:rsidR="00071EBF" w:rsidRPr="00E73DD2" w:rsidRDefault="00071EBF" w:rsidP="00621638">
                              <w:pPr>
                                <w:jc w:val="center"/>
                              </w:pPr>
                            </w:p>
                            <w:p w:rsidR="00071EBF" w:rsidRPr="00E73DD2" w:rsidRDefault="00071EBF" w:rsidP="00621638">
                              <w:pPr>
                                <w:jc w:val="center"/>
                              </w:pPr>
                              <w:r w:rsidRPr="00E73DD2">
                                <w:t>Role modelling</w:t>
                              </w:r>
                            </w:p>
                            <w:p w:rsidR="00071EBF" w:rsidRPr="00E73DD2" w:rsidRDefault="00071EBF" w:rsidP="00621638">
                              <w:pPr>
                                <w:jc w:val="center"/>
                              </w:pPr>
                            </w:p>
                            <w:p w:rsidR="00071EBF" w:rsidRPr="00E73DD2" w:rsidRDefault="00071EBF" w:rsidP="00621638">
                              <w:pPr>
                                <w:jc w:val="center"/>
                              </w:pPr>
                              <w:r w:rsidRPr="00E73DD2">
                                <w:t>Leadership and governance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Straight Arrow Connector 81"/>
                        <wps:cNvCnPr/>
                        <wps:spPr>
                          <a:xfrm flipH="1">
                            <a:off x="1047750" y="1781175"/>
                            <a:ext cx="9525"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2" name="Straight Arrow Connector 82"/>
                        <wps:cNvCnPr/>
                        <wps:spPr>
                          <a:xfrm flipH="1">
                            <a:off x="3629025" y="1781175"/>
                            <a:ext cx="9525"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 name="Straight Arrow Connector 83"/>
                        <wps:cNvCnPr/>
                        <wps:spPr>
                          <a:xfrm flipH="1">
                            <a:off x="6124575" y="1781175"/>
                            <a:ext cx="9525"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4" name="Straight Arrow Connector 84"/>
                        <wps:cNvCnPr/>
                        <wps:spPr>
                          <a:xfrm flipH="1">
                            <a:off x="8772525" y="1781175"/>
                            <a:ext cx="9525"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FEDAC25" id="Group 15" o:spid="_x0000_s1047" style="position:absolute;margin-left:-18.6pt;margin-top:.05pt;width:757.7pt;height:369.9pt;z-index:-251634688;mso-width-relative:margin;mso-height-relative:margin" coordsize="98774,5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">
                <v:roundrect id="Rounded Rectangle 71" o:spid="_x0000_s1048" style="position:absolute;left:34290;width:28194;height:7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gc4MIA&#10;AADbAAAADwAAAGRycy9kb3ducmV2LnhtbESPQYvCMBSE7wv+h/AEb2uqB5VqFBF0hSK43QWvz+bZ&#10;FpOX0mS1/nsjCHscZuYbZrHqrBE3an3tWMFomIAgLpyuuVTw+7P9nIHwAVmjcUwKHuRhtex9LDDV&#10;7s7fdMtDKSKEfYoKqhCaVEpfVGTRD11DHL2Lay2GKNtS6hbvEW6NHCfJRFqsOS5U2NCmouKa/1kF&#10;wZ8Rx4fM7PLdLMkyU36d7FGpQb9bz0EE6sJ/+N3eawXTEby+xB8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zgwgAAANsAAAAPAAAAAAAAAAAAAAAAAJgCAABkcnMvZG93&#10;bnJldi54bWxQSwUGAAAAAAQABAD1AAAAhwMAAAAA&#10;" fillcolor="white [3201]" strokecolor="black [3213]" strokeweight="1pt">
                  <v:stroke joinstyle="miter"/>
                  <v:textbox>
                    <w:txbxContent>
                      <w:p w:rsidR="00071EBF" w:rsidRPr="00E73DD2" w:rsidRDefault="00071EBF" w:rsidP="00621638">
                        <w:pPr>
                          <w:jc w:val="center"/>
                          <w:rPr>
                            <w:b/>
                            <w:sz w:val="32"/>
                            <w:szCs w:val="32"/>
                            <w:u w:val="single"/>
                          </w:rPr>
                        </w:pPr>
                        <w:r w:rsidRPr="00E73DD2">
                          <w:rPr>
                            <w:b/>
                            <w:sz w:val="32"/>
                            <w:szCs w:val="32"/>
                            <w:u w:val="single"/>
                          </w:rPr>
                          <w:t xml:space="preserve">Thematic map </w:t>
                        </w:r>
                      </w:p>
                    </w:txbxContent>
                  </v:textbox>
                </v:roundrect>
                <v:roundrect id="Rounded Rectangle 72" o:spid="_x0000_s1049" style="position:absolute;top:9239;width:21907;height:7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Cl8MA&#10;AADbAAAADwAAAGRycy9kb3ducmV2LnhtbESPQWvCQBSE7wX/w/IEb83GHKykrlIKWiEINQpeX7PP&#10;JLj7NmS3Gv+9Wyh4HGbmG2axGqwRV+p961jBNElBEFdOt1wrOB7Wr3MQPiBrNI5JwZ08rJajlwXm&#10;2t14T9cy1CJC2OeooAmhy6X0VUMWfeI64uidXW8xRNnXUvd4i3BrZJamM2mx5bjQYEefDVWX8tcq&#10;CP4HMdsVZlNu5mlRmPrrZL+VmoyHj3cQgYbwDP+3t1rBWwZ/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qCl8MAAADbAAAADwAAAAAAAAAAAAAAAACYAgAAZHJzL2Rv&#10;d25yZXYueG1sUEsFBgAAAAAEAAQA9QAAAIgDAAAAAA==&#10;" fillcolor="white [3201]" strokecolor="black [3213]" strokeweight="1pt">
                  <v:stroke joinstyle="miter"/>
                  <v:textbox>
                    <w:txbxContent>
                      <w:p w:rsidR="00071EBF" w:rsidRPr="00FE0C7F" w:rsidRDefault="00071EBF" w:rsidP="00FE0C7F">
                        <w:pPr>
                          <w:jc w:val="center"/>
                          <w:rPr>
                            <w:b/>
                            <w:sz w:val="24"/>
                            <w:szCs w:val="24"/>
                          </w:rPr>
                        </w:pPr>
                        <w:r w:rsidRPr="00FE0C7F">
                          <w:rPr>
                            <w:b/>
                            <w:sz w:val="24"/>
                            <w:szCs w:val="24"/>
                          </w:rPr>
                          <w:t>1)</w:t>
                        </w:r>
                        <w:r>
                          <w:rPr>
                            <w:b/>
                            <w:sz w:val="24"/>
                            <w:szCs w:val="24"/>
                          </w:rPr>
                          <w:t xml:space="preserve"> </w:t>
                        </w:r>
                        <w:r w:rsidRPr="00FE0C7F">
                          <w:rPr>
                            <w:b/>
                            <w:sz w:val="24"/>
                            <w:szCs w:val="24"/>
                          </w:rPr>
                          <w:t>Perceptions of adolescent obesity and lifestyle behaviours</w:t>
                        </w:r>
                      </w:p>
                    </w:txbxContent>
                  </v:textbox>
                </v:roundrect>
                <v:roundrect id="Rounded Rectangle 74" o:spid="_x0000_s1050" style="position:absolute;left:25241;top:9334;width:21907;height:7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MMA&#10;AADbAAAADwAAAGRycy9kb3ducmV2LnhtbESPQWvCQBSE70L/w/KE3szGUKpE11AKtYUgaFrw+sw+&#10;k9DdtyG71fTfu4WCx2FmvmHWxWiNuNDgO8cK5kkKgrh2uuNGwdfn22wJwgdkjcYxKfglD8XmYbLG&#10;XLsrH+hShUZECPscFbQh9LmUvm7Jok9cTxy9sxsshiiHRuoBrxFujczS9Fla7DgutNjTa0v1d/Vj&#10;FQR/Qsx2pdlW22ValqZ5P9q9Uo/T8WUFItAY7uH/9odWsHiCvy/xB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eMMAAADbAAAADwAAAAAAAAAAAAAAAACYAgAAZHJzL2Rv&#10;d25yZXYueG1sUEsFBgAAAAAEAAQA9QAAAIgDAAAAAA==&#10;" fillcolor="white [3201]" strokecolor="black [3213]" strokeweight="1pt">
                  <v:stroke joinstyle="miter"/>
                  <v:textbox>
                    <w:txbxContent>
                      <w:p w:rsidR="00071EBF" w:rsidRPr="00E73DD2" w:rsidRDefault="00071EBF" w:rsidP="00621638">
                        <w:pPr>
                          <w:jc w:val="center"/>
                          <w:rPr>
                            <w:b/>
                            <w:sz w:val="24"/>
                            <w:szCs w:val="24"/>
                          </w:rPr>
                        </w:pPr>
                        <w:r>
                          <w:rPr>
                            <w:b/>
                            <w:sz w:val="24"/>
                            <w:szCs w:val="24"/>
                          </w:rPr>
                          <w:t xml:space="preserve">2) </w:t>
                        </w:r>
                        <w:r w:rsidRPr="00E73DD2">
                          <w:rPr>
                            <w:b/>
                            <w:sz w:val="24"/>
                            <w:szCs w:val="24"/>
                          </w:rPr>
                          <w:t>Influence of place</w:t>
                        </w:r>
                      </w:p>
                    </w:txbxContent>
                  </v:textbox>
                </v:roundrect>
                <v:roundrect id="Rounded Rectangle 75" o:spid="_x0000_s1051" style="position:absolute;left:50673;top:9429;width:21907;height:7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a48MA&#10;AADbAAAADwAAAGRycy9kb3ducmV2LnhtbESPQWvCQBSE70L/w/KE3szGQKtE11AKtYUgaFrw+sw+&#10;k9DdtyG71fTfu4WCx2FmvmHWxWiNuNDgO8cK5kkKgrh2uuNGwdfn22wJwgdkjcYxKfglD8XmYbLG&#10;XLsrH+hShUZECPscFbQh9LmUvm7Jok9cTxy9sxsshiiHRuoBrxFujczS9Fla7DgutNjTa0v1d/Vj&#10;FQR/Qsx2pdlW22ValqZ5P9q9Uo/T8WUFItAY7uH/9odWsHiCvy/xB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Ma48MAAADbAAAADwAAAAAAAAAAAAAAAACYAgAAZHJzL2Rv&#10;d25yZXYueG1sUEsFBgAAAAAEAAQA9QAAAIgDAAAAAA==&#10;" fillcolor="white [3201]" strokecolor="black [3213]" strokeweight="1pt">
                  <v:stroke joinstyle="miter"/>
                  <v:textbox>
                    <w:txbxContent>
                      <w:p w:rsidR="00071EBF" w:rsidRPr="00E73DD2" w:rsidRDefault="00071EBF" w:rsidP="00621638">
                        <w:pPr>
                          <w:jc w:val="center"/>
                          <w:rPr>
                            <w:b/>
                            <w:sz w:val="24"/>
                            <w:szCs w:val="24"/>
                          </w:rPr>
                        </w:pPr>
                        <w:r>
                          <w:rPr>
                            <w:b/>
                            <w:sz w:val="24"/>
                            <w:szCs w:val="24"/>
                          </w:rPr>
                          <w:t xml:space="preserve">3) </w:t>
                        </w:r>
                        <w:r w:rsidRPr="00E73DD2">
                          <w:rPr>
                            <w:b/>
                            <w:sz w:val="24"/>
                            <w:szCs w:val="24"/>
                          </w:rPr>
                          <w:t>Shared responsibility, collective solutions</w:t>
                        </w:r>
                      </w:p>
                    </w:txbxContent>
                  </v:textbox>
                </v:roundrect>
                <v:roundrect id="Rounded Rectangle 76" o:spid="_x0000_s1052" style="position:absolute;left:76295;top:9429;width:21907;height:7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ElMMA&#10;AADbAAAADwAAAGRycy9kb3ducmV2LnhtbESPQWvCQBSE7wX/w/KE3uqmHtKQuooU1EIo1Cj0+sw+&#10;k+Du25DdJum/7xYKHoeZ+YZZbSZrxEC9bx0reF4kIIgrp1uuFZxPu6cMhA/IGo1jUvBDHjbr2cMK&#10;c+1GPtJQhlpECPscFTQhdLmUvmrIol+4jjh6V9dbDFH2tdQ9jhFujVwmSSotthwXGuzoraHqVn5b&#10;BcFfEJcfhdmX+ywpClMfvuynUo/zafsKItAU7uH/9rtW8JL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GElMMAAADbAAAADwAAAAAAAAAAAAAAAACYAgAAZHJzL2Rv&#10;d25yZXYueG1sUEsFBgAAAAAEAAQA9QAAAIgDAAAAAA==&#10;" fillcolor="white [3201]" strokecolor="black [3213]" strokeweight="1pt">
                  <v:stroke joinstyle="miter"/>
                  <v:textbox>
                    <w:txbxContent>
                      <w:p w:rsidR="00071EBF" w:rsidRPr="00E73DD2" w:rsidRDefault="00071EBF" w:rsidP="00621638">
                        <w:pPr>
                          <w:jc w:val="center"/>
                          <w:rPr>
                            <w:b/>
                            <w:sz w:val="24"/>
                            <w:szCs w:val="24"/>
                          </w:rPr>
                        </w:pPr>
                        <w:r>
                          <w:rPr>
                            <w:b/>
                            <w:sz w:val="24"/>
                            <w:szCs w:val="24"/>
                          </w:rPr>
                          <w:t xml:space="preserve">4) </w:t>
                        </w:r>
                        <w:r w:rsidRPr="00E73DD2">
                          <w:rPr>
                            <w:b/>
                            <w:sz w:val="24"/>
                            <w:szCs w:val="24"/>
                          </w:rPr>
                          <w:t>Secondary school settings</w:t>
                        </w:r>
                      </w:p>
                    </w:txbxContent>
                  </v:textbox>
                </v:roundrect>
                <v:roundrect id="Rounded Rectangle 77" o:spid="_x0000_s1053" style="position:absolute;top:22098;width:21907;height:315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hD8IA&#10;AADbAAAADwAAAGRycy9kb3ducmV2LnhtbESPQYvCMBSE74L/ITxhb5quh1W6RpGFdYUiaBX2+mye&#10;bTF5KU3U+u+NIHgcZuYbZrborBFXan3tWMHnKAFBXDhdc6ngsP8dTkH4gKzROCYFd/KwmPd7M0y1&#10;u/GOrnkoRYSwT1FBFUKTSumLiiz6kWuIo3dyrcUQZVtK3eItwq2R4yT5khZrjgsVNvRTUXHOL1ZB&#10;8EfE8SYzq3w1TbLMlH//dqvUx6BbfoMI1IV3+NVeawWTCTy/xB8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SEPwgAAANsAAAAPAAAAAAAAAAAAAAAAAJgCAABkcnMvZG93&#10;bnJldi54bWxQSwUGAAAAAAQABAD1AAAAhwMAAAAA&#10;" fillcolor="white [3201]" strokecolor="black [3213]" strokeweight="1pt">
                  <v:stroke joinstyle="miter"/>
                  <v:textbox>
                    <w:txbxContent>
                      <w:p w:rsidR="00071EBF" w:rsidRPr="00E73DD2" w:rsidRDefault="00071EBF" w:rsidP="00621638">
                        <w:pPr>
                          <w:jc w:val="center"/>
                        </w:pPr>
                        <w:r w:rsidRPr="00E73DD2">
                          <w:t>Issue of obesity prevalence</w:t>
                        </w:r>
                      </w:p>
                      <w:p w:rsidR="00071EBF" w:rsidRPr="00E73DD2" w:rsidRDefault="00071EBF" w:rsidP="00621638">
                        <w:pPr>
                          <w:jc w:val="center"/>
                        </w:pPr>
                      </w:p>
                      <w:p w:rsidR="00071EBF" w:rsidRPr="00E73DD2" w:rsidRDefault="00071EBF" w:rsidP="00621638">
                        <w:pPr>
                          <w:jc w:val="center"/>
                        </w:pPr>
                        <w:r w:rsidRPr="00E73DD2">
                          <w:t>Dietary habits and preferences</w:t>
                        </w:r>
                      </w:p>
                      <w:p w:rsidR="00071EBF" w:rsidRPr="00E73DD2" w:rsidRDefault="00071EBF" w:rsidP="00621638">
                        <w:pPr>
                          <w:jc w:val="center"/>
                        </w:pPr>
                      </w:p>
                      <w:p w:rsidR="00071EBF" w:rsidRPr="00E73DD2" w:rsidRDefault="00071EBF" w:rsidP="00621638">
                        <w:pPr>
                          <w:jc w:val="center"/>
                        </w:pPr>
                        <w:r w:rsidRPr="00E73DD2">
                          <w:t>Physical activity and sedentary behaviour</w:t>
                        </w:r>
                      </w:p>
                      <w:p w:rsidR="00071EBF" w:rsidRPr="00E73DD2" w:rsidRDefault="00071EBF" w:rsidP="00621638">
                        <w:pPr>
                          <w:jc w:val="center"/>
                        </w:pPr>
                      </w:p>
                      <w:p w:rsidR="00071EBF" w:rsidRPr="00E73DD2" w:rsidRDefault="00071EBF" w:rsidP="00621638">
                        <w:pPr>
                          <w:jc w:val="center"/>
                        </w:pPr>
                        <w:r w:rsidRPr="00E73DD2">
                          <w:t>Wider health and well-being</w:t>
                        </w:r>
                      </w:p>
                    </w:txbxContent>
                  </v:textbox>
                </v:roundrect>
                <v:roundrect id="Rounded Rectangle 78" o:spid="_x0000_s1054" style="position:absolute;left:25241;top:22098;width:21907;height:310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1fcEA&#10;AADbAAAADwAAAGRycy9kb3ducmV2LnhtbERPz2vCMBS+C/4P4Qm72VQPs3RGGcK6QRG2Kuz6bJ5t&#10;WfJSmqzt/vvlMNjx4/u9P87WiJEG3zlWsElSEMS10x03Cq6Xl3UGwgdkjcYxKfghD8fDcrHHXLuJ&#10;P2isQiNiCPscFbQh9LmUvm7Jok9cTxy5uxsshgiHRuoBpxhujdym6aO02HFsaLGnU0v1V/VtFQR/&#10;Q9yeS1NURZaWpWleP+27Ug+r+fkJRKA5/Iv/3G9awS6OjV/iD5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CtX3BAAAA2wAAAA8AAAAAAAAAAAAAAAAAmAIAAGRycy9kb3du&#10;cmV2LnhtbFBLBQYAAAAABAAEAPUAAACGAwAAAAA=&#10;" fillcolor="white [3201]" strokecolor="black [3213]" strokeweight="1pt">
                  <v:stroke joinstyle="miter"/>
                  <v:textbox>
                    <w:txbxContent>
                      <w:p w:rsidR="00071EBF" w:rsidRPr="00E73DD2" w:rsidRDefault="00071EBF" w:rsidP="00621638">
                        <w:pPr>
                          <w:jc w:val="center"/>
                        </w:pPr>
                        <w:r w:rsidRPr="00E73DD2">
                          <w:t>Home environment</w:t>
                        </w:r>
                      </w:p>
                      <w:p w:rsidR="00071EBF" w:rsidRPr="00E73DD2" w:rsidRDefault="00071EBF" w:rsidP="00621638">
                        <w:pPr>
                          <w:jc w:val="center"/>
                        </w:pPr>
                      </w:p>
                      <w:p w:rsidR="00071EBF" w:rsidRPr="00E73DD2" w:rsidRDefault="00071EBF" w:rsidP="00621638">
                        <w:pPr>
                          <w:jc w:val="center"/>
                        </w:pPr>
                        <w:r w:rsidRPr="00E73DD2">
                          <w:t>Wider food environment</w:t>
                        </w:r>
                      </w:p>
                      <w:p w:rsidR="00071EBF" w:rsidRPr="00E73DD2" w:rsidRDefault="00071EBF" w:rsidP="00621638">
                        <w:pPr>
                          <w:jc w:val="center"/>
                        </w:pPr>
                      </w:p>
                      <w:p w:rsidR="00071EBF" w:rsidRPr="00E73DD2" w:rsidRDefault="00071EBF" w:rsidP="00621638">
                        <w:pPr>
                          <w:jc w:val="center"/>
                        </w:pPr>
                        <w:r w:rsidRPr="00E73DD2">
                          <w:t>Deprivation</w:t>
                        </w:r>
                      </w:p>
                      <w:p w:rsidR="00071EBF" w:rsidRPr="00E73DD2" w:rsidRDefault="00071EBF" w:rsidP="00621638">
                        <w:pPr>
                          <w:jc w:val="center"/>
                        </w:pPr>
                      </w:p>
                    </w:txbxContent>
                  </v:textbox>
                </v:roundrect>
                <v:roundrect id="Rounded Rectangle 79" o:spid="_x0000_s1055" style="position:absolute;left:51149;top:22098;width:21907;height:310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4Q5sQA&#10;AADbAAAADwAAAGRycy9kb3ducmV2LnhtbESPQWvCQBSE70L/w/KE3szGHFqNrqEUagtB0LTg9Zl9&#10;JqG7b0N2q+m/dwsFj8PMfMOsi9EacaHBd44VzJMUBHHtdMeNgq/Pt9kChA/IGo1jUvBLHorNw2SN&#10;uXZXPtClCo2IEPY5KmhD6HMpfd2SRZ+4njh6ZzdYDFEOjdQDXiPcGpml6ZO02HFcaLGn15bq7+rH&#10;Kgj+hJjtSrOttou0LE3zfrR7pR6n48sKRKAx3MP/7Q+t4HkJf1/iD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EObEAAAA2wAAAA8AAAAAAAAAAAAAAAAAmAIAAGRycy9k&#10;b3ducmV2LnhtbFBLBQYAAAAABAAEAPUAAACJAwAAAAA=&#10;" fillcolor="white [3201]" strokecolor="black [3213]" strokeweight="1pt">
                  <v:stroke joinstyle="miter"/>
                  <v:textbox>
                    <w:txbxContent>
                      <w:p w:rsidR="00071EBF" w:rsidRPr="00E73DD2" w:rsidRDefault="00071EBF" w:rsidP="00621638">
                        <w:pPr>
                          <w:jc w:val="center"/>
                        </w:pPr>
                        <w:r w:rsidRPr="00E73DD2">
                          <w:t>Continuum of responsibility</w:t>
                        </w:r>
                      </w:p>
                      <w:p w:rsidR="00071EBF" w:rsidRPr="00E73DD2" w:rsidRDefault="00071EBF" w:rsidP="00621638">
                        <w:pPr>
                          <w:jc w:val="center"/>
                        </w:pPr>
                      </w:p>
                      <w:p w:rsidR="00071EBF" w:rsidRPr="00E73DD2" w:rsidRDefault="00071EBF" w:rsidP="00621638">
                        <w:pPr>
                          <w:jc w:val="center"/>
                        </w:pPr>
                        <w:r w:rsidRPr="00E73DD2">
                          <w:t>Approaches to behaviour change</w:t>
                        </w:r>
                      </w:p>
                      <w:p w:rsidR="00071EBF" w:rsidRPr="00E73DD2" w:rsidRDefault="00071EBF" w:rsidP="00621638">
                        <w:pPr>
                          <w:jc w:val="center"/>
                        </w:pPr>
                      </w:p>
                      <w:p w:rsidR="00071EBF" w:rsidRPr="00E73DD2" w:rsidRDefault="00071EBF" w:rsidP="00621638">
                        <w:pPr>
                          <w:jc w:val="center"/>
                        </w:pPr>
                        <w:r w:rsidRPr="00E73DD2">
                          <w:t>Importance of partnerships</w:t>
                        </w:r>
                      </w:p>
                      <w:p w:rsidR="00071EBF" w:rsidRPr="00E73DD2" w:rsidRDefault="00071EBF" w:rsidP="00621638">
                        <w:pPr>
                          <w:jc w:val="center"/>
                        </w:pPr>
                        <w:r w:rsidRPr="00E73DD2">
                          <w:t>behaviour</w:t>
                        </w:r>
                      </w:p>
                    </w:txbxContent>
                  </v:textbox>
                </v:roundrect>
                <v:roundrect id="Rounded Rectangle 80" o:spid="_x0000_s1056" style="position:absolute;left:76866;top:22098;width:21908;height:310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HJXL8A&#10;AADbAAAADwAAAGRycy9kb3ducmV2LnhtbERPy4rCMBTdC/5DuII7TXUhpTbKIPiAIsxUYbZ3mjtt&#10;MbkpTdT692YxMMvDeefbwRrxoN63jhUs5gkI4srplmsF18t+loLwAVmjcUwKXuRhuxmPcsy0e/IX&#10;PcpQixjCPkMFTQhdJqWvGrLo564jjtyv6y2GCPta6h6fMdwauUySlbTYcmxosKNdQ9WtvFsFwf8g&#10;Ls+FOZSHNCkKUx+/7adS08nwsQYRaAj/4j/3SStI4/r4Jf4A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YclcvwAAANsAAAAPAAAAAAAAAAAAAAAAAJgCAABkcnMvZG93bnJl&#10;di54bWxQSwUGAAAAAAQABAD1AAAAhAMAAAAA&#10;" fillcolor="white [3201]" strokecolor="black [3213]" strokeweight="1pt">
                  <v:stroke joinstyle="miter"/>
                  <v:textbox>
                    <w:txbxContent>
                      <w:p w:rsidR="00071EBF" w:rsidRPr="00E73DD2" w:rsidRDefault="00071EBF" w:rsidP="00621638">
                        <w:pPr>
                          <w:jc w:val="center"/>
                        </w:pPr>
                        <w:r w:rsidRPr="00E73DD2">
                          <w:t>Action contributing to obesity prevention</w:t>
                        </w:r>
                      </w:p>
                      <w:p w:rsidR="00071EBF" w:rsidRPr="00E73DD2" w:rsidRDefault="00071EBF" w:rsidP="00621638">
                        <w:pPr>
                          <w:jc w:val="center"/>
                        </w:pPr>
                      </w:p>
                      <w:p w:rsidR="00071EBF" w:rsidRPr="00E73DD2" w:rsidRDefault="00071EBF" w:rsidP="00621638">
                        <w:pPr>
                          <w:jc w:val="center"/>
                        </w:pPr>
                        <w:r w:rsidRPr="00E73DD2">
                          <w:t>Competing priorities</w:t>
                        </w:r>
                      </w:p>
                      <w:p w:rsidR="00071EBF" w:rsidRPr="00E73DD2" w:rsidRDefault="00071EBF" w:rsidP="00621638">
                        <w:pPr>
                          <w:jc w:val="center"/>
                        </w:pPr>
                      </w:p>
                      <w:p w:rsidR="00071EBF" w:rsidRPr="00E73DD2" w:rsidRDefault="00071EBF" w:rsidP="00621638">
                        <w:pPr>
                          <w:jc w:val="center"/>
                        </w:pPr>
                        <w:r w:rsidRPr="00E73DD2">
                          <w:t>Role modelling</w:t>
                        </w:r>
                      </w:p>
                      <w:p w:rsidR="00071EBF" w:rsidRPr="00E73DD2" w:rsidRDefault="00071EBF" w:rsidP="00621638">
                        <w:pPr>
                          <w:jc w:val="center"/>
                        </w:pPr>
                      </w:p>
                      <w:p w:rsidR="00071EBF" w:rsidRPr="00E73DD2" w:rsidRDefault="00071EBF" w:rsidP="00621638">
                        <w:pPr>
                          <w:jc w:val="center"/>
                        </w:pPr>
                        <w:r w:rsidRPr="00E73DD2">
                          <w:t>Leadership and governance</w:t>
                        </w:r>
                      </w:p>
                    </w:txbxContent>
                  </v:textbox>
                </v:roundrect>
                <v:shape id="Straight Arrow Connector 81" o:spid="_x0000_s1057" type="#_x0000_t32" style="position:absolute;left:10477;top:17811;width:95;height:3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4048MAAADbAAAADwAAAGRycy9kb3ducmV2LnhtbESP3YrCMBSE7wXfIRzBG9FEL1apRhHZ&#10;FZdFwZ8HODTHttic1CZqffuNIHg5zMw3zGzR2FLcqfaFYw3DgQJBnDpTcKbhdPzpT0D4gGywdEwa&#10;nuRhMW+3ZpgY9+A93Q8hExHCPkENeQhVIqVPc7LoB64ijt7Z1RZDlHUmTY2PCLelHCn1JS0WHBdy&#10;rGiVU3o53KwG+73ejJvec9uz5fVo/rz63QWldbfTLKcgAjXhE363N0bDZAivL/EH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ONOPDAAAA2wAAAA8AAAAAAAAAAAAA&#10;AAAAoQIAAGRycy9kb3ducmV2LnhtbFBLBQYAAAAABAAEAPkAAACRAwAAAAA=&#10;" strokecolor="black [3213]" strokeweight=".5pt">
                  <v:stroke endarrow="block" joinstyle="miter"/>
                </v:shape>
                <v:shape id="Straight Arrow Connector 82" o:spid="_x0000_s1058" type="#_x0000_t32" style="position:absolute;left:36290;top:17811;width:95;height:3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yqlMMAAADbAAAADwAAAGRycy9kb3ducmV2LnhtbESP3YrCMBSE7xd8h3AEb0QTvVilGkVE&#10;xWVR8OcBDs2xLTYntYla334jCHs5zMw3zHTe2FI8qPaFYw2DvgJBnDpTcKbhfFr3xiB8QDZYOiYN&#10;L/Iwn7W+ppgY9+QDPY4hExHCPkENeQhVIqVPc7Lo+64ijt7F1RZDlHUmTY3PCLelHCr1LS0WHBdy&#10;rGiZU3o93q0Gu9psR033teva8nYyv1797IPSutNuFhMQgZrwH/60t0bDeAjvL/EHy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cqpTDAAAA2wAAAA8AAAAAAAAAAAAA&#10;AAAAoQIAAGRycy9kb3ducmV2LnhtbFBLBQYAAAAABAAEAPkAAACRAwAAAAA=&#10;" strokecolor="black [3213]" strokeweight=".5pt">
                  <v:stroke endarrow="block" joinstyle="miter"/>
                </v:shape>
                <v:shape id="Straight Arrow Connector 83" o:spid="_x0000_s1059" type="#_x0000_t32" style="position:absolute;left:61245;top:17811;width:96;height:3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APD8QAAADbAAAADwAAAGRycy9kb3ducmV2LnhtbESP0WrCQBRE3wX/YbmCL1J3bcGG6Coi&#10;bUkpLTT2Ay7ZaxLM3k2zq4l/3y0IPg4zc4ZZbwfbiAt1vnasYTFXIIgLZ2ouNfwcXh8SED4gG2wc&#10;k4YredhuxqM1psb1/E2XPJQiQtinqKEKoU2l9EVFFv3ctcTRO7rOYoiyK6XpsI9w28hHpZbSYs1x&#10;ocKW9hUVp/xsNdiXt+x5mF0/Z7b5PZgPr96/gtJ6Ohl2KxCBhnAP39qZ0ZA8wf+X+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A8PxAAAANsAAAAPAAAAAAAAAAAA&#10;AAAAAKECAABkcnMvZG93bnJldi54bWxQSwUGAAAAAAQABAD5AAAAkgMAAAAA&#10;" strokecolor="black [3213]" strokeweight=".5pt">
                  <v:stroke endarrow="block" joinstyle="miter"/>
                </v:shape>
                <v:shape id="Straight Arrow Connector 84" o:spid="_x0000_s1060" type="#_x0000_t32" style="position:absolute;left:87725;top:17811;width:95;height:3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mXe8QAAADbAAAADwAAAGRycy9kb3ducmV2LnhtbESP0WrCQBRE3wX/YbmCL1J3LcWG6Coi&#10;bUkpLTT2Ay7ZaxLM3k2zq4l/3y0IPg4zc4ZZbwfbiAt1vnasYTFXIIgLZ2ouNfwcXh8SED4gG2wc&#10;k4YredhuxqM1psb1/E2XPJQiQtinqKEKoU2l9EVFFv3ctcTRO7rOYoiyK6XpsI9w28hHpZbSYs1x&#10;ocKW9hUVp/xsNdiXt+x5mF0/Z7b5PZgPr96/gtJ6Ohl2KxCBhnAP39qZ0ZA8wf+X+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d7xAAAANsAAAAPAAAAAAAAAAAA&#10;AAAAAKECAABkcnMvZG93bnJldi54bWxQSwUGAAAAAAQABAD5AAAAkgMAAAAA&#10;" strokecolor="black [3213]" strokeweight=".5pt">
                  <v:stroke endarrow="block" joinstyle="miter"/>
                </v:shape>
                <w10:wrap type="tight"/>
              </v:group>
            </w:pict>
          </mc:Fallback>
        </mc:AlternateContent>
      </w:r>
    </w:p>
    <w:p w:rsidR="004B073C" w:rsidRPr="009B3747" w:rsidRDefault="004B073C" w:rsidP="006F36A0">
      <w:pPr>
        <w:rPr>
          <w:rFonts w:eastAsia="Times New Roman" w:cstheme="minorHAnsi"/>
          <w:sz w:val="24"/>
          <w:szCs w:val="24"/>
          <w:lang w:eastAsia="en-GB"/>
        </w:rPr>
      </w:pPr>
    </w:p>
    <w:p w:rsidR="00C12393" w:rsidRPr="009B3747" w:rsidRDefault="00C12393" w:rsidP="006F36A0">
      <w:pPr>
        <w:rPr>
          <w:rFonts w:eastAsia="Times New Roman" w:cstheme="minorHAnsi"/>
          <w:sz w:val="24"/>
          <w:szCs w:val="24"/>
          <w:lang w:eastAsia="en-GB"/>
        </w:rPr>
      </w:pPr>
    </w:p>
    <w:p w:rsidR="00C12393" w:rsidRPr="009B3747" w:rsidRDefault="00C12393" w:rsidP="006F36A0">
      <w:pPr>
        <w:rPr>
          <w:rFonts w:eastAsia="Times New Roman" w:cstheme="minorHAnsi"/>
          <w:sz w:val="24"/>
          <w:szCs w:val="24"/>
          <w:lang w:eastAsia="en-GB"/>
        </w:rPr>
      </w:pPr>
    </w:p>
    <w:p w:rsidR="00C12393" w:rsidRPr="009B3747" w:rsidRDefault="00C12393" w:rsidP="006F36A0">
      <w:pPr>
        <w:rPr>
          <w:rFonts w:eastAsia="Times New Roman" w:cstheme="minorHAnsi"/>
          <w:sz w:val="24"/>
          <w:szCs w:val="24"/>
          <w:lang w:eastAsia="en-GB"/>
        </w:rPr>
      </w:pPr>
    </w:p>
    <w:p w:rsidR="00621638" w:rsidRPr="009B3747" w:rsidRDefault="00C12393" w:rsidP="00514099">
      <w:pPr>
        <w:ind w:left="8640" w:firstLine="720"/>
        <w:rPr>
          <w:rFonts w:eastAsia="Times New Roman" w:cstheme="minorHAnsi"/>
          <w:sz w:val="20"/>
          <w:szCs w:val="20"/>
          <w:u w:val="single"/>
          <w:lang w:eastAsia="en-GB"/>
        </w:rPr>
      </w:pPr>
      <w:r w:rsidRPr="009B3747">
        <w:rPr>
          <w:rFonts w:eastAsia="Times New Roman" w:cstheme="minorHAnsi"/>
          <w:sz w:val="20"/>
          <w:szCs w:val="20"/>
          <w:u w:val="single"/>
          <w:lang w:eastAsia="en-GB"/>
        </w:rPr>
        <w:t>Figure 6.1 Thematic map of qualitative findings</w:t>
      </w:r>
    </w:p>
    <w:p w:rsidR="00C12393" w:rsidRPr="009B3747" w:rsidRDefault="00C12393" w:rsidP="006F36A0">
      <w:pPr>
        <w:rPr>
          <w:rFonts w:eastAsia="Times New Roman" w:cstheme="minorHAnsi"/>
          <w:sz w:val="24"/>
          <w:szCs w:val="24"/>
          <w:lang w:eastAsia="en-GB"/>
        </w:rPr>
        <w:sectPr w:rsidR="00C12393" w:rsidRPr="009B3747" w:rsidSect="00621638">
          <w:pgSz w:w="16838" w:h="11906" w:orient="landscape"/>
          <w:pgMar w:top="1440" w:right="1440" w:bottom="1440" w:left="1440" w:header="709" w:footer="709" w:gutter="0"/>
          <w:cols w:space="708"/>
          <w:docGrid w:linePitch="360"/>
        </w:sectPr>
      </w:pPr>
    </w:p>
    <w:p w:rsidR="006F36A0" w:rsidRPr="009B3747" w:rsidRDefault="00991D2F" w:rsidP="006F36A0">
      <w:pPr>
        <w:rPr>
          <w:rFonts w:eastAsia="Times New Roman" w:cstheme="minorHAnsi"/>
          <w:sz w:val="24"/>
          <w:szCs w:val="24"/>
          <w:lang w:eastAsia="en-GB"/>
        </w:rPr>
      </w:pPr>
      <w:r w:rsidRPr="009B3747">
        <w:rPr>
          <w:rFonts w:eastAsia="Times New Roman" w:cstheme="minorHAnsi"/>
          <w:color w:val="000000"/>
          <w:u w:val="single"/>
          <w:lang w:eastAsia="en-GB"/>
        </w:rPr>
        <w:lastRenderedPageBreak/>
        <w:t>6.</w:t>
      </w:r>
      <w:r w:rsidR="00551065" w:rsidRPr="009B3747">
        <w:rPr>
          <w:rFonts w:eastAsia="Times New Roman" w:cstheme="minorHAnsi"/>
          <w:color w:val="000000"/>
          <w:u w:val="single"/>
          <w:lang w:eastAsia="en-GB"/>
        </w:rPr>
        <w:t>3</w:t>
      </w:r>
      <w:r w:rsidRPr="009B3747">
        <w:rPr>
          <w:rFonts w:eastAsia="Times New Roman" w:cstheme="minorHAnsi"/>
          <w:color w:val="000000"/>
          <w:u w:val="single"/>
          <w:lang w:eastAsia="en-GB"/>
        </w:rPr>
        <w:t xml:space="preserve">.1 </w:t>
      </w:r>
      <w:r w:rsidR="006F36A0" w:rsidRPr="009B3747">
        <w:rPr>
          <w:rFonts w:eastAsia="Times New Roman" w:cstheme="minorHAnsi"/>
          <w:color w:val="000000"/>
          <w:u w:val="single"/>
          <w:lang w:eastAsia="en-GB"/>
        </w:rPr>
        <w:t>Summary of individual themes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T</w:t>
      </w:r>
      <w:r w:rsidRPr="009B3747">
        <w:rPr>
          <w:rFonts w:eastAsia="Times New Roman" w:cstheme="minorHAnsi"/>
          <w:color w:val="222222"/>
          <w:shd w:val="clear" w:color="auto" w:fill="FFFFFF"/>
          <w:lang w:eastAsia="en-GB"/>
        </w:rPr>
        <w:t>he first broad and overarching theme related to participants’ perceptions of adolescent obesity and lifestyle behaviours.  Al</w:t>
      </w:r>
      <w:r w:rsidR="00AC6896" w:rsidRPr="009B3747">
        <w:rPr>
          <w:rFonts w:eastAsia="Times New Roman" w:cstheme="minorHAnsi"/>
          <w:color w:val="222222"/>
          <w:shd w:val="clear" w:color="auto" w:fill="FFFFFF"/>
          <w:lang w:eastAsia="en-GB"/>
        </w:rPr>
        <w:t xml:space="preserve">l participants provided various, </w:t>
      </w:r>
      <w:r w:rsidRPr="009B3747">
        <w:rPr>
          <w:rFonts w:eastAsia="Times New Roman" w:cstheme="minorHAnsi"/>
          <w:color w:val="222222"/>
          <w:shd w:val="clear" w:color="auto" w:fill="FFFFFF"/>
          <w:lang w:eastAsia="en-GB"/>
        </w:rPr>
        <w:t>and at times differing beliefs about the current prevalence of excess weight within adolescence.  Whilst most acknowledged an escalating problem of obesity within society, typically for many this was not reflected in their secondary school population.  Broader than the issue of obesity, was the changing and at times concerning perceptions of adolescent lifestyle behaviours</w:t>
      </w:r>
      <w:r w:rsidR="000C7C6F">
        <w:rPr>
          <w:rFonts w:eastAsia="Times New Roman" w:cstheme="minorHAnsi"/>
          <w:color w:val="222222"/>
          <w:shd w:val="clear" w:color="auto" w:fill="FFFFFF"/>
          <w:lang w:eastAsia="en-GB"/>
        </w:rPr>
        <w:t>,</w:t>
      </w:r>
      <w:r w:rsidRPr="009B3747">
        <w:rPr>
          <w:rFonts w:eastAsia="Times New Roman" w:cstheme="minorHAnsi"/>
          <w:color w:val="222222"/>
          <w:shd w:val="clear" w:color="auto" w:fill="FFFFFF"/>
          <w:lang w:eastAsia="en-GB"/>
        </w:rPr>
        <w:t xml:space="preserve"> including dietary and physical activity habits both inside and outside the secondary school setting.  Resulting from or contributing to these behaviours, were wider health and well-being issues perceived to be being experienced by pupils at their school.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The second key emerging theme links to the first</w:t>
      </w:r>
      <w:r w:rsidR="000C7C6F">
        <w:rPr>
          <w:rFonts w:eastAsia="Times New Roman" w:cstheme="minorHAnsi"/>
          <w:color w:val="000000"/>
          <w:lang w:eastAsia="en-GB"/>
        </w:rPr>
        <w:t>,</w:t>
      </w:r>
      <w:r w:rsidRPr="009B3747">
        <w:rPr>
          <w:rFonts w:eastAsia="Times New Roman" w:cstheme="minorHAnsi"/>
          <w:color w:val="000000"/>
          <w:lang w:eastAsia="en-GB"/>
        </w:rPr>
        <w:t xml:space="preserve"> and explores participants’ beliefs about the connection between adolescent obesity and lifestyle behaviours and the influence of place.  There was </w:t>
      </w:r>
      <w:r w:rsidR="000C7C6F">
        <w:rPr>
          <w:rFonts w:eastAsia="Times New Roman" w:cstheme="minorHAnsi"/>
          <w:color w:val="000000"/>
          <w:lang w:eastAsia="en-GB"/>
        </w:rPr>
        <w:t xml:space="preserve">the </w:t>
      </w:r>
      <w:r w:rsidRPr="009B3747">
        <w:rPr>
          <w:rFonts w:eastAsia="Times New Roman" w:cstheme="minorHAnsi"/>
          <w:color w:val="000000"/>
          <w:lang w:eastAsia="en-GB"/>
        </w:rPr>
        <w:t>perception that at its most simplistic level, obesity is caused by an energy imbalance, resulting from excessive and inappropriate food and drink consumption and inadequate participation in physical activity.  Despite this, the universal belief was that explaining obesity as a mere unbalanced ‘</w:t>
      </w:r>
      <w:r w:rsidR="000C7C6F">
        <w:rPr>
          <w:rFonts w:eastAsia="Times New Roman" w:cstheme="minorHAnsi"/>
          <w:color w:val="000000"/>
          <w:lang w:eastAsia="en-GB"/>
        </w:rPr>
        <w:t>equation’ was overly simplistic.  D</w:t>
      </w:r>
      <w:r w:rsidRPr="009B3747">
        <w:rPr>
          <w:rFonts w:eastAsia="Times New Roman" w:cstheme="minorHAnsi"/>
          <w:color w:val="000000"/>
          <w:lang w:eastAsia="en-GB"/>
        </w:rPr>
        <w:t>riving this perception was the collective view that the places in which adolescents live</w:t>
      </w:r>
      <w:r w:rsidR="000C7C6F">
        <w:rPr>
          <w:rFonts w:eastAsia="Times New Roman" w:cstheme="minorHAnsi"/>
          <w:color w:val="000000"/>
          <w:lang w:eastAsia="en-GB"/>
        </w:rPr>
        <w:t>,</w:t>
      </w:r>
      <w:r w:rsidRPr="009B3747">
        <w:rPr>
          <w:rFonts w:eastAsia="Times New Roman" w:cstheme="minorHAnsi"/>
          <w:color w:val="000000"/>
          <w:lang w:eastAsia="en-GB"/>
        </w:rPr>
        <w:t xml:space="preserve"> have an influential role in determining an achievement of energy balance.  In regards to place, participants referred to multiple and complex factors within an adolescents’ economic, geographical and social context that shape and determine obesity prevalence and lifestyle behaviours and also long term educational, employment and social outcomes.  Most notably, the home environment (more specifically the impact of parents), wider food environment and deprivation were frequently focused upon and discussed in regards to the influence of place.  Despite these being outside of a school setting, all three areas of focus were deemed to positively or negatively impact upon a school’s ability and desire to prevent adolescent obesity.</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Given participants strong belief that obesity presents a substantial health and financial burden on society and therefore requires addressing, presented in the third main theme are participants’ perspectives about who has responsibility for preventing the issue.  Frequently headteachers</w:t>
      </w:r>
      <w:r w:rsidR="00AC6896" w:rsidRPr="009B3747">
        <w:rPr>
          <w:rFonts w:eastAsia="Times New Roman" w:cstheme="minorHAnsi"/>
          <w:color w:val="000000"/>
          <w:lang w:eastAsia="en-GB"/>
        </w:rPr>
        <w:t>’</w:t>
      </w:r>
      <w:r w:rsidRPr="009B3747">
        <w:rPr>
          <w:rFonts w:eastAsia="Times New Roman" w:cstheme="minorHAnsi"/>
          <w:color w:val="000000"/>
          <w:lang w:eastAsia="en-GB"/>
        </w:rPr>
        <w:t xml:space="preserve"> and chairs of governors</w:t>
      </w:r>
      <w:r w:rsidR="00AC6896" w:rsidRPr="009B3747">
        <w:rPr>
          <w:rFonts w:eastAsia="Times New Roman" w:cstheme="minorHAnsi"/>
          <w:color w:val="000000"/>
          <w:lang w:eastAsia="en-GB"/>
        </w:rPr>
        <w:t>’</w:t>
      </w:r>
      <w:r w:rsidRPr="009B3747">
        <w:rPr>
          <w:rFonts w:eastAsia="Times New Roman" w:cstheme="minorHAnsi"/>
          <w:color w:val="000000"/>
          <w:lang w:eastAsia="en-GB"/>
        </w:rPr>
        <w:t xml:space="preserve"> views moved interchangeably along a continuum with personal responsibility and societal responsibility representing the extremes at either end.  Participants often presented opposing views to others</w:t>
      </w:r>
      <w:r w:rsidR="00760AF5" w:rsidRPr="009B3747">
        <w:rPr>
          <w:rFonts w:eastAsia="Times New Roman" w:cstheme="minorHAnsi"/>
          <w:color w:val="000000"/>
          <w:lang w:eastAsia="en-GB"/>
        </w:rPr>
        <w:t>,</w:t>
      </w:r>
      <w:r w:rsidRPr="009B3747">
        <w:rPr>
          <w:rFonts w:eastAsia="Times New Roman" w:cstheme="minorHAnsi"/>
          <w:color w:val="000000"/>
          <w:lang w:eastAsia="en-GB"/>
        </w:rPr>
        <w:t xml:space="preserve"> or in fact to their own previously shared perspective.  What was consistent </w:t>
      </w:r>
      <w:r w:rsidRPr="009B3747">
        <w:rPr>
          <w:rFonts w:eastAsia="Times New Roman" w:cstheme="minorHAnsi"/>
          <w:color w:val="000000"/>
          <w:lang w:eastAsia="en-GB"/>
        </w:rPr>
        <w:lastRenderedPageBreak/>
        <w:t>however was the shared consensus that within collective responsibility for prevention, key stakeholders have distinct responsibilities and should perform specific role</w:t>
      </w:r>
      <w:r w:rsidR="00760AF5" w:rsidRPr="009B3747">
        <w:rPr>
          <w:rFonts w:eastAsia="Times New Roman" w:cstheme="minorHAnsi"/>
          <w:color w:val="000000"/>
          <w:lang w:eastAsia="en-GB"/>
        </w:rPr>
        <w:t>s.  The remainder of this theme</w:t>
      </w:r>
      <w:r w:rsidR="000C7C6F">
        <w:rPr>
          <w:rFonts w:eastAsia="Times New Roman" w:cstheme="minorHAnsi"/>
          <w:color w:val="000000"/>
          <w:lang w:eastAsia="en-GB"/>
        </w:rPr>
        <w:t>,</w:t>
      </w:r>
      <w:r w:rsidRPr="009B3747">
        <w:rPr>
          <w:rFonts w:eastAsia="Times New Roman" w:cstheme="minorHAnsi"/>
          <w:color w:val="000000"/>
          <w:lang w:eastAsia="en-GB"/>
        </w:rPr>
        <w:t xml:space="preserve"> explores the vari</w:t>
      </w:r>
      <w:r w:rsidR="000C7C6F">
        <w:rPr>
          <w:rFonts w:eastAsia="Times New Roman" w:cstheme="minorHAnsi"/>
          <w:color w:val="000000"/>
          <w:lang w:eastAsia="en-GB"/>
        </w:rPr>
        <w:t xml:space="preserve">able beliefs regarding the </w:t>
      </w:r>
      <w:r w:rsidRPr="009B3747">
        <w:rPr>
          <w:rFonts w:eastAsia="Times New Roman" w:cstheme="minorHAnsi"/>
          <w:color w:val="000000"/>
          <w:lang w:eastAsia="en-GB"/>
        </w:rPr>
        <w:t>effective behaviour change approaches for pr</w:t>
      </w:r>
      <w:r w:rsidR="000C7C6F">
        <w:rPr>
          <w:rFonts w:eastAsia="Times New Roman" w:cstheme="minorHAnsi"/>
          <w:color w:val="000000"/>
          <w:lang w:eastAsia="en-GB"/>
        </w:rPr>
        <w:t xml:space="preserve">eventing adolescent obesity, </w:t>
      </w:r>
      <w:r w:rsidRPr="009B3747">
        <w:rPr>
          <w:rFonts w:eastAsia="Times New Roman" w:cstheme="minorHAnsi"/>
          <w:color w:val="000000"/>
          <w:lang w:eastAsia="en-GB"/>
        </w:rPr>
        <w:t>unhealthy dietary and physical activity habits.  These range from education and raising awareness to legislation and taxation.  Lastly, in order to deliver behaviour change approaches, the concept and importance of building partnerships between schools and organisations in the public and private sector are discussed.</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0C7C6F" w:rsidP="006F36A0">
      <w:pPr>
        <w:rPr>
          <w:rFonts w:eastAsia="Times New Roman" w:cstheme="minorHAnsi"/>
          <w:sz w:val="24"/>
          <w:szCs w:val="24"/>
          <w:lang w:eastAsia="en-GB"/>
        </w:rPr>
      </w:pPr>
      <w:r>
        <w:rPr>
          <w:rFonts w:eastAsia="Times New Roman" w:cstheme="minorHAnsi"/>
          <w:color w:val="000000"/>
          <w:lang w:eastAsia="en-GB"/>
        </w:rPr>
        <w:t xml:space="preserve">The </w:t>
      </w:r>
      <w:r w:rsidR="006F36A0" w:rsidRPr="009B3747">
        <w:rPr>
          <w:rFonts w:eastAsia="Times New Roman" w:cstheme="minorHAnsi"/>
          <w:color w:val="000000"/>
          <w:lang w:eastAsia="en-GB"/>
        </w:rPr>
        <w:t xml:space="preserve">final theme focuses on the secondary school setting itself and presents an overview of current action deemed by participants to contribute to the obesity prevention agenda.  Participants expressed a desire and commitment to developing the whole child including taking action to improve adolescent lifestyle behaviours.   However key factors within the secondary school setting, were deemed to affect the ability and desire to undertake this action.  Of most significance were the challenges associated with competing priorities between schools and the government.  Two other topics, role modelling and the leadership and governance were also repeatedly described by participants and both perceived to influence the way in which prevention is embedded into their school setting.  The latter sub-theme </w:t>
      </w:r>
      <w:r w:rsidR="00FF3C6A">
        <w:rPr>
          <w:rFonts w:eastAsia="Times New Roman" w:cstheme="minorHAnsi"/>
          <w:color w:val="000000"/>
          <w:lang w:eastAsia="en-GB"/>
        </w:rPr>
        <w:t xml:space="preserve">is </w:t>
      </w:r>
      <w:r w:rsidR="006F36A0" w:rsidRPr="009B3747">
        <w:rPr>
          <w:rFonts w:eastAsia="Times New Roman" w:cstheme="minorHAnsi"/>
          <w:color w:val="000000"/>
          <w:lang w:eastAsia="en-GB"/>
        </w:rPr>
        <w:t xml:space="preserve">of particular importance, given the specific interest in the role of headteachers and chairs of governors in relation to excess weight prevention.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991D2F" w:rsidP="006F36A0">
      <w:pPr>
        <w:rPr>
          <w:rFonts w:eastAsia="Times New Roman" w:cstheme="minorHAnsi"/>
          <w:sz w:val="24"/>
          <w:szCs w:val="24"/>
          <w:u w:val="single"/>
          <w:lang w:eastAsia="en-GB"/>
        </w:rPr>
      </w:pPr>
      <w:r w:rsidRPr="009B3747">
        <w:rPr>
          <w:rFonts w:eastAsia="Times New Roman" w:cstheme="minorHAnsi"/>
          <w:b/>
          <w:bCs/>
          <w:color w:val="000000"/>
          <w:sz w:val="24"/>
          <w:szCs w:val="24"/>
          <w:u w:val="single"/>
          <w:lang w:eastAsia="en-GB"/>
        </w:rPr>
        <w:t>6</w:t>
      </w:r>
      <w:r w:rsidR="00551065" w:rsidRPr="009B3747">
        <w:rPr>
          <w:rFonts w:eastAsia="Times New Roman" w:cstheme="minorHAnsi"/>
          <w:b/>
          <w:bCs/>
          <w:color w:val="000000"/>
          <w:sz w:val="24"/>
          <w:szCs w:val="24"/>
          <w:u w:val="single"/>
          <w:lang w:eastAsia="en-GB"/>
        </w:rPr>
        <w:t>.4</w:t>
      </w:r>
      <w:r w:rsidR="006F36A0" w:rsidRPr="009B3747">
        <w:rPr>
          <w:rFonts w:eastAsia="Times New Roman" w:cstheme="minorHAnsi"/>
          <w:b/>
          <w:bCs/>
          <w:color w:val="000000"/>
          <w:sz w:val="24"/>
          <w:szCs w:val="24"/>
          <w:u w:val="single"/>
          <w:lang w:eastAsia="en-GB"/>
        </w:rPr>
        <w:t xml:space="preserve"> Perceptions of adolescent obesity and lifestyle behaviours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991D2F" w:rsidP="006F36A0">
      <w:pPr>
        <w:rPr>
          <w:rFonts w:eastAsia="Times New Roman" w:cstheme="minorHAnsi"/>
          <w:sz w:val="24"/>
          <w:szCs w:val="24"/>
          <w:u w:val="single"/>
          <w:lang w:eastAsia="en-GB"/>
        </w:rPr>
      </w:pPr>
      <w:r w:rsidRPr="009B3747">
        <w:rPr>
          <w:rFonts w:eastAsia="Times New Roman" w:cstheme="minorHAnsi"/>
          <w:iCs/>
          <w:color w:val="000000"/>
          <w:u w:val="single"/>
          <w:lang w:eastAsia="en-GB"/>
        </w:rPr>
        <w:t>6</w:t>
      </w:r>
      <w:r w:rsidR="00551065" w:rsidRPr="009B3747">
        <w:rPr>
          <w:rFonts w:eastAsia="Times New Roman" w:cstheme="minorHAnsi"/>
          <w:iCs/>
          <w:color w:val="000000"/>
          <w:u w:val="single"/>
          <w:lang w:eastAsia="en-GB"/>
        </w:rPr>
        <w:t>.4</w:t>
      </w:r>
      <w:r w:rsidR="006F36A0" w:rsidRPr="009B3747">
        <w:rPr>
          <w:rFonts w:eastAsia="Times New Roman" w:cstheme="minorHAnsi"/>
          <w:iCs/>
          <w:color w:val="000000"/>
          <w:u w:val="single"/>
          <w:lang w:eastAsia="en-GB"/>
        </w:rPr>
        <w:t>.1 The issue of obesity</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Participants universally acknowledged that across society the issue of overweight and obesity was both apparent and escalating.  This perception was predominantly related to the prevalence of excess weight in the adult population, with both headteachers and chairs of governors expressing concern or worry about the perceived scale of the issue.  Reference was made to how national obesity levels have increased over time and direct comparisons were drawn by some participants between UK prevalence and that of other countries, most notably America:</w:t>
      </w:r>
    </w:p>
    <w:p w:rsidR="006F36A0" w:rsidRPr="009B3747" w:rsidRDefault="006F36A0" w:rsidP="006F36A0">
      <w:pPr>
        <w:ind w:firstLine="720"/>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A617EF">
      <w:pPr>
        <w:ind w:left="720"/>
        <w:rPr>
          <w:rFonts w:eastAsia="Times New Roman" w:cstheme="minorHAnsi"/>
          <w:color w:val="000000"/>
          <w:sz w:val="20"/>
          <w:szCs w:val="20"/>
          <w:lang w:eastAsia="en-GB"/>
        </w:rPr>
      </w:pPr>
      <w:r w:rsidRPr="009B3747">
        <w:rPr>
          <w:rFonts w:eastAsia="Times New Roman" w:cstheme="minorHAnsi"/>
          <w:b/>
          <w:bCs/>
          <w:i/>
          <w:iCs/>
          <w:color w:val="000000"/>
          <w:sz w:val="20"/>
          <w:szCs w:val="20"/>
          <w:lang w:eastAsia="en-GB"/>
        </w:rPr>
        <w:t>“</w:t>
      </w:r>
      <w:r w:rsidRPr="009B3747">
        <w:rPr>
          <w:rFonts w:eastAsia="Times New Roman" w:cstheme="minorHAnsi"/>
          <w:i/>
          <w:iCs/>
          <w:color w:val="000000"/>
          <w:sz w:val="20"/>
          <w:szCs w:val="20"/>
          <w:lang w:eastAsia="en-GB"/>
        </w:rPr>
        <w:t>It frightens me nationally, it does frighten me levels of obesity, you only have to walk down a high street, or the shopping centre.”</w:t>
      </w:r>
      <w:r w:rsidRPr="009B3747">
        <w:rPr>
          <w:rFonts w:eastAsia="Times New Roman" w:cstheme="minorHAnsi"/>
          <w:color w:val="000000"/>
          <w:sz w:val="20"/>
          <w:szCs w:val="20"/>
          <w:lang w:eastAsia="en-GB"/>
        </w:rPr>
        <w:t xml:space="preserve">  </w:t>
      </w:r>
      <w:r w:rsidRPr="009B3747">
        <w:rPr>
          <w:rFonts w:eastAsia="Times New Roman" w:cstheme="minorHAnsi"/>
          <w:b/>
          <w:bCs/>
          <w:color w:val="000000"/>
          <w:sz w:val="20"/>
          <w:szCs w:val="20"/>
          <w:lang w:eastAsia="en-GB"/>
        </w:rPr>
        <w:t>Participant 6</w:t>
      </w:r>
      <w:r w:rsidR="00A617EF" w:rsidRPr="009B3747">
        <w:rPr>
          <w:rFonts w:eastAsia="Times New Roman" w:cstheme="minorHAnsi"/>
          <w:b/>
          <w:bCs/>
          <w:color w:val="000000"/>
          <w:sz w:val="20"/>
          <w:szCs w:val="20"/>
          <w:lang w:eastAsia="en-GB"/>
        </w:rPr>
        <w:t xml:space="preserve"> (Headteacher)</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sz w:val="24"/>
          <w:szCs w:val="24"/>
          <w:lang w:eastAsia="en-GB"/>
        </w:rPr>
        <w:t> </w:t>
      </w:r>
    </w:p>
    <w:p w:rsidR="00A617EF" w:rsidRPr="009B3747" w:rsidRDefault="006F36A0" w:rsidP="00A617EF">
      <w:pPr>
        <w:ind w:left="720"/>
        <w:rPr>
          <w:rFonts w:eastAsia="Times New Roman" w:cstheme="minorHAnsi"/>
          <w:i/>
          <w:iCs/>
          <w:color w:val="000000"/>
          <w:sz w:val="20"/>
          <w:szCs w:val="20"/>
          <w:lang w:eastAsia="en-GB"/>
        </w:rPr>
      </w:pPr>
      <w:r w:rsidRPr="009B3747">
        <w:rPr>
          <w:rFonts w:eastAsia="Times New Roman" w:cstheme="minorHAnsi"/>
          <w:b/>
          <w:bCs/>
          <w:color w:val="000000"/>
          <w:sz w:val="20"/>
          <w:szCs w:val="20"/>
          <w:lang w:eastAsia="en-GB"/>
        </w:rPr>
        <w:lastRenderedPageBreak/>
        <w:t>“</w:t>
      </w:r>
      <w:r w:rsidRPr="009B3747">
        <w:rPr>
          <w:rFonts w:eastAsia="Times New Roman" w:cstheme="minorHAnsi"/>
          <w:i/>
          <w:iCs/>
          <w:color w:val="000000"/>
          <w:sz w:val="20"/>
          <w:szCs w:val="20"/>
          <w:lang w:eastAsia="en-GB"/>
        </w:rPr>
        <w:t>We all knew about America, everybody knew about America and almost held that up as you know we’re nowhere near as bad as that and never will be and actually the statistics increasingly point at the fact that we are approaching the magnitude of t</w:t>
      </w:r>
      <w:r w:rsidR="00BB1429" w:rsidRPr="009B3747">
        <w:rPr>
          <w:rFonts w:eastAsia="Times New Roman" w:cstheme="minorHAnsi"/>
          <w:i/>
          <w:iCs/>
          <w:color w:val="000000"/>
          <w:sz w:val="20"/>
          <w:szCs w:val="20"/>
          <w:lang w:eastAsia="en-GB"/>
        </w:rPr>
        <w:t xml:space="preserve">he problem that America have.”  </w:t>
      </w:r>
    </w:p>
    <w:p w:rsidR="006F36A0" w:rsidRPr="009B3747" w:rsidRDefault="006F36A0" w:rsidP="00A617EF">
      <w:pPr>
        <w:ind w:left="720"/>
        <w:rPr>
          <w:rFonts w:eastAsia="Times New Roman" w:cstheme="minorHAnsi"/>
          <w:i/>
          <w:iCs/>
          <w:color w:val="000000"/>
          <w:sz w:val="20"/>
          <w:szCs w:val="20"/>
          <w:lang w:eastAsia="en-GB"/>
        </w:rPr>
      </w:pPr>
      <w:r w:rsidRPr="009B3747">
        <w:rPr>
          <w:rFonts w:eastAsia="Times New Roman" w:cstheme="minorHAnsi"/>
          <w:b/>
          <w:bCs/>
          <w:color w:val="000000"/>
          <w:sz w:val="20"/>
          <w:szCs w:val="20"/>
          <w:lang w:eastAsia="en-GB"/>
        </w:rPr>
        <w:t>Participant 18</w:t>
      </w:r>
      <w:r w:rsidR="00BB1429" w:rsidRPr="009B3747">
        <w:rPr>
          <w:rFonts w:eastAsia="Times New Roman" w:cstheme="minorHAnsi"/>
          <w:b/>
          <w:bCs/>
          <w:color w:val="000000"/>
          <w:sz w:val="20"/>
          <w:szCs w:val="20"/>
          <w:lang w:eastAsia="en-GB"/>
        </w:rPr>
        <w:t xml:space="preserve"> </w:t>
      </w:r>
      <w:r w:rsidR="00A617EF" w:rsidRPr="009B3747">
        <w:rPr>
          <w:rFonts w:eastAsia="Times New Roman" w:cstheme="minorHAnsi"/>
          <w:b/>
          <w:bCs/>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Whilst there was general recognition that obesity was a problem within society, there was variation in whether participants felt this translated into an issue within their secondary school setting.  Most reported concerns about isolated cases of obesity in their pupil population, however in the main, both headteachers and chairs of governors felt that it was not a significant problem for their school.  This view was shared consistently across all the school stratas sampled for.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A617EF" w:rsidRPr="009B3747" w:rsidRDefault="006F36A0" w:rsidP="006F36A0">
      <w:pPr>
        <w:ind w:left="690"/>
        <w:rPr>
          <w:rFonts w:eastAsia="Times New Roman" w:cstheme="minorHAnsi"/>
          <w:i/>
          <w:iCs/>
          <w:color w:val="000000"/>
          <w:sz w:val="20"/>
          <w:szCs w:val="20"/>
          <w:lang w:eastAsia="en-GB"/>
        </w:rPr>
      </w:pPr>
      <w:r w:rsidRPr="009B3747">
        <w:rPr>
          <w:rFonts w:eastAsia="Times New Roman" w:cstheme="minorHAnsi"/>
          <w:i/>
          <w:iCs/>
          <w:color w:val="000000"/>
          <w:sz w:val="20"/>
          <w:szCs w:val="20"/>
          <w:lang w:eastAsia="en-GB"/>
        </w:rPr>
        <w:t>“It’s an issu</w:t>
      </w:r>
      <w:r w:rsidR="00281979">
        <w:rPr>
          <w:rFonts w:eastAsia="Times New Roman" w:cstheme="minorHAnsi"/>
          <w:i/>
          <w:iCs/>
          <w:color w:val="000000"/>
          <w:sz w:val="20"/>
          <w:szCs w:val="20"/>
          <w:lang w:eastAsia="en-GB"/>
        </w:rPr>
        <w:t xml:space="preserve">e for individuals in the school, </w:t>
      </w:r>
      <w:r w:rsidRPr="009B3747">
        <w:rPr>
          <w:rFonts w:eastAsia="Times New Roman" w:cstheme="minorHAnsi"/>
          <w:i/>
          <w:iCs/>
          <w:color w:val="000000"/>
          <w:sz w:val="20"/>
          <w:szCs w:val="20"/>
          <w:lang w:eastAsia="en-GB"/>
        </w:rPr>
        <w:t>but I don’t see it as a global issue for our kids.  I would say lack o</w:t>
      </w:r>
      <w:r w:rsidR="00281979">
        <w:rPr>
          <w:rFonts w:eastAsia="Times New Roman" w:cstheme="minorHAnsi"/>
          <w:i/>
          <w:iCs/>
          <w:color w:val="000000"/>
          <w:sz w:val="20"/>
          <w:szCs w:val="20"/>
          <w:lang w:eastAsia="en-GB"/>
        </w:rPr>
        <w:t xml:space="preserve">f physical exercise is an issue, </w:t>
      </w:r>
      <w:r w:rsidRPr="009B3747">
        <w:rPr>
          <w:rFonts w:eastAsia="Times New Roman" w:cstheme="minorHAnsi"/>
          <w:i/>
          <w:iCs/>
          <w:color w:val="000000"/>
          <w:sz w:val="20"/>
          <w:szCs w:val="20"/>
          <w:lang w:eastAsia="en-GB"/>
        </w:rPr>
        <w:t>but it's not manifested itself into obesity, an obesity epidemic similar to if we were to walk down the local high street.  It doesn’t sm</w:t>
      </w:r>
      <w:r w:rsidR="00551065" w:rsidRPr="009B3747">
        <w:rPr>
          <w:rFonts w:eastAsia="Times New Roman" w:cstheme="minorHAnsi"/>
          <w:i/>
          <w:iCs/>
          <w:color w:val="000000"/>
          <w:sz w:val="20"/>
          <w:szCs w:val="20"/>
          <w:lang w:eastAsia="en-GB"/>
        </w:rPr>
        <w:t xml:space="preserve">ack you in the face.” </w:t>
      </w:r>
    </w:p>
    <w:p w:rsidR="006F36A0" w:rsidRPr="009B3747" w:rsidRDefault="006F36A0" w:rsidP="006F36A0">
      <w:pPr>
        <w:ind w:left="690"/>
        <w:rPr>
          <w:rFonts w:eastAsia="Times New Roman" w:cstheme="minorHAnsi"/>
          <w:b/>
          <w:sz w:val="24"/>
          <w:szCs w:val="24"/>
          <w:lang w:eastAsia="en-GB"/>
        </w:rPr>
      </w:pPr>
      <w:r w:rsidRPr="009B3747">
        <w:rPr>
          <w:rFonts w:eastAsia="Times New Roman" w:cstheme="minorHAnsi"/>
          <w:b/>
          <w:bCs/>
          <w:color w:val="000000"/>
          <w:sz w:val="20"/>
          <w:szCs w:val="20"/>
          <w:lang w:eastAsia="en-GB"/>
        </w:rPr>
        <w:t>Participant 9</w:t>
      </w:r>
      <w:r w:rsidRPr="009B3747">
        <w:rPr>
          <w:rFonts w:eastAsia="Times New Roman" w:cstheme="minorHAnsi"/>
          <w:i/>
          <w:iCs/>
          <w:color w:val="000000"/>
          <w:sz w:val="20"/>
          <w:szCs w:val="20"/>
          <w:lang w:eastAsia="en-GB"/>
        </w:rPr>
        <w:t xml:space="preserve"> </w:t>
      </w:r>
      <w:r w:rsidR="00A617EF" w:rsidRPr="009B3747">
        <w:rPr>
          <w:rFonts w:eastAsia="Times New Roman" w:cstheme="minorHAnsi"/>
          <w:b/>
          <w:iCs/>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 xml:space="preserve">Furthermore, a few posed the question as to whether there was an excessive focus on identifying or assessing obesity during childhood and adolescence.  Driving this view for some, was the belief that excess weight could be merely attributed to </w:t>
      </w:r>
      <w:r w:rsidRPr="009B3747">
        <w:rPr>
          <w:rFonts w:eastAsia="Times New Roman" w:cstheme="minorHAnsi"/>
          <w:iCs/>
          <w:color w:val="000000"/>
          <w:lang w:eastAsia="en-GB"/>
        </w:rPr>
        <w:t>‘puppy fat’</w:t>
      </w:r>
      <w:r w:rsidRPr="009B3747">
        <w:rPr>
          <w:rFonts w:eastAsia="Times New Roman" w:cstheme="minorHAnsi"/>
          <w:color w:val="000000"/>
          <w:lang w:eastAsia="en-GB"/>
        </w:rPr>
        <w:t xml:space="preserve"> resulting from pub</w:t>
      </w:r>
      <w:r w:rsidR="00FF3C6A">
        <w:rPr>
          <w:rFonts w:eastAsia="Times New Roman" w:cstheme="minorHAnsi"/>
          <w:color w:val="000000"/>
          <w:lang w:eastAsia="en-GB"/>
        </w:rPr>
        <w:t>erty, w</w:t>
      </w:r>
      <w:r w:rsidRPr="009B3747">
        <w:rPr>
          <w:rFonts w:eastAsia="Times New Roman" w:cstheme="minorHAnsi"/>
          <w:color w:val="000000"/>
          <w:lang w:eastAsia="en-GB"/>
        </w:rPr>
        <w:t>hich would likely dissipate or shed during adolescence.  Consequently, concerns were raised about unfairly labelling or targeting children and adolescents.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“I do think sometimes that at that particular age when puberty is setting in and things there is an element, you do put a little bit of weight on, it’s all chubby, puppy fat and it will all drop off, I do think there is an element of that.”  </w:t>
      </w:r>
      <w:r w:rsidRPr="009B3747">
        <w:rPr>
          <w:rFonts w:eastAsia="Times New Roman" w:cstheme="minorHAnsi"/>
          <w:b/>
          <w:bCs/>
          <w:color w:val="000000"/>
          <w:sz w:val="20"/>
          <w:szCs w:val="20"/>
          <w:lang w:eastAsia="en-GB"/>
        </w:rPr>
        <w:t>Participant 11</w:t>
      </w:r>
      <w:r w:rsidR="00A617EF" w:rsidRPr="009B3747">
        <w:rPr>
          <w:rFonts w:eastAsia="Times New Roman" w:cstheme="minorHAnsi"/>
          <w:b/>
          <w:bCs/>
          <w:color w:val="000000"/>
          <w:sz w:val="20"/>
          <w:szCs w:val="20"/>
          <w:lang w:eastAsia="en-GB"/>
        </w:rPr>
        <w:t xml:space="preserve"> (Chair of governors)</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In stark contrast to the broad consensus amongst participants that only a limited proportion of secondary school aged children are of excess weight, a small minority presented obesity as a definite, serious and worrying issue within their secondary school.</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“We have got significant number of students who are fat, are obese, are clinically obese, we have.” </w:t>
      </w:r>
      <w:r w:rsidRPr="009B3747">
        <w:rPr>
          <w:rFonts w:eastAsia="Times New Roman" w:cstheme="minorHAnsi"/>
          <w:b/>
          <w:bCs/>
          <w:color w:val="000000"/>
          <w:sz w:val="20"/>
          <w:szCs w:val="20"/>
          <w:lang w:eastAsia="en-GB"/>
        </w:rPr>
        <w:t>Participant 22</w:t>
      </w:r>
      <w:r w:rsidRPr="009B3747">
        <w:rPr>
          <w:rFonts w:eastAsia="Times New Roman" w:cstheme="minorHAnsi"/>
          <w:color w:val="000000"/>
          <w:sz w:val="20"/>
          <w:szCs w:val="20"/>
          <w:lang w:eastAsia="en-GB"/>
        </w:rPr>
        <w:t xml:space="preserve"> </w:t>
      </w:r>
      <w:r w:rsidR="00A617EF" w:rsidRPr="009B3747">
        <w:rPr>
          <w:rFonts w:eastAsia="Times New Roman" w:cstheme="minorHAnsi"/>
          <w:b/>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 xml:space="preserve">For those who identified isolated cases of obesity and those expressing greater concerns about their schools growing obesity prevalence, frequent reference particularly from those with a higher free </w:t>
      </w:r>
      <w:r w:rsidRPr="009B3747">
        <w:rPr>
          <w:rFonts w:eastAsia="Times New Roman" w:cstheme="minorHAnsi"/>
          <w:color w:val="000000"/>
          <w:lang w:eastAsia="en-GB"/>
        </w:rPr>
        <w:lastRenderedPageBreak/>
        <w:t xml:space="preserve">school meal percentage was made to a perceived link between obesity and socio-economic status.  Participants from these schools highlighted a belief that excess weight disproportionately affected pupils and their families from the deprived communities within their catchment.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“The school sits within one of the most deprived areas of the local authority and you’ve got a correlation between excess weight, obesity and deprivation.”  </w:t>
      </w:r>
      <w:r w:rsidRPr="009B3747">
        <w:rPr>
          <w:rFonts w:eastAsia="Times New Roman" w:cstheme="minorHAnsi"/>
          <w:b/>
          <w:bCs/>
          <w:color w:val="000000"/>
          <w:sz w:val="20"/>
          <w:szCs w:val="20"/>
          <w:lang w:eastAsia="en-GB"/>
        </w:rPr>
        <w:t>Participant 20</w:t>
      </w:r>
      <w:r w:rsidR="00A617EF" w:rsidRPr="009B3747">
        <w:rPr>
          <w:rFonts w:eastAsia="Times New Roman" w:cstheme="minorHAnsi"/>
          <w:b/>
          <w:bCs/>
          <w:color w:val="000000"/>
          <w:sz w:val="20"/>
          <w:szCs w:val="20"/>
          <w:lang w:eastAsia="en-GB"/>
        </w:rPr>
        <w:t xml:space="preserve"> (Chair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One participant however contradicted the majority view</w:t>
      </w:r>
      <w:r w:rsidR="00FF3C6A">
        <w:rPr>
          <w:rFonts w:eastAsia="Times New Roman" w:cstheme="minorHAnsi"/>
          <w:color w:val="000000"/>
          <w:lang w:eastAsia="en-GB"/>
        </w:rPr>
        <w:t>,</w:t>
      </w:r>
      <w:r w:rsidRPr="009B3747">
        <w:rPr>
          <w:rFonts w:eastAsia="Times New Roman" w:cstheme="minorHAnsi"/>
          <w:color w:val="000000"/>
          <w:lang w:eastAsia="en-GB"/>
        </w:rPr>
        <w:t xml:space="preserve"> by acknowledging that in spite of the potential association between excess weight and deprivation, this did not appear to be evident in his school in his school.</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b/>
          <w:sz w:val="24"/>
          <w:szCs w:val="24"/>
          <w:lang w:eastAsia="en-GB"/>
        </w:rPr>
      </w:pPr>
      <w:r w:rsidRPr="009B3747">
        <w:rPr>
          <w:rFonts w:eastAsia="Times New Roman" w:cstheme="minorHAnsi"/>
          <w:i/>
          <w:iCs/>
          <w:color w:val="000000"/>
          <w:sz w:val="20"/>
          <w:szCs w:val="20"/>
          <w:lang w:eastAsia="en-GB"/>
        </w:rPr>
        <w:t>“So I would say, despite it being certainly being an area of deprivation, it doesn’t translate into a particular problem with weight.”  </w:t>
      </w:r>
      <w:r w:rsidRPr="009B3747">
        <w:rPr>
          <w:rFonts w:eastAsia="Times New Roman" w:cstheme="minorHAnsi"/>
          <w:b/>
          <w:bCs/>
          <w:color w:val="000000"/>
          <w:sz w:val="20"/>
          <w:szCs w:val="20"/>
          <w:lang w:eastAsia="en-GB"/>
        </w:rPr>
        <w:t>Participant 13</w:t>
      </w:r>
      <w:r w:rsidRPr="009B3747">
        <w:rPr>
          <w:rFonts w:eastAsia="Times New Roman" w:cstheme="minorHAnsi"/>
          <w:color w:val="000000"/>
          <w:sz w:val="20"/>
          <w:szCs w:val="20"/>
          <w:lang w:eastAsia="en-GB"/>
        </w:rPr>
        <w:t xml:space="preserve"> </w:t>
      </w:r>
      <w:r w:rsidR="00A617EF" w:rsidRPr="009B3747">
        <w:rPr>
          <w:rFonts w:eastAsia="Times New Roman" w:cstheme="minorHAnsi"/>
          <w:b/>
          <w:color w:val="000000"/>
          <w:sz w:val="20"/>
          <w:szCs w:val="20"/>
          <w:lang w:eastAsia="en-GB"/>
        </w:rPr>
        <w:t>(Chair of governors)</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 xml:space="preserve">Paradoxical to the issue of obesity, were perturbations raised regarding underweight in adolescence, especially in relation to girls from </w:t>
      </w:r>
      <w:r w:rsidRPr="009B3747">
        <w:rPr>
          <w:rFonts w:eastAsia="Times New Roman" w:cstheme="minorHAnsi"/>
          <w:i/>
          <w:iCs/>
          <w:color w:val="000000"/>
          <w:lang w:eastAsia="en-GB"/>
        </w:rPr>
        <w:t xml:space="preserve">‘middle class families’ </w:t>
      </w:r>
      <w:r w:rsidRPr="009B3747">
        <w:rPr>
          <w:rFonts w:eastAsia="Times New Roman" w:cstheme="minorHAnsi"/>
          <w:color w:val="000000"/>
          <w:lang w:eastAsia="en-GB"/>
        </w:rPr>
        <w:t>and schools with higher proportions of migrant populations.  Those raising the problem of adolescents being below a healthy weight, proposed it as a more significant problem in terms of outweighing both the perceived scale and severity of excess weight in their secondary school.  No clear pattern existed between those sharing this viewpoint and the school stratas they represented.</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A617EF" w:rsidRPr="009B3747" w:rsidRDefault="006F36A0" w:rsidP="00A617EF">
      <w:pPr>
        <w:ind w:left="720"/>
        <w:rPr>
          <w:rFonts w:eastAsia="Times New Roman" w:cstheme="minorHAnsi"/>
          <w:b/>
          <w:bCs/>
          <w:color w:val="000000"/>
          <w:sz w:val="20"/>
          <w:szCs w:val="20"/>
          <w:lang w:eastAsia="en-GB"/>
        </w:rPr>
      </w:pPr>
      <w:r w:rsidRPr="009B3747">
        <w:rPr>
          <w:rFonts w:eastAsia="Times New Roman" w:cstheme="minorHAnsi"/>
          <w:i/>
          <w:iCs/>
          <w:color w:val="000000"/>
          <w:sz w:val="20"/>
          <w:szCs w:val="20"/>
          <w:lang w:eastAsia="en-GB"/>
        </w:rPr>
        <w:t>“Yeah, I think, our young people are really body conscious and strangely enough it means that some of them don’t have good eating habits, some children go without food to look good, we’ve got lots of middle class girls actually who hide their lack of weight or, or, or their slim figure under their, under their t-shirts and sometimes it's difficult as teachers to sort of spot that.</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 xml:space="preserve">Participant 8 </w:t>
      </w:r>
      <w:r w:rsidR="00A617EF" w:rsidRPr="009B3747">
        <w:rPr>
          <w:rFonts w:eastAsia="Times New Roman" w:cstheme="minorHAnsi"/>
          <w:b/>
          <w:bCs/>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Collectively, participants reported their assessment of the issue of obesity within their school was based on a visual estimation or judgement.  Both headteachers and chairs of governors referred to identifying obesity exclusively by sight.   For some, media representations and stereotypes of obesity both nationally and internationally (especially in America) were used as a reference point to guide understanding of what an unhealthy weight looks like.  A perceived lack of data or access to data regarding excess weight in secondary school aged children, meant the requirement for participants to rely almost entirely on visual assessment and the subjective view of what a healthy or unhealthy weight looks like.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lastRenderedPageBreak/>
        <w:t>“You can visibility see it.  I mean, I wouldn’t know above a healthy weight, slightly overweight, I wouldn’t know that</w:t>
      </w:r>
      <w:r w:rsidR="00281979">
        <w:rPr>
          <w:rFonts w:eastAsia="Times New Roman" w:cstheme="minorHAnsi"/>
          <w:i/>
          <w:iCs/>
          <w:color w:val="000000"/>
          <w:sz w:val="20"/>
          <w:szCs w:val="20"/>
          <w:lang w:eastAsia="en-GB"/>
        </w:rPr>
        <w:t>,</w:t>
      </w:r>
      <w:r w:rsidRPr="009B3747">
        <w:rPr>
          <w:rFonts w:eastAsia="Times New Roman" w:cstheme="minorHAnsi"/>
          <w:i/>
          <w:iCs/>
          <w:color w:val="000000"/>
          <w:sz w:val="20"/>
          <w:szCs w:val="20"/>
          <w:lang w:eastAsia="en-GB"/>
        </w:rPr>
        <w:t xml:space="preserve"> but if you walked around the school a lot of the</w:t>
      </w:r>
      <w:r w:rsidR="00281979">
        <w:rPr>
          <w:rFonts w:eastAsia="Times New Roman" w:cstheme="minorHAnsi"/>
          <w:i/>
          <w:iCs/>
          <w:color w:val="000000"/>
          <w:sz w:val="20"/>
          <w:szCs w:val="20"/>
          <w:lang w:eastAsia="en-GB"/>
        </w:rPr>
        <w:t xml:space="preserve"> children look a healthy weight, </w:t>
      </w:r>
      <w:r w:rsidRPr="009B3747">
        <w:rPr>
          <w:rFonts w:eastAsia="Times New Roman" w:cstheme="minorHAnsi"/>
          <w:i/>
          <w:iCs/>
          <w:color w:val="000000"/>
          <w:sz w:val="20"/>
          <w:szCs w:val="20"/>
          <w:lang w:eastAsia="en-GB"/>
        </w:rPr>
        <w:t>but there are some big boys and girls, particularly girls.”  </w:t>
      </w:r>
      <w:r w:rsidRPr="009B3747">
        <w:rPr>
          <w:rFonts w:eastAsia="Times New Roman" w:cstheme="minorHAnsi"/>
          <w:b/>
          <w:bCs/>
          <w:color w:val="000000"/>
          <w:sz w:val="20"/>
          <w:szCs w:val="20"/>
          <w:lang w:eastAsia="en-GB"/>
        </w:rPr>
        <w:t xml:space="preserve">Participant 1 </w:t>
      </w:r>
      <w:r w:rsidR="00A617EF" w:rsidRPr="009B3747">
        <w:rPr>
          <w:rFonts w:eastAsia="Times New Roman" w:cstheme="minorHAnsi"/>
          <w:b/>
          <w:bCs/>
          <w:color w:val="000000"/>
          <w:sz w:val="20"/>
          <w:szCs w:val="20"/>
          <w:lang w:eastAsia="en-GB"/>
        </w:rPr>
        <w:t>(Headteacher)</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b/>
          <w:sz w:val="24"/>
          <w:szCs w:val="24"/>
          <w:lang w:eastAsia="en-GB"/>
        </w:rPr>
      </w:pPr>
      <w:r w:rsidRPr="009B3747">
        <w:rPr>
          <w:rFonts w:eastAsia="Times New Roman" w:cstheme="minorHAnsi"/>
          <w:i/>
          <w:iCs/>
          <w:color w:val="000000"/>
          <w:sz w:val="20"/>
          <w:szCs w:val="20"/>
          <w:lang w:eastAsia="en-GB"/>
        </w:rPr>
        <w:t xml:space="preserve">“There has been no scheme or plan as far as I’m aware to actually detail how many obese children we’ve got. I think it’s been done more by sight rather than any professional measurement.” </w:t>
      </w:r>
      <w:r w:rsidRPr="009B3747">
        <w:rPr>
          <w:rFonts w:eastAsia="Times New Roman" w:cstheme="minorHAnsi"/>
          <w:b/>
          <w:bCs/>
          <w:color w:val="000000"/>
          <w:sz w:val="20"/>
          <w:szCs w:val="20"/>
          <w:lang w:eastAsia="en-GB"/>
        </w:rPr>
        <w:t>Participant 15</w:t>
      </w:r>
      <w:r w:rsidRPr="009B3747">
        <w:rPr>
          <w:rFonts w:eastAsia="Times New Roman" w:cstheme="minorHAnsi"/>
          <w:b/>
          <w:color w:val="000000"/>
          <w:sz w:val="20"/>
          <w:szCs w:val="20"/>
          <w:lang w:eastAsia="en-GB"/>
        </w:rPr>
        <w:t xml:space="preserve"> </w:t>
      </w:r>
      <w:r w:rsidR="00A617EF" w:rsidRPr="009B3747">
        <w:rPr>
          <w:rFonts w:eastAsia="Times New Roman" w:cstheme="minorHAnsi"/>
          <w:b/>
          <w:color w:val="000000"/>
          <w:sz w:val="20"/>
          <w:szCs w:val="20"/>
          <w:lang w:eastAsia="en-GB"/>
        </w:rPr>
        <w:t>(Chair of governors)</w:t>
      </w:r>
    </w:p>
    <w:p w:rsidR="006F36A0" w:rsidRPr="009B3747" w:rsidRDefault="006F36A0" w:rsidP="006F36A0">
      <w:pPr>
        <w:ind w:left="720"/>
        <w:rPr>
          <w:rFonts w:eastAsia="Times New Roman" w:cstheme="minorHAnsi"/>
          <w:b/>
          <w:sz w:val="24"/>
          <w:szCs w:val="24"/>
          <w:lang w:eastAsia="en-GB"/>
        </w:rPr>
      </w:pPr>
      <w:r w:rsidRPr="009B3747">
        <w:rPr>
          <w:rFonts w:eastAsia="Times New Roman" w:cstheme="minorHAnsi"/>
          <w:b/>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Some headteachers and chairs of govern</w:t>
      </w:r>
      <w:r w:rsidR="00DB655F" w:rsidRPr="009B3747">
        <w:rPr>
          <w:rFonts w:eastAsia="Times New Roman" w:cstheme="minorHAnsi"/>
          <w:color w:val="000000"/>
          <w:lang w:eastAsia="en-GB"/>
        </w:rPr>
        <w:t>ors</w:t>
      </w:r>
      <w:r w:rsidRPr="009B3747">
        <w:rPr>
          <w:rFonts w:eastAsia="Times New Roman" w:cstheme="minorHAnsi"/>
          <w:color w:val="000000"/>
          <w:lang w:eastAsia="en-GB"/>
        </w:rPr>
        <w:t xml:space="preserve"> reflected upon the effectiveness or appropriateness of using visual assessment as a measure for identifying excess weight in either children or adults.  The accuracy of this approach and its potential limitatio</w:t>
      </w:r>
      <w:r w:rsidR="00FF3C6A">
        <w:rPr>
          <w:rFonts w:eastAsia="Times New Roman" w:cstheme="minorHAnsi"/>
          <w:color w:val="000000"/>
          <w:lang w:eastAsia="en-GB"/>
        </w:rPr>
        <w:t xml:space="preserve">ns were discussed, </w:t>
      </w:r>
      <w:r w:rsidRPr="009B3747">
        <w:rPr>
          <w:rFonts w:eastAsia="Times New Roman" w:cstheme="minorHAnsi"/>
          <w:color w:val="000000"/>
          <w:lang w:eastAsia="en-GB"/>
        </w:rPr>
        <w:t>with conclusions being drawn about how increasing obesity prevalence nationally could impact upon on people's perceptions of what is the ‘norm’.</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A617EF" w:rsidRPr="009B3747" w:rsidRDefault="006F36A0" w:rsidP="006F36A0">
      <w:pPr>
        <w:ind w:left="720"/>
        <w:rPr>
          <w:rFonts w:eastAsia="Times New Roman" w:cstheme="minorHAnsi"/>
          <w:i/>
          <w:iCs/>
          <w:color w:val="000000"/>
          <w:sz w:val="20"/>
          <w:szCs w:val="20"/>
          <w:lang w:eastAsia="en-GB"/>
        </w:rPr>
      </w:pPr>
      <w:r w:rsidRPr="009B3747">
        <w:rPr>
          <w:rFonts w:eastAsia="Times New Roman" w:cstheme="minorHAnsi"/>
          <w:i/>
          <w:iCs/>
          <w:color w:val="000000"/>
          <w:sz w:val="20"/>
          <w:szCs w:val="20"/>
          <w:lang w:eastAsia="en-GB"/>
        </w:rPr>
        <w:t>“So here’s another question, am I fooling myself, if I think I can judge the level of obesity in the school I’m co-chair by visually inspected, full dressed obviously, eye-balling the students or do you need to be an expert, to know whether somebody is either obese or you know, marginal to it?”  </w:t>
      </w:r>
    </w:p>
    <w:p w:rsidR="006F36A0" w:rsidRPr="009B3747" w:rsidRDefault="006F36A0" w:rsidP="006F36A0">
      <w:pPr>
        <w:ind w:left="720"/>
        <w:rPr>
          <w:rFonts w:eastAsia="Times New Roman" w:cstheme="minorHAnsi"/>
          <w:b/>
          <w:sz w:val="24"/>
          <w:szCs w:val="24"/>
          <w:lang w:eastAsia="en-GB"/>
        </w:rPr>
      </w:pPr>
      <w:r w:rsidRPr="009B3747">
        <w:rPr>
          <w:rFonts w:eastAsia="Times New Roman" w:cstheme="minorHAnsi"/>
          <w:b/>
          <w:bCs/>
          <w:color w:val="000000"/>
          <w:sz w:val="20"/>
          <w:szCs w:val="20"/>
          <w:lang w:eastAsia="en-GB"/>
        </w:rPr>
        <w:t>Participant 4</w:t>
      </w:r>
      <w:r w:rsidRPr="009B3747">
        <w:rPr>
          <w:rFonts w:eastAsia="Times New Roman" w:cstheme="minorHAnsi"/>
          <w:b/>
          <w:color w:val="000000"/>
          <w:sz w:val="20"/>
          <w:szCs w:val="20"/>
          <w:lang w:eastAsia="en-GB"/>
        </w:rPr>
        <w:t xml:space="preserve"> </w:t>
      </w:r>
      <w:r w:rsidR="00A617EF" w:rsidRPr="009B3747">
        <w:rPr>
          <w:rFonts w:eastAsia="Times New Roman" w:cstheme="minorHAnsi"/>
          <w:b/>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A617EF" w:rsidRPr="009B3747" w:rsidRDefault="006F36A0" w:rsidP="006F36A0">
      <w:pPr>
        <w:ind w:left="720"/>
        <w:rPr>
          <w:rFonts w:eastAsia="Times New Roman" w:cstheme="minorHAnsi"/>
          <w:i/>
          <w:iCs/>
          <w:color w:val="000000"/>
          <w:sz w:val="20"/>
          <w:szCs w:val="20"/>
          <w:lang w:eastAsia="en-GB"/>
        </w:rPr>
      </w:pPr>
      <w:r w:rsidRPr="009B3747">
        <w:rPr>
          <w:rFonts w:eastAsia="Times New Roman" w:cstheme="minorHAnsi"/>
          <w:i/>
          <w:iCs/>
          <w:color w:val="000000"/>
          <w:sz w:val="20"/>
          <w:szCs w:val="20"/>
          <w:lang w:eastAsia="en-GB"/>
        </w:rPr>
        <w:t>“Now my wife in my view is a perfect size ten, she is a size ten, she is not thin, she is slim, she is a size ten. But that in our society now is abnormal, that’s our issue, our issue is that being overweight has become normalised.  As soon as the majority of society are technically and I keep on using that term because it depends on the measure, overweight than people who are overweight, will increasingly, their default position will be “I’m not overweight, I’m normal, I’m average.”</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b/>
          <w:bCs/>
          <w:color w:val="000000"/>
          <w:sz w:val="20"/>
          <w:szCs w:val="20"/>
          <w:lang w:eastAsia="en-GB"/>
        </w:rPr>
        <w:t>Participant 18</w:t>
      </w:r>
      <w:r w:rsidRPr="009B3747">
        <w:rPr>
          <w:rFonts w:eastAsia="Times New Roman" w:cstheme="minorHAnsi"/>
          <w:b/>
          <w:color w:val="000000"/>
          <w:sz w:val="20"/>
          <w:szCs w:val="20"/>
          <w:lang w:eastAsia="en-GB"/>
        </w:rPr>
        <w:t xml:space="preserve"> </w:t>
      </w:r>
      <w:r w:rsidR="00A617EF" w:rsidRPr="009B3747">
        <w:rPr>
          <w:rFonts w:eastAsia="Times New Roman" w:cstheme="minorHAnsi"/>
          <w:b/>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A minority of chairs of governors expressed an inability to confidently confirm whether obesity was an issue or comment more broadly on the lifestyle behaviours</w:t>
      </w:r>
      <w:r w:rsidR="007F3CF4">
        <w:rPr>
          <w:rFonts w:eastAsia="Times New Roman" w:cstheme="minorHAnsi"/>
          <w:color w:val="000000"/>
          <w:lang w:eastAsia="en-GB"/>
        </w:rPr>
        <w:t>,</w:t>
      </w:r>
      <w:r w:rsidRPr="009B3747">
        <w:rPr>
          <w:rFonts w:eastAsia="Times New Roman" w:cstheme="minorHAnsi"/>
          <w:color w:val="000000"/>
          <w:lang w:eastAsia="en-GB"/>
        </w:rPr>
        <w:t xml:space="preserve"> i.e. dietary or physical activity habits of their school’s pupil population.  This was attributed to having limited face to face inter</w:t>
      </w:r>
      <w:r w:rsidR="00FF3C6A">
        <w:rPr>
          <w:rFonts w:eastAsia="Times New Roman" w:cstheme="minorHAnsi"/>
          <w:color w:val="000000"/>
          <w:lang w:eastAsia="en-GB"/>
        </w:rPr>
        <w:t xml:space="preserve">action or contact with students, </w:t>
      </w:r>
      <w:r w:rsidRPr="009B3747">
        <w:rPr>
          <w:rFonts w:eastAsia="Times New Roman" w:cstheme="minorHAnsi"/>
          <w:color w:val="000000"/>
          <w:lang w:eastAsia="en-GB"/>
        </w:rPr>
        <w:t>and the fact that excess weight either in relation to prevention or management had never arisen as a topic for discussion at governance meetings.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“I think if you were to, I think if the governing body were around this table, I think if you were to ask them how many children that were in the school that are obese the numbers, would well there would be all kinds of numbers.”</w:t>
      </w:r>
      <w:r w:rsidRPr="009B3747">
        <w:rPr>
          <w:rFonts w:eastAsia="Times New Roman" w:cstheme="minorHAnsi"/>
          <w:color w:val="000000"/>
          <w:sz w:val="20"/>
          <w:szCs w:val="20"/>
          <w:lang w:eastAsia="en-GB"/>
        </w:rPr>
        <w:t xml:space="preserve">  </w:t>
      </w:r>
      <w:r w:rsidRPr="009B3747">
        <w:rPr>
          <w:rFonts w:eastAsia="Times New Roman" w:cstheme="minorHAnsi"/>
          <w:b/>
          <w:bCs/>
          <w:color w:val="000000"/>
          <w:sz w:val="20"/>
          <w:szCs w:val="20"/>
          <w:lang w:eastAsia="en-GB"/>
        </w:rPr>
        <w:t>Participant 15</w:t>
      </w:r>
      <w:r w:rsidRPr="009B3747">
        <w:rPr>
          <w:rFonts w:eastAsia="Times New Roman" w:cstheme="minorHAnsi"/>
          <w:b/>
          <w:color w:val="000000"/>
          <w:sz w:val="20"/>
          <w:szCs w:val="20"/>
          <w:lang w:eastAsia="en-GB"/>
        </w:rPr>
        <w:t xml:space="preserve"> </w:t>
      </w:r>
      <w:r w:rsidR="00A617EF" w:rsidRPr="009B3747">
        <w:rPr>
          <w:rFonts w:eastAsia="Times New Roman" w:cstheme="minorHAnsi"/>
          <w:b/>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lastRenderedPageBreak/>
        <w:t>In spite of this, chairs of governors drew on knowledge and observations of obesity more broadly and often related to personal or familial experiences in order to reflect on the issue.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991D2F" w:rsidP="006F36A0">
      <w:pPr>
        <w:rPr>
          <w:rFonts w:eastAsia="Times New Roman" w:cstheme="minorHAnsi"/>
          <w:sz w:val="24"/>
          <w:szCs w:val="24"/>
          <w:u w:val="single"/>
          <w:lang w:eastAsia="en-GB"/>
        </w:rPr>
      </w:pPr>
      <w:r w:rsidRPr="009B3747">
        <w:rPr>
          <w:rFonts w:eastAsia="Times New Roman" w:cstheme="minorHAnsi"/>
          <w:iCs/>
          <w:color w:val="000000"/>
          <w:u w:val="single"/>
          <w:lang w:eastAsia="en-GB"/>
        </w:rPr>
        <w:t>6</w:t>
      </w:r>
      <w:r w:rsidR="00551065" w:rsidRPr="009B3747">
        <w:rPr>
          <w:rFonts w:eastAsia="Times New Roman" w:cstheme="minorHAnsi"/>
          <w:iCs/>
          <w:color w:val="000000"/>
          <w:u w:val="single"/>
          <w:lang w:eastAsia="en-GB"/>
        </w:rPr>
        <w:t>.4</w:t>
      </w:r>
      <w:r w:rsidR="006F36A0" w:rsidRPr="009B3747">
        <w:rPr>
          <w:rFonts w:eastAsia="Times New Roman" w:cstheme="minorHAnsi"/>
          <w:iCs/>
          <w:color w:val="000000"/>
          <w:u w:val="single"/>
          <w:lang w:eastAsia="en-GB"/>
        </w:rPr>
        <w:t xml:space="preserve">.2 Dietary habits and preferences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The perceived dietary habits, nutritional choices and food preferences of children and adolescents were extensively discussed by all participants, both in relation to obesity and as topic within their own right.  In the main, headteachers and chairs of governors presented substantial worry and at times shock regarding the type, amount and quality of food intake by adolescents, primarily outside of their respective school setting.  Broadly speaking the perception was a worsening of adolescent diets over a period of decades, with multiple, competing and complex influences affecting this problem (explored in theme two).  A few participants made the connection that some pupils who were visually deemed to be of excess weight, were also witnessed within school settings to adopt poor dietary habits.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b/>
          <w:sz w:val="24"/>
          <w:szCs w:val="24"/>
          <w:lang w:eastAsia="en-GB"/>
        </w:rPr>
      </w:pPr>
      <w:r w:rsidRPr="009B3747">
        <w:rPr>
          <w:rFonts w:eastAsia="Times New Roman" w:cstheme="minorHAnsi"/>
          <w:i/>
          <w:iCs/>
          <w:color w:val="000000"/>
          <w:sz w:val="20"/>
          <w:szCs w:val="20"/>
          <w:lang w:eastAsia="en-GB"/>
        </w:rPr>
        <w:t>“Visually and the fact that they might be the same children who come in with large family  sized bags of crisps and soft drinks as their breakfast.”  </w:t>
      </w:r>
      <w:r w:rsidRPr="009B3747">
        <w:rPr>
          <w:rFonts w:eastAsia="Times New Roman" w:cstheme="minorHAnsi"/>
          <w:b/>
          <w:bCs/>
          <w:color w:val="000000"/>
          <w:sz w:val="20"/>
          <w:szCs w:val="20"/>
          <w:lang w:eastAsia="en-GB"/>
        </w:rPr>
        <w:t>Participant 10</w:t>
      </w:r>
      <w:r w:rsidRPr="009B3747">
        <w:rPr>
          <w:rFonts w:eastAsia="Times New Roman" w:cstheme="minorHAnsi"/>
          <w:color w:val="000000"/>
          <w:sz w:val="20"/>
          <w:szCs w:val="20"/>
          <w:lang w:eastAsia="en-GB"/>
        </w:rPr>
        <w:t xml:space="preserve"> </w:t>
      </w:r>
      <w:r w:rsidR="00A617EF" w:rsidRPr="009B3747">
        <w:rPr>
          <w:rFonts w:eastAsia="Times New Roman" w:cstheme="minorHAnsi"/>
          <w:b/>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Headteachers and chairs of governors often reported that identifying dietary habits assisted in providing a gauge to assess both current health of a pupil or more often predict the future likelihood of obesity and health problems occurring.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A617EF" w:rsidRPr="009B3747" w:rsidRDefault="006F36A0" w:rsidP="006F36A0">
      <w:pPr>
        <w:ind w:left="720"/>
        <w:rPr>
          <w:rFonts w:eastAsia="Times New Roman" w:cstheme="minorHAnsi"/>
          <w:color w:val="000000"/>
          <w:sz w:val="20"/>
          <w:szCs w:val="20"/>
          <w:lang w:eastAsia="en-GB"/>
        </w:rPr>
      </w:pPr>
      <w:r w:rsidRPr="009B3747">
        <w:rPr>
          <w:rFonts w:eastAsia="Times New Roman" w:cstheme="minorHAnsi"/>
          <w:i/>
          <w:iCs/>
          <w:color w:val="000000"/>
          <w:sz w:val="20"/>
          <w:szCs w:val="20"/>
          <w:lang w:eastAsia="en-GB"/>
        </w:rPr>
        <w:t>“I think it’s probably more to do with how I see them, how I see them eat, drink, how they act on a general day to day basis…..but even though it’s probably not manifest now that there’s an obesity issue you can see there will be if they continue doing what they’re doing.”</w:t>
      </w:r>
      <w:r w:rsidRPr="009B3747">
        <w:rPr>
          <w:rFonts w:eastAsia="Times New Roman" w:cstheme="minorHAnsi"/>
          <w:color w:val="000000"/>
          <w:sz w:val="20"/>
          <w:szCs w:val="20"/>
          <w:lang w:eastAsia="en-GB"/>
        </w:rPr>
        <w:t xml:space="preserve">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b/>
          <w:bCs/>
          <w:color w:val="000000"/>
          <w:sz w:val="20"/>
          <w:szCs w:val="20"/>
          <w:lang w:eastAsia="en-GB"/>
        </w:rPr>
        <w:t>Participant 21</w:t>
      </w:r>
      <w:r w:rsidR="00A617EF" w:rsidRPr="009B3747">
        <w:rPr>
          <w:rFonts w:eastAsia="Times New Roman" w:cstheme="minorHAnsi"/>
          <w:b/>
          <w:bCs/>
          <w:color w:val="000000"/>
          <w:sz w:val="20"/>
          <w:szCs w:val="20"/>
          <w:lang w:eastAsia="en-GB"/>
        </w:rPr>
        <w:t xml:space="preserve"> (Headteacher)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For the majority, adolescent dietary habits at a local</w:t>
      </w:r>
      <w:r w:rsidR="007F3CF4">
        <w:rPr>
          <w:rFonts w:eastAsia="Times New Roman" w:cstheme="minorHAnsi"/>
          <w:color w:val="000000"/>
          <w:lang w:eastAsia="en-GB"/>
        </w:rPr>
        <w:t>,</w:t>
      </w:r>
      <w:r w:rsidRPr="009B3747">
        <w:rPr>
          <w:rFonts w:eastAsia="Times New Roman" w:cstheme="minorHAnsi"/>
          <w:color w:val="000000"/>
          <w:lang w:eastAsia="en-GB"/>
        </w:rPr>
        <w:t xml:space="preserve"> i.e. school setting and on a national level presented a degree of concern that superseded the issue of obesity.  Reasons for this centred on the belief that poor dietary habits were a problem for a larger proportion of adolescents in compar</w:t>
      </w:r>
      <w:r w:rsidR="00FF3C6A">
        <w:rPr>
          <w:rFonts w:eastAsia="Times New Roman" w:cstheme="minorHAnsi"/>
          <w:color w:val="000000"/>
          <w:lang w:eastAsia="en-GB"/>
        </w:rPr>
        <w:t xml:space="preserve">ison to obesity, </w:t>
      </w:r>
      <w:r w:rsidRPr="009B3747">
        <w:rPr>
          <w:rFonts w:eastAsia="Times New Roman" w:cstheme="minorHAnsi"/>
          <w:color w:val="000000"/>
          <w:lang w:eastAsia="en-GB"/>
        </w:rPr>
        <w:t xml:space="preserve">and that unhealthy nutritional choices negatively impacted upon behaviour and academic performance.  Whilst obesity was linked to bullying and resultant mental health problems, mixed opinions existed as to whether excess weight could directly impact upon academic outcomes.  A recurring example of extremely concerning dietary habits given by both headteachers and chairs of </w:t>
      </w:r>
      <w:r w:rsidR="00FF3C6A">
        <w:rPr>
          <w:rFonts w:eastAsia="Times New Roman" w:cstheme="minorHAnsi"/>
          <w:color w:val="000000"/>
          <w:lang w:eastAsia="en-GB"/>
        </w:rPr>
        <w:lastRenderedPageBreak/>
        <w:t>governors,</w:t>
      </w:r>
      <w:r w:rsidRPr="009B3747">
        <w:rPr>
          <w:rFonts w:eastAsia="Times New Roman" w:cstheme="minorHAnsi"/>
          <w:color w:val="000000"/>
          <w:lang w:eastAsia="en-GB"/>
        </w:rPr>
        <w:t xml:space="preserve"> related to particular problems associated with breakfasts (predominantly lack of) and the consumption of sugary or energy drinks outside a school setting.</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“You do see kids eating crisps on the bus on the way to school and you see kids eating chocolate on the way to school and you think to yourself did they get a decent breakfast.  I’m sure that breakfast is a big issue</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Participant 3</w:t>
      </w:r>
      <w:r w:rsidRPr="009B3747">
        <w:rPr>
          <w:rFonts w:eastAsia="Times New Roman" w:cstheme="minorHAnsi"/>
          <w:b/>
          <w:color w:val="000000"/>
          <w:sz w:val="20"/>
          <w:szCs w:val="20"/>
          <w:lang w:eastAsia="en-GB"/>
        </w:rPr>
        <w:t xml:space="preserve"> </w:t>
      </w:r>
      <w:r w:rsidR="00A617EF" w:rsidRPr="009B3747">
        <w:rPr>
          <w:rFonts w:eastAsia="Times New Roman" w:cstheme="minorHAnsi"/>
          <w:b/>
          <w:color w:val="000000"/>
          <w:sz w:val="20"/>
          <w:szCs w:val="20"/>
          <w:lang w:eastAsia="en-GB"/>
        </w:rPr>
        <w:t>(Chair of governors)</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 every kid turns up in the morning you know, not every kid, but lots of children and “I bought this, this is the drink my mum sent me in with”, there’s twelve grams of sugar in that bottle as well as every e (number) you could possibly imagine.” </w:t>
      </w:r>
      <w:r w:rsidRPr="009B3747">
        <w:rPr>
          <w:rFonts w:eastAsia="Times New Roman" w:cstheme="minorHAnsi"/>
          <w:b/>
          <w:bCs/>
          <w:color w:val="000000"/>
          <w:sz w:val="20"/>
          <w:szCs w:val="20"/>
          <w:lang w:eastAsia="en-GB"/>
        </w:rPr>
        <w:t>Participant 6</w:t>
      </w:r>
      <w:r w:rsidRPr="009B3747">
        <w:rPr>
          <w:rFonts w:eastAsia="Times New Roman" w:cstheme="minorHAnsi"/>
          <w:b/>
          <w:color w:val="000000"/>
          <w:sz w:val="20"/>
          <w:szCs w:val="20"/>
          <w:lang w:eastAsia="en-GB"/>
        </w:rPr>
        <w:t xml:space="preserve"> </w:t>
      </w:r>
      <w:r w:rsidR="00A617EF" w:rsidRPr="009B3747">
        <w:rPr>
          <w:rFonts w:eastAsia="Times New Roman" w:cstheme="minorHAnsi"/>
          <w:b/>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 xml:space="preserve">In addition to challenges associated with breakfast and energy drinks, participants extensively discussed problems with adolescent intakes of and preferences for junk food, sugary fizzy drinks and snacks high in sugar, fat and salt.  Excessive portion sizes and the over reliance on processed, convenience foods were again proposed as a worry.  Typically these views centred on dietary habits either outside of the school or were reflective of food being brought into school during the day.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“Even parents don’t know what their children are eating because you know they give them money and there are children that don’t eat lunch or they’ve eaten it at break time and it’s been a bag of crisps and a chocolate bar.”  </w:t>
      </w:r>
      <w:r w:rsidRPr="009B3747">
        <w:rPr>
          <w:rFonts w:eastAsia="Times New Roman" w:cstheme="minorHAnsi"/>
          <w:b/>
          <w:bCs/>
          <w:color w:val="000000"/>
          <w:sz w:val="20"/>
          <w:szCs w:val="20"/>
          <w:lang w:eastAsia="en-GB"/>
        </w:rPr>
        <w:t>Participant 8</w:t>
      </w:r>
      <w:r w:rsidRPr="009B3747">
        <w:rPr>
          <w:rFonts w:eastAsia="Times New Roman" w:cstheme="minorHAnsi"/>
          <w:b/>
          <w:color w:val="000000"/>
          <w:sz w:val="20"/>
          <w:szCs w:val="20"/>
          <w:lang w:eastAsia="en-GB"/>
        </w:rPr>
        <w:t xml:space="preserve"> </w:t>
      </w:r>
      <w:r w:rsidR="00A617EF" w:rsidRPr="009B3747">
        <w:rPr>
          <w:rFonts w:eastAsia="Times New Roman" w:cstheme="minorHAnsi"/>
          <w:b/>
          <w:color w:val="000000"/>
          <w:sz w:val="20"/>
          <w:szCs w:val="20"/>
          <w:lang w:eastAsia="en-GB"/>
        </w:rPr>
        <w:t>(Headteacher)</w:t>
      </w:r>
    </w:p>
    <w:p w:rsidR="006F36A0" w:rsidRPr="009B3747" w:rsidRDefault="006F36A0" w:rsidP="009277B3">
      <w:pPr>
        <w:ind w:left="720"/>
        <w:rPr>
          <w:rFonts w:eastAsia="Times New Roman" w:cstheme="minorHAnsi"/>
          <w:sz w:val="24"/>
          <w:szCs w:val="24"/>
          <w:lang w:eastAsia="en-GB"/>
        </w:rPr>
      </w:pPr>
      <w:r w:rsidRPr="009B3747">
        <w:rPr>
          <w:rFonts w:eastAsia="Times New Roman" w:cstheme="minorHAnsi"/>
          <w:sz w:val="24"/>
          <w:szCs w:val="24"/>
          <w:lang w:eastAsia="en-GB"/>
        </w:rPr>
        <w:t> </w:t>
      </w:r>
    </w:p>
    <w:p w:rsidR="009277B3" w:rsidRPr="009B3747" w:rsidRDefault="006F36A0" w:rsidP="009277B3">
      <w:pPr>
        <w:ind w:left="720"/>
        <w:rPr>
          <w:rFonts w:eastAsia="Times New Roman" w:cstheme="minorHAnsi"/>
          <w:i/>
          <w:iCs/>
          <w:color w:val="000000"/>
          <w:sz w:val="20"/>
          <w:szCs w:val="20"/>
          <w:lang w:eastAsia="en-GB"/>
        </w:rPr>
      </w:pPr>
      <w:r w:rsidRPr="009B3747">
        <w:rPr>
          <w:rFonts w:eastAsia="Times New Roman" w:cstheme="minorHAnsi"/>
          <w:i/>
          <w:iCs/>
          <w:color w:val="000000"/>
          <w:sz w:val="20"/>
          <w:szCs w:val="20"/>
          <w:lang w:eastAsia="en-GB"/>
        </w:rPr>
        <w:t>“There was as girl there who only ate chips while she was away, so that’s the problem, that’s the problem. I said to her “are you vegetarian?” [..</w:t>
      </w:r>
      <w:r w:rsidR="00A617EF" w:rsidRPr="009B3747">
        <w:rPr>
          <w:rFonts w:eastAsia="Times New Roman" w:cstheme="minorHAnsi"/>
          <w:i/>
          <w:iCs/>
          <w:color w:val="000000"/>
          <w:sz w:val="20"/>
          <w:szCs w:val="20"/>
          <w:lang w:eastAsia="en-GB"/>
        </w:rPr>
        <w:t xml:space="preserve">]..“no, no, I just eat chips”. </w:t>
      </w:r>
    </w:p>
    <w:p w:rsidR="006F36A0" w:rsidRPr="009B3747" w:rsidRDefault="006F36A0" w:rsidP="009277B3">
      <w:pPr>
        <w:ind w:left="720"/>
        <w:rPr>
          <w:rFonts w:eastAsia="Times New Roman" w:cstheme="minorHAnsi"/>
          <w:i/>
          <w:iCs/>
          <w:color w:val="000000"/>
          <w:sz w:val="20"/>
          <w:szCs w:val="20"/>
          <w:lang w:eastAsia="en-GB"/>
        </w:rPr>
      </w:pPr>
      <w:r w:rsidRPr="009B3747">
        <w:rPr>
          <w:rFonts w:eastAsia="Times New Roman" w:cstheme="minorHAnsi"/>
          <w:b/>
          <w:bCs/>
          <w:color w:val="000000"/>
          <w:sz w:val="20"/>
          <w:szCs w:val="20"/>
          <w:lang w:eastAsia="en-GB"/>
        </w:rPr>
        <w:t xml:space="preserve">Participant 14 </w:t>
      </w:r>
      <w:r w:rsidR="00A617EF" w:rsidRPr="009B3747">
        <w:rPr>
          <w:rFonts w:eastAsia="Times New Roman" w:cstheme="minorHAnsi"/>
          <w:b/>
          <w:bCs/>
          <w:color w:val="000000"/>
          <w:sz w:val="20"/>
          <w:szCs w:val="20"/>
          <w:lang w:eastAsia="en-GB"/>
        </w:rPr>
        <w:t>(Headteacher)</w:t>
      </w:r>
    </w:p>
    <w:p w:rsidR="009277B3" w:rsidRPr="009B3747" w:rsidRDefault="009277B3" w:rsidP="009277B3">
      <w:pPr>
        <w:rPr>
          <w:rFonts w:eastAsia="Times New Roman" w:cstheme="minorHAnsi"/>
          <w:color w:val="000000"/>
          <w:lang w:eastAsia="en-GB"/>
        </w:rPr>
      </w:pPr>
    </w:p>
    <w:p w:rsidR="006F36A0" w:rsidRPr="009B3747" w:rsidRDefault="006F36A0" w:rsidP="009277B3">
      <w:pPr>
        <w:rPr>
          <w:rFonts w:eastAsia="Times New Roman" w:cstheme="minorHAnsi"/>
          <w:sz w:val="24"/>
          <w:szCs w:val="24"/>
          <w:lang w:eastAsia="en-GB"/>
        </w:rPr>
      </w:pPr>
      <w:r w:rsidRPr="009B3747">
        <w:rPr>
          <w:rFonts w:eastAsia="Times New Roman" w:cstheme="minorHAnsi"/>
          <w:color w:val="000000"/>
          <w:lang w:eastAsia="en-GB"/>
        </w:rPr>
        <w:t xml:space="preserve">On balance, there were some participants, albeit a smaller proportion who presented the opinion that there had been improvements in child and adolescent knowledge and dietary habits, often in respect to increases in fruit and vegetable consumption.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9277B3" w:rsidRPr="009B3747" w:rsidRDefault="006F36A0" w:rsidP="00A43A37">
      <w:pPr>
        <w:ind w:left="720"/>
        <w:rPr>
          <w:rFonts w:eastAsia="Times New Roman" w:cstheme="minorHAnsi"/>
          <w:color w:val="000000"/>
          <w:sz w:val="20"/>
          <w:szCs w:val="20"/>
          <w:lang w:eastAsia="en-GB"/>
        </w:rPr>
      </w:pPr>
      <w:r w:rsidRPr="009B3747">
        <w:rPr>
          <w:rFonts w:eastAsia="Times New Roman" w:cstheme="minorHAnsi"/>
          <w:i/>
          <w:iCs/>
          <w:color w:val="000000"/>
          <w:sz w:val="20"/>
          <w:szCs w:val="20"/>
          <w:lang w:eastAsia="en-GB"/>
        </w:rPr>
        <w:t xml:space="preserve">“We’re seeing children come through to secondary school that are used to not having chips everyday, that are used to choosing vegetables and fruit and salad and things like that.” </w:t>
      </w:r>
      <w:r w:rsidRPr="009B3747">
        <w:rPr>
          <w:rFonts w:eastAsia="Times New Roman" w:cstheme="minorHAnsi"/>
          <w:color w:val="000000"/>
          <w:sz w:val="20"/>
          <w:szCs w:val="20"/>
          <w:lang w:eastAsia="en-GB"/>
        </w:rPr>
        <w:t> </w:t>
      </w:r>
    </w:p>
    <w:p w:rsidR="006F36A0" w:rsidRPr="009B3747" w:rsidRDefault="006F36A0" w:rsidP="00A43A37">
      <w:pPr>
        <w:ind w:left="720"/>
        <w:rPr>
          <w:rFonts w:eastAsia="Times New Roman" w:cstheme="minorHAnsi"/>
          <w:sz w:val="24"/>
          <w:szCs w:val="24"/>
          <w:lang w:eastAsia="en-GB"/>
        </w:rPr>
      </w:pPr>
      <w:r w:rsidRPr="009B3747">
        <w:rPr>
          <w:rFonts w:eastAsia="Times New Roman" w:cstheme="minorHAnsi"/>
          <w:b/>
          <w:bCs/>
          <w:color w:val="000000"/>
          <w:sz w:val="20"/>
          <w:szCs w:val="20"/>
          <w:lang w:eastAsia="en-GB"/>
        </w:rPr>
        <w:t>Participant 11</w:t>
      </w:r>
      <w:r w:rsidRPr="009B3747">
        <w:rPr>
          <w:rFonts w:eastAsia="Times New Roman" w:cstheme="minorHAnsi"/>
          <w:b/>
          <w:color w:val="000000"/>
          <w:sz w:val="20"/>
          <w:szCs w:val="20"/>
          <w:lang w:eastAsia="en-GB"/>
        </w:rPr>
        <w:t xml:space="preserve"> </w:t>
      </w:r>
      <w:r w:rsidR="00A617EF" w:rsidRPr="009B3747">
        <w:rPr>
          <w:rFonts w:eastAsia="Times New Roman" w:cstheme="minorHAnsi"/>
          <w:b/>
          <w:color w:val="000000"/>
          <w:sz w:val="20"/>
          <w:szCs w:val="20"/>
          <w:lang w:eastAsia="en-GB"/>
        </w:rPr>
        <w:t>(</w:t>
      </w:r>
      <w:r w:rsidR="00A43A37" w:rsidRPr="009B3747">
        <w:rPr>
          <w:rFonts w:eastAsia="Times New Roman" w:cstheme="minorHAnsi"/>
          <w:b/>
          <w:color w:val="000000"/>
          <w:sz w:val="20"/>
          <w:szCs w:val="20"/>
          <w:lang w:eastAsia="en-GB"/>
        </w:rPr>
        <w:t>Chair of governors)</w:t>
      </w:r>
    </w:p>
    <w:p w:rsidR="006F36A0" w:rsidRPr="009B3747" w:rsidRDefault="006F36A0" w:rsidP="00A43A37">
      <w:pPr>
        <w:ind w:left="720"/>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A43A37">
      <w:pPr>
        <w:rPr>
          <w:rFonts w:eastAsia="Times New Roman" w:cstheme="minorHAnsi"/>
          <w:sz w:val="24"/>
          <w:szCs w:val="24"/>
          <w:lang w:eastAsia="en-GB"/>
        </w:rPr>
      </w:pPr>
      <w:r w:rsidRPr="009B3747">
        <w:rPr>
          <w:rFonts w:eastAsia="Times New Roman" w:cstheme="minorHAnsi"/>
          <w:color w:val="000000"/>
          <w:lang w:eastAsia="en-GB"/>
        </w:rPr>
        <w:t xml:space="preserve">Despite isolated reports of improving nutrition, the overwhelming portrayal of current dietary habits were negative, in relation not only to adolescents, but more broadly when discussing behaviours of </w:t>
      </w:r>
      <w:r w:rsidRPr="009B3747">
        <w:rPr>
          <w:rFonts w:eastAsia="Times New Roman" w:cstheme="minorHAnsi"/>
          <w:color w:val="000000"/>
          <w:lang w:eastAsia="en-GB"/>
        </w:rPr>
        <w:lastRenderedPageBreak/>
        <w:t>children, families and the communities their schools served.  Furthermore, for those who had identified positive changes in adolescents diets, these were not universally applicable to all pupils within a school setting and were typically reported by either schools with lower free school meal percentage or independent schools.  The relationship between unhealthy eating prac</w:t>
      </w:r>
      <w:r w:rsidR="00FF3C6A">
        <w:rPr>
          <w:rFonts w:eastAsia="Times New Roman" w:cstheme="minorHAnsi"/>
          <w:color w:val="000000"/>
          <w:lang w:eastAsia="en-GB"/>
        </w:rPr>
        <w:t xml:space="preserve">tices and socio-economic status, </w:t>
      </w:r>
      <w:r w:rsidRPr="009B3747">
        <w:rPr>
          <w:rFonts w:eastAsia="Times New Roman" w:cstheme="minorHAnsi"/>
          <w:color w:val="000000"/>
          <w:lang w:eastAsia="en-GB"/>
        </w:rPr>
        <w:t>appeared evident to participants in a similar way to the connection made between obesity prevalence and deprivation.  Whilst poor dietary habits were frequently observed across the social and demographic spectrum, adolescents from more deprived communities were perceived to have the worst food preferences and nutritional intake.</w:t>
      </w:r>
    </w:p>
    <w:p w:rsidR="006F36A0" w:rsidRPr="009B3747" w:rsidRDefault="006F36A0" w:rsidP="00A43A37">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514099" w:rsidP="00A43A37">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w:t>
      </w:r>
      <w:r w:rsidR="006F36A0" w:rsidRPr="009B3747">
        <w:rPr>
          <w:rFonts w:eastAsia="Times New Roman" w:cstheme="minorHAnsi"/>
          <w:i/>
          <w:iCs/>
          <w:color w:val="000000"/>
          <w:sz w:val="20"/>
          <w:szCs w:val="20"/>
          <w:lang w:eastAsia="en-GB"/>
        </w:rPr>
        <w:t>And even kids on free school meals you know you’ve got one pound or whatever to spend</w:t>
      </w:r>
      <w:r w:rsidR="00281979">
        <w:rPr>
          <w:rFonts w:eastAsia="Times New Roman" w:cstheme="minorHAnsi"/>
          <w:i/>
          <w:iCs/>
          <w:color w:val="000000"/>
          <w:sz w:val="20"/>
          <w:szCs w:val="20"/>
          <w:lang w:eastAsia="en-GB"/>
        </w:rPr>
        <w:t>,</w:t>
      </w:r>
      <w:r w:rsidR="006F36A0" w:rsidRPr="009B3747">
        <w:rPr>
          <w:rFonts w:eastAsia="Times New Roman" w:cstheme="minorHAnsi"/>
          <w:i/>
          <w:iCs/>
          <w:color w:val="000000"/>
          <w:sz w:val="20"/>
          <w:szCs w:val="20"/>
          <w:lang w:eastAsia="en-GB"/>
        </w:rPr>
        <w:t xml:space="preserve"> but actually your family is so poor that the only food you see in a day is your school meal, so they’ll take a whole stack of biscuits because they divide by three, ones for lunch, ones in the evening and the others for breakfast”. </w:t>
      </w:r>
      <w:r w:rsidR="006F36A0" w:rsidRPr="009B3747">
        <w:rPr>
          <w:rFonts w:eastAsia="Times New Roman" w:cstheme="minorHAnsi"/>
          <w:color w:val="000000"/>
          <w:sz w:val="20"/>
          <w:szCs w:val="20"/>
          <w:lang w:eastAsia="en-GB"/>
        </w:rPr>
        <w:t> </w:t>
      </w:r>
      <w:r w:rsidR="006F36A0" w:rsidRPr="009B3747">
        <w:rPr>
          <w:rFonts w:eastAsia="Times New Roman" w:cstheme="minorHAnsi"/>
          <w:b/>
          <w:bCs/>
          <w:color w:val="000000"/>
          <w:sz w:val="20"/>
          <w:szCs w:val="20"/>
          <w:lang w:eastAsia="en-GB"/>
        </w:rPr>
        <w:t>Participant 20</w:t>
      </w:r>
      <w:r w:rsidR="00A43A37" w:rsidRPr="009B3747">
        <w:rPr>
          <w:rFonts w:eastAsia="Times New Roman" w:cstheme="minorHAnsi"/>
          <w:b/>
          <w:bCs/>
          <w:color w:val="000000"/>
          <w:sz w:val="20"/>
          <w:szCs w:val="20"/>
          <w:lang w:eastAsia="en-GB"/>
        </w:rPr>
        <w:t xml:space="preserve"> (Chair of governors)</w:t>
      </w:r>
    </w:p>
    <w:p w:rsidR="006F36A0" w:rsidRPr="009B3747" w:rsidRDefault="006F36A0" w:rsidP="00A43A37">
      <w:pPr>
        <w:ind w:left="720"/>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BC77D3" w:rsidP="00A43A37">
      <w:pPr>
        <w:rPr>
          <w:rFonts w:eastAsia="Times New Roman" w:cstheme="minorHAnsi"/>
          <w:iCs/>
          <w:color w:val="000000"/>
          <w:u w:val="single"/>
          <w:lang w:eastAsia="en-GB"/>
        </w:rPr>
      </w:pPr>
      <w:r w:rsidRPr="009B3747">
        <w:rPr>
          <w:rFonts w:eastAsia="Times New Roman" w:cstheme="minorHAnsi"/>
          <w:iCs/>
          <w:color w:val="000000"/>
          <w:u w:val="single"/>
          <w:lang w:eastAsia="en-GB"/>
        </w:rPr>
        <w:t>6.</w:t>
      </w:r>
      <w:r w:rsidR="00551065" w:rsidRPr="009B3747">
        <w:rPr>
          <w:rFonts w:eastAsia="Times New Roman" w:cstheme="minorHAnsi"/>
          <w:iCs/>
          <w:color w:val="000000"/>
          <w:u w:val="single"/>
          <w:lang w:eastAsia="en-GB"/>
        </w:rPr>
        <w:t>4</w:t>
      </w:r>
      <w:r w:rsidRPr="009B3747">
        <w:rPr>
          <w:rFonts w:eastAsia="Times New Roman" w:cstheme="minorHAnsi"/>
          <w:iCs/>
          <w:color w:val="000000"/>
          <w:u w:val="single"/>
          <w:lang w:eastAsia="en-GB"/>
        </w:rPr>
        <w:t>.3</w:t>
      </w:r>
      <w:r w:rsidR="006F36A0" w:rsidRPr="009B3747">
        <w:rPr>
          <w:rFonts w:eastAsia="Times New Roman" w:cstheme="minorHAnsi"/>
          <w:iCs/>
          <w:color w:val="000000"/>
          <w:u w:val="single"/>
          <w:lang w:eastAsia="en-GB"/>
        </w:rPr>
        <w:t xml:space="preserve"> Physical activity and sedentary behaviour </w:t>
      </w:r>
    </w:p>
    <w:p w:rsidR="00A43A37" w:rsidRPr="009B3747" w:rsidRDefault="00A43A37" w:rsidP="00A43A37">
      <w:pPr>
        <w:rPr>
          <w:rFonts w:eastAsia="Times New Roman" w:cstheme="minorHAnsi"/>
          <w:sz w:val="24"/>
          <w:szCs w:val="24"/>
          <w:lang w:eastAsia="en-GB"/>
        </w:rPr>
      </w:pPr>
    </w:p>
    <w:p w:rsidR="006F36A0" w:rsidRPr="009B3747" w:rsidRDefault="006F36A0" w:rsidP="00A43A37">
      <w:pPr>
        <w:rPr>
          <w:rFonts w:eastAsia="Times New Roman" w:cstheme="minorHAnsi"/>
          <w:sz w:val="24"/>
          <w:szCs w:val="24"/>
          <w:lang w:eastAsia="en-GB"/>
        </w:rPr>
      </w:pPr>
      <w:r w:rsidRPr="009B3747">
        <w:rPr>
          <w:rFonts w:eastAsia="Times New Roman" w:cstheme="minorHAnsi"/>
          <w:color w:val="000000"/>
          <w:lang w:eastAsia="en-GB"/>
        </w:rPr>
        <w:t>When discussing physical activity participation of adolescents, headteachers and chairs of governors referred to or shared perspectives on formal physical education, extra-curricular school activity, modes of travel, active recreation and leisure.  Greater variation and disparity of views existed surrounding adolescent physical activity participation than observed in the perceptions regarding obesity and dietary habits. Ranging from a serious and concerning picture of sedentary behaviour in adolescence, to a positive and optimistic experience of witnessing increasing physical activity engagement, a continuum of varying perspectives were evident.  </w:t>
      </w:r>
    </w:p>
    <w:p w:rsidR="006F36A0" w:rsidRPr="009B3747" w:rsidRDefault="006F36A0" w:rsidP="00A43A37">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A43A37">
      <w:pPr>
        <w:ind w:left="720"/>
        <w:rPr>
          <w:rFonts w:eastAsia="Times New Roman" w:cstheme="minorHAnsi"/>
          <w:b/>
          <w:color w:val="000000"/>
          <w:sz w:val="20"/>
          <w:szCs w:val="20"/>
          <w:lang w:eastAsia="en-GB"/>
        </w:rPr>
      </w:pPr>
      <w:r w:rsidRPr="009B3747">
        <w:rPr>
          <w:rFonts w:eastAsia="Times New Roman" w:cstheme="minorHAnsi"/>
          <w:i/>
          <w:iCs/>
          <w:color w:val="000000"/>
          <w:sz w:val="20"/>
          <w:szCs w:val="20"/>
          <w:lang w:eastAsia="en-GB"/>
        </w:rPr>
        <w:t xml:space="preserve">“Many of our boys and girls are very interested in sport and would do a large amount of time each week in terms of physical exercise.”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Participant 5</w:t>
      </w:r>
      <w:r w:rsidRPr="009B3747">
        <w:rPr>
          <w:rFonts w:eastAsia="Times New Roman" w:cstheme="minorHAnsi"/>
          <w:b/>
          <w:color w:val="000000"/>
          <w:sz w:val="20"/>
          <w:szCs w:val="20"/>
          <w:lang w:eastAsia="en-GB"/>
        </w:rPr>
        <w:t xml:space="preserve"> </w:t>
      </w:r>
      <w:r w:rsidR="00A43A37" w:rsidRPr="009B3747">
        <w:rPr>
          <w:rFonts w:eastAsia="Times New Roman" w:cstheme="minorHAnsi"/>
          <w:b/>
          <w:color w:val="000000"/>
          <w:sz w:val="20"/>
          <w:szCs w:val="20"/>
          <w:lang w:eastAsia="en-GB"/>
        </w:rPr>
        <w:t>(Headteacher)</w:t>
      </w:r>
    </w:p>
    <w:p w:rsidR="00A43A37" w:rsidRPr="009B3747" w:rsidRDefault="00A43A37" w:rsidP="00A43A37">
      <w:pPr>
        <w:ind w:left="720"/>
        <w:rPr>
          <w:rFonts w:eastAsia="Times New Roman" w:cstheme="minorHAnsi"/>
          <w:sz w:val="24"/>
          <w:szCs w:val="24"/>
          <w:lang w:eastAsia="en-GB"/>
        </w:rPr>
      </w:pPr>
    </w:p>
    <w:p w:rsidR="006F36A0" w:rsidRPr="009B3747" w:rsidRDefault="006F36A0" w:rsidP="00A43A37">
      <w:pPr>
        <w:ind w:left="720"/>
        <w:rPr>
          <w:rFonts w:eastAsia="Times New Roman" w:cstheme="minorHAnsi"/>
          <w:b/>
          <w:color w:val="000000"/>
          <w:sz w:val="20"/>
          <w:szCs w:val="20"/>
          <w:lang w:eastAsia="en-GB"/>
        </w:rPr>
      </w:pPr>
      <w:r w:rsidRPr="009B3747">
        <w:rPr>
          <w:rFonts w:eastAsia="Times New Roman" w:cstheme="minorHAnsi"/>
          <w:i/>
          <w:iCs/>
          <w:color w:val="000000"/>
          <w:sz w:val="20"/>
          <w:szCs w:val="20"/>
          <w:lang w:eastAsia="en-GB"/>
        </w:rPr>
        <w:t>“When I talk to some students, you know, “what are you going to do this weekend?” “well I’m going on Call of Duty” “anything else? “no, that’s it, all weekend”. So there’s those sort of, so I sort of worry about the lack of exercise, lack of sport, and those sorts of things.”  </w:t>
      </w:r>
      <w:r w:rsidRPr="009B3747">
        <w:rPr>
          <w:rFonts w:eastAsia="Times New Roman" w:cstheme="minorHAnsi"/>
          <w:b/>
          <w:bCs/>
          <w:color w:val="000000"/>
          <w:sz w:val="20"/>
          <w:szCs w:val="20"/>
          <w:lang w:eastAsia="en-GB"/>
        </w:rPr>
        <w:t>Participant 21</w:t>
      </w:r>
      <w:r w:rsidRPr="009B3747">
        <w:rPr>
          <w:rFonts w:eastAsia="Times New Roman" w:cstheme="minorHAnsi"/>
          <w:b/>
          <w:color w:val="000000"/>
          <w:sz w:val="20"/>
          <w:szCs w:val="20"/>
          <w:lang w:eastAsia="en-GB"/>
        </w:rPr>
        <w:t xml:space="preserve"> </w:t>
      </w:r>
      <w:r w:rsidR="00A43A37" w:rsidRPr="009B3747">
        <w:rPr>
          <w:rFonts w:eastAsia="Times New Roman" w:cstheme="minorHAnsi"/>
          <w:b/>
          <w:color w:val="000000"/>
          <w:sz w:val="20"/>
          <w:szCs w:val="20"/>
          <w:lang w:eastAsia="en-GB"/>
        </w:rPr>
        <w:t>(Headteacher)</w:t>
      </w:r>
    </w:p>
    <w:p w:rsidR="00A43A37" w:rsidRPr="009B3747" w:rsidRDefault="00A43A37" w:rsidP="00A43A37">
      <w:pPr>
        <w:ind w:left="720"/>
        <w:rPr>
          <w:rFonts w:eastAsia="Times New Roman" w:cstheme="minorHAnsi"/>
          <w:sz w:val="24"/>
          <w:szCs w:val="24"/>
          <w:lang w:eastAsia="en-GB"/>
        </w:rPr>
      </w:pPr>
    </w:p>
    <w:p w:rsidR="006F36A0" w:rsidRPr="009B3747" w:rsidRDefault="006F36A0" w:rsidP="00A43A37">
      <w:pPr>
        <w:rPr>
          <w:rFonts w:eastAsia="Times New Roman" w:cstheme="minorHAnsi"/>
          <w:sz w:val="24"/>
          <w:szCs w:val="24"/>
          <w:lang w:eastAsia="en-GB"/>
        </w:rPr>
      </w:pPr>
      <w:r w:rsidRPr="009B3747">
        <w:rPr>
          <w:rFonts w:eastAsia="Times New Roman" w:cstheme="minorHAnsi"/>
          <w:color w:val="000000"/>
          <w:lang w:eastAsia="en-GB"/>
        </w:rPr>
        <w:t xml:space="preserve">In balance, whilst not representing an overwhelming consensus, participants more typically reported a belief that the majority of adolescents were not undertaking enough physical activity.  In particular this related to low levels of participation in physical activity, sport and active recreation outside of a </w:t>
      </w:r>
      <w:r w:rsidRPr="009B3747">
        <w:rPr>
          <w:rFonts w:eastAsia="Times New Roman" w:cstheme="minorHAnsi"/>
          <w:color w:val="000000"/>
          <w:lang w:eastAsia="en-GB"/>
        </w:rPr>
        <w:lastRenderedPageBreak/>
        <w:t>school setting.  Similarly to poor dietary habits, the impact of wider societal and environmental influences were perceived to primarily drive increases in sedentary behaviour (see theme 2)</w:t>
      </w:r>
      <w:r w:rsidR="00FF3C6A">
        <w:rPr>
          <w:rFonts w:eastAsia="Times New Roman" w:cstheme="minorHAnsi"/>
          <w:color w:val="000000"/>
          <w:lang w:eastAsia="en-GB"/>
        </w:rPr>
        <w:t>.</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color w:val="000000"/>
          <w:lang w:eastAsia="en-GB"/>
        </w:rPr>
        <w:t>“I</w:t>
      </w:r>
      <w:r w:rsidRPr="009B3747">
        <w:rPr>
          <w:rFonts w:eastAsia="Times New Roman" w:cstheme="minorHAnsi"/>
          <w:i/>
          <w:iCs/>
          <w:color w:val="000000"/>
          <w:sz w:val="20"/>
          <w:szCs w:val="20"/>
          <w:lang w:eastAsia="en-GB"/>
        </w:rPr>
        <w:t>t’s just the modern static generation, well primarily static generation sitting</w:t>
      </w:r>
      <w:r w:rsidR="00514099" w:rsidRPr="009B3747">
        <w:rPr>
          <w:rFonts w:eastAsia="Times New Roman" w:cstheme="minorHAnsi"/>
          <w:i/>
          <w:iCs/>
          <w:color w:val="000000"/>
          <w:sz w:val="20"/>
          <w:szCs w:val="20"/>
          <w:lang w:eastAsia="en-GB"/>
        </w:rPr>
        <w:t xml:space="preserve"> in front of computers and on iP</w:t>
      </w:r>
      <w:r w:rsidRPr="009B3747">
        <w:rPr>
          <w:rFonts w:eastAsia="Times New Roman" w:cstheme="minorHAnsi"/>
          <w:i/>
          <w:iCs/>
          <w:color w:val="000000"/>
          <w:sz w:val="20"/>
          <w:szCs w:val="20"/>
          <w:lang w:eastAsia="en-GB"/>
        </w:rPr>
        <w:t>ads and things like that.  And linked to that the fear of parents to let children go out and be and play out so if any exercise they do has to be organised, has to be paid for, has to be motivated by parents so I think it’s all round that sort of side of things.”  </w:t>
      </w:r>
      <w:r w:rsidRPr="009B3747">
        <w:rPr>
          <w:rFonts w:eastAsia="Times New Roman" w:cstheme="minorHAnsi"/>
          <w:b/>
          <w:bCs/>
          <w:color w:val="000000"/>
          <w:sz w:val="20"/>
          <w:szCs w:val="20"/>
          <w:lang w:eastAsia="en-GB"/>
        </w:rPr>
        <w:t>Participant 7</w:t>
      </w:r>
      <w:r w:rsidR="00A43A37" w:rsidRPr="009B3747">
        <w:rPr>
          <w:rFonts w:eastAsia="Times New Roman" w:cstheme="minorHAnsi"/>
          <w:b/>
          <w:bCs/>
          <w:color w:val="000000"/>
          <w:sz w:val="20"/>
          <w:szCs w:val="20"/>
          <w:lang w:eastAsia="en-GB"/>
        </w:rPr>
        <w:t xml:space="preserve"> (Headteacher)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firstLine="720"/>
        <w:rPr>
          <w:rFonts w:eastAsia="Times New Roman" w:cstheme="minorHAnsi"/>
          <w:sz w:val="24"/>
          <w:szCs w:val="24"/>
          <w:lang w:eastAsia="en-GB"/>
        </w:rPr>
      </w:pPr>
      <w:r w:rsidRPr="009B3747">
        <w:rPr>
          <w:rFonts w:eastAsia="Times New Roman" w:cstheme="minorHAnsi"/>
          <w:i/>
          <w:iCs/>
          <w:color w:val="000000"/>
          <w:sz w:val="20"/>
          <w:szCs w:val="20"/>
          <w:lang w:eastAsia="en-GB"/>
        </w:rPr>
        <w:t>“The walking to school, they get driven to school, they’re going home and playing physically after</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school has been replaced by sitting and watching, very static kind of and for me that’s the biggest contributory factor.”</w:t>
      </w:r>
      <w:r w:rsidRPr="009B3747">
        <w:rPr>
          <w:rFonts w:eastAsia="Times New Roman" w:cstheme="minorHAnsi"/>
          <w:color w:val="000000"/>
          <w:sz w:val="20"/>
          <w:szCs w:val="20"/>
          <w:lang w:eastAsia="en-GB"/>
        </w:rPr>
        <w:t xml:space="preserve">  </w:t>
      </w:r>
      <w:r w:rsidRPr="009B3747">
        <w:rPr>
          <w:rFonts w:eastAsia="Times New Roman" w:cstheme="minorHAnsi"/>
          <w:b/>
          <w:bCs/>
          <w:color w:val="000000"/>
          <w:sz w:val="20"/>
          <w:szCs w:val="20"/>
          <w:lang w:eastAsia="en-GB"/>
        </w:rPr>
        <w:t>Participant 17</w:t>
      </w:r>
      <w:r w:rsidRPr="009B3747">
        <w:rPr>
          <w:rFonts w:eastAsia="Times New Roman" w:cstheme="minorHAnsi"/>
          <w:b/>
          <w:color w:val="000000"/>
          <w:sz w:val="20"/>
          <w:szCs w:val="20"/>
          <w:lang w:eastAsia="en-GB"/>
        </w:rPr>
        <w:t xml:space="preserve"> </w:t>
      </w:r>
      <w:r w:rsidR="00A43A37" w:rsidRPr="009B3747">
        <w:rPr>
          <w:rFonts w:eastAsia="Times New Roman" w:cstheme="minorHAnsi"/>
          <w:b/>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For those who perceived a more positive relationship between adolescents and physical activity participation, examples provided were usually in reference to school based physical education or extra-curricular activities.  This was especially relevant in independent schools, where uptake across the board was reported as extremely high.  Both headteachers and chairs of governors from all school types</w:t>
      </w:r>
      <w:r w:rsidR="00FF3C6A">
        <w:rPr>
          <w:rFonts w:eastAsia="Times New Roman" w:cstheme="minorHAnsi"/>
          <w:color w:val="000000"/>
          <w:lang w:eastAsia="en-GB"/>
        </w:rPr>
        <w:t>,</w:t>
      </w:r>
      <w:r w:rsidRPr="009B3747">
        <w:rPr>
          <w:rFonts w:eastAsia="Times New Roman" w:cstheme="minorHAnsi"/>
          <w:color w:val="000000"/>
          <w:lang w:eastAsia="en-GB"/>
        </w:rPr>
        <w:t xml:space="preserve"> proposed that offering a wide range of non-traditional school sports generated increases in participation within their setting, especially with adolescent girls,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“We do cheerleading and stuff here in lessons, we do, in year eleven, we do, we do leisure options, they sign up to leisure options, we don’t call it sport or PE, so there's boys who choose football, there's girls who choose to play football and we have c</w:t>
      </w:r>
      <w:r w:rsidR="00281979">
        <w:rPr>
          <w:rFonts w:eastAsia="Times New Roman" w:cstheme="minorHAnsi"/>
          <w:i/>
          <w:iCs/>
          <w:color w:val="000000"/>
          <w:sz w:val="20"/>
          <w:szCs w:val="20"/>
          <w:lang w:eastAsia="en-GB"/>
        </w:rPr>
        <w:t xml:space="preserve">ompetitive teams, </w:t>
      </w:r>
      <w:r w:rsidRPr="009B3747">
        <w:rPr>
          <w:rFonts w:eastAsia="Times New Roman" w:cstheme="minorHAnsi"/>
          <w:i/>
          <w:iCs/>
          <w:color w:val="000000"/>
          <w:sz w:val="20"/>
          <w:szCs w:val="20"/>
          <w:lang w:eastAsia="en-GB"/>
        </w:rPr>
        <w:t>but in their PE lessons we’ve timetabled it so they’re in the afternoon so that we now do ice skating, we now go swimming, we now access basketball.”  </w:t>
      </w:r>
      <w:r w:rsidRPr="009B3747">
        <w:rPr>
          <w:rFonts w:eastAsia="Times New Roman" w:cstheme="minorHAnsi"/>
          <w:b/>
          <w:bCs/>
          <w:color w:val="000000"/>
          <w:sz w:val="20"/>
          <w:szCs w:val="20"/>
          <w:lang w:eastAsia="en-GB"/>
        </w:rPr>
        <w:t xml:space="preserve">Participant 6 </w:t>
      </w:r>
      <w:r w:rsidR="00A43A37" w:rsidRPr="009B3747">
        <w:rPr>
          <w:rFonts w:eastAsia="Times New Roman" w:cstheme="minorHAnsi"/>
          <w:b/>
          <w:bCs/>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A43A37" w:rsidRPr="009B3747" w:rsidRDefault="006F36A0" w:rsidP="006F36A0">
      <w:pPr>
        <w:ind w:left="720"/>
        <w:rPr>
          <w:rFonts w:eastAsia="Times New Roman" w:cstheme="minorHAnsi"/>
          <w:i/>
          <w:iCs/>
          <w:color w:val="000000"/>
          <w:sz w:val="20"/>
          <w:szCs w:val="20"/>
          <w:lang w:eastAsia="en-GB"/>
        </w:rPr>
      </w:pPr>
      <w:r w:rsidRPr="009B3747">
        <w:rPr>
          <w:rFonts w:eastAsia="Times New Roman" w:cstheme="minorHAnsi"/>
          <w:i/>
          <w:iCs/>
          <w:color w:val="000000"/>
          <w:sz w:val="20"/>
          <w:szCs w:val="20"/>
          <w:lang w:eastAsia="en-GB"/>
        </w:rPr>
        <w:t>“I mean, girls don’t want to play sport, well that’s absolute nonsense at our school, our girls want to play sport, we’ve got loads of sport teams, they love it and they’re not obese.”  </w:t>
      </w:r>
    </w:p>
    <w:p w:rsidR="006F36A0" w:rsidRPr="009B3747" w:rsidRDefault="006F36A0" w:rsidP="006F36A0">
      <w:pPr>
        <w:ind w:left="720"/>
        <w:rPr>
          <w:rFonts w:eastAsia="Times New Roman" w:cstheme="minorHAnsi"/>
          <w:b/>
          <w:sz w:val="24"/>
          <w:szCs w:val="24"/>
          <w:lang w:eastAsia="en-GB"/>
        </w:rPr>
      </w:pPr>
      <w:r w:rsidRPr="009B3747">
        <w:rPr>
          <w:rFonts w:eastAsia="Times New Roman" w:cstheme="minorHAnsi"/>
          <w:b/>
          <w:bCs/>
          <w:color w:val="000000"/>
          <w:sz w:val="20"/>
          <w:szCs w:val="20"/>
          <w:lang w:eastAsia="en-GB"/>
        </w:rPr>
        <w:t>Participant 14</w:t>
      </w:r>
      <w:r w:rsidRPr="009B3747">
        <w:rPr>
          <w:rFonts w:eastAsia="Times New Roman" w:cstheme="minorHAnsi"/>
          <w:color w:val="000000"/>
          <w:sz w:val="20"/>
          <w:szCs w:val="20"/>
          <w:lang w:eastAsia="en-GB"/>
        </w:rPr>
        <w:t xml:space="preserve"> </w:t>
      </w:r>
      <w:r w:rsidR="00A43A37" w:rsidRPr="009B3747">
        <w:rPr>
          <w:rFonts w:eastAsia="Times New Roman" w:cstheme="minorHAnsi"/>
          <w:b/>
          <w:color w:val="000000"/>
          <w:sz w:val="20"/>
          <w:szCs w:val="20"/>
          <w:lang w:eastAsia="en-GB"/>
        </w:rPr>
        <w:t>(Headteacher)</w:t>
      </w:r>
    </w:p>
    <w:p w:rsidR="006F36A0" w:rsidRPr="009B3747" w:rsidRDefault="006F36A0" w:rsidP="006F36A0">
      <w:pPr>
        <w:ind w:left="720"/>
        <w:rPr>
          <w:rFonts w:eastAsia="Times New Roman" w:cstheme="minorHAnsi"/>
          <w:b/>
          <w:sz w:val="24"/>
          <w:szCs w:val="24"/>
          <w:lang w:eastAsia="en-GB"/>
        </w:rPr>
      </w:pPr>
      <w:r w:rsidRPr="009B3747">
        <w:rPr>
          <w:rFonts w:eastAsia="Times New Roman" w:cstheme="minorHAnsi"/>
          <w:b/>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The connection made between physical activity, sedentary behaviour and deprivation especially outside of a school environment</w:t>
      </w:r>
      <w:r w:rsidR="00FF3C6A">
        <w:rPr>
          <w:rFonts w:eastAsia="Times New Roman" w:cstheme="minorHAnsi"/>
          <w:color w:val="000000"/>
          <w:lang w:eastAsia="en-GB"/>
        </w:rPr>
        <w:t>,</w:t>
      </w:r>
      <w:r w:rsidRPr="009B3747">
        <w:rPr>
          <w:rFonts w:eastAsia="Times New Roman" w:cstheme="minorHAnsi"/>
          <w:color w:val="000000"/>
          <w:lang w:eastAsia="en-GB"/>
        </w:rPr>
        <w:t xml:space="preserve"> appeared to not be as pronounced as the link identified between obesity, dietary habits and deprivation.  Some participants presented escalating sedentary behaviour across the entire social spectrum regardless of socio-economic status.</w:t>
      </w:r>
    </w:p>
    <w:p w:rsidR="006F36A0" w:rsidRPr="009B3747" w:rsidRDefault="006F36A0" w:rsidP="00A43A37">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A43A37">
      <w:pPr>
        <w:ind w:left="720"/>
        <w:rPr>
          <w:rFonts w:eastAsia="Times New Roman" w:cstheme="minorHAnsi"/>
          <w:b/>
          <w:sz w:val="24"/>
          <w:szCs w:val="24"/>
          <w:lang w:eastAsia="en-GB"/>
        </w:rPr>
      </w:pPr>
      <w:r w:rsidRPr="009B3747">
        <w:rPr>
          <w:rFonts w:eastAsia="Times New Roman" w:cstheme="minorHAnsi"/>
          <w:i/>
          <w:iCs/>
          <w:color w:val="000000"/>
          <w:sz w:val="20"/>
          <w:szCs w:val="20"/>
          <w:lang w:eastAsia="en-GB"/>
        </w:rPr>
        <w:lastRenderedPageBreak/>
        <w:t>“I think there are variety, are common to young people these days regardless of poverty or not so, there are more sedentary than they historically they were, they spend more times in front of screens than they do outside exercising.”  </w:t>
      </w:r>
      <w:r w:rsidRPr="009B3747">
        <w:rPr>
          <w:rFonts w:eastAsia="Times New Roman" w:cstheme="minorHAnsi"/>
          <w:b/>
          <w:bCs/>
          <w:color w:val="000000"/>
          <w:sz w:val="20"/>
          <w:szCs w:val="20"/>
          <w:lang w:eastAsia="en-GB"/>
        </w:rPr>
        <w:t>Participant 20</w:t>
      </w:r>
      <w:r w:rsidRPr="009B3747">
        <w:rPr>
          <w:rFonts w:eastAsia="Times New Roman" w:cstheme="minorHAnsi"/>
          <w:b/>
          <w:color w:val="000000"/>
          <w:sz w:val="20"/>
          <w:szCs w:val="20"/>
          <w:lang w:eastAsia="en-GB"/>
        </w:rPr>
        <w:t xml:space="preserve"> </w:t>
      </w:r>
      <w:r w:rsidR="00A43A37" w:rsidRPr="009B3747">
        <w:rPr>
          <w:rFonts w:eastAsia="Times New Roman" w:cstheme="minorHAnsi"/>
          <w:b/>
          <w:color w:val="000000"/>
          <w:sz w:val="20"/>
          <w:szCs w:val="20"/>
          <w:lang w:eastAsia="en-GB"/>
        </w:rPr>
        <w:t>(Chair of governors)</w:t>
      </w:r>
    </w:p>
    <w:p w:rsidR="006F36A0" w:rsidRPr="009B3747" w:rsidRDefault="006F36A0" w:rsidP="00A43A37">
      <w:pPr>
        <w:rPr>
          <w:rFonts w:eastAsia="Times New Roman" w:cstheme="minorHAnsi"/>
          <w:b/>
          <w:sz w:val="24"/>
          <w:szCs w:val="24"/>
          <w:lang w:eastAsia="en-GB"/>
        </w:rPr>
      </w:pPr>
      <w:r w:rsidRPr="009B3747">
        <w:rPr>
          <w:rFonts w:eastAsia="Times New Roman" w:cstheme="minorHAnsi"/>
          <w:b/>
          <w:sz w:val="24"/>
          <w:szCs w:val="24"/>
          <w:lang w:eastAsia="en-GB"/>
        </w:rPr>
        <w:t> </w:t>
      </w:r>
    </w:p>
    <w:p w:rsidR="006F36A0" w:rsidRPr="009B3747" w:rsidRDefault="00BC77D3" w:rsidP="00A43A37">
      <w:pPr>
        <w:rPr>
          <w:rFonts w:eastAsia="Times New Roman" w:cstheme="minorHAnsi"/>
          <w:sz w:val="24"/>
          <w:szCs w:val="24"/>
          <w:u w:val="single"/>
          <w:lang w:eastAsia="en-GB"/>
        </w:rPr>
      </w:pPr>
      <w:r w:rsidRPr="009B3747">
        <w:rPr>
          <w:rFonts w:eastAsia="Times New Roman" w:cstheme="minorHAnsi"/>
          <w:iCs/>
          <w:color w:val="000000"/>
          <w:u w:val="single"/>
          <w:lang w:eastAsia="en-GB"/>
        </w:rPr>
        <w:t>6.</w:t>
      </w:r>
      <w:r w:rsidR="00551065" w:rsidRPr="009B3747">
        <w:rPr>
          <w:rFonts w:eastAsia="Times New Roman" w:cstheme="minorHAnsi"/>
          <w:iCs/>
          <w:color w:val="000000"/>
          <w:u w:val="single"/>
          <w:lang w:eastAsia="en-GB"/>
        </w:rPr>
        <w:t>4</w:t>
      </w:r>
      <w:r w:rsidRPr="009B3747">
        <w:rPr>
          <w:rFonts w:eastAsia="Times New Roman" w:cstheme="minorHAnsi"/>
          <w:iCs/>
          <w:color w:val="000000"/>
          <w:u w:val="single"/>
          <w:lang w:eastAsia="en-GB"/>
        </w:rPr>
        <w:t>.4</w:t>
      </w:r>
      <w:r w:rsidR="006F36A0" w:rsidRPr="009B3747">
        <w:rPr>
          <w:rFonts w:eastAsia="Times New Roman" w:cstheme="minorHAnsi"/>
          <w:iCs/>
          <w:color w:val="000000"/>
          <w:u w:val="single"/>
          <w:lang w:eastAsia="en-GB"/>
        </w:rPr>
        <w:t xml:space="preserve"> Wider health and well-being issues</w:t>
      </w:r>
    </w:p>
    <w:p w:rsidR="006F36A0" w:rsidRPr="009B3747" w:rsidRDefault="006F36A0" w:rsidP="00A43A37">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A43A37">
      <w:pPr>
        <w:rPr>
          <w:rFonts w:eastAsia="Times New Roman" w:cstheme="minorHAnsi"/>
          <w:sz w:val="24"/>
          <w:szCs w:val="24"/>
          <w:lang w:eastAsia="en-GB"/>
        </w:rPr>
      </w:pPr>
      <w:r w:rsidRPr="009B3747">
        <w:rPr>
          <w:rFonts w:eastAsia="Times New Roman" w:cstheme="minorHAnsi"/>
          <w:color w:val="000000"/>
          <w:lang w:eastAsia="en-GB"/>
        </w:rPr>
        <w:t>A strong and recurring belief that participants shared was the interconnection between obesity, lifestyle behaviours and what were perceived to be the wider health and well-being issues facing adolescents in the 21</w:t>
      </w:r>
      <w:r w:rsidRPr="009B3747">
        <w:rPr>
          <w:rFonts w:eastAsia="Times New Roman" w:cstheme="minorHAnsi"/>
          <w:color w:val="000000"/>
          <w:vertAlign w:val="superscript"/>
          <w:lang w:eastAsia="en-GB"/>
        </w:rPr>
        <w:t xml:space="preserve">st </w:t>
      </w:r>
      <w:r w:rsidRPr="009B3747">
        <w:rPr>
          <w:rFonts w:eastAsia="Times New Roman" w:cstheme="minorHAnsi"/>
          <w:color w:val="000000"/>
          <w:lang w:eastAsia="en-GB"/>
        </w:rPr>
        <w:t>century.  Of crucial importance to headteachers and chairs of governors was the significance of poor emotional well-being during adolescence.  Seen as both a driver of unhealthy lifestyle choices and a consequence resulting from them, the mental health of secondary school pupils was argued to be a more primary and pressing concern than physical health issues.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“It’s about children’s well-being which is why we have a national pandemic of ill-health and mental health and that is linked to eating as well because we haven’t got the basics right with our children”. </w:t>
      </w:r>
      <w:r w:rsidRPr="009B3747">
        <w:rPr>
          <w:rFonts w:eastAsia="Times New Roman" w:cstheme="minorHAnsi"/>
          <w:b/>
          <w:bCs/>
          <w:color w:val="000000"/>
          <w:sz w:val="20"/>
          <w:szCs w:val="20"/>
          <w:lang w:eastAsia="en-GB"/>
        </w:rPr>
        <w:t>Participant 7</w:t>
      </w:r>
      <w:r w:rsidRPr="009B3747">
        <w:rPr>
          <w:rFonts w:eastAsia="Times New Roman" w:cstheme="minorHAnsi"/>
          <w:color w:val="000000"/>
          <w:sz w:val="20"/>
          <w:szCs w:val="20"/>
          <w:lang w:eastAsia="en-GB"/>
        </w:rPr>
        <w:t xml:space="preserve"> </w:t>
      </w:r>
      <w:r w:rsidR="00A43A37" w:rsidRPr="009B3747">
        <w:rPr>
          <w:rFonts w:eastAsia="Times New Roman" w:cstheme="minorHAnsi"/>
          <w:b/>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Headteachers and chairs of governors discussed the substantial complexities they associated with adolescent emotional well-being.  One of which being the belief from some</w:t>
      </w:r>
      <w:r w:rsidR="00FF3C6A">
        <w:rPr>
          <w:rFonts w:eastAsia="Times New Roman" w:cstheme="minorHAnsi"/>
          <w:color w:val="000000"/>
          <w:lang w:eastAsia="en-GB"/>
        </w:rPr>
        <w:t>,</w:t>
      </w:r>
      <w:r w:rsidRPr="009B3747">
        <w:rPr>
          <w:rFonts w:eastAsia="Times New Roman" w:cstheme="minorHAnsi"/>
          <w:color w:val="000000"/>
          <w:lang w:eastAsia="en-GB"/>
        </w:rPr>
        <w:t xml:space="preserve"> that an adolescent's mental health status is negatively affected by the increasing engagement in other unhealthy behaviours in addition to those associated wi</w:t>
      </w:r>
      <w:r w:rsidR="00FF3C6A">
        <w:rPr>
          <w:rFonts w:eastAsia="Times New Roman" w:cstheme="minorHAnsi"/>
          <w:color w:val="000000"/>
          <w:lang w:eastAsia="en-GB"/>
        </w:rPr>
        <w:t>th diet and physical activity.  These included</w:t>
      </w:r>
      <w:r w:rsidRPr="009B3747">
        <w:rPr>
          <w:rFonts w:eastAsia="Times New Roman" w:cstheme="minorHAnsi"/>
          <w:color w:val="000000"/>
          <w:lang w:eastAsia="en-GB"/>
        </w:rPr>
        <w:t xml:space="preserve"> reduced sleep due to technology use, the access of pornography, addiction to social media and self-harm.  All were perceived to compound the issues of an unhealthy weight status (both related to obesity and eating disorders), negative body image, low self esteem, lack of confidence and the prevalence of mood disorders including anxiety and depression.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A43A37" w:rsidRPr="009B3747" w:rsidRDefault="006F36A0" w:rsidP="006F36A0">
      <w:pPr>
        <w:ind w:left="720"/>
        <w:rPr>
          <w:rFonts w:eastAsia="Times New Roman" w:cstheme="minorHAnsi"/>
          <w:i/>
          <w:iCs/>
          <w:color w:val="000000"/>
          <w:sz w:val="20"/>
          <w:szCs w:val="20"/>
          <w:lang w:eastAsia="en-GB"/>
        </w:rPr>
      </w:pPr>
      <w:r w:rsidRPr="009B3747">
        <w:rPr>
          <w:rFonts w:eastAsia="Times New Roman" w:cstheme="minorHAnsi"/>
          <w:i/>
          <w:iCs/>
          <w:color w:val="000000"/>
          <w:sz w:val="20"/>
          <w:szCs w:val="20"/>
          <w:lang w:eastAsia="en-GB"/>
        </w:rPr>
        <w:t>“Well I think it goes hand in hand with what they’re eating and what we see it’s difficult to pull out the specific impact because there are clusters of behaviours that have certain impacts.  So we know that a lot of</w:t>
      </w:r>
      <w:r w:rsidR="00281979">
        <w:rPr>
          <w:rFonts w:eastAsia="Times New Roman" w:cstheme="minorHAnsi"/>
          <w:i/>
          <w:iCs/>
          <w:color w:val="000000"/>
          <w:sz w:val="20"/>
          <w:szCs w:val="20"/>
          <w:lang w:eastAsia="en-GB"/>
        </w:rPr>
        <w:t xml:space="preserve"> our children are sleep deprived,</w:t>
      </w:r>
      <w:r w:rsidRPr="009B3747">
        <w:rPr>
          <w:rFonts w:eastAsia="Times New Roman" w:cstheme="minorHAnsi"/>
          <w:i/>
          <w:iCs/>
          <w:color w:val="000000"/>
          <w:sz w:val="20"/>
          <w:szCs w:val="20"/>
          <w:lang w:eastAsia="en-GB"/>
        </w:rPr>
        <w:t xml:space="preserve"> but if you add into the fact you know that they’re playing these games late at night and their parents can’t get their mobile phones off them</w:t>
      </w:r>
      <w:r w:rsidR="00281979">
        <w:rPr>
          <w:rFonts w:eastAsia="Times New Roman" w:cstheme="minorHAnsi"/>
          <w:i/>
          <w:iCs/>
          <w:color w:val="000000"/>
          <w:sz w:val="20"/>
          <w:szCs w:val="20"/>
          <w:lang w:eastAsia="en-GB"/>
        </w:rPr>
        <w:t>,</w:t>
      </w:r>
      <w:r w:rsidRPr="009B3747">
        <w:rPr>
          <w:rFonts w:eastAsia="Times New Roman" w:cstheme="minorHAnsi"/>
          <w:i/>
          <w:iCs/>
          <w:color w:val="000000"/>
          <w:sz w:val="20"/>
          <w:szCs w:val="20"/>
          <w:lang w:eastAsia="en-GB"/>
        </w:rPr>
        <w:t xml:space="preserve"> but if you add into the fact that they start breakfast with an energy drink, full of sugar and they haven’t, you know, they’re not eating fruit and vegetables, what you do see is poor concentration in classrooms.  It’s hard for us to know exactly the impact of diet as opposed to sleep deprivation c</w:t>
      </w:r>
      <w:r w:rsidR="00281979">
        <w:rPr>
          <w:rFonts w:eastAsia="Times New Roman" w:cstheme="minorHAnsi"/>
          <w:i/>
          <w:iCs/>
          <w:color w:val="000000"/>
          <w:sz w:val="20"/>
          <w:szCs w:val="20"/>
          <w:lang w:eastAsia="en-GB"/>
        </w:rPr>
        <w:t xml:space="preserve">os we know they’re both harmful, </w:t>
      </w:r>
      <w:r w:rsidRPr="009B3747">
        <w:rPr>
          <w:rFonts w:eastAsia="Times New Roman" w:cstheme="minorHAnsi"/>
          <w:i/>
          <w:iCs/>
          <w:color w:val="000000"/>
          <w:sz w:val="20"/>
          <w:szCs w:val="20"/>
          <w:lang w:eastAsia="en-GB"/>
        </w:rPr>
        <w:t>but we are seeing it and I think in certain schools, they’re seeing it more and more.”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b/>
          <w:bCs/>
          <w:color w:val="000000"/>
          <w:sz w:val="20"/>
          <w:szCs w:val="20"/>
          <w:lang w:eastAsia="en-GB"/>
        </w:rPr>
        <w:t xml:space="preserve">Participant 8 </w:t>
      </w:r>
      <w:r w:rsidR="00A43A37" w:rsidRPr="009B3747">
        <w:rPr>
          <w:rFonts w:eastAsia="Times New Roman" w:cstheme="minorHAnsi"/>
          <w:b/>
          <w:bCs/>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lastRenderedPageBreak/>
        <w:t>In summary, this first theme has extensively explored participant’s varying perspectives on the prevalence of excess weight across society and in secondary school settings, including reflections on the process and accuracy of identification.  Whilst excess weight was not universally deemed a problem in secondary schools, concerns were raised about the increasing issue of unhealthy dietary habits and sedentary behaviour in adolescence.  Furthermore, wider health well-being issues related to mental and social health were highlighted as an escalating problem within their school setting.  </w:t>
      </w:r>
      <w:r w:rsidRPr="009B3747">
        <w:rPr>
          <w:rFonts w:eastAsia="Times New Roman" w:cstheme="minorHAnsi"/>
          <w:color w:val="222222"/>
          <w:shd w:val="clear" w:color="auto" w:fill="FFFFFF"/>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991D2F" w:rsidP="006F36A0">
      <w:pPr>
        <w:rPr>
          <w:rFonts w:eastAsia="Times New Roman" w:cstheme="minorHAnsi"/>
          <w:sz w:val="24"/>
          <w:szCs w:val="24"/>
          <w:u w:val="single"/>
          <w:lang w:eastAsia="en-GB"/>
        </w:rPr>
      </w:pPr>
      <w:r w:rsidRPr="009B3747">
        <w:rPr>
          <w:rFonts w:eastAsia="Times New Roman" w:cstheme="minorHAnsi"/>
          <w:b/>
          <w:bCs/>
          <w:color w:val="000000"/>
          <w:sz w:val="24"/>
          <w:szCs w:val="24"/>
          <w:u w:val="single"/>
          <w:lang w:eastAsia="en-GB"/>
        </w:rPr>
        <w:t>6</w:t>
      </w:r>
      <w:r w:rsidR="00551065" w:rsidRPr="009B3747">
        <w:rPr>
          <w:rFonts w:eastAsia="Times New Roman" w:cstheme="minorHAnsi"/>
          <w:b/>
          <w:bCs/>
          <w:color w:val="000000"/>
          <w:sz w:val="24"/>
          <w:szCs w:val="24"/>
          <w:u w:val="single"/>
          <w:lang w:eastAsia="en-GB"/>
        </w:rPr>
        <w:t>.5</w:t>
      </w:r>
      <w:r w:rsidR="006F36A0" w:rsidRPr="009B3747">
        <w:rPr>
          <w:rFonts w:eastAsia="Times New Roman" w:cstheme="minorHAnsi"/>
          <w:b/>
          <w:bCs/>
          <w:color w:val="000000"/>
          <w:sz w:val="24"/>
          <w:szCs w:val="24"/>
          <w:u w:val="single"/>
          <w:lang w:eastAsia="en-GB"/>
        </w:rPr>
        <w:t xml:space="preserve"> The influence of place</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As presented in the overview and summary of themes, three key areas of focus regarding the influence of place were identified, the home environment, the wider food environment and deprivation.  Individually and collectively, all three were perceived to influence the existence and variation of adolescent obesity and related lifestyle behaviours explored in the first theme.  </w:t>
      </w:r>
    </w:p>
    <w:p w:rsidR="0085424B" w:rsidRPr="009B3747" w:rsidRDefault="0085424B" w:rsidP="006F36A0">
      <w:pPr>
        <w:rPr>
          <w:rFonts w:eastAsia="Times New Roman" w:cstheme="minorHAnsi"/>
          <w:sz w:val="24"/>
          <w:szCs w:val="24"/>
          <w:lang w:eastAsia="en-GB"/>
        </w:rPr>
      </w:pPr>
    </w:p>
    <w:p w:rsidR="006F36A0" w:rsidRPr="009B3747" w:rsidRDefault="00991D2F" w:rsidP="006F36A0">
      <w:pPr>
        <w:rPr>
          <w:rFonts w:eastAsia="Times New Roman" w:cstheme="minorHAnsi"/>
          <w:sz w:val="24"/>
          <w:szCs w:val="24"/>
          <w:u w:val="single"/>
          <w:lang w:eastAsia="en-GB"/>
        </w:rPr>
      </w:pPr>
      <w:r w:rsidRPr="009B3747">
        <w:rPr>
          <w:rFonts w:eastAsia="Times New Roman" w:cstheme="minorHAnsi"/>
          <w:iCs/>
          <w:color w:val="000000"/>
          <w:u w:val="single"/>
          <w:lang w:eastAsia="en-GB"/>
        </w:rPr>
        <w:t>6</w:t>
      </w:r>
      <w:r w:rsidR="00551065" w:rsidRPr="009B3747">
        <w:rPr>
          <w:rFonts w:eastAsia="Times New Roman" w:cstheme="minorHAnsi"/>
          <w:iCs/>
          <w:color w:val="000000"/>
          <w:u w:val="single"/>
          <w:lang w:eastAsia="en-GB"/>
        </w:rPr>
        <w:t>.5</w:t>
      </w:r>
      <w:r w:rsidR="006F36A0" w:rsidRPr="009B3747">
        <w:rPr>
          <w:rFonts w:eastAsia="Times New Roman" w:cstheme="minorHAnsi"/>
          <w:iCs/>
          <w:color w:val="000000"/>
          <w:u w:val="single"/>
          <w:lang w:eastAsia="en-GB"/>
        </w:rPr>
        <w:t>.1 Home environment</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The home environment of secondary school pupils was unequivocally believed t</w:t>
      </w:r>
      <w:r w:rsidR="00FF3C6A">
        <w:rPr>
          <w:rFonts w:eastAsia="Times New Roman" w:cstheme="minorHAnsi"/>
          <w:color w:val="000000"/>
          <w:lang w:eastAsia="en-GB"/>
        </w:rPr>
        <w:t xml:space="preserve">o be the most influential place, </w:t>
      </w:r>
      <w:r w:rsidRPr="009B3747">
        <w:rPr>
          <w:rFonts w:eastAsia="Times New Roman" w:cstheme="minorHAnsi"/>
          <w:color w:val="000000"/>
          <w:lang w:eastAsia="en-GB"/>
        </w:rPr>
        <w:t>determining not only adolescent obesity, but wider health and well-being behaviours both in the short and long term.  Central to the influences within an adolescent's home environment, was the perceived role of parents.  Universally parents were deemed to be the most significant factor influencing adolescent obesity and whether and how an adolescent adopts healthy or unhealthy lifestyle behaviours.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“The biggest influence on children are their parents, unequivocally, good or bad, for good or bad, we are the greatest influence on our children, they mimic us in lots of different ways, sometimes in subtle ways we don’t realise.”  </w:t>
      </w:r>
      <w:r w:rsidRPr="009B3747">
        <w:rPr>
          <w:rFonts w:eastAsia="Times New Roman" w:cstheme="minorHAnsi"/>
          <w:b/>
          <w:bCs/>
          <w:color w:val="000000"/>
          <w:sz w:val="20"/>
          <w:szCs w:val="20"/>
          <w:lang w:eastAsia="en-GB"/>
        </w:rPr>
        <w:t>Participant 18</w:t>
      </w:r>
      <w:r w:rsidRPr="009B3747">
        <w:rPr>
          <w:rFonts w:eastAsia="Times New Roman" w:cstheme="minorHAnsi"/>
          <w:b/>
          <w:color w:val="000000"/>
          <w:sz w:val="20"/>
          <w:szCs w:val="20"/>
          <w:lang w:eastAsia="en-GB"/>
        </w:rPr>
        <w:t xml:space="preserve"> </w:t>
      </w:r>
      <w:r w:rsidR="00A43A37" w:rsidRPr="009B3747">
        <w:rPr>
          <w:rFonts w:eastAsia="Times New Roman" w:cstheme="minorHAnsi"/>
          <w:b/>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A key issue for the majority of participants was how the lifestyle behaviours and weight status of parents impacts upon that of their children.  Most believed that having overweight or obese parents</w:t>
      </w:r>
      <w:r w:rsidR="00FF3C6A">
        <w:rPr>
          <w:rFonts w:eastAsia="Times New Roman" w:cstheme="minorHAnsi"/>
          <w:color w:val="000000"/>
          <w:lang w:eastAsia="en-GB"/>
        </w:rPr>
        <w:t xml:space="preserve">, </w:t>
      </w:r>
      <w:r w:rsidRPr="009B3747">
        <w:rPr>
          <w:rFonts w:eastAsia="Times New Roman" w:cstheme="minorHAnsi"/>
          <w:color w:val="000000"/>
          <w:lang w:eastAsia="en-GB"/>
        </w:rPr>
        <w:t>would increase the risk of a child or adolescent being above a healthy weight.  Consequently excess weight was viewed as a familial problem</w:t>
      </w:r>
      <w:r w:rsidR="009025E2">
        <w:rPr>
          <w:rFonts w:eastAsia="Times New Roman" w:cstheme="minorHAnsi"/>
          <w:color w:val="000000"/>
          <w:lang w:eastAsia="en-GB"/>
        </w:rPr>
        <w:t>,</w:t>
      </w:r>
      <w:r w:rsidRPr="009B3747">
        <w:rPr>
          <w:rFonts w:eastAsia="Times New Roman" w:cstheme="minorHAnsi"/>
          <w:color w:val="000000"/>
          <w:lang w:eastAsia="en-GB"/>
        </w:rPr>
        <w:t xml:space="preserve"> which in some home environments had become the normalised state, as opposed to an isolated issue for either children, adolescents or their parents.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FF3C6A" w:rsidRDefault="00FF3C6A" w:rsidP="00A43A37">
      <w:pPr>
        <w:ind w:firstLine="720"/>
        <w:rPr>
          <w:rFonts w:eastAsia="Times New Roman" w:cstheme="minorHAnsi"/>
          <w:i/>
          <w:iCs/>
          <w:color w:val="000000"/>
          <w:sz w:val="20"/>
          <w:szCs w:val="20"/>
          <w:lang w:eastAsia="en-GB"/>
        </w:rPr>
      </w:pPr>
    </w:p>
    <w:p w:rsidR="00A43A37" w:rsidRPr="009B3747" w:rsidRDefault="006F36A0" w:rsidP="00A43A37">
      <w:pPr>
        <w:ind w:firstLine="720"/>
        <w:rPr>
          <w:rFonts w:eastAsia="Times New Roman" w:cstheme="minorHAnsi"/>
          <w:i/>
          <w:iCs/>
          <w:color w:val="000000"/>
          <w:sz w:val="20"/>
          <w:szCs w:val="20"/>
          <w:lang w:eastAsia="en-GB"/>
        </w:rPr>
      </w:pPr>
      <w:r w:rsidRPr="009B3747">
        <w:rPr>
          <w:rFonts w:eastAsia="Times New Roman" w:cstheme="minorHAnsi"/>
          <w:i/>
          <w:iCs/>
          <w:color w:val="000000"/>
          <w:sz w:val="20"/>
          <w:szCs w:val="20"/>
          <w:lang w:eastAsia="en-GB"/>
        </w:rPr>
        <w:lastRenderedPageBreak/>
        <w:t>“Yeah, yeah, I mean, if your dad's enormous, that’s just what you’re used to, ok.”  </w:t>
      </w:r>
    </w:p>
    <w:p w:rsidR="006F36A0" w:rsidRPr="009B3747" w:rsidRDefault="006F36A0" w:rsidP="00A43A37">
      <w:pPr>
        <w:ind w:firstLine="720"/>
        <w:rPr>
          <w:rFonts w:eastAsia="Times New Roman" w:cstheme="minorHAnsi"/>
          <w:i/>
          <w:iCs/>
          <w:color w:val="000000"/>
          <w:sz w:val="20"/>
          <w:szCs w:val="20"/>
          <w:lang w:eastAsia="en-GB"/>
        </w:rPr>
      </w:pPr>
      <w:r w:rsidRPr="009B3747">
        <w:rPr>
          <w:rFonts w:eastAsia="Times New Roman" w:cstheme="minorHAnsi"/>
          <w:b/>
          <w:bCs/>
          <w:color w:val="000000"/>
          <w:sz w:val="20"/>
          <w:szCs w:val="20"/>
          <w:lang w:eastAsia="en-GB"/>
        </w:rPr>
        <w:t>Participant 4</w:t>
      </w:r>
      <w:r w:rsidR="00A43A37" w:rsidRPr="009B3747">
        <w:rPr>
          <w:rFonts w:eastAsia="Times New Roman" w:cstheme="minorHAnsi"/>
          <w:b/>
          <w:bCs/>
          <w:color w:val="000000"/>
          <w:sz w:val="20"/>
          <w:szCs w:val="20"/>
          <w:lang w:eastAsia="en-GB"/>
        </w:rPr>
        <w:t xml:space="preserve"> (Chair of governors)</w:t>
      </w:r>
    </w:p>
    <w:p w:rsidR="006F36A0" w:rsidRPr="009B3747" w:rsidRDefault="006F36A0" w:rsidP="006F36A0">
      <w:pPr>
        <w:ind w:firstLine="720"/>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“We often have obese families, obese parents with obese children and then those obese children have obese children themselves”.  </w:t>
      </w:r>
      <w:r w:rsidRPr="009B3747">
        <w:rPr>
          <w:rFonts w:eastAsia="Times New Roman" w:cstheme="minorHAnsi"/>
          <w:b/>
          <w:bCs/>
          <w:color w:val="000000"/>
          <w:sz w:val="20"/>
          <w:szCs w:val="20"/>
          <w:lang w:eastAsia="en-GB"/>
        </w:rPr>
        <w:t>Participant 22</w:t>
      </w:r>
      <w:r w:rsidRPr="009B3747">
        <w:rPr>
          <w:rFonts w:eastAsia="Times New Roman" w:cstheme="minorHAnsi"/>
          <w:b/>
          <w:color w:val="000000"/>
          <w:sz w:val="20"/>
          <w:szCs w:val="20"/>
          <w:lang w:eastAsia="en-GB"/>
        </w:rPr>
        <w:t xml:space="preserve"> </w:t>
      </w:r>
      <w:r w:rsidR="00A43A37" w:rsidRPr="009B3747">
        <w:rPr>
          <w:rFonts w:eastAsia="Times New Roman" w:cstheme="minorHAnsi"/>
          <w:b/>
          <w:color w:val="000000"/>
          <w:sz w:val="20"/>
          <w:szCs w:val="20"/>
          <w:lang w:eastAsia="en-GB"/>
        </w:rPr>
        <w:t>(Headteacher)</w:t>
      </w:r>
    </w:p>
    <w:p w:rsidR="00FF3C6A" w:rsidRDefault="00FF3C6A" w:rsidP="006F36A0">
      <w:pPr>
        <w:rPr>
          <w:rFonts w:eastAsia="Times New Roman" w:cstheme="minorHAnsi"/>
          <w:color w:val="000000"/>
          <w:lang w:eastAsia="en-GB"/>
        </w:rPr>
      </w:pP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Given their limited contact with pupils and their families, the assumptions made by chairs of governors regarding the prevalence of familial obesity were seemingly based on witnessing examples in their personal social network, in the media or generally observations from wider society.  Headteachers however often made reference to their direct experience of engaging with overweight or obese families in their secondary school setting</w:t>
      </w:r>
      <w:r w:rsidR="007F3CF4">
        <w:rPr>
          <w:rFonts w:eastAsia="Times New Roman" w:cstheme="minorHAnsi"/>
          <w:color w:val="000000"/>
          <w:lang w:eastAsia="en-GB"/>
        </w:rPr>
        <w:t>,</w:t>
      </w:r>
      <w:r w:rsidRPr="009B3747">
        <w:rPr>
          <w:rFonts w:eastAsia="Times New Roman" w:cstheme="minorHAnsi"/>
          <w:color w:val="000000"/>
          <w:lang w:eastAsia="en-GB"/>
        </w:rPr>
        <w:t xml:space="preserve"> i.e. at </w:t>
      </w:r>
      <w:r w:rsidR="00C86DA7" w:rsidRPr="009B3747">
        <w:rPr>
          <w:rFonts w:eastAsia="Times New Roman" w:cstheme="minorHAnsi"/>
          <w:color w:val="000000"/>
          <w:lang w:eastAsia="en-GB"/>
        </w:rPr>
        <w:t>parents’</w:t>
      </w:r>
      <w:r w:rsidRPr="009B3747">
        <w:rPr>
          <w:rFonts w:eastAsia="Times New Roman" w:cstheme="minorHAnsi"/>
          <w:color w:val="000000"/>
          <w:lang w:eastAsia="en-GB"/>
        </w:rPr>
        <w:t xml:space="preserve"> evenings, school events.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“We never really see overweight children in this school without overweight parents.  I mean some children of overweight parents are not, but if they are, their parents tend to be and it tends to be both.”  </w:t>
      </w:r>
      <w:r w:rsidRPr="009B3747">
        <w:rPr>
          <w:rFonts w:eastAsia="Times New Roman" w:cstheme="minorHAnsi"/>
          <w:b/>
          <w:bCs/>
          <w:color w:val="000000"/>
          <w:sz w:val="20"/>
          <w:szCs w:val="20"/>
          <w:lang w:eastAsia="en-GB"/>
        </w:rPr>
        <w:t>Participant 1</w:t>
      </w:r>
      <w:r w:rsidRPr="009B3747">
        <w:rPr>
          <w:rFonts w:eastAsia="Times New Roman" w:cstheme="minorHAnsi"/>
          <w:b/>
          <w:color w:val="000000"/>
          <w:sz w:val="20"/>
          <w:szCs w:val="20"/>
          <w:lang w:eastAsia="en-GB"/>
        </w:rPr>
        <w:t xml:space="preserve"> </w:t>
      </w:r>
      <w:r w:rsidR="00A43A37" w:rsidRPr="009B3747">
        <w:rPr>
          <w:rFonts w:eastAsia="Times New Roman" w:cstheme="minorHAnsi"/>
          <w:b/>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 xml:space="preserve">One chair of governor reflected on his previous teaching experiences, where school staff at </w:t>
      </w:r>
      <w:r w:rsidR="00FF3C6A" w:rsidRPr="009B3747">
        <w:rPr>
          <w:rFonts w:eastAsia="Times New Roman" w:cstheme="minorHAnsi"/>
          <w:color w:val="000000"/>
          <w:lang w:eastAsia="en-GB"/>
        </w:rPr>
        <w:t>parents’</w:t>
      </w:r>
      <w:r w:rsidRPr="009B3747">
        <w:rPr>
          <w:rFonts w:eastAsia="Times New Roman" w:cstheme="minorHAnsi"/>
          <w:color w:val="000000"/>
          <w:lang w:eastAsia="en-GB"/>
        </w:rPr>
        <w:t xml:space="preserve"> evenings would attempt to match school pupils and their parents by their weight status.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“We used to say at parents evenings “if you want to know the child, know the parent” and we used to play a game, a parent would appear at the door and try and guess who that was, which child was that the parent of.</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Participant 18</w:t>
      </w:r>
      <w:r w:rsidRPr="009B3747">
        <w:rPr>
          <w:rFonts w:eastAsia="Times New Roman" w:cstheme="minorHAnsi"/>
          <w:b/>
          <w:color w:val="000000"/>
          <w:sz w:val="20"/>
          <w:szCs w:val="20"/>
          <w:lang w:eastAsia="en-GB"/>
        </w:rPr>
        <w:t xml:space="preserve"> </w:t>
      </w:r>
      <w:r w:rsidR="00A43A37" w:rsidRPr="009B3747">
        <w:rPr>
          <w:rFonts w:eastAsia="Times New Roman" w:cstheme="minorHAnsi"/>
          <w:b/>
          <w:color w:val="000000"/>
          <w:sz w:val="20"/>
          <w:szCs w:val="20"/>
          <w:lang w:eastAsia="en-GB"/>
        </w:rPr>
        <w:t>(Chair of governors)</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Discussing the belief that parental obesity could influence child or adolescent obesity led to accusations of parental blame or fault.  Arguments by some were put forward</w:t>
      </w:r>
      <w:r w:rsidR="00FF3C6A">
        <w:rPr>
          <w:rFonts w:eastAsia="Times New Roman" w:cstheme="minorHAnsi"/>
          <w:color w:val="000000"/>
          <w:lang w:eastAsia="en-GB"/>
        </w:rPr>
        <w:t>,</w:t>
      </w:r>
      <w:r w:rsidRPr="009B3747">
        <w:rPr>
          <w:rFonts w:eastAsia="Times New Roman" w:cstheme="minorHAnsi"/>
          <w:color w:val="000000"/>
          <w:lang w:eastAsia="en-GB"/>
        </w:rPr>
        <w:t xml:space="preserve"> that parents were setting a bad example to their children and were therefore criticised for being poor role models.  Despite this perception, a more emphatic view was proposed at times, where parents were recognised to be a product of their own experiences and the geographical and social contexts in which they have lived.  Consequently simply blaming or attributing fault to parents was described by some as too simplistic given the complexity of the issue of obesity in society.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“I’m a great believer that we quite often blame local authorities, schools, health visitors for things that go wrong rather than looking back at parents. I’m not saying I would blame parents and say “it’s your </w:t>
      </w:r>
      <w:r w:rsidRPr="009B3747">
        <w:rPr>
          <w:rFonts w:eastAsia="Times New Roman" w:cstheme="minorHAnsi"/>
          <w:i/>
          <w:iCs/>
          <w:color w:val="000000"/>
          <w:sz w:val="20"/>
          <w:szCs w:val="20"/>
          <w:lang w:eastAsia="en-GB"/>
        </w:rPr>
        <w:lastRenderedPageBreak/>
        <w:t>fault” because I think a lot of parents come, carry what has happened in their childhood so it’s actually where do you cut into that circle.”  </w:t>
      </w:r>
      <w:r w:rsidRPr="009B3747">
        <w:rPr>
          <w:rFonts w:eastAsia="Times New Roman" w:cstheme="minorHAnsi"/>
          <w:b/>
          <w:bCs/>
          <w:color w:val="000000"/>
          <w:sz w:val="20"/>
          <w:szCs w:val="20"/>
          <w:lang w:eastAsia="en-GB"/>
        </w:rPr>
        <w:t xml:space="preserve">Participant 15 </w:t>
      </w:r>
      <w:r w:rsidR="00A43A37" w:rsidRPr="009B3747">
        <w:rPr>
          <w:rFonts w:eastAsia="Times New Roman" w:cstheme="minorHAnsi"/>
          <w:b/>
          <w:bCs/>
          <w:color w:val="000000"/>
          <w:sz w:val="20"/>
          <w:szCs w:val="20"/>
          <w:lang w:eastAsia="en-GB"/>
        </w:rPr>
        <w:t xml:space="preserve">(Chair of </w:t>
      </w:r>
      <w:r w:rsidR="00C86DA7" w:rsidRPr="009B3747">
        <w:rPr>
          <w:rFonts w:eastAsia="Times New Roman" w:cstheme="minorHAnsi"/>
          <w:b/>
          <w:bCs/>
          <w:color w:val="000000"/>
          <w:sz w:val="20"/>
          <w:szCs w:val="20"/>
          <w:lang w:eastAsia="en-GB"/>
        </w:rPr>
        <w:t>governors</w:t>
      </w:r>
      <w:r w:rsidR="00A43A37" w:rsidRPr="009B3747">
        <w:rPr>
          <w:rFonts w:eastAsia="Times New Roman" w:cstheme="minorHAnsi"/>
          <w:b/>
          <w:bCs/>
          <w:color w:val="000000"/>
          <w:sz w:val="20"/>
          <w:szCs w:val="20"/>
          <w:lang w:eastAsia="en-GB"/>
        </w:rPr>
        <w:t>)</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A small minority of participants discussed whether the relationship between parental and adolescent obesity was hereditary, at times questioning whether children are born with a genetic physiological disposition to excess weight.  Despite this, greater emphasis was placed on the role of family cult</w:t>
      </w:r>
      <w:r w:rsidR="00FF3C6A">
        <w:rPr>
          <w:rFonts w:eastAsia="Times New Roman" w:cstheme="minorHAnsi"/>
          <w:color w:val="000000"/>
          <w:lang w:eastAsia="en-GB"/>
        </w:rPr>
        <w:t xml:space="preserve">ure within the home environment, </w:t>
      </w:r>
      <w:r w:rsidRPr="009B3747">
        <w:rPr>
          <w:rFonts w:eastAsia="Times New Roman" w:cstheme="minorHAnsi"/>
          <w:color w:val="000000"/>
          <w:lang w:eastAsia="en-GB"/>
        </w:rPr>
        <w:t>as a key determining factor affecting not only the health</w:t>
      </w:r>
      <w:r w:rsidR="00FF3C6A">
        <w:rPr>
          <w:rFonts w:eastAsia="Times New Roman" w:cstheme="minorHAnsi"/>
          <w:color w:val="000000"/>
          <w:lang w:eastAsia="en-GB"/>
        </w:rPr>
        <w:t xml:space="preserve"> and well-being of adolescents, b</w:t>
      </w:r>
      <w:r w:rsidRPr="009B3747">
        <w:rPr>
          <w:rFonts w:eastAsia="Times New Roman" w:cstheme="minorHAnsi"/>
          <w:color w:val="000000"/>
          <w:lang w:eastAsia="en-GB"/>
        </w:rPr>
        <w:t xml:space="preserve">ut their educational, social and developmental outcomes more broadly.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All participants extensively discussed different aspects of family culture including how parental values, attitudes, habits, knowledge and rules have the potential to positively or negatively influence adolescent lifestyle behaviours and resultant weight status.  Some therefore proposed that if a family culture included the engagement in or promotion of unhealthy dietary habits and sedentary behaviour, adolescents were more likely to base their behaviour around these accepted familial norms.  Examples of unhealthy or obesity facilitating habits within a home environment included</w:t>
      </w:r>
      <w:r w:rsidR="00FF3C6A">
        <w:rPr>
          <w:rFonts w:eastAsia="Times New Roman" w:cstheme="minorHAnsi"/>
          <w:color w:val="000000"/>
          <w:lang w:eastAsia="en-GB"/>
        </w:rPr>
        <w:t>,</w:t>
      </w:r>
      <w:r w:rsidRPr="009B3747">
        <w:rPr>
          <w:rFonts w:eastAsia="Times New Roman" w:cstheme="minorHAnsi"/>
          <w:color w:val="000000"/>
          <w:lang w:eastAsia="en-GB"/>
        </w:rPr>
        <w:t xml:space="preserve"> the excessive consumption of convenience or fast food and the overreliance of screen based leisure activities.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“Yeah I think you pick up habits don’t you, from those people around you, look up to and respect or even just those people you’re around because it sort of shows normality, so I dare say there’s probably a higher incidence of people who smoke whose parents were smokers than those who don’t and probably a higher incidence of people who eat massive grab bags [laughs] of crisps than those families who don’t.”  </w:t>
      </w:r>
      <w:r w:rsidRPr="009B3747">
        <w:rPr>
          <w:rFonts w:eastAsia="Times New Roman" w:cstheme="minorHAnsi"/>
          <w:b/>
          <w:bCs/>
          <w:color w:val="000000"/>
          <w:sz w:val="20"/>
          <w:szCs w:val="20"/>
          <w:lang w:eastAsia="en-GB"/>
        </w:rPr>
        <w:t xml:space="preserve">Participant 10 </w:t>
      </w:r>
      <w:r w:rsidR="00A43A37" w:rsidRPr="009B3747">
        <w:rPr>
          <w:rFonts w:eastAsia="Times New Roman" w:cstheme="minorHAnsi"/>
          <w:b/>
          <w:bCs/>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The reverse was also deemed true however, where aspects of family culture were believed by some as being able to mitigate the potential wider social and environmental influences on adolescent lifestyle behaviours.  This perception was typically provided by participants from independent schools or schools with lower free school meal percentages, where health enhancing values and attitudes were typically associated with middle-class parents.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A43A37" w:rsidRPr="009B3747" w:rsidRDefault="006F36A0" w:rsidP="00A43A37">
      <w:pPr>
        <w:ind w:left="720"/>
        <w:rPr>
          <w:rFonts w:eastAsia="Times New Roman" w:cstheme="minorHAnsi"/>
          <w:i/>
          <w:iCs/>
          <w:color w:val="000000"/>
          <w:sz w:val="20"/>
          <w:szCs w:val="20"/>
          <w:lang w:eastAsia="en-GB"/>
        </w:rPr>
      </w:pPr>
      <w:r w:rsidRPr="009B3747">
        <w:rPr>
          <w:rFonts w:eastAsia="Times New Roman" w:cstheme="minorHAnsi"/>
          <w:i/>
          <w:iCs/>
          <w:color w:val="000000"/>
          <w:sz w:val="20"/>
          <w:szCs w:val="20"/>
          <w:lang w:eastAsia="en-GB"/>
        </w:rPr>
        <w:t>“So you can have as many bottles of Coca-Cola and McDonalds tempting them as you like, they’re not going to go towards that unless you’ve got a family value that promotes a</w:t>
      </w:r>
      <w:r w:rsidR="00A43A37" w:rsidRPr="009B3747">
        <w:rPr>
          <w:rFonts w:eastAsia="Times New Roman" w:cstheme="minorHAnsi"/>
          <w:i/>
          <w:iCs/>
          <w:color w:val="000000"/>
          <w:sz w:val="20"/>
          <w:szCs w:val="20"/>
          <w:lang w:eastAsia="en-GB"/>
        </w:rPr>
        <w:t xml:space="preserve">nd accepts it.” </w:t>
      </w:r>
    </w:p>
    <w:p w:rsidR="006F36A0" w:rsidRPr="009B3747" w:rsidRDefault="006F36A0" w:rsidP="00A43A37">
      <w:pPr>
        <w:ind w:left="720"/>
        <w:rPr>
          <w:rFonts w:eastAsia="Times New Roman" w:cstheme="minorHAnsi"/>
          <w:b/>
          <w:i/>
          <w:iCs/>
          <w:color w:val="000000"/>
          <w:sz w:val="20"/>
          <w:szCs w:val="20"/>
          <w:lang w:eastAsia="en-GB"/>
        </w:rPr>
      </w:pPr>
      <w:r w:rsidRPr="009B3747">
        <w:rPr>
          <w:rFonts w:eastAsia="Times New Roman" w:cstheme="minorHAnsi"/>
          <w:i/>
          <w:iCs/>
          <w:color w:val="000000"/>
          <w:sz w:val="20"/>
          <w:szCs w:val="20"/>
          <w:lang w:eastAsia="en-GB"/>
        </w:rPr>
        <w:t> </w:t>
      </w:r>
      <w:r w:rsidRPr="009B3747">
        <w:rPr>
          <w:rFonts w:eastAsia="Times New Roman" w:cstheme="minorHAnsi"/>
          <w:b/>
          <w:bCs/>
          <w:color w:val="000000"/>
          <w:sz w:val="20"/>
          <w:szCs w:val="20"/>
          <w:lang w:eastAsia="en-GB"/>
        </w:rPr>
        <w:t>Participant 17</w:t>
      </w:r>
      <w:r w:rsidRPr="009B3747">
        <w:rPr>
          <w:rFonts w:eastAsia="Times New Roman" w:cstheme="minorHAnsi"/>
          <w:b/>
          <w:color w:val="000000"/>
          <w:sz w:val="20"/>
          <w:szCs w:val="20"/>
          <w:lang w:eastAsia="en-GB"/>
        </w:rPr>
        <w:t xml:space="preserve"> </w:t>
      </w:r>
      <w:r w:rsidR="00A43A37" w:rsidRPr="009B3747">
        <w:rPr>
          <w:rFonts w:eastAsia="Times New Roman" w:cstheme="minorHAnsi"/>
          <w:b/>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lastRenderedPageBreak/>
        <w:t>The concept of a health promoting family culture was discussed by a number of headteachers and chairs of governors in reference to their own home environments.  Many shared personal stories and details regarding how their own personal values and attitudes positively impacted upon their own children’s lifestyle behaviour.  Extensive examples were given regarding the activities, rules and approaches participants uti</w:t>
      </w:r>
      <w:r w:rsidR="00FF3C6A">
        <w:rPr>
          <w:rFonts w:eastAsia="Times New Roman" w:cstheme="minorHAnsi"/>
          <w:color w:val="000000"/>
          <w:lang w:eastAsia="en-GB"/>
        </w:rPr>
        <w:t xml:space="preserve">lised in their home environment, </w:t>
      </w:r>
      <w:r w:rsidRPr="009B3747">
        <w:rPr>
          <w:rFonts w:eastAsia="Times New Roman" w:cstheme="minorHAnsi"/>
          <w:color w:val="000000"/>
          <w:lang w:eastAsia="en-GB"/>
        </w:rPr>
        <w:t>to support their children’s adoption of healthy dietary and physical activity habits.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“I’ve got two little kids myself, it’s something I try and do with them, they would, my two little kids would sit and watch YouTube all day everyday if I let them without a doubt you know, so I have to force them to get out”.</w:t>
      </w:r>
      <w:r w:rsidRPr="009B3747">
        <w:rPr>
          <w:rFonts w:eastAsia="Times New Roman" w:cstheme="minorHAnsi"/>
          <w:color w:val="000000"/>
          <w:sz w:val="20"/>
          <w:szCs w:val="20"/>
          <w:lang w:eastAsia="en-GB"/>
        </w:rPr>
        <w:t xml:space="preserve">  </w:t>
      </w:r>
      <w:r w:rsidRPr="009B3747">
        <w:rPr>
          <w:rFonts w:eastAsia="Times New Roman" w:cstheme="minorHAnsi"/>
          <w:b/>
          <w:bCs/>
          <w:color w:val="000000"/>
          <w:sz w:val="20"/>
          <w:szCs w:val="20"/>
          <w:lang w:eastAsia="en-GB"/>
        </w:rPr>
        <w:t xml:space="preserve">Participant 21 </w:t>
      </w:r>
      <w:r w:rsidR="00A43A37" w:rsidRPr="009B3747">
        <w:rPr>
          <w:rFonts w:eastAsia="Times New Roman" w:cstheme="minorHAnsi"/>
          <w:b/>
          <w:iCs/>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A key aspect of the home environment and family culture frequently viewed a</w:t>
      </w:r>
      <w:r w:rsidR="00FF3C6A">
        <w:rPr>
          <w:rFonts w:eastAsia="Times New Roman" w:cstheme="minorHAnsi"/>
          <w:color w:val="000000"/>
          <w:lang w:eastAsia="en-GB"/>
        </w:rPr>
        <w:t xml:space="preserve">s a critical determining factor, </w:t>
      </w:r>
      <w:r w:rsidRPr="009B3747">
        <w:rPr>
          <w:rFonts w:eastAsia="Times New Roman" w:cstheme="minorHAnsi"/>
          <w:color w:val="000000"/>
          <w:lang w:eastAsia="en-GB"/>
        </w:rPr>
        <w:t>was the degree of parental knowledge and understanding around obesity and lifestyle behaviours.  Participants typically perceived parents of overweight or obese adolescents having a lack of awareness about how or indeed why to support healthier lifestyle decisions</w:t>
      </w:r>
      <w:r w:rsidR="00FF3C6A">
        <w:rPr>
          <w:rFonts w:eastAsia="Times New Roman" w:cstheme="minorHAnsi"/>
          <w:color w:val="000000"/>
          <w:lang w:eastAsia="en-GB"/>
        </w:rPr>
        <w:t>,</w:t>
      </w:r>
      <w:r w:rsidRPr="009B3747">
        <w:rPr>
          <w:rFonts w:eastAsia="Times New Roman" w:cstheme="minorHAnsi"/>
          <w:color w:val="000000"/>
          <w:lang w:eastAsia="en-GB"/>
        </w:rPr>
        <w:t xml:space="preserve"> in respect to themselves or their children.  This was especially pertinent in relation to dietary habits, where both headteachers and chairs of governors expressed substantial concern about the limited knowle</w:t>
      </w:r>
      <w:r w:rsidR="00FF3C6A">
        <w:rPr>
          <w:rFonts w:eastAsia="Times New Roman" w:cstheme="minorHAnsi"/>
          <w:color w:val="000000"/>
          <w:lang w:eastAsia="en-GB"/>
        </w:rPr>
        <w:t>dge some parents seemingly have.  This was often related to</w:t>
      </w:r>
      <w:r w:rsidRPr="009B3747">
        <w:rPr>
          <w:rFonts w:eastAsia="Times New Roman" w:cstheme="minorHAnsi"/>
          <w:color w:val="000000"/>
          <w:lang w:eastAsia="en-GB"/>
        </w:rPr>
        <w:t xml:space="preserve"> what constitutes healthy or unhealthy food and how to cook appropriately for their family.  Disproportionately these perceptions were shared by participants from schools with a higher free school meal percentage.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A43A37" w:rsidRPr="009B3747" w:rsidRDefault="006F36A0" w:rsidP="006F36A0">
      <w:pPr>
        <w:ind w:left="720"/>
        <w:rPr>
          <w:rFonts w:eastAsia="Times New Roman" w:cstheme="minorHAnsi"/>
          <w:i/>
          <w:iCs/>
          <w:color w:val="000000"/>
          <w:sz w:val="20"/>
          <w:szCs w:val="20"/>
          <w:lang w:eastAsia="en-GB"/>
        </w:rPr>
      </w:pPr>
      <w:r w:rsidRPr="009B3747">
        <w:rPr>
          <w:rFonts w:eastAsia="Times New Roman" w:cstheme="minorHAnsi"/>
          <w:b/>
          <w:bCs/>
          <w:color w:val="000000"/>
          <w:sz w:val="20"/>
          <w:szCs w:val="20"/>
          <w:lang w:eastAsia="en-GB"/>
        </w:rPr>
        <w:t>“</w:t>
      </w:r>
      <w:r w:rsidRPr="009B3747">
        <w:rPr>
          <w:rFonts w:eastAsia="Times New Roman" w:cstheme="minorHAnsi"/>
          <w:i/>
          <w:iCs/>
          <w:color w:val="000000"/>
          <w:sz w:val="20"/>
          <w:szCs w:val="20"/>
          <w:lang w:eastAsia="en-GB"/>
        </w:rPr>
        <w:t>I don’t think parents, they do, or they do understand</w:t>
      </w:r>
      <w:r w:rsidR="00281979">
        <w:rPr>
          <w:rFonts w:eastAsia="Times New Roman" w:cstheme="minorHAnsi"/>
          <w:i/>
          <w:iCs/>
          <w:color w:val="000000"/>
          <w:sz w:val="20"/>
          <w:szCs w:val="20"/>
          <w:lang w:eastAsia="en-GB"/>
        </w:rPr>
        <w:t>,</w:t>
      </w:r>
      <w:r w:rsidRPr="009B3747">
        <w:rPr>
          <w:rFonts w:eastAsia="Times New Roman" w:cstheme="minorHAnsi"/>
          <w:i/>
          <w:iCs/>
          <w:color w:val="000000"/>
          <w:sz w:val="20"/>
          <w:szCs w:val="20"/>
          <w:lang w:eastAsia="en-GB"/>
        </w:rPr>
        <w:t xml:space="preserve"> but they’re doing what’s quickest and easiest cos they’re working all day maybe so they’re putting convenience foods in without really understanding truly what it is they’re doing to the child and the message they’ve giving to the child as well, it’s not just about feeding them, it’s about the message as well, isn’t it, so.”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b/>
          <w:bCs/>
          <w:color w:val="000000"/>
          <w:sz w:val="20"/>
          <w:szCs w:val="20"/>
          <w:lang w:eastAsia="en-GB"/>
        </w:rPr>
        <w:t>Participant 11</w:t>
      </w:r>
      <w:r w:rsidRPr="009B3747">
        <w:rPr>
          <w:rFonts w:eastAsia="Times New Roman" w:cstheme="minorHAnsi"/>
          <w:b/>
          <w:color w:val="000000"/>
          <w:sz w:val="20"/>
          <w:szCs w:val="20"/>
          <w:lang w:eastAsia="en-GB"/>
        </w:rPr>
        <w:t xml:space="preserve"> </w:t>
      </w:r>
      <w:r w:rsidR="00A43A37" w:rsidRPr="009B3747">
        <w:rPr>
          <w:rFonts w:eastAsia="Times New Roman" w:cstheme="minorHAnsi"/>
          <w:b/>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A smaller minority of both headteachers and chairs of governors reflected on their own lack of knowledge either currently or previously that had led to the adoption of unhealthy choices.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“Having drunk Cola myself and trying to think why I drank them. I think I increasingly drank them as my diabetes developed to basically fulfil a craving for sugar and also to quench thirst whereas I would be a lot better off having drunk water or something similar. I didn’t have the knowledge that I have now”.  </w:t>
      </w:r>
      <w:r w:rsidRPr="009B3747">
        <w:rPr>
          <w:rFonts w:eastAsia="Times New Roman" w:cstheme="minorHAnsi"/>
          <w:b/>
          <w:bCs/>
          <w:color w:val="000000"/>
          <w:sz w:val="20"/>
          <w:szCs w:val="20"/>
          <w:lang w:eastAsia="en-GB"/>
        </w:rPr>
        <w:t xml:space="preserve">Participant 15 </w:t>
      </w:r>
      <w:r w:rsidR="00A43A37" w:rsidRPr="009B3747">
        <w:rPr>
          <w:rFonts w:eastAsia="Times New Roman" w:cstheme="minorHAnsi"/>
          <w:b/>
          <w:bCs/>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287EEA" w:rsidRDefault="006F36A0" w:rsidP="006F36A0">
      <w:pPr>
        <w:rPr>
          <w:rFonts w:eastAsia="Times New Roman" w:cstheme="minorHAnsi"/>
          <w:color w:val="000000"/>
          <w:lang w:eastAsia="en-GB"/>
        </w:rPr>
      </w:pPr>
      <w:r w:rsidRPr="009B3747">
        <w:rPr>
          <w:rFonts w:eastAsia="Times New Roman" w:cstheme="minorHAnsi"/>
          <w:color w:val="000000"/>
          <w:lang w:eastAsia="en-GB"/>
        </w:rPr>
        <w:lastRenderedPageBreak/>
        <w:t>In addition to lack of parental knowledge, a significant issue existed for participants who believed that some of the parents at their secondary school</w:t>
      </w:r>
      <w:r w:rsidR="00FF3C6A">
        <w:rPr>
          <w:rFonts w:eastAsia="Times New Roman" w:cstheme="minorHAnsi"/>
          <w:color w:val="000000"/>
          <w:lang w:eastAsia="en-GB"/>
        </w:rPr>
        <w:t>,</w:t>
      </w:r>
      <w:r w:rsidRPr="009B3747">
        <w:rPr>
          <w:rFonts w:eastAsia="Times New Roman" w:cstheme="minorHAnsi"/>
          <w:color w:val="000000"/>
          <w:lang w:eastAsia="en-GB"/>
        </w:rPr>
        <w:t xml:space="preserve"> did not have or chose not to employ effective parenting skills in their home environment.  Therefore for many participants adolescent obesity and unhealthy lifestyles stemmed from a lack of p</w:t>
      </w:r>
      <w:r w:rsidR="00287EEA">
        <w:rPr>
          <w:rFonts w:eastAsia="Times New Roman" w:cstheme="minorHAnsi"/>
          <w:color w:val="000000"/>
          <w:lang w:eastAsia="en-GB"/>
        </w:rPr>
        <w:t xml:space="preserve">arental control, boundaries and </w:t>
      </w:r>
      <w:r w:rsidRPr="009B3747">
        <w:rPr>
          <w:rFonts w:eastAsia="Times New Roman" w:cstheme="minorHAnsi"/>
          <w:color w:val="000000"/>
          <w:lang w:eastAsia="en-GB"/>
        </w:rPr>
        <w:t>discipline.  Consequently</w:t>
      </w:r>
      <w:r w:rsidR="00287EEA">
        <w:rPr>
          <w:rFonts w:eastAsia="Times New Roman" w:cstheme="minorHAnsi"/>
          <w:color w:val="000000"/>
          <w:lang w:eastAsia="en-GB"/>
        </w:rPr>
        <w:t>,</w:t>
      </w:r>
      <w:r w:rsidRPr="009B3747">
        <w:rPr>
          <w:rFonts w:eastAsia="Times New Roman" w:cstheme="minorHAnsi"/>
          <w:color w:val="000000"/>
          <w:lang w:eastAsia="en-GB"/>
        </w:rPr>
        <w:t xml:space="preserve"> many participants proposed that in some</w:t>
      </w:r>
      <w:r w:rsidR="00287EEA">
        <w:rPr>
          <w:rFonts w:eastAsia="Times New Roman" w:cstheme="minorHAnsi"/>
          <w:color w:val="000000"/>
          <w:lang w:eastAsia="en-GB"/>
        </w:rPr>
        <w:t xml:space="preserve"> home environments children and </w:t>
      </w:r>
      <w:r w:rsidRPr="009B3747">
        <w:rPr>
          <w:rFonts w:eastAsia="Times New Roman" w:cstheme="minorHAnsi"/>
          <w:color w:val="000000"/>
          <w:lang w:eastAsia="en-GB"/>
        </w:rPr>
        <w:t>adolescents were allowed too much freedom and choice in regard to their dietary or inactivity habits.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“I think parents not being prepared to parent, parents not being prepared to say to kids “no this is what” I sound like an old fashioned person</w:t>
      </w:r>
      <w:r w:rsidR="00281979">
        <w:rPr>
          <w:rFonts w:eastAsia="Times New Roman" w:cstheme="minorHAnsi"/>
          <w:i/>
          <w:iCs/>
          <w:color w:val="000000"/>
          <w:sz w:val="20"/>
          <w:szCs w:val="20"/>
          <w:lang w:eastAsia="en-GB"/>
        </w:rPr>
        <w:t>,</w:t>
      </w:r>
      <w:r w:rsidRPr="009B3747">
        <w:rPr>
          <w:rFonts w:eastAsia="Times New Roman" w:cstheme="minorHAnsi"/>
          <w:i/>
          <w:iCs/>
          <w:color w:val="000000"/>
          <w:sz w:val="20"/>
          <w:szCs w:val="20"/>
          <w:lang w:eastAsia="en-GB"/>
        </w:rPr>
        <w:t xml:space="preserve"> but you know “this is what you’re eating, this is what’s on the table, take it or leave it, no I’m not making a different meal because you don’t like it [laughs].”</w:t>
      </w:r>
    </w:p>
    <w:p w:rsidR="006F36A0" w:rsidRPr="009B3747" w:rsidRDefault="006F36A0" w:rsidP="006F36A0">
      <w:pPr>
        <w:rPr>
          <w:rFonts w:eastAsia="Times New Roman" w:cstheme="minorHAnsi"/>
          <w:b/>
          <w:sz w:val="24"/>
          <w:szCs w:val="24"/>
          <w:lang w:eastAsia="en-GB"/>
        </w:rPr>
      </w:pPr>
      <w:r w:rsidRPr="009B3747">
        <w:rPr>
          <w:rFonts w:eastAsia="Times New Roman" w:cstheme="minorHAnsi"/>
          <w:b/>
          <w:color w:val="000000"/>
          <w:sz w:val="20"/>
          <w:szCs w:val="20"/>
          <w:lang w:eastAsia="en-GB"/>
        </w:rPr>
        <w:tab/>
      </w:r>
      <w:r w:rsidRPr="009B3747">
        <w:rPr>
          <w:rFonts w:eastAsia="Times New Roman" w:cstheme="minorHAnsi"/>
          <w:b/>
          <w:bCs/>
          <w:color w:val="000000"/>
          <w:sz w:val="20"/>
          <w:szCs w:val="20"/>
          <w:lang w:eastAsia="en-GB"/>
        </w:rPr>
        <w:t>Participant 7</w:t>
      </w:r>
      <w:r w:rsidRPr="009B3747">
        <w:rPr>
          <w:rFonts w:eastAsia="Times New Roman" w:cstheme="minorHAnsi"/>
          <w:b/>
          <w:color w:val="000000"/>
          <w:sz w:val="20"/>
          <w:szCs w:val="20"/>
          <w:lang w:eastAsia="en-GB"/>
        </w:rPr>
        <w:t xml:space="preserve"> </w:t>
      </w:r>
      <w:r w:rsidR="00A43A37" w:rsidRPr="009B3747">
        <w:rPr>
          <w:rFonts w:eastAsia="Times New Roman" w:cstheme="minorHAnsi"/>
          <w:b/>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This problem for some headteachers and chairs of governors, was indicative of a wider issue in parts of society.  Frequent reference was made to albeit a minority of parents who appeared to devolve parental duties when it came to their child’s he</w:t>
      </w:r>
      <w:r w:rsidR="00287EEA">
        <w:rPr>
          <w:rFonts w:eastAsia="Times New Roman" w:cstheme="minorHAnsi"/>
          <w:color w:val="000000"/>
          <w:lang w:eastAsia="en-GB"/>
        </w:rPr>
        <w:t xml:space="preserve">alth and behaviour, </w:t>
      </w:r>
      <w:r w:rsidRPr="009B3747">
        <w:rPr>
          <w:rFonts w:eastAsia="Times New Roman" w:cstheme="minorHAnsi"/>
          <w:color w:val="000000"/>
          <w:lang w:eastAsia="en-GB"/>
        </w:rPr>
        <w:t xml:space="preserve">in order to have an easier and more convenient life.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“Parents who don’t really care, </w:t>
      </w:r>
      <w:r w:rsidR="00514099" w:rsidRPr="009B3747">
        <w:rPr>
          <w:rFonts w:eastAsia="Times New Roman" w:cstheme="minorHAnsi"/>
          <w:i/>
          <w:iCs/>
          <w:color w:val="000000"/>
          <w:sz w:val="20"/>
          <w:szCs w:val="20"/>
          <w:lang w:eastAsia="en-GB"/>
        </w:rPr>
        <w:t>parents</w:t>
      </w:r>
      <w:r w:rsidRPr="009B3747">
        <w:rPr>
          <w:rFonts w:eastAsia="Times New Roman" w:cstheme="minorHAnsi"/>
          <w:i/>
          <w:iCs/>
          <w:color w:val="000000"/>
          <w:sz w:val="20"/>
          <w:szCs w:val="20"/>
          <w:lang w:eastAsia="en-GB"/>
        </w:rPr>
        <w:t xml:space="preserve"> who regard television, coke and hamburger as a babysitter, that’s probably the route cause of it”.  </w:t>
      </w:r>
      <w:r w:rsidRPr="009B3747">
        <w:rPr>
          <w:rFonts w:eastAsia="Times New Roman" w:cstheme="minorHAnsi"/>
          <w:b/>
          <w:bCs/>
          <w:color w:val="000000"/>
          <w:sz w:val="20"/>
          <w:szCs w:val="20"/>
          <w:lang w:eastAsia="en-GB"/>
        </w:rPr>
        <w:t xml:space="preserve">Participant 13 </w:t>
      </w:r>
      <w:r w:rsidR="00A43A37" w:rsidRPr="009B3747">
        <w:rPr>
          <w:rFonts w:eastAsia="Times New Roman" w:cstheme="minorHAnsi"/>
          <w:b/>
          <w:bCs/>
          <w:color w:val="000000"/>
          <w:sz w:val="20"/>
          <w:szCs w:val="20"/>
          <w:lang w:eastAsia="en-GB"/>
        </w:rPr>
        <w:t>(Chair of governors)</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color w:val="000000"/>
          <w:sz w:val="20"/>
          <w:szCs w:val="20"/>
          <w:lang w:eastAsia="en-GB"/>
        </w:rPr>
        <w:t>“</w:t>
      </w:r>
      <w:r w:rsidRPr="009B3747">
        <w:rPr>
          <w:rFonts w:eastAsia="Times New Roman" w:cstheme="minorHAnsi"/>
          <w:i/>
          <w:iCs/>
          <w:color w:val="000000"/>
          <w:sz w:val="20"/>
          <w:szCs w:val="20"/>
          <w:lang w:eastAsia="en-GB"/>
        </w:rPr>
        <w:t>Their behaviour. They’re coming from a television background, where they’ve not had a lot of parenting, where they’ve used a TV babysitter.”  </w:t>
      </w:r>
      <w:r w:rsidRPr="009B3747">
        <w:rPr>
          <w:rFonts w:eastAsia="Times New Roman" w:cstheme="minorHAnsi"/>
          <w:b/>
          <w:bCs/>
          <w:color w:val="000000"/>
          <w:sz w:val="20"/>
          <w:szCs w:val="20"/>
          <w:lang w:eastAsia="en-GB"/>
        </w:rPr>
        <w:t xml:space="preserve">Participant 17 </w:t>
      </w:r>
      <w:r w:rsidR="00A43A37" w:rsidRPr="009B3747">
        <w:rPr>
          <w:rFonts w:eastAsia="Times New Roman" w:cstheme="minorHAnsi"/>
          <w:b/>
          <w:bCs/>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 xml:space="preserve">Due to this perception, a minority raised at times the extent to which poor parenting skills including around obesity and food could or indeed should present as an issue of care, safeguarding, abuse and care.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“I do think though it is about health professionals working with parents</w:t>
      </w:r>
      <w:r w:rsidR="00281979">
        <w:rPr>
          <w:rFonts w:eastAsia="Times New Roman" w:cstheme="minorHAnsi"/>
          <w:i/>
          <w:iCs/>
          <w:color w:val="000000"/>
          <w:sz w:val="20"/>
          <w:szCs w:val="20"/>
          <w:lang w:eastAsia="en-GB"/>
        </w:rPr>
        <w:t>,</w:t>
      </w:r>
      <w:r w:rsidRPr="009B3747">
        <w:rPr>
          <w:rFonts w:eastAsia="Times New Roman" w:cstheme="minorHAnsi"/>
          <w:i/>
          <w:iCs/>
          <w:color w:val="000000"/>
          <w:sz w:val="20"/>
          <w:szCs w:val="20"/>
          <w:lang w:eastAsia="en-GB"/>
        </w:rPr>
        <w:t xml:space="preserve"> but there needs to be something in place, what do you do if a child’s three and they’re being overfed, you know that is, that’s neglect, so its poor parenting and its, you know, how do you change the behaviour of those parents?”  </w:t>
      </w:r>
      <w:r w:rsidRPr="009B3747">
        <w:rPr>
          <w:rFonts w:eastAsia="Times New Roman" w:cstheme="minorHAnsi"/>
          <w:b/>
          <w:bCs/>
          <w:color w:val="000000"/>
          <w:sz w:val="20"/>
          <w:szCs w:val="20"/>
          <w:lang w:eastAsia="en-GB"/>
        </w:rPr>
        <w:t xml:space="preserve">Participant 8 </w:t>
      </w:r>
      <w:r w:rsidR="00A43A37" w:rsidRPr="009B3747">
        <w:rPr>
          <w:rFonts w:eastAsia="Times New Roman" w:cstheme="minorHAnsi"/>
          <w:b/>
          <w:bCs/>
          <w:color w:val="000000"/>
          <w:sz w:val="20"/>
          <w:szCs w:val="20"/>
          <w:lang w:eastAsia="en-GB"/>
        </w:rPr>
        <w:t>(Headteacher)</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 xml:space="preserve">The substantial range and complexity of influences within the home environment on an adolescent's lifestyle behaviours and weight status, led almost all of headteachers and chairs of governors to </w:t>
      </w:r>
      <w:r w:rsidRPr="009B3747">
        <w:rPr>
          <w:rFonts w:eastAsia="Times New Roman" w:cstheme="minorHAnsi"/>
          <w:color w:val="000000"/>
          <w:lang w:eastAsia="en-GB"/>
        </w:rPr>
        <w:lastRenderedPageBreak/>
        <w:t>reflect on the potential impact for their school.  In the main, the influence of adole</w:t>
      </w:r>
      <w:r w:rsidR="00C86DA7" w:rsidRPr="009B3747">
        <w:rPr>
          <w:rFonts w:eastAsia="Times New Roman" w:cstheme="minorHAnsi"/>
          <w:color w:val="000000"/>
          <w:lang w:eastAsia="en-GB"/>
        </w:rPr>
        <w:t xml:space="preserve">scents’ </w:t>
      </w:r>
      <w:r w:rsidRPr="009B3747">
        <w:rPr>
          <w:rFonts w:eastAsia="Times New Roman" w:cstheme="minorHAnsi"/>
          <w:color w:val="000000"/>
          <w:lang w:eastAsia="en-GB"/>
        </w:rPr>
        <w:t>parents and the family culture within the home environment was deemed as having the power to either support or undermine any effort their school undertakes to improve adolescent health and well-being.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firstLine="720"/>
        <w:rPr>
          <w:rFonts w:eastAsia="Times New Roman" w:cstheme="minorHAnsi"/>
          <w:sz w:val="24"/>
          <w:szCs w:val="24"/>
          <w:lang w:eastAsia="en-GB"/>
        </w:rPr>
      </w:pPr>
      <w:r w:rsidRPr="009B3747">
        <w:rPr>
          <w:rFonts w:eastAsia="Times New Roman" w:cstheme="minorHAnsi"/>
          <w:i/>
          <w:iCs/>
          <w:color w:val="000000"/>
          <w:sz w:val="20"/>
          <w:szCs w:val="20"/>
          <w:lang w:eastAsia="en-GB"/>
        </w:rPr>
        <w:t>“You can try, you can control nine till three, you can try and get those messages across</w:t>
      </w:r>
      <w:r w:rsidR="00281979">
        <w:rPr>
          <w:rFonts w:eastAsia="Times New Roman" w:cstheme="minorHAnsi"/>
          <w:i/>
          <w:iCs/>
          <w:color w:val="000000"/>
          <w:sz w:val="20"/>
          <w:szCs w:val="20"/>
          <w:lang w:eastAsia="en-GB"/>
        </w:rPr>
        <w:t>,</w:t>
      </w:r>
      <w:r w:rsidRPr="009B3747">
        <w:rPr>
          <w:rFonts w:eastAsia="Times New Roman" w:cstheme="minorHAnsi"/>
          <w:i/>
          <w:iCs/>
          <w:color w:val="000000"/>
          <w:sz w:val="20"/>
          <w:szCs w:val="20"/>
          <w:lang w:eastAsia="en-GB"/>
        </w:rPr>
        <w:t xml:space="preserve"> but if you’re</w:t>
      </w:r>
    </w:p>
    <w:p w:rsidR="006F36A0" w:rsidRPr="009B3747" w:rsidRDefault="006F36A0" w:rsidP="006F36A0">
      <w:pPr>
        <w:ind w:firstLine="720"/>
        <w:rPr>
          <w:rFonts w:eastAsia="Times New Roman" w:cstheme="minorHAnsi"/>
          <w:sz w:val="24"/>
          <w:szCs w:val="24"/>
          <w:lang w:eastAsia="en-GB"/>
        </w:rPr>
      </w:pPr>
      <w:r w:rsidRPr="009B3747">
        <w:rPr>
          <w:rFonts w:eastAsia="Times New Roman" w:cstheme="minorHAnsi"/>
          <w:i/>
          <w:iCs/>
          <w:color w:val="000000"/>
          <w:sz w:val="20"/>
          <w:szCs w:val="20"/>
          <w:lang w:eastAsia="en-GB"/>
        </w:rPr>
        <w:t>being constantly undermined by a parent who then never cooks, buys in takeaways the whole time,</w:t>
      </w:r>
    </w:p>
    <w:p w:rsidR="00A43A37" w:rsidRPr="009B3747" w:rsidRDefault="006F36A0" w:rsidP="006F36A0">
      <w:pPr>
        <w:ind w:left="720"/>
        <w:rPr>
          <w:rFonts w:eastAsia="Times New Roman" w:cstheme="minorHAnsi"/>
          <w:i/>
          <w:iCs/>
          <w:color w:val="000000"/>
          <w:sz w:val="20"/>
          <w:szCs w:val="20"/>
          <w:lang w:eastAsia="en-GB"/>
        </w:rPr>
      </w:pPr>
      <w:r w:rsidRPr="009B3747">
        <w:rPr>
          <w:rFonts w:eastAsia="Times New Roman" w:cstheme="minorHAnsi"/>
          <w:i/>
          <w:iCs/>
          <w:color w:val="000000"/>
          <w:sz w:val="20"/>
          <w:szCs w:val="20"/>
          <w:lang w:eastAsia="en-GB"/>
        </w:rPr>
        <w:t xml:space="preserve">takes them to McDonalds, Pizza Hut, anything that’s easy, partly because they’re both working, perhaps they’re working shifts, they haven’t got </w:t>
      </w:r>
      <w:r w:rsidR="00281979">
        <w:rPr>
          <w:rFonts w:eastAsia="Times New Roman" w:cstheme="minorHAnsi"/>
          <w:i/>
          <w:iCs/>
          <w:color w:val="000000"/>
          <w:sz w:val="20"/>
          <w:szCs w:val="20"/>
          <w:lang w:eastAsia="en-GB"/>
        </w:rPr>
        <w:t xml:space="preserve">the time, it’s quick, it’s easy, </w:t>
      </w:r>
      <w:r w:rsidRPr="009B3747">
        <w:rPr>
          <w:rFonts w:eastAsia="Times New Roman" w:cstheme="minorHAnsi"/>
          <w:i/>
          <w:iCs/>
          <w:color w:val="000000"/>
          <w:sz w:val="20"/>
          <w:szCs w:val="20"/>
          <w:lang w:eastAsia="en-GB"/>
        </w:rPr>
        <w:t>but it’s hyper-calorific and they don’t realise what they’re doing and sometimes it’s not their fault.”  </w:t>
      </w:r>
    </w:p>
    <w:p w:rsidR="006F36A0" w:rsidRPr="009B3747" w:rsidRDefault="006F36A0" w:rsidP="006F36A0">
      <w:pPr>
        <w:ind w:left="720"/>
        <w:rPr>
          <w:rFonts w:eastAsia="Times New Roman" w:cstheme="minorHAnsi"/>
          <w:b/>
          <w:sz w:val="24"/>
          <w:szCs w:val="24"/>
          <w:lang w:eastAsia="en-GB"/>
        </w:rPr>
      </w:pPr>
      <w:r w:rsidRPr="009B3747">
        <w:rPr>
          <w:rFonts w:eastAsia="Times New Roman" w:cstheme="minorHAnsi"/>
          <w:b/>
          <w:bCs/>
          <w:color w:val="000000"/>
          <w:sz w:val="20"/>
          <w:szCs w:val="20"/>
          <w:lang w:eastAsia="en-GB"/>
        </w:rPr>
        <w:t>Participant 18</w:t>
      </w:r>
      <w:r w:rsidRPr="009B3747">
        <w:rPr>
          <w:rFonts w:eastAsia="Times New Roman" w:cstheme="minorHAnsi"/>
          <w:b/>
          <w:color w:val="000000"/>
          <w:sz w:val="20"/>
          <w:szCs w:val="20"/>
          <w:lang w:eastAsia="en-GB"/>
        </w:rPr>
        <w:t xml:space="preserve"> </w:t>
      </w:r>
      <w:r w:rsidR="00A43A37" w:rsidRPr="009B3747">
        <w:rPr>
          <w:rFonts w:eastAsia="Times New Roman" w:cstheme="minorHAnsi"/>
          <w:b/>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An alternative view provided by a smaller number of participants typically from independent schools contradicted the majority perception, by arguing that strong school leadership in which health and well-being is valued can go some way to counteract some of the identified negative influences obtained from the home environment.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“I think the real pillar of this is the school and what the school stands for. We will do sport, you can’t get out of that, you can’t get out of it, so if you’re on a bursary and you’re from the wrong side of town and next door you’ve got a family of obese people our kid will come in and they will play sport.”  </w:t>
      </w:r>
      <w:r w:rsidRPr="009B3747">
        <w:rPr>
          <w:rFonts w:eastAsia="Times New Roman" w:cstheme="minorHAnsi"/>
          <w:b/>
          <w:bCs/>
          <w:color w:val="000000"/>
          <w:sz w:val="20"/>
          <w:szCs w:val="20"/>
          <w:lang w:eastAsia="en-GB"/>
        </w:rPr>
        <w:t>Participant 14</w:t>
      </w:r>
      <w:r w:rsidRPr="009B3747">
        <w:rPr>
          <w:rFonts w:eastAsia="Times New Roman" w:cstheme="minorHAnsi"/>
          <w:b/>
          <w:color w:val="000000"/>
          <w:sz w:val="20"/>
          <w:szCs w:val="20"/>
          <w:lang w:eastAsia="en-GB"/>
        </w:rPr>
        <w:t xml:space="preserve"> </w:t>
      </w:r>
      <w:r w:rsidR="00A43A37" w:rsidRPr="009B3747">
        <w:rPr>
          <w:rFonts w:eastAsia="Times New Roman" w:cstheme="minorHAnsi"/>
          <w:b/>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991D2F" w:rsidP="006F36A0">
      <w:pPr>
        <w:rPr>
          <w:rFonts w:eastAsia="Times New Roman" w:cstheme="minorHAnsi"/>
          <w:sz w:val="24"/>
          <w:szCs w:val="24"/>
          <w:u w:val="single"/>
          <w:lang w:eastAsia="en-GB"/>
        </w:rPr>
      </w:pPr>
      <w:r w:rsidRPr="009B3747">
        <w:rPr>
          <w:rFonts w:eastAsia="Times New Roman" w:cstheme="minorHAnsi"/>
          <w:iCs/>
          <w:color w:val="000000"/>
          <w:u w:val="single"/>
          <w:lang w:eastAsia="en-GB"/>
        </w:rPr>
        <w:t>6</w:t>
      </w:r>
      <w:r w:rsidR="00551065" w:rsidRPr="009B3747">
        <w:rPr>
          <w:rFonts w:eastAsia="Times New Roman" w:cstheme="minorHAnsi"/>
          <w:iCs/>
          <w:color w:val="000000"/>
          <w:u w:val="single"/>
          <w:lang w:eastAsia="en-GB"/>
        </w:rPr>
        <w:t>.5</w:t>
      </w:r>
      <w:r w:rsidR="006F36A0" w:rsidRPr="009B3747">
        <w:rPr>
          <w:rFonts w:eastAsia="Times New Roman" w:cstheme="minorHAnsi"/>
          <w:iCs/>
          <w:color w:val="000000"/>
          <w:u w:val="single"/>
          <w:lang w:eastAsia="en-GB"/>
        </w:rPr>
        <w:t>.2 Wider food environment</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Whilst the general consensus was that an imbalance in energy results in excessive weight gain, participants in the main discussed the intake element of the equation in substantial</w:t>
      </w:r>
      <w:r w:rsidR="00287EEA">
        <w:rPr>
          <w:rFonts w:eastAsia="Times New Roman" w:cstheme="minorHAnsi"/>
          <w:color w:val="000000"/>
          <w:lang w:eastAsia="en-GB"/>
        </w:rPr>
        <w:t xml:space="preserve">ly greater depth and length than </w:t>
      </w:r>
      <w:r w:rsidRPr="009B3747">
        <w:rPr>
          <w:rFonts w:eastAsia="Times New Roman" w:cstheme="minorHAnsi"/>
          <w:color w:val="000000"/>
          <w:lang w:eastAsia="en-GB"/>
        </w:rPr>
        <w:t>that of expenditure.  Central to these discussions was the belief evidenced by the majority of headteachers and chairs of governors that dramatic changes had occurred in society related to how individuals and families access, purchase and consume food.  Of primary concern was the perception that society in the 21st century had become more fast-paced and pressured, with families and parents often having to manage competing demands on their time and resources.  This view was shared across all school stratas represented.</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lastRenderedPageBreak/>
        <w:t>“I think it’s just, it’s something to do with society, the way that everything is so accessible and sort of twenty four seven lifestyle…..so there’s a thing about living in a really fast moving world, isn’t there?”  </w:t>
      </w:r>
      <w:r w:rsidRPr="009B3747">
        <w:rPr>
          <w:rFonts w:eastAsia="Times New Roman" w:cstheme="minorHAnsi"/>
          <w:b/>
          <w:bCs/>
          <w:color w:val="000000"/>
          <w:sz w:val="20"/>
          <w:szCs w:val="20"/>
          <w:lang w:eastAsia="en-GB"/>
        </w:rPr>
        <w:t>Participant 1</w:t>
      </w:r>
      <w:r w:rsidR="00A43A37" w:rsidRPr="009B3747">
        <w:rPr>
          <w:rFonts w:eastAsia="Times New Roman" w:cstheme="minorHAnsi"/>
          <w:b/>
          <w:bCs/>
          <w:color w:val="000000"/>
          <w:sz w:val="20"/>
          <w:szCs w:val="20"/>
          <w:lang w:eastAsia="en-GB"/>
        </w:rPr>
        <w:t xml:space="preserve"> (Headteacher)</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b/>
          <w:sz w:val="24"/>
          <w:szCs w:val="24"/>
          <w:lang w:eastAsia="en-GB"/>
        </w:rPr>
      </w:pPr>
      <w:r w:rsidRPr="009B3747">
        <w:rPr>
          <w:rFonts w:eastAsia="Times New Roman" w:cstheme="minorHAnsi"/>
          <w:i/>
          <w:iCs/>
          <w:color w:val="000000"/>
          <w:sz w:val="20"/>
          <w:szCs w:val="20"/>
          <w:lang w:eastAsia="en-GB"/>
        </w:rPr>
        <w:t>“I do worry that some parents for whatever reason find it difficult to provide appropriate meal choices at breakfast and dinner and that’s often to with pressures of busy lives.”  </w:t>
      </w:r>
      <w:r w:rsidRPr="009B3747">
        <w:rPr>
          <w:rFonts w:eastAsia="Times New Roman" w:cstheme="minorHAnsi"/>
          <w:b/>
          <w:bCs/>
          <w:color w:val="000000"/>
          <w:sz w:val="20"/>
          <w:szCs w:val="20"/>
          <w:lang w:eastAsia="en-GB"/>
        </w:rPr>
        <w:t>Participant 5</w:t>
      </w:r>
      <w:r w:rsidRPr="009B3747">
        <w:rPr>
          <w:rFonts w:eastAsia="Times New Roman" w:cstheme="minorHAnsi"/>
          <w:b/>
          <w:color w:val="000000"/>
          <w:sz w:val="20"/>
          <w:szCs w:val="20"/>
          <w:lang w:eastAsia="en-GB"/>
        </w:rPr>
        <w:t xml:space="preserve"> </w:t>
      </w:r>
      <w:r w:rsidR="00A43A37" w:rsidRPr="009B3747">
        <w:rPr>
          <w:rFonts w:eastAsia="Times New Roman" w:cstheme="minorHAnsi"/>
          <w:b/>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Comparisons were drawn by some participants between their own child</w:t>
      </w:r>
      <w:r w:rsidR="00287EEA">
        <w:rPr>
          <w:rFonts w:eastAsia="Times New Roman" w:cstheme="minorHAnsi"/>
          <w:color w:val="000000"/>
          <w:lang w:eastAsia="en-GB"/>
        </w:rPr>
        <w:t xml:space="preserve">hood experiences of food access, </w:t>
      </w:r>
      <w:r w:rsidRPr="009B3747">
        <w:rPr>
          <w:rFonts w:eastAsia="Times New Roman" w:cstheme="minorHAnsi"/>
          <w:color w:val="000000"/>
          <w:lang w:eastAsia="en-GB"/>
        </w:rPr>
        <w:t>and consumption to the families of pupils attending their schools.  A key difference identified by most was a perceived reduction in parents’ ability or willingness to provide nu</w:t>
      </w:r>
      <w:r w:rsidR="006B1CC9">
        <w:rPr>
          <w:rFonts w:eastAsia="Times New Roman" w:cstheme="minorHAnsi"/>
          <w:color w:val="000000"/>
          <w:lang w:eastAsia="en-GB"/>
        </w:rPr>
        <w:t>tritionally balanced homemade</w:t>
      </w:r>
      <w:r w:rsidRPr="009B3747">
        <w:rPr>
          <w:rFonts w:eastAsia="Times New Roman" w:cstheme="minorHAnsi"/>
          <w:color w:val="000000"/>
          <w:lang w:eastAsia="en-GB"/>
        </w:rPr>
        <w:t xml:space="preserve"> food in the home compared to previous generations.  This was attributed to the increasing time pressures of modern day society and a decrease in parental knowledge and skills around cooking.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“I think we’ve gone wrong somewhere, generations, a couple of generations ago, when parents., stopped learning to cook at school and things like that and parents just don’t understand</w:t>
      </w:r>
      <w:r w:rsidR="00281979">
        <w:rPr>
          <w:rFonts w:eastAsia="Times New Roman" w:cstheme="minorHAnsi"/>
          <w:i/>
          <w:iCs/>
          <w:color w:val="000000"/>
          <w:sz w:val="20"/>
          <w:szCs w:val="20"/>
          <w:lang w:eastAsia="en-GB"/>
        </w:rPr>
        <w:t xml:space="preserve"> anymore...or they do understand,</w:t>
      </w:r>
      <w:r w:rsidRPr="009B3747">
        <w:rPr>
          <w:rFonts w:eastAsia="Times New Roman" w:cstheme="minorHAnsi"/>
          <w:i/>
          <w:iCs/>
          <w:color w:val="000000"/>
          <w:sz w:val="20"/>
          <w:szCs w:val="20"/>
          <w:lang w:eastAsia="en-GB"/>
        </w:rPr>
        <w:t xml:space="preserve"> but they’re doing what’s quickest and easiest cos they’re working all day.”  </w:t>
      </w:r>
      <w:r w:rsidRPr="009B3747">
        <w:rPr>
          <w:rFonts w:eastAsia="Times New Roman" w:cstheme="minorHAnsi"/>
          <w:b/>
          <w:bCs/>
          <w:color w:val="000000"/>
          <w:sz w:val="20"/>
          <w:szCs w:val="20"/>
          <w:lang w:eastAsia="en-GB"/>
        </w:rPr>
        <w:t>Participant 11</w:t>
      </w:r>
      <w:r w:rsidRPr="009B3747">
        <w:rPr>
          <w:rFonts w:eastAsia="Times New Roman" w:cstheme="minorHAnsi"/>
          <w:b/>
          <w:color w:val="000000"/>
          <w:sz w:val="20"/>
          <w:szCs w:val="20"/>
          <w:lang w:eastAsia="en-GB"/>
        </w:rPr>
        <w:t xml:space="preserve"> </w:t>
      </w:r>
      <w:r w:rsidR="00A43A37" w:rsidRPr="009B3747">
        <w:rPr>
          <w:rFonts w:eastAsia="Times New Roman" w:cstheme="minorHAnsi"/>
          <w:b/>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For most, these societal changes have resulted in an escalating demand and need amongst adolescents and their families for food and the wider food environment to become increasingly convenient and accessible.  The collective view was that a greater societal emphasis on convenience and accessibility</w:t>
      </w:r>
      <w:r w:rsidR="006B1CC9">
        <w:rPr>
          <w:rFonts w:eastAsia="Times New Roman" w:cstheme="minorHAnsi"/>
          <w:color w:val="000000"/>
          <w:lang w:eastAsia="en-GB"/>
        </w:rPr>
        <w:t>,</w:t>
      </w:r>
      <w:r w:rsidRPr="009B3747">
        <w:rPr>
          <w:rFonts w:eastAsia="Times New Roman" w:cstheme="minorHAnsi"/>
          <w:color w:val="000000"/>
          <w:lang w:eastAsia="en-GB"/>
        </w:rPr>
        <w:t xml:space="preserve"> has over time negatively impacted upon the dietary habits of child</w:t>
      </w:r>
      <w:r w:rsidR="006B1CC9">
        <w:rPr>
          <w:rFonts w:eastAsia="Times New Roman" w:cstheme="minorHAnsi"/>
          <w:color w:val="000000"/>
          <w:lang w:eastAsia="en-GB"/>
        </w:rPr>
        <w:t>ren, adolescents and adults.  This was viewed therefore as significantly contributing</w:t>
      </w:r>
      <w:r w:rsidRPr="009B3747">
        <w:rPr>
          <w:rFonts w:eastAsia="Times New Roman" w:cstheme="minorHAnsi"/>
          <w:color w:val="000000"/>
          <w:lang w:eastAsia="en-GB"/>
        </w:rPr>
        <w:t xml:space="preserve"> to the problem of obesity.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firstLine="720"/>
        <w:rPr>
          <w:rFonts w:eastAsia="Times New Roman" w:cstheme="minorHAnsi"/>
          <w:sz w:val="24"/>
          <w:szCs w:val="24"/>
          <w:lang w:eastAsia="en-GB"/>
        </w:rPr>
      </w:pPr>
      <w:r w:rsidRPr="009B3747">
        <w:rPr>
          <w:rFonts w:eastAsia="Times New Roman" w:cstheme="minorHAnsi"/>
          <w:i/>
          <w:iCs/>
          <w:color w:val="000000"/>
          <w:sz w:val="20"/>
          <w:szCs w:val="20"/>
          <w:lang w:eastAsia="en-GB"/>
        </w:rPr>
        <w:t>“And my sense is that on the calories in side, the pace that which life is lived and therefore the growth</w:t>
      </w:r>
    </w:p>
    <w:p w:rsidR="00A43A37" w:rsidRPr="009B3747" w:rsidRDefault="006F36A0" w:rsidP="006F36A0">
      <w:pPr>
        <w:ind w:firstLine="720"/>
        <w:rPr>
          <w:rFonts w:eastAsia="Times New Roman" w:cstheme="minorHAnsi"/>
          <w:i/>
          <w:iCs/>
          <w:color w:val="000000"/>
          <w:sz w:val="20"/>
          <w:szCs w:val="20"/>
          <w:lang w:eastAsia="en-GB"/>
        </w:rPr>
      </w:pPr>
      <w:r w:rsidRPr="009B3747">
        <w:rPr>
          <w:rFonts w:eastAsia="Times New Roman" w:cstheme="minorHAnsi"/>
          <w:i/>
          <w:iCs/>
          <w:color w:val="000000"/>
          <w:sz w:val="20"/>
          <w:szCs w:val="20"/>
          <w:lang w:eastAsia="en-GB"/>
        </w:rPr>
        <w:t>and availability of convenience food means people will avail themselves of it.”  </w:t>
      </w:r>
    </w:p>
    <w:p w:rsidR="006F36A0" w:rsidRPr="009B3747" w:rsidRDefault="006F36A0" w:rsidP="006F36A0">
      <w:pPr>
        <w:ind w:firstLine="720"/>
        <w:rPr>
          <w:rFonts w:eastAsia="Times New Roman" w:cstheme="minorHAnsi"/>
          <w:sz w:val="24"/>
          <w:szCs w:val="24"/>
          <w:lang w:eastAsia="en-GB"/>
        </w:rPr>
      </w:pPr>
      <w:r w:rsidRPr="009B3747">
        <w:rPr>
          <w:rFonts w:eastAsia="Times New Roman" w:cstheme="minorHAnsi"/>
          <w:b/>
          <w:bCs/>
          <w:color w:val="000000"/>
          <w:sz w:val="20"/>
          <w:szCs w:val="20"/>
          <w:lang w:eastAsia="en-GB"/>
        </w:rPr>
        <w:t xml:space="preserve">Participant 4 </w:t>
      </w:r>
      <w:r w:rsidR="00A43A37" w:rsidRPr="009B3747">
        <w:rPr>
          <w:rFonts w:eastAsia="Times New Roman" w:cstheme="minorHAnsi"/>
          <w:b/>
          <w:bCs/>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“I think there’s an issue about parents feeling, when they’re out at work all day they’ll go to the supermarkets. There's now an excess of ready meals to buy, I don’t think parents are always aware what’s in those meals.”  </w:t>
      </w:r>
      <w:r w:rsidRPr="009B3747">
        <w:rPr>
          <w:rFonts w:eastAsia="Times New Roman" w:cstheme="minorHAnsi"/>
          <w:b/>
          <w:bCs/>
          <w:color w:val="000000"/>
          <w:sz w:val="20"/>
          <w:szCs w:val="20"/>
          <w:lang w:eastAsia="en-GB"/>
        </w:rPr>
        <w:t>Participant 8</w:t>
      </w:r>
      <w:r w:rsidRPr="009B3747">
        <w:rPr>
          <w:rFonts w:eastAsia="Times New Roman" w:cstheme="minorHAnsi"/>
          <w:b/>
          <w:color w:val="000000"/>
          <w:sz w:val="20"/>
          <w:szCs w:val="20"/>
          <w:lang w:eastAsia="en-GB"/>
        </w:rPr>
        <w:t xml:space="preserve"> </w:t>
      </w:r>
      <w:r w:rsidR="00A43A37" w:rsidRPr="009B3747">
        <w:rPr>
          <w:rFonts w:eastAsia="Times New Roman" w:cstheme="minorHAnsi"/>
          <w:b/>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A minority of headteachers made reference to societal changes and how this had influenced their own dietary habits in relation to the preference or indeed necessity for convenience.</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lastRenderedPageBreak/>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“I think we live in a society that’s so fast paced that actually, and I’m guilty of this, I go home, last night I got home at half past eight, hadn’t eaten, what do I do, have a quick snack and go to bed. I know it’s not healthy</w:t>
      </w:r>
      <w:r w:rsidR="00281979">
        <w:rPr>
          <w:rFonts w:eastAsia="Times New Roman" w:cstheme="minorHAnsi"/>
          <w:i/>
          <w:iCs/>
          <w:color w:val="000000"/>
          <w:sz w:val="20"/>
          <w:szCs w:val="20"/>
          <w:lang w:eastAsia="en-GB"/>
        </w:rPr>
        <w:t>,</w:t>
      </w:r>
      <w:r w:rsidRPr="009B3747">
        <w:rPr>
          <w:rFonts w:eastAsia="Times New Roman" w:cstheme="minorHAnsi"/>
          <w:i/>
          <w:iCs/>
          <w:color w:val="000000"/>
          <w:sz w:val="20"/>
          <w:szCs w:val="20"/>
          <w:lang w:eastAsia="en-GB"/>
        </w:rPr>
        <w:t xml:space="preserve"> but what else can I do?”  </w:t>
      </w:r>
      <w:r w:rsidRPr="009B3747">
        <w:rPr>
          <w:rFonts w:eastAsia="Times New Roman" w:cstheme="minorHAnsi"/>
          <w:b/>
          <w:bCs/>
          <w:color w:val="000000"/>
          <w:sz w:val="20"/>
          <w:szCs w:val="20"/>
          <w:lang w:eastAsia="en-GB"/>
        </w:rPr>
        <w:t>Participant 14</w:t>
      </w:r>
      <w:r w:rsidRPr="009B3747">
        <w:rPr>
          <w:rFonts w:eastAsia="Times New Roman" w:cstheme="minorHAnsi"/>
          <w:b/>
          <w:color w:val="000000"/>
          <w:sz w:val="20"/>
          <w:szCs w:val="20"/>
          <w:lang w:eastAsia="en-GB"/>
        </w:rPr>
        <w:t xml:space="preserve"> </w:t>
      </w:r>
      <w:r w:rsidR="00A43A37" w:rsidRPr="009B3747">
        <w:rPr>
          <w:rFonts w:eastAsia="Times New Roman" w:cstheme="minorHAnsi"/>
          <w:b/>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An additional social change within the wider food environment</w:t>
      </w:r>
      <w:r w:rsidR="006B1CC9">
        <w:rPr>
          <w:rFonts w:eastAsia="Times New Roman" w:cstheme="minorHAnsi"/>
          <w:color w:val="000000"/>
          <w:lang w:eastAsia="en-GB"/>
        </w:rPr>
        <w:t>, which presented</w:t>
      </w:r>
      <w:r w:rsidRPr="009B3747">
        <w:rPr>
          <w:rFonts w:eastAsia="Times New Roman" w:cstheme="minorHAnsi"/>
          <w:color w:val="000000"/>
          <w:lang w:eastAsia="en-GB"/>
        </w:rPr>
        <w:t xml:space="preserve"> positive and negative implications for adolescent dietary habits and obesity prevalence</w:t>
      </w:r>
      <w:r w:rsidR="006B1CC9">
        <w:rPr>
          <w:rFonts w:eastAsia="Times New Roman" w:cstheme="minorHAnsi"/>
          <w:color w:val="000000"/>
          <w:lang w:eastAsia="en-GB"/>
        </w:rPr>
        <w:t>,</w:t>
      </w:r>
      <w:r w:rsidRPr="009B3747">
        <w:rPr>
          <w:rFonts w:eastAsia="Times New Roman" w:cstheme="minorHAnsi"/>
          <w:color w:val="000000"/>
          <w:lang w:eastAsia="en-GB"/>
        </w:rPr>
        <w:t xml:space="preserve"> was the evolving purpose of food within society.  Reference was made to the approach by previous generations to</w:t>
      </w:r>
      <w:r w:rsidRPr="009B3747">
        <w:rPr>
          <w:rFonts w:eastAsia="Times New Roman" w:cstheme="minorHAnsi"/>
          <w:i/>
          <w:iCs/>
          <w:color w:val="000000"/>
          <w:lang w:eastAsia="en-GB"/>
        </w:rPr>
        <w:t xml:space="preserve"> ‘eat to live’</w:t>
      </w:r>
      <w:r w:rsidR="009025E2">
        <w:rPr>
          <w:rFonts w:eastAsia="Times New Roman" w:cstheme="minorHAnsi"/>
          <w:i/>
          <w:iCs/>
          <w:color w:val="000000"/>
          <w:lang w:eastAsia="en-GB"/>
        </w:rPr>
        <w:t>,</w:t>
      </w:r>
      <w:r w:rsidRPr="009B3747">
        <w:rPr>
          <w:rFonts w:eastAsia="Times New Roman" w:cstheme="minorHAnsi"/>
          <w:i/>
          <w:iCs/>
          <w:color w:val="000000"/>
          <w:lang w:eastAsia="en-GB"/>
        </w:rPr>
        <w:t xml:space="preserve"> </w:t>
      </w:r>
      <w:r w:rsidRPr="009B3747">
        <w:rPr>
          <w:rFonts w:eastAsia="Times New Roman" w:cstheme="minorHAnsi"/>
          <w:color w:val="000000"/>
          <w:lang w:eastAsia="en-GB"/>
        </w:rPr>
        <w:t>which was deemed by some to be in stark contrast to the 21st century where people</w:t>
      </w:r>
      <w:r w:rsidRPr="009B3747">
        <w:rPr>
          <w:rFonts w:eastAsia="Times New Roman" w:cstheme="minorHAnsi"/>
          <w:i/>
          <w:iCs/>
          <w:color w:val="000000"/>
          <w:lang w:eastAsia="en-GB"/>
        </w:rPr>
        <w:t xml:space="preserve"> ‘live to eat’. </w:t>
      </w:r>
      <w:r w:rsidRPr="009B3747">
        <w:rPr>
          <w:rFonts w:eastAsia="Times New Roman" w:cstheme="minorHAnsi"/>
          <w:color w:val="000000"/>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“For some people, they get things out of proportion and they’re no longer using</w:t>
      </w:r>
      <w:r w:rsidR="00281979">
        <w:rPr>
          <w:rFonts w:eastAsia="Times New Roman" w:cstheme="minorHAnsi"/>
          <w:i/>
          <w:iCs/>
          <w:color w:val="000000"/>
          <w:sz w:val="20"/>
          <w:szCs w:val="20"/>
          <w:lang w:eastAsia="en-GB"/>
        </w:rPr>
        <w:t xml:space="preserve"> fuel as a mechanism for living, </w:t>
      </w:r>
      <w:r w:rsidRPr="009B3747">
        <w:rPr>
          <w:rFonts w:eastAsia="Times New Roman" w:cstheme="minorHAnsi"/>
          <w:i/>
          <w:iCs/>
          <w:color w:val="000000"/>
          <w:sz w:val="20"/>
          <w:szCs w:val="20"/>
          <w:lang w:eastAsia="en-GB"/>
        </w:rPr>
        <w:t xml:space="preserve">but it starts to fulfil all sports of other needs.”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Participant 20</w:t>
      </w:r>
      <w:r w:rsidRPr="009B3747">
        <w:rPr>
          <w:rFonts w:eastAsia="Times New Roman" w:cstheme="minorHAnsi"/>
          <w:b/>
          <w:color w:val="000000"/>
          <w:sz w:val="20"/>
          <w:szCs w:val="20"/>
          <w:lang w:eastAsia="en-GB"/>
        </w:rPr>
        <w:t xml:space="preserve"> </w:t>
      </w:r>
      <w:r w:rsidR="00A43A37" w:rsidRPr="009B3747">
        <w:rPr>
          <w:rFonts w:eastAsia="Times New Roman" w:cstheme="minorHAnsi"/>
          <w:b/>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This difference in approach and attitude to food, was evidenced by discussions about people’s demand or desire for food and drink</w:t>
      </w:r>
      <w:r w:rsidR="006B1CC9">
        <w:rPr>
          <w:rFonts w:eastAsia="Times New Roman" w:cstheme="minorHAnsi"/>
          <w:color w:val="000000"/>
          <w:lang w:eastAsia="en-GB"/>
        </w:rPr>
        <w:t>.  It was believed that consumption in the 21</w:t>
      </w:r>
      <w:r w:rsidR="006B1CC9" w:rsidRPr="006B1CC9">
        <w:rPr>
          <w:rFonts w:eastAsia="Times New Roman" w:cstheme="minorHAnsi"/>
          <w:color w:val="000000"/>
          <w:vertAlign w:val="superscript"/>
          <w:lang w:eastAsia="en-GB"/>
        </w:rPr>
        <w:t>st</w:t>
      </w:r>
      <w:r w:rsidR="006B1CC9">
        <w:rPr>
          <w:rFonts w:eastAsia="Times New Roman" w:cstheme="minorHAnsi"/>
          <w:color w:val="000000"/>
          <w:lang w:eastAsia="en-GB"/>
        </w:rPr>
        <w:t xml:space="preserve"> century had</w:t>
      </w:r>
      <w:r w:rsidRPr="009B3747">
        <w:rPr>
          <w:rFonts w:eastAsia="Times New Roman" w:cstheme="minorHAnsi"/>
          <w:color w:val="000000"/>
          <w:lang w:eastAsia="en-GB"/>
        </w:rPr>
        <w:t xml:space="preserve"> to be a continually enjoyable and pleasurable experience, not merely addressing nutritional needs.  Examples of this provided by participants included the use of food in socialising, rewarding behaviour and at times in managing emotional well-being.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“Eating basically to help with stress levels, quite often you’ve got parents who might be stressed they pass that stress to their children, their children see that, I mean the obvious thing is chocolate, crisps, all the, those kinds of things.”  </w:t>
      </w:r>
      <w:r w:rsidRPr="009B3747">
        <w:rPr>
          <w:rFonts w:eastAsia="Times New Roman" w:cstheme="minorHAnsi"/>
          <w:b/>
          <w:bCs/>
          <w:color w:val="000000"/>
          <w:sz w:val="20"/>
          <w:szCs w:val="20"/>
          <w:lang w:eastAsia="en-GB"/>
        </w:rPr>
        <w:t>Participant 15</w:t>
      </w:r>
      <w:r w:rsidRPr="009B3747">
        <w:rPr>
          <w:rFonts w:eastAsia="Times New Roman" w:cstheme="minorHAnsi"/>
          <w:b/>
          <w:color w:val="000000"/>
          <w:sz w:val="20"/>
          <w:szCs w:val="20"/>
          <w:lang w:eastAsia="en-GB"/>
        </w:rPr>
        <w:t xml:space="preserve"> </w:t>
      </w:r>
      <w:r w:rsidR="00A43A37" w:rsidRPr="009B3747">
        <w:rPr>
          <w:rFonts w:eastAsia="Times New Roman" w:cstheme="minorHAnsi"/>
          <w:b/>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Whether enabling the changing societal demands or indeed driving them, a common perception existed that across the country</w:t>
      </w:r>
      <w:r w:rsidR="00B87EE3">
        <w:rPr>
          <w:rFonts w:eastAsia="Times New Roman" w:cstheme="minorHAnsi"/>
          <w:color w:val="000000"/>
          <w:lang w:eastAsia="en-GB"/>
        </w:rPr>
        <w:t>,</w:t>
      </w:r>
      <w:r w:rsidRPr="009B3747">
        <w:rPr>
          <w:rFonts w:eastAsia="Times New Roman" w:cstheme="minorHAnsi"/>
          <w:color w:val="000000"/>
          <w:lang w:eastAsia="en-GB"/>
        </w:rPr>
        <w:t xml:space="preserve"> an overwhelming rise has occurred in the availability and visibility of food retailers and manufacturers.   Of specific concern to participants was the belief that there has been an escalating and worrying rise in the accessibility of junk, fast or convenience food</w:t>
      </w:r>
      <w:r w:rsidR="00B87EE3">
        <w:rPr>
          <w:rFonts w:eastAsia="Times New Roman" w:cstheme="minorHAnsi"/>
          <w:color w:val="000000"/>
          <w:lang w:eastAsia="en-GB"/>
        </w:rPr>
        <w:t>.  This related to food</w:t>
      </w:r>
      <w:r w:rsidRPr="009B3747">
        <w:rPr>
          <w:rFonts w:eastAsia="Times New Roman" w:cstheme="minorHAnsi"/>
          <w:color w:val="000000"/>
          <w:lang w:eastAsia="en-GB"/>
        </w:rPr>
        <w:t xml:space="preserve"> sold in shops or catering establishments within the areas local to</w:t>
      </w:r>
      <w:r w:rsidR="00B87EE3">
        <w:rPr>
          <w:rFonts w:eastAsia="Times New Roman" w:cstheme="minorHAnsi"/>
          <w:color w:val="000000"/>
          <w:lang w:eastAsia="en-GB"/>
        </w:rPr>
        <w:t xml:space="preserve"> their schools and </w:t>
      </w:r>
      <w:r w:rsidRPr="009B3747">
        <w:rPr>
          <w:rFonts w:eastAsia="Times New Roman" w:cstheme="minorHAnsi"/>
          <w:color w:val="000000"/>
          <w:lang w:eastAsia="en-GB"/>
        </w:rPr>
        <w:t>across society</w:t>
      </w:r>
      <w:r w:rsidR="00B87EE3">
        <w:rPr>
          <w:rFonts w:eastAsia="Times New Roman" w:cstheme="minorHAnsi"/>
          <w:color w:val="000000"/>
          <w:lang w:eastAsia="en-GB"/>
        </w:rPr>
        <w:t xml:space="preserve"> more broadly</w:t>
      </w:r>
      <w:r w:rsidRPr="009B3747">
        <w:rPr>
          <w:rFonts w:eastAsia="Times New Roman" w:cstheme="minorHAnsi"/>
          <w:color w:val="000000"/>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“It’s a disgrace that in the Asda next to where I was working there’s a McDonalds across the road, a KFC and something else</w:t>
      </w:r>
      <w:r w:rsidR="00281979">
        <w:rPr>
          <w:rFonts w:eastAsia="Times New Roman" w:cstheme="minorHAnsi"/>
          <w:i/>
          <w:iCs/>
          <w:color w:val="000000"/>
          <w:sz w:val="20"/>
          <w:szCs w:val="20"/>
          <w:lang w:eastAsia="en-GB"/>
        </w:rPr>
        <w:t>,</w:t>
      </w:r>
      <w:r w:rsidRPr="009B3747">
        <w:rPr>
          <w:rFonts w:eastAsia="Times New Roman" w:cstheme="minorHAnsi"/>
          <w:i/>
          <w:iCs/>
          <w:color w:val="000000"/>
          <w:sz w:val="20"/>
          <w:szCs w:val="20"/>
          <w:lang w:eastAsia="en-GB"/>
        </w:rPr>
        <w:t xml:space="preserve"> but actually in Asda as you walk into Asda on the left hand side there’s another McDonalds.  It doesn’t have a big seating area, but it has, like a, almost like a, it's like</w:t>
      </w:r>
      <w:r w:rsidR="00C86DA7" w:rsidRPr="009B3747">
        <w:rPr>
          <w:rFonts w:eastAsia="Times New Roman" w:cstheme="minorHAnsi"/>
          <w:i/>
          <w:iCs/>
          <w:color w:val="000000"/>
          <w:sz w:val="20"/>
          <w:szCs w:val="20"/>
          <w:lang w:eastAsia="en-GB"/>
        </w:rPr>
        <w:t xml:space="preserve"> a, takeout if you like, a take</w:t>
      </w:r>
      <w:r w:rsidRPr="009B3747">
        <w:rPr>
          <w:rFonts w:eastAsia="Times New Roman" w:cstheme="minorHAnsi"/>
          <w:i/>
          <w:iCs/>
          <w:color w:val="000000"/>
          <w:sz w:val="20"/>
          <w:szCs w:val="20"/>
          <w:lang w:eastAsia="en-GB"/>
        </w:rPr>
        <w:t xml:space="preserve">out counter, so they’re going in to buy crap, they’re coming out with trolleys </w:t>
      </w:r>
      <w:r w:rsidRPr="009B3747">
        <w:rPr>
          <w:rFonts w:eastAsia="Times New Roman" w:cstheme="minorHAnsi"/>
          <w:i/>
          <w:iCs/>
          <w:color w:val="000000"/>
          <w:sz w:val="20"/>
          <w:szCs w:val="20"/>
          <w:lang w:eastAsia="en-GB"/>
        </w:rPr>
        <w:lastRenderedPageBreak/>
        <w:t>of crap and they get a McDonalds on the way out and I just, it’s getting people when they’re most vulnerable aren’t you.”  </w:t>
      </w:r>
      <w:r w:rsidRPr="009B3747">
        <w:rPr>
          <w:rFonts w:eastAsia="Times New Roman" w:cstheme="minorHAnsi"/>
          <w:b/>
          <w:bCs/>
          <w:color w:val="000000"/>
          <w:sz w:val="20"/>
          <w:szCs w:val="20"/>
          <w:lang w:eastAsia="en-GB"/>
        </w:rPr>
        <w:t xml:space="preserve">Participant 6 </w:t>
      </w:r>
      <w:r w:rsidR="00A43A37" w:rsidRPr="009B3747">
        <w:rPr>
          <w:rFonts w:eastAsia="Times New Roman" w:cstheme="minorHAnsi"/>
          <w:b/>
          <w:bCs/>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B87EE3" w:rsidP="006F36A0">
      <w:pPr>
        <w:rPr>
          <w:rFonts w:eastAsia="Times New Roman" w:cstheme="minorHAnsi"/>
          <w:sz w:val="24"/>
          <w:szCs w:val="24"/>
          <w:lang w:eastAsia="en-GB"/>
        </w:rPr>
      </w:pPr>
      <w:r>
        <w:rPr>
          <w:rFonts w:eastAsia="Times New Roman" w:cstheme="minorHAnsi"/>
          <w:color w:val="000000"/>
          <w:lang w:eastAsia="en-GB"/>
        </w:rPr>
        <w:t>T</w:t>
      </w:r>
      <w:r w:rsidR="006F36A0" w:rsidRPr="009B3747">
        <w:rPr>
          <w:rFonts w:eastAsia="Times New Roman" w:cstheme="minorHAnsi"/>
          <w:color w:val="000000"/>
          <w:lang w:eastAsia="en-GB"/>
        </w:rPr>
        <w:t>he majority perception was that the increasing presence of fast food retailers surrounding an adolescent</w:t>
      </w:r>
      <w:r w:rsidR="007F3CF4">
        <w:rPr>
          <w:rFonts w:eastAsia="Times New Roman" w:cstheme="minorHAnsi"/>
          <w:color w:val="000000"/>
          <w:lang w:eastAsia="en-GB"/>
        </w:rPr>
        <w:t>,</w:t>
      </w:r>
      <w:r w:rsidR="006F36A0" w:rsidRPr="009B3747">
        <w:rPr>
          <w:rFonts w:eastAsia="Times New Roman" w:cstheme="minorHAnsi"/>
          <w:color w:val="000000"/>
          <w:lang w:eastAsia="en-GB"/>
        </w:rPr>
        <w:t xml:space="preserve"> i.e. within the community they lived, strongly and negatively influen</w:t>
      </w:r>
      <w:r>
        <w:rPr>
          <w:rFonts w:eastAsia="Times New Roman" w:cstheme="minorHAnsi"/>
          <w:color w:val="000000"/>
          <w:lang w:eastAsia="en-GB"/>
        </w:rPr>
        <w:t>ces the type and amount of</w:t>
      </w:r>
      <w:r w:rsidR="006F36A0" w:rsidRPr="009B3747">
        <w:rPr>
          <w:rFonts w:eastAsia="Times New Roman" w:cstheme="minorHAnsi"/>
          <w:color w:val="000000"/>
          <w:lang w:eastAsia="en-GB"/>
        </w:rPr>
        <w:t xml:space="preserve"> food intake.  For many</w:t>
      </w:r>
      <w:r>
        <w:rPr>
          <w:rFonts w:eastAsia="Times New Roman" w:cstheme="minorHAnsi"/>
          <w:color w:val="000000"/>
          <w:lang w:eastAsia="en-GB"/>
        </w:rPr>
        <w:t>,</w:t>
      </w:r>
      <w:r w:rsidR="006F36A0" w:rsidRPr="009B3747">
        <w:rPr>
          <w:rFonts w:eastAsia="Times New Roman" w:cstheme="minorHAnsi"/>
          <w:color w:val="000000"/>
          <w:lang w:eastAsia="en-GB"/>
        </w:rPr>
        <w:t xml:space="preserve"> excessive availability had exposed weaknesses in </w:t>
      </w:r>
      <w:r w:rsidR="004B590A" w:rsidRPr="009B3747">
        <w:rPr>
          <w:rFonts w:eastAsia="Times New Roman" w:cstheme="minorHAnsi"/>
          <w:color w:val="000000"/>
          <w:lang w:eastAsia="en-GB"/>
        </w:rPr>
        <w:t>adolescents’</w:t>
      </w:r>
      <w:r w:rsidR="006F36A0" w:rsidRPr="009B3747">
        <w:rPr>
          <w:rFonts w:eastAsia="Times New Roman" w:cstheme="minorHAnsi"/>
          <w:color w:val="000000"/>
          <w:lang w:eastAsia="en-GB"/>
        </w:rPr>
        <w:t xml:space="preserve"> ability to make and sustain healthier choices</w:t>
      </w:r>
      <w:r>
        <w:rPr>
          <w:rFonts w:eastAsia="Times New Roman" w:cstheme="minorHAnsi"/>
          <w:color w:val="000000"/>
          <w:lang w:eastAsia="en-GB"/>
        </w:rPr>
        <w:t>.  This was of concern, given the general belief that, as age increases, adolescents should have increasing responsibility for their own choices.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A43A37" w:rsidRPr="009B3747" w:rsidRDefault="006F36A0" w:rsidP="006F36A0">
      <w:pPr>
        <w:ind w:left="720"/>
        <w:rPr>
          <w:rFonts w:eastAsia="Times New Roman" w:cstheme="minorHAnsi"/>
          <w:i/>
          <w:iCs/>
          <w:color w:val="000000"/>
          <w:sz w:val="20"/>
          <w:szCs w:val="20"/>
          <w:lang w:eastAsia="en-GB"/>
        </w:rPr>
      </w:pPr>
      <w:r w:rsidRPr="009B3747">
        <w:rPr>
          <w:rFonts w:eastAsia="Times New Roman" w:cstheme="minorHAnsi"/>
          <w:i/>
          <w:iCs/>
          <w:color w:val="000000"/>
          <w:sz w:val="20"/>
          <w:szCs w:val="20"/>
          <w:lang w:eastAsia="en-GB"/>
        </w:rPr>
        <w:t xml:space="preserve">“I went to the new Odeon in the city, the city has got a new six screen Odeon. My wife and I were utterly appalled at what was being offered to the children in terms of the popcorn, the bites and the massive buckets of Coke.  Young people were coming in and some of them children with trays of various you know high sugar drinks and snacks and that was at the cinema, they probably had something to eat beforehand and will probably have chips on the way home.”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Participant 18</w:t>
      </w:r>
      <w:r w:rsidR="00A43A37" w:rsidRPr="009B3747">
        <w:rPr>
          <w:rFonts w:eastAsia="Times New Roman" w:cstheme="minorHAnsi"/>
          <w:b/>
          <w:bCs/>
          <w:color w:val="000000"/>
          <w:sz w:val="20"/>
          <w:szCs w:val="20"/>
          <w:lang w:eastAsia="en-GB"/>
        </w:rPr>
        <w:t xml:space="preserve"> (Chair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However increasing accessibility was no</w:t>
      </w:r>
      <w:r w:rsidR="00B87EE3">
        <w:rPr>
          <w:rFonts w:eastAsia="Times New Roman" w:cstheme="minorHAnsi"/>
          <w:color w:val="000000"/>
          <w:lang w:eastAsia="en-GB"/>
        </w:rPr>
        <w:t>t a concern shared by all, with a</w:t>
      </w:r>
      <w:r w:rsidRPr="009B3747">
        <w:rPr>
          <w:rFonts w:eastAsia="Times New Roman" w:cstheme="minorHAnsi"/>
          <w:color w:val="000000"/>
          <w:lang w:eastAsia="en-GB"/>
        </w:rPr>
        <w:t xml:space="preserve"> smaller minority suggesting the importance of availability and choice across the wider food environment.  These participants supported the notion that the existence of fast food or convenience retailers was not necessarily a problem in itself</w:t>
      </w:r>
      <w:r w:rsidR="00B87EE3">
        <w:rPr>
          <w:rFonts w:eastAsia="Times New Roman" w:cstheme="minorHAnsi"/>
          <w:color w:val="000000"/>
          <w:lang w:eastAsia="en-GB"/>
        </w:rPr>
        <w:t>,</w:t>
      </w:r>
      <w:r w:rsidRPr="009B3747">
        <w:rPr>
          <w:rFonts w:eastAsia="Times New Roman" w:cstheme="minorHAnsi"/>
          <w:color w:val="000000"/>
          <w:lang w:eastAsia="en-GB"/>
        </w:rPr>
        <w:t xml:space="preserve"> if people utilised a balanced approach to consumption.</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“I think everything is alright in moderation. I think a McDonalds is a nice treat every so often.”  </w:t>
      </w:r>
      <w:r w:rsidRPr="009B3747">
        <w:rPr>
          <w:rFonts w:eastAsia="Times New Roman" w:cstheme="minorHAnsi"/>
          <w:b/>
          <w:bCs/>
          <w:color w:val="000000"/>
          <w:sz w:val="20"/>
          <w:szCs w:val="20"/>
          <w:lang w:eastAsia="en-GB"/>
        </w:rPr>
        <w:t>Participant 11</w:t>
      </w:r>
      <w:r w:rsidRPr="009B3747">
        <w:rPr>
          <w:rFonts w:eastAsia="Times New Roman" w:cstheme="minorHAnsi"/>
          <w:b/>
          <w:color w:val="000000"/>
          <w:sz w:val="20"/>
          <w:szCs w:val="20"/>
          <w:lang w:eastAsia="en-GB"/>
        </w:rPr>
        <w:t xml:space="preserve"> </w:t>
      </w:r>
      <w:r w:rsidR="00A43A37" w:rsidRPr="009B3747">
        <w:rPr>
          <w:rFonts w:eastAsia="Times New Roman" w:cstheme="minorHAnsi"/>
          <w:b/>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Particular frustrations by some headteachers were aimed at the proximity and range of unhealthy food and drink products</w:t>
      </w:r>
      <w:r w:rsidR="00B87EE3">
        <w:rPr>
          <w:rFonts w:eastAsia="Times New Roman" w:cstheme="minorHAnsi"/>
          <w:color w:val="000000"/>
          <w:lang w:eastAsia="en-GB"/>
        </w:rPr>
        <w:t>,</w:t>
      </w:r>
      <w:r w:rsidRPr="009B3747">
        <w:rPr>
          <w:rFonts w:eastAsia="Times New Roman" w:cstheme="minorHAnsi"/>
          <w:color w:val="000000"/>
          <w:lang w:eastAsia="en-GB"/>
        </w:rPr>
        <w:t xml:space="preserve"> for sale immediately near to their school.  An adolescents ease of access to local retailers or caterers selli</w:t>
      </w:r>
      <w:r w:rsidR="00B87EE3">
        <w:rPr>
          <w:rFonts w:eastAsia="Times New Roman" w:cstheme="minorHAnsi"/>
          <w:color w:val="000000"/>
          <w:lang w:eastAsia="en-GB"/>
        </w:rPr>
        <w:t xml:space="preserve">ng items such as energy drinks </w:t>
      </w:r>
      <w:r w:rsidRPr="009B3747">
        <w:rPr>
          <w:rFonts w:eastAsia="Times New Roman" w:cstheme="minorHAnsi"/>
          <w:color w:val="000000"/>
          <w:lang w:eastAsia="en-GB"/>
        </w:rPr>
        <w:t>or junk food</w:t>
      </w:r>
      <w:r w:rsidR="00B87EE3">
        <w:rPr>
          <w:rFonts w:eastAsia="Times New Roman" w:cstheme="minorHAnsi"/>
          <w:color w:val="000000"/>
          <w:lang w:eastAsia="en-GB"/>
        </w:rPr>
        <w:t>,</w:t>
      </w:r>
      <w:r w:rsidRPr="009B3747">
        <w:rPr>
          <w:rFonts w:eastAsia="Times New Roman" w:cstheme="minorHAnsi"/>
          <w:color w:val="000000"/>
          <w:lang w:eastAsia="en-GB"/>
        </w:rPr>
        <w:t xml:space="preserve"> was viewed as un</w:t>
      </w:r>
      <w:r w:rsidR="00B87EE3">
        <w:rPr>
          <w:rFonts w:eastAsia="Times New Roman" w:cstheme="minorHAnsi"/>
          <w:color w:val="000000"/>
          <w:lang w:eastAsia="en-GB"/>
        </w:rPr>
        <w:t xml:space="preserve">dermining a school's </w:t>
      </w:r>
      <w:r w:rsidRPr="009B3747">
        <w:rPr>
          <w:rFonts w:eastAsia="Times New Roman" w:cstheme="minorHAnsi"/>
          <w:color w:val="000000"/>
          <w:lang w:eastAsia="en-GB"/>
        </w:rPr>
        <w:t>ability to improve healthy eating behaviours within their setting.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“The local sweet shop selling crisps and choco</w:t>
      </w:r>
      <w:r w:rsidR="009025E2">
        <w:rPr>
          <w:rFonts w:eastAsia="Times New Roman" w:cstheme="minorHAnsi"/>
          <w:i/>
          <w:iCs/>
          <w:color w:val="000000"/>
          <w:sz w:val="20"/>
          <w:szCs w:val="20"/>
          <w:lang w:eastAsia="en-GB"/>
        </w:rPr>
        <w:t xml:space="preserve">late and all that kind of stuff, </w:t>
      </w:r>
      <w:r w:rsidRPr="009B3747">
        <w:rPr>
          <w:rFonts w:eastAsia="Times New Roman" w:cstheme="minorHAnsi"/>
          <w:i/>
          <w:iCs/>
          <w:color w:val="000000"/>
          <w:sz w:val="20"/>
          <w:szCs w:val="20"/>
          <w:lang w:eastAsia="en-GB"/>
        </w:rPr>
        <w:t xml:space="preserve">which however much you try as a school you can try and deal with, there are plenty of other providers, people who will park a fish and van shop outside a school.”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 xml:space="preserve">Participant 3 </w:t>
      </w:r>
      <w:r w:rsidR="00A43A37" w:rsidRPr="009B3747">
        <w:rPr>
          <w:rFonts w:eastAsia="Times New Roman" w:cstheme="minorHAnsi"/>
          <w:b/>
          <w:bCs/>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lastRenderedPageBreak/>
        <w:t>Supporting the proposed connection between school proximity to fast or junk food retailers and adolescent dietary habits, two headteachers suggested their rural as opposed to urban geographical location reduced the impact of this issue for their school</w:t>
      </w:r>
      <w:r w:rsidR="00B87EE3">
        <w:rPr>
          <w:rFonts w:eastAsia="Times New Roman" w:cstheme="minorHAnsi"/>
          <w:color w:val="000000"/>
          <w:lang w:eastAsia="en-GB"/>
        </w:rPr>
        <w:t>.</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“We’re lucky in one way here because there aren’t a lot of fast food outlets and so the students are often bused in so they, their diet is well controlled and so we know that within the town there are one or two students who will go to the local Spa shop to buy drinks, sugary drinks. We’ve asked that shop not to sell them to those students.”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Participant 16</w:t>
      </w:r>
      <w:r w:rsidRPr="009B3747">
        <w:rPr>
          <w:rFonts w:eastAsia="Times New Roman" w:cstheme="minorHAnsi"/>
          <w:b/>
          <w:color w:val="000000"/>
          <w:sz w:val="20"/>
          <w:szCs w:val="20"/>
          <w:lang w:eastAsia="en-GB"/>
        </w:rPr>
        <w:t xml:space="preserve"> </w:t>
      </w:r>
      <w:r w:rsidR="00A43A37" w:rsidRPr="009B3747">
        <w:rPr>
          <w:rFonts w:eastAsia="Times New Roman" w:cstheme="minorHAnsi"/>
          <w:b/>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 xml:space="preserve">Compounding the perceived problem of a societal wide increase in the availability and consumption of convenience foods, was the use of marketing in the wider food environment.  Some participants viewed </w:t>
      </w:r>
      <w:r w:rsidR="00760AF5" w:rsidRPr="009B3747">
        <w:rPr>
          <w:rFonts w:eastAsia="Times New Roman" w:cstheme="minorHAnsi"/>
          <w:color w:val="000000"/>
          <w:lang w:eastAsia="en-GB"/>
        </w:rPr>
        <w:t>adolescents’</w:t>
      </w:r>
      <w:r w:rsidRPr="009B3747">
        <w:rPr>
          <w:rFonts w:eastAsia="Times New Roman" w:cstheme="minorHAnsi"/>
          <w:color w:val="000000"/>
          <w:lang w:eastAsia="en-GB"/>
        </w:rPr>
        <w:t xml:space="preserve"> dietary choices and preferences being shaped and influenced by the advertising and promotions utilised by food companies.  The general perception was that both media adver</w:t>
      </w:r>
      <w:r w:rsidR="00371430" w:rsidRPr="009B3747">
        <w:rPr>
          <w:rFonts w:eastAsia="Times New Roman" w:cstheme="minorHAnsi"/>
          <w:color w:val="000000"/>
          <w:lang w:eastAsia="en-GB"/>
        </w:rPr>
        <w:t xml:space="preserve">tising and in-store promotions </w:t>
      </w:r>
      <w:r w:rsidRPr="009B3747">
        <w:rPr>
          <w:rFonts w:eastAsia="Times New Roman" w:cstheme="minorHAnsi"/>
          <w:color w:val="000000"/>
          <w:lang w:eastAsia="en-GB"/>
        </w:rPr>
        <w:t>were disp</w:t>
      </w:r>
      <w:r w:rsidR="00371430" w:rsidRPr="009B3747">
        <w:rPr>
          <w:rFonts w:eastAsia="Times New Roman" w:cstheme="minorHAnsi"/>
          <w:color w:val="000000"/>
          <w:lang w:eastAsia="en-GB"/>
        </w:rPr>
        <w:t>ropor</w:t>
      </w:r>
      <w:r w:rsidRPr="009B3747">
        <w:rPr>
          <w:rFonts w:eastAsia="Times New Roman" w:cstheme="minorHAnsi"/>
          <w:color w:val="000000"/>
          <w:lang w:eastAsia="en-GB"/>
        </w:rPr>
        <w:t>tionately focused on unhealthier food and drink products.  This for some, assisted in a perpetuating cycle of demand for junk and fast food not only by adolescents</w:t>
      </w:r>
      <w:r w:rsidR="00EB44DD">
        <w:rPr>
          <w:rFonts w:eastAsia="Times New Roman" w:cstheme="minorHAnsi"/>
          <w:color w:val="000000"/>
          <w:lang w:eastAsia="en-GB"/>
        </w:rPr>
        <w:t>,</w:t>
      </w:r>
      <w:r w:rsidRPr="009B3747">
        <w:rPr>
          <w:rFonts w:eastAsia="Times New Roman" w:cstheme="minorHAnsi"/>
          <w:color w:val="000000"/>
          <w:lang w:eastAsia="en-GB"/>
        </w:rPr>
        <w:t xml:space="preserve"> but children and adults.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“So a k</w:t>
      </w:r>
      <w:r w:rsidR="00760AF5" w:rsidRPr="009B3747">
        <w:rPr>
          <w:rFonts w:eastAsia="Times New Roman" w:cstheme="minorHAnsi"/>
          <w:i/>
          <w:iCs/>
          <w:color w:val="000000"/>
          <w:sz w:val="20"/>
          <w:szCs w:val="20"/>
          <w:lang w:eastAsia="en-GB"/>
        </w:rPr>
        <w:t xml:space="preserve">id goes into a shop and buys a </w:t>
      </w:r>
      <w:r w:rsidRPr="009B3747">
        <w:rPr>
          <w:rFonts w:eastAsia="Times New Roman" w:cstheme="minorHAnsi"/>
          <w:i/>
          <w:iCs/>
          <w:color w:val="000000"/>
          <w:sz w:val="20"/>
          <w:szCs w:val="20"/>
          <w:lang w:eastAsia="en-GB"/>
        </w:rPr>
        <w:t>bag of crisps or nine bags of crisps cos you know you do have kids who arrive at school who’ve spent, “oh they’re on special offer down the road”, and they walk in.”  </w:t>
      </w:r>
      <w:r w:rsidRPr="009B3747">
        <w:rPr>
          <w:rFonts w:eastAsia="Times New Roman" w:cstheme="minorHAnsi"/>
          <w:b/>
          <w:bCs/>
          <w:color w:val="000000"/>
          <w:sz w:val="20"/>
          <w:szCs w:val="20"/>
          <w:lang w:eastAsia="en-GB"/>
        </w:rPr>
        <w:t xml:space="preserve">Participant 6 </w:t>
      </w:r>
      <w:r w:rsidR="00A43A37" w:rsidRPr="009B3747">
        <w:rPr>
          <w:rFonts w:eastAsia="Times New Roman" w:cstheme="minorHAnsi"/>
          <w:b/>
          <w:bCs/>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Despite these concerns, some proposed the positive albeit potentially limited role of celebrities in advertising healthier food products</w:t>
      </w:r>
      <w:r w:rsidR="004C584B">
        <w:rPr>
          <w:rFonts w:eastAsia="Times New Roman" w:cstheme="minorHAnsi"/>
          <w:color w:val="000000"/>
          <w:lang w:eastAsia="en-GB"/>
        </w:rPr>
        <w:t>,</w:t>
      </w:r>
      <w:r w:rsidRPr="009B3747">
        <w:rPr>
          <w:rFonts w:eastAsia="Times New Roman" w:cstheme="minorHAnsi"/>
          <w:color w:val="000000"/>
          <w:lang w:eastAsia="en-GB"/>
        </w:rPr>
        <w:t xml:space="preserve"> and in the promotion of healthier choices to children and adolescents.  Most notably was the frequent reference made again to Jamie Oliver and his role in improving healthier food and increasing cooking in schools and families alike.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“There are different standards that have come in since Jamie Oliver., And I think he has had quite a big impact to be fair, I think he has had an impact on how schools, it definitely makes schools think about what they give kids now.”  </w:t>
      </w:r>
      <w:r w:rsidRPr="009B3747">
        <w:rPr>
          <w:rFonts w:eastAsia="Times New Roman" w:cstheme="minorHAnsi"/>
          <w:b/>
          <w:bCs/>
          <w:color w:val="000000"/>
          <w:sz w:val="20"/>
          <w:szCs w:val="20"/>
          <w:lang w:eastAsia="en-GB"/>
        </w:rPr>
        <w:t>Participant 21</w:t>
      </w:r>
      <w:r w:rsidRPr="009B3747">
        <w:rPr>
          <w:rFonts w:eastAsia="Times New Roman" w:cstheme="minorHAnsi"/>
          <w:color w:val="000000"/>
          <w:sz w:val="20"/>
          <w:szCs w:val="20"/>
          <w:lang w:eastAsia="en-GB"/>
        </w:rPr>
        <w:t xml:space="preserve"> </w:t>
      </w:r>
      <w:r w:rsidR="00A43A37" w:rsidRPr="009B3747">
        <w:rPr>
          <w:rFonts w:eastAsia="Times New Roman" w:cstheme="minorHAnsi"/>
          <w:b/>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A universal feature of most discussions was the impact of food cost throughout the wider food environment and how this influenced the decision making of food purchases by adolescents and their families.  A discord existed for many</w:t>
      </w:r>
      <w:r w:rsidR="004C584B">
        <w:rPr>
          <w:rFonts w:eastAsia="Times New Roman" w:cstheme="minorHAnsi"/>
          <w:color w:val="000000"/>
          <w:lang w:eastAsia="en-GB"/>
        </w:rPr>
        <w:t>,</w:t>
      </w:r>
      <w:r w:rsidRPr="009B3747">
        <w:rPr>
          <w:rFonts w:eastAsia="Times New Roman" w:cstheme="minorHAnsi"/>
          <w:color w:val="000000"/>
          <w:lang w:eastAsia="en-GB"/>
        </w:rPr>
        <w:t xml:space="preserve"> in relation to the variation in pricing between convenience and non-convenience food, with the former being perceived as typically cheaper and </w:t>
      </w:r>
      <w:r w:rsidRPr="009B3747">
        <w:rPr>
          <w:rFonts w:eastAsia="Times New Roman" w:cstheme="minorHAnsi"/>
          <w:color w:val="000000"/>
          <w:lang w:eastAsia="en-GB"/>
        </w:rPr>
        <w:lastRenderedPageBreak/>
        <w:t>more affordable.  Consequently both headteachers and chairs of governors evidenced the belief that eating a healthier and indeed more nutritious diet was more expensive.</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“And the other issue is that convenience food’s so cheap and that fruit and vegetables are so expensive, I know that myself, so it’s cheaper to eat unhealthy, so it’s that’s another issue in itself...you can buy a packet of four croissants, big giant chocolate croissants for 50p, at the corner shop and that’s what they’ll have for their packed lunch because it’s cheap or like they’ll buy a packet of Greggs sausage rolls, five pack for whatever”.  </w:t>
      </w:r>
      <w:r w:rsidRPr="009B3747">
        <w:rPr>
          <w:rFonts w:eastAsia="Times New Roman" w:cstheme="minorHAnsi"/>
          <w:b/>
          <w:bCs/>
          <w:color w:val="000000"/>
          <w:sz w:val="20"/>
          <w:szCs w:val="20"/>
          <w:lang w:eastAsia="en-GB"/>
        </w:rPr>
        <w:t>Participant 11</w:t>
      </w:r>
      <w:r w:rsidRPr="009B3747">
        <w:rPr>
          <w:rFonts w:eastAsia="Times New Roman" w:cstheme="minorHAnsi"/>
          <w:color w:val="000000"/>
          <w:sz w:val="20"/>
          <w:szCs w:val="20"/>
          <w:lang w:eastAsia="en-GB"/>
        </w:rPr>
        <w:t xml:space="preserve"> </w:t>
      </w:r>
      <w:r w:rsidR="00A43A37" w:rsidRPr="009B3747">
        <w:rPr>
          <w:rFonts w:eastAsia="Times New Roman" w:cstheme="minorHAnsi"/>
          <w:b/>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One headteacher expressed a different opinion to the majority view.  He proposed that alternative factors such as a lack of awareness or education about unhealthy foods</w:t>
      </w:r>
      <w:r w:rsidR="004C584B">
        <w:rPr>
          <w:rFonts w:eastAsia="Times New Roman" w:cstheme="minorHAnsi"/>
          <w:color w:val="000000"/>
          <w:lang w:eastAsia="en-GB"/>
        </w:rPr>
        <w:t>, negatively affects the</w:t>
      </w:r>
      <w:r w:rsidRPr="009B3747">
        <w:rPr>
          <w:rFonts w:eastAsia="Times New Roman" w:cstheme="minorHAnsi"/>
          <w:color w:val="000000"/>
          <w:lang w:eastAsia="en-GB"/>
        </w:rPr>
        <w:t xml:space="preserve"> dietary habits of particular adolescents and families within the school’s local community.</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 xml:space="preserve">Many participants revealed strong criticism at certain fast food companies who were deemed to prioritise profits and margins over people’s health and well-being.  Selling vast quantities of typically poor quality, non-nutritious convenience foods at a low cost.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“We’ve been led astray by, by, from companies wanting to profit from sugar and not care about the consequence”.  </w:t>
      </w:r>
      <w:r w:rsidRPr="009B3747">
        <w:rPr>
          <w:rFonts w:eastAsia="Times New Roman" w:cstheme="minorHAnsi"/>
          <w:b/>
          <w:bCs/>
          <w:color w:val="000000"/>
          <w:sz w:val="20"/>
          <w:szCs w:val="20"/>
          <w:lang w:eastAsia="en-GB"/>
        </w:rPr>
        <w:t>Participant 12</w:t>
      </w:r>
      <w:r w:rsidR="00A43A37" w:rsidRPr="009B3747">
        <w:rPr>
          <w:rFonts w:eastAsia="Times New Roman" w:cstheme="minorHAnsi"/>
          <w:b/>
          <w:bCs/>
          <w:color w:val="000000"/>
          <w:sz w:val="20"/>
          <w:szCs w:val="20"/>
          <w:lang w:eastAsia="en-GB"/>
        </w:rPr>
        <w:t xml:space="preserve"> (Chair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Overall, despite the vast majority of participants proposing a negative reciprocal relationship between aspects of the wider food environment (i.e. societal changes, food acc</w:t>
      </w:r>
      <w:r w:rsidR="004C584B">
        <w:rPr>
          <w:rFonts w:eastAsia="Times New Roman" w:cstheme="minorHAnsi"/>
          <w:color w:val="000000"/>
          <w:lang w:eastAsia="en-GB"/>
        </w:rPr>
        <w:t xml:space="preserve">essibility, marketing and cost), </w:t>
      </w:r>
      <w:r w:rsidRPr="009B3747">
        <w:rPr>
          <w:rFonts w:eastAsia="Times New Roman" w:cstheme="minorHAnsi"/>
          <w:color w:val="000000"/>
          <w:lang w:eastAsia="en-GB"/>
        </w:rPr>
        <w:t>and the impact on adolescent dietary habits and obesity, a small minority refuted the inevitability of this link.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Representing a state funded school (although previously independent) and an independent school, two participants discussed the potential role and ability of a family and school culture in counteracting the various detrimental influences from the wider food environment.</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A43A37" w:rsidRPr="009B3747" w:rsidRDefault="006F36A0" w:rsidP="006F36A0">
      <w:pPr>
        <w:ind w:left="720"/>
        <w:rPr>
          <w:rFonts w:eastAsia="Times New Roman" w:cstheme="minorHAnsi"/>
          <w:color w:val="000000"/>
          <w:sz w:val="20"/>
          <w:szCs w:val="20"/>
          <w:lang w:eastAsia="en-GB"/>
        </w:rPr>
      </w:pPr>
      <w:r w:rsidRPr="009B3747">
        <w:rPr>
          <w:rFonts w:eastAsia="Times New Roman" w:cstheme="minorHAnsi"/>
          <w:i/>
          <w:iCs/>
          <w:color w:val="000000"/>
          <w:sz w:val="20"/>
          <w:szCs w:val="20"/>
          <w:lang w:eastAsia="en-GB"/>
        </w:rPr>
        <w:t>“If the family values and attitudes and lifestyle clearly exclude the baddy, multinationals then they’re not a threat to them, if the family values quite happy with eating that kind of foods, these companies will take advantage of it. I know the corn syrup that’s used is outrageous</w:t>
      </w:r>
      <w:r w:rsidR="00EB44DD">
        <w:rPr>
          <w:rFonts w:eastAsia="Times New Roman" w:cstheme="minorHAnsi"/>
          <w:i/>
          <w:iCs/>
          <w:color w:val="000000"/>
          <w:sz w:val="20"/>
          <w:szCs w:val="20"/>
          <w:lang w:eastAsia="en-GB"/>
        </w:rPr>
        <w:t>,</w:t>
      </w:r>
      <w:r w:rsidRPr="009B3747">
        <w:rPr>
          <w:rFonts w:eastAsia="Times New Roman" w:cstheme="minorHAnsi"/>
          <w:i/>
          <w:iCs/>
          <w:color w:val="000000"/>
          <w:sz w:val="20"/>
          <w:szCs w:val="20"/>
          <w:lang w:eastAsia="en-GB"/>
        </w:rPr>
        <w:t xml:space="preserve"> but I would suspect you would find very few families here that would touch it with a barge pole.” </w:t>
      </w:r>
      <w:r w:rsidRPr="009B3747">
        <w:rPr>
          <w:rFonts w:eastAsia="Times New Roman" w:cstheme="minorHAnsi"/>
          <w:color w:val="000000"/>
          <w:sz w:val="20"/>
          <w:szCs w:val="20"/>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b/>
          <w:bCs/>
          <w:color w:val="000000"/>
          <w:sz w:val="20"/>
          <w:szCs w:val="20"/>
          <w:lang w:eastAsia="en-GB"/>
        </w:rPr>
        <w:t>Participant 17</w:t>
      </w:r>
      <w:r w:rsidR="00A43A37" w:rsidRPr="009B3747">
        <w:rPr>
          <w:rFonts w:eastAsia="Times New Roman" w:cstheme="minorHAnsi"/>
          <w:b/>
          <w:bCs/>
          <w:color w:val="000000"/>
          <w:sz w:val="20"/>
          <w:szCs w:val="20"/>
          <w:lang w:eastAsia="en-GB"/>
        </w:rPr>
        <w:t xml:space="preserve"> (Headteacher)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991D2F" w:rsidP="006F36A0">
      <w:pPr>
        <w:rPr>
          <w:rFonts w:eastAsia="Times New Roman" w:cstheme="minorHAnsi"/>
          <w:sz w:val="24"/>
          <w:szCs w:val="24"/>
          <w:u w:val="single"/>
          <w:lang w:eastAsia="en-GB"/>
        </w:rPr>
      </w:pPr>
      <w:r w:rsidRPr="009B3747">
        <w:rPr>
          <w:rFonts w:eastAsia="Times New Roman" w:cstheme="minorHAnsi"/>
          <w:iCs/>
          <w:color w:val="000000"/>
          <w:u w:val="single"/>
          <w:lang w:eastAsia="en-GB"/>
        </w:rPr>
        <w:lastRenderedPageBreak/>
        <w:t>6.</w:t>
      </w:r>
      <w:r w:rsidR="00551065" w:rsidRPr="009B3747">
        <w:rPr>
          <w:rFonts w:eastAsia="Times New Roman" w:cstheme="minorHAnsi"/>
          <w:iCs/>
          <w:color w:val="000000"/>
          <w:u w:val="single"/>
          <w:lang w:eastAsia="en-GB"/>
        </w:rPr>
        <w:t>5</w:t>
      </w:r>
      <w:r w:rsidR="006F36A0" w:rsidRPr="009B3747">
        <w:rPr>
          <w:rFonts w:eastAsia="Times New Roman" w:cstheme="minorHAnsi"/>
          <w:iCs/>
          <w:color w:val="000000"/>
          <w:u w:val="single"/>
          <w:lang w:eastAsia="en-GB"/>
        </w:rPr>
        <w:t>.3 Deprivation</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Further compounding the negatives influences associated with some adolescent home and wider food environments was the impact of deprivation.  Headteachers and chairs of governors regardless of the stratas they represented, frequently evidenced the opinion that significant inequalities exist in society relating to the distribution of wealth.  In the main the terms social class and middle and lower class were used to distinguish key societal differences in wealth they felt existed.  As a result of the perceived inequality and differences in social class, many participants from both state funded and independent schools referred to the existence of deprivation across society.  For those representing schools with higher free school meal percentages, significant concerns were expressed about the substantial prevalence of disadvantage in the comm</w:t>
      </w:r>
      <w:r w:rsidR="004C584B">
        <w:rPr>
          <w:rFonts w:eastAsia="Times New Roman" w:cstheme="minorHAnsi"/>
          <w:color w:val="000000"/>
          <w:lang w:eastAsia="en-GB"/>
        </w:rPr>
        <w:t xml:space="preserve">unities their school serves.  </w:t>
      </w:r>
      <w:r w:rsidRPr="009B3747">
        <w:rPr>
          <w:rFonts w:eastAsia="Times New Roman" w:cstheme="minorHAnsi"/>
          <w:color w:val="000000"/>
          <w:lang w:eastAsia="en-GB"/>
        </w:rPr>
        <w:t>Across the board and within each strata, participants identified a relationship between increasing deprivation and poorer outcomes for health and well-being.</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color w:val="000000"/>
          <w:lang w:eastAsia="en-GB"/>
        </w:rPr>
        <w:t>“</w:t>
      </w:r>
      <w:r w:rsidRPr="009B3747">
        <w:rPr>
          <w:rFonts w:eastAsia="Times New Roman" w:cstheme="minorHAnsi"/>
          <w:i/>
          <w:iCs/>
          <w:color w:val="000000"/>
          <w:sz w:val="20"/>
          <w:szCs w:val="20"/>
          <w:lang w:eastAsia="en-GB"/>
        </w:rPr>
        <w:t>I think there is a stat that if you’re born East of a particular street in the city your life expectancy (is) eight and a half years shorter than if you’re born west of it. That's astonishing….At heart there is a social issue, if you go to poorer areas I suspect that the stats would say there’s more obesity. Well that’s the root cause.”  </w:t>
      </w:r>
      <w:r w:rsidRPr="009B3747">
        <w:rPr>
          <w:rFonts w:eastAsia="Times New Roman" w:cstheme="minorHAnsi"/>
          <w:b/>
          <w:bCs/>
          <w:color w:val="000000"/>
          <w:sz w:val="20"/>
          <w:szCs w:val="20"/>
          <w:lang w:eastAsia="en-GB"/>
        </w:rPr>
        <w:t>Participant 14</w:t>
      </w:r>
      <w:r w:rsidRPr="009B3747">
        <w:rPr>
          <w:rFonts w:eastAsia="Times New Roman" w:cstheme="minorHAnsi"/>
          <w:b/>
          <w:color w:val="000000"/>
          <w:sz w:val="20"/>
          <w:szCs w:val="20"/>
          <w:lang w:eastAsia="en-GB"/>
        </w:rPr>
        <w:t xml:space="preserve"> </w:t>
      </w:r>
      <w:r w:rsidR="00A43A37" w:rsidRPr="009B3747">
        <w:rPr>
          <w:rFonts w:eastAsia="Times New Roman" w:cstheme="minorHAnsi"/>
          <w:b/>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This relationship was again proposed in relation to obesity and lifestyle behaviours.  As detailed across theme 1, both headteachers and chairs of governors identified that obesi</w:t>
      </w:r>
      <w:r w:rsidR="004C584B">
        <w:rPr>
          <w:rFonts w:eastAsia="Times New Roman" w:cstheme="minorHAnsi"/>
          <w:color w:val="000000"/>
          <w:lang w:eastAsia="en-GB"/>
        </w:rPr>
        <w:t xml:space="preserve">ty and unhealthy dietary habits, </w:t>
      </w:r>
      <w:r w:rsidRPr="009B3747">
        <w:rPr>
          <w:rFonts w:eastAsia="Times New Roman" w:cstheme="minorHAnsi"/>
          <w:color w:val="000000"/>
          <w:lang w:eastAsia="en-GB"/>
        </w:rPr>
        <w:t>were disproportionately evident in adolescents and families from more deprived communities.  Participants reflected on how deprivation within the home environment or community compounds or indeed causes the issue of excess weight and unhealthier lifestyle behaviours.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In offering explanations for this link, the role of poverty was proposed by participants especially in state-funded schools with higher free school meal percentages.  Poverty and low incomes more broadly were seen as a driver influencing the type and amount of food consumption by adolescents and their families.  Given that participants identified junk, fast and convenience food is typically cheaper, for adolescents and their parents with limited budgets choosing these options was deemed at times to be out of financial necessity.</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lastRenderedPageBreak/>
        <w:t>“There will be children who can’t eat healthily at home, who are filling up on cheap food because that’s all they can afford.”  </w:t>
      </w:r>
      <w:r w:rsidRPr="009B3747">
        <w:rPr>
          <w:rFonts w:eastAsia="Times New Roman" w:cstheme="minorHAnsi"/>
          <w:b/>
          <w:bCs/>
          <w:color w:val="000000"/>
          <w:sz w:val="20"/>
          <w:szCs w:val="20"/>
          <w:lang w:eastAsia="en-GB"/>
        </w:rPr>
        <w:t>Participant 2</w:t>
      </w:r>
      <w:r w:rsidR="00A43A37" w:rsidRPr="009B3747">
        <w:rPr>
          <w:rFonts w:eastAsia="Times New Roman" w:cstheme="minorHAnsi"/>
          <w:b/>
          <w:bCs/>
          <w:color w:val="000000"/>
          <w:sz w:val="20"/>
          <w:szCs w:val="20"/>
          <w:lang w:eastAsia="en-GB"/>
        </w:rPr>
        <w:t xml:space="preserve"> (Chair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A43A37" w:rsidRPr="009B3747" w:rsidRDefault="006F36A0" w:rsidP="006F36A0">
      <w:pPr>
        <w:ind w:left="720"/>
        <w:rPr>
          <w:rFonts w:eastAsia="Times New Roman" w:cstheme="minorHAnsi"/>
          <w:i/>
          <w:iCs/>
          <w:color w:val="000000"/>
          <w:sz w:val="20"/>
          <w:szCs w:val="20"/>
          <w:lang w:eastAsia="en-GB"/>
        </w:rPr>
      </w:pPr>
      <w:r w:rsidRPr="009B3747">
        <w:rPr>
          <w:rFonts w:eastAsia="Times New Roman" w:cstheme="minorHAnsi"/>
          <w:i/>
          <w:iCs/>
          <w:color w:val="000000"/>
          <w:sz w:val="20"/>
          <w:szCs w:val="20"/>
          <w:lang w:eastAsia="en-GB"/>
        </w:rPr>
        <w:t>“Poverty of course that’s the other thing, that would fix it.  If you actually, if you resolve poverty people won't feel like the fast food option is the only way they can get a decent meal or fill their kids up, I’m not saying that is the only way</w:t>
      </w:r>
      <w:r w:rsidR="00EB44DD">
        <w:rPr>
          <w:rFonts w:eastAsia="Times New Roman" w:cstheme="minorHAnsi"/>
          <w:i/>
          <w:iCs/>
          <w:color w:val="000000"/>
          <w:sz w:val="20"/>
          <w:szCs w:val="20"/>
          <w:lang w:eastAsia="en-GB"/>
        </w:rPr>
        <w:t>,</w:t>
      </w:r>
      <w:r w:rsidRPr="009B3747">
        <w:rPr>
          <w:rFonts w:eastAsia="Times New Roman" w:cstheme="minorHAnsi"/>
          <w:i/>
          <w:iCs/>
          <w:color w:val="000000"/>
          <w:sz w:val="20"/>
          <w:szCs w:val="20"/>
          <w:lang w:eastAsia="en-GB"/>
        </w:rPr>
        <w:t xml:space="preserve"> but that’s what they think.  That would help.”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b/>
          <w:bCs/>
          <w:color w:val="000000"/>
          <w:sz w:val="20"/>
          <w:szCs w:val="20"/>
          <w:lang w:eastAsia="en-GB"/>
        </w:rPr>
        <w:t>Participant 9</w:t>
      </w:r>
      <w:r w:rsidRPr="009B3747">
        <w:rPr>
          <w:rFonts w:eastAsia="Times New Roman" w:cstheme="minorHAnsi"/>
          <w:b/>
          <w:color w:val="000000"/>
          <w:sz w:val="20"/>
          <w:szCs w:val="20"/>
          <w:lang w:eastAsia="en-GB"/>
        </w:rPr>
        <w:t xml:space="preserve"> </w:t>
      </w:r>
      <w:r w:rsidR="00A43A37" w:rsidRPr="009B3747">
        <w:rPr>
          <w:rFonts w:eastAsia="Times New Roman" w:cstheme="minorHAnsi"/>
          <w:b/>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For those pupils and their families experiencing poverty in the communities surrounding a participant's school, not only did having a low income influence the overconsumption of unhealthy foods, it was also seen to restrict the ability to access nutritious foods important for health.  Examples given to support this argument included the higher cost of fruit and vegetables in comparison to processed foods.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A43A37" w:rsidRPr="009B3747" w:rsidRDefault="006F36A0" w:rsidP="006F36A0">
      <w:pPr>
        <w:ind w:left="720"/>
        <w:rPr>
          <w:rFonts w:eastAsia="Times New Roman" w:cstheme="minorHAnsi"/>
          <w:i/>
          <w:iCs/>
          <w:color w:val="000000"/>
          <w:sz w:val="20"/>
          <w:szCs w:val="20"/>
          <w:lang w:eastAsia="en-GB"/>
        </w:rPr>
      </w:pPr>
      <w:r w:rsidRPr="009B3747">
        <w:rPr>
          <w:rFonts w:eastAsia="Times New Roman" w:cstheme="minorHAnsi"/>
          <w:i/>
          <w:iCs/>
          <w:color w:val="000000"/>
          <w:sz w:val="20"/>
          <w:szCs w:val="20"/>
          <w:lang w:eastAsia="en-GB"/>
        </w:rPr>
        <w:t>“So you might pay a pound for a bag of oranges and a pound for Happy Shopper custard creams</w:t>
      </w:r>
      <w:r w:rsidR="00EB44DD">
        <w:rPr>
          <w:rFonts w:eastAsia="Times New Roman" w:cstheme="minorHAnsi"/>
          <w:i/>
          <w:iCs/>
          <w:color w:val="000000"/>
          <w:sz w:val="20"/>
          <w:szCs w:val="20"/>
          <w:lang w:eastAsia="en-GB"/>
        </w:rPr>
        <w:t>,</w:t>
      </w:r>
      <w:r w:rsidRPr="009B3747">
        <w:rPr>
          <w:rFonts w:eastAsia="Times New Roman" w:cstheme="minorHAnsi"/>
          <w:i/>
          <w:iCs/>
          <w:color w:val="000000"/>
          <w:sz w:val="20"/>
          <w:szCs w:val="20"/>
          <w:lang w:eastAsia="en-GB"/>
        </w:rPr>
        <w:t xml:space="preserve"> but there’s a reliability about the custard creams that there isn’t about the bag of oranges. Half of them might be bad and then what do you do when you don’t have very much more money.”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b/>
          <w:bCs/>
          <w:color w:val="000000"/>
          <w:sz w:val="20"/>
          <w:szCs w:val="20"/>
          <w:lang w:eastAsia="en-GB"/>
        </w:rPr>
        <w:t>Participant 20</w:t>
      </w:r>
      <w:r w:rsidRPr="009B3747">
        <w:rPr>
          <w:rFonts w:eastAsia="Times New Roman" w:cstheme="minorHAnsi"/>
          <w:b/>
          <w:color w:val="000000"/>
          <w:sz w:val="20"/>
          <w:szCs w:val="20"/>
          <w:lang w:eastAsia="en-GB"/>
        </w:rPr>
        <w:t xml:space="preserve"> </w:t>
      </w:r>
      <w:r w:rsidR="00A43A37" w:rsidRPr="009B3747">
        <w:rPr>
          <w:rFonts w:eastAsia="Times New Roman" w:cstheme="minorHAnsi"/>
          <w:b/>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Some identified therefore, that despite adolescents and their parents from areas of deprivation being more at risk of obesity, they were also more at risk of malnourishment.  This was attributed to the disproportionate and excessive consumption of cheap yet energy dense food that provided little if any nutritional value.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“I was also surprised at how small the school felt in terms of the students, in terms of their physicality.  I do think that so</w:t>
      </w:r>
      <w:r w:rsidR="00EB44DD">
        <w:rPr>
          <w:rFonts w:eastAsia="Times New Roman" w:cstheme="minorHAnsi"/>
          <w:i/>
          <w:iCs/>
          <w:color w:val="000000"/>
          <w:sz w:val="20"/>
          <w:szCs w:val="20"/>
          <w:lang w:eastAsia="en-GB"/>
        </w:rPr>
        <w:t xml:space="preserve">me of our kids are malnourished, </w:t>
      </w:r>
      <w:r w:rsidRPr="009B3747">
        <w:rPr>
          <w:rFonts w:eastAsia="Times New Roman" w:cstheme="minorHAnsi"/>
          <w:i/>
          <w:iCs/>
          <w:color w:val="000000"/>
          <w:sz w:val="20"/>
          <w:szCs w:val="20"/>
          <w:lang w:eastAsia="en-GB"/>
        </w:rPr>
        <w:t>but then next door I’ve got a selection of bottles of nuclear fuel through to you know, red bull, blah blah, all the cheap versions sticky crap.”  </w:t>
      </w:r>
      <w:r w:rsidRPr="009B3747">
        <w:rPr>
          <w:rFonts w:eastAsia="Times New Roman" w:cstheme="minorHAnsi"/>
          <w:b/>
          <w:bCs/>
          <w:color w:val="000000"/>
          <w:sz w:val="20"/>
          <w:szCs w:val="20"/>
          <w:lang w:eastAsia="en-GB"/>
        </w:rPr>
        <w:t>Participant 6</w:t>
      </w:r>
      <w:r w:rsidR="00A43A37" w:rsidRPr="009B3747">
        <w:rPr>
          <w:rFonts w:eastAsia="Times New Roman" w:cstheme="minorHAnsi"/>
          <w:b/>
          <w:bCs/>
          <w:color w:val="000000"/>
          <w:sz w:val="20"/>
          <w:szCs w:val="20"/>
          <w:lang w:eastAsia="en-GB"/>
        </w:rPr>
        <w:t xml:space="preserve"> (Headteacher)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In addition to the variations in wealth and resultant effect on dietary habits, poverty at a home and community level was deemed to influence adolescents</w:t>
      </w:r>
      <w:r w:rsidR="004B590A" w:rsidRPr="009B3747">
        <w:rPr>
          <w:rFonts w:eastAsia="Times New Roman" w:cstheme="minorHAnsi"/>
          <w:color w:val="000000"/>
          <w:lang w:eastAsia="en-GB"/>
        </w:rPr>
        <w:t>’</w:t>
      </w:r>
      <w:r w:rsidRPr="009B3747">
        <w:rPr>
          <w:rFonts w:eastAsia="Times New Roman" w:cstheme="minorHAnsi"/>
          <w:color w:val="000000"/>
          <w:lang w:eastAsia="en-GB"/>
        </w:rPr>
        <w:t xml:space="preserve"> access to health enhancing opportunities.  Stark differences were reported in whether, what and how adolescents from working or middle class backgrounds participated in activities within their community that could influence weight status.  Headteachers in particular identified that middle class adolescents were more likely </w:t>
      </w:r>
      <w:r w:rsidRPr="009B3747">
        <w:rPr>
          <w:rFonts w:eastAsia="Times New Roman" w:cstheme="minorHAnsi"/>
          <w:color w:val="000000"/>
          <w:lang w:eastAsia="en-GB"/>
        </w:rPr>
        <w:lastRenderedPageBreak/>
        <w:t>to access extra-curricular activities and attend paid for and organised physical activity opportunities.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w:t>
      </w:r>
      <w:r w:rsidR="009025E2">
        <w:rPr>
          <w:rFonts w:eastAsia="Times New Roman" w:cstheme="minorHAnsi"/>
          <w:i/>
          <w:iCs/>
          <w:color w:val="000000"/>
          <w:sz w:val="20"/>
          <w:szCs w:val="20"/>
          <w:lang w:eastAsia="en-GB"/>
        </w:rPr>
        <w:t xml:space="preserve">And not doing enough activities, </w:t>
      </w:r>
      <w:r w:rsidRPr="009B3747">
        <w:rPr>
          <w:rFonts w:eastAsia="Times New Roman" w:cstheme="minorHAnsi"/>
          <w:i/>
          <w:iCs/>
          <w:color w:val="000000"/>
          <w:sz w:val="20"/>
          <w:szCs w:val="20"/>
          <w:lang w:eastAsia="en-GB"/>
        </w:rPr>
        <w:t>which the type of activities obviously more middle class families will have, will be structured, they’ll be run by specialists...whereas a lot of these students their activities will just be hanging around, the chip shop very regularly [laughs], they’ll enjoy that, they’ll have a nice time</w:t>
      </w:r>
      <w:r w:rsidR="00EB44DD">
        <w:rPr>
          <w:rFonts w:eastAsia="Times New Roman" w:cstheme="minorHAnsi"/>
          <w:i/>
          <w:iCs/>
          <w:color w:val="000000"/>
          <w:sz w:val="20"/>
          <w:szCs w:val="20"/>
          <w:lang w:eastAsia="en-GB"/>
        </w:rPr>
        <w:t>,</w:t>
      </w:r>
      <w:r w:rsidRPr="009B3747">
        <w:rPr>
          <w:rFonts w:eastAsia="Times New Roman" w:cstheme="minorHAnsi"/>
          <w:i/>
          <w:iCs/>
          <w:color w:val="000000"/>
          <w:sz w:val="20"/>
          <w:szCs w:val="20"/>
          <w:lang w:eastAsia="en-GB"/>
        </w:rPr>
        <w:t xml:space="preserve"> but it’s not going to help them manage their weight.”  </w:t>
      </w:r>
      <w:r w:rsidRPr="009B3747">
        <w:rPr>
          <w:rFonts w:eastAsia="Times New Roman" w:cstheme="minorHAnsi"/>
          <w:b/>
          <w:bCs/>
          <w:color w:val="000000"/>
          <w:sz w:val="20"/>
          <w:szCs w:val="20"/>
          <w:lang w:eastAsia="en-GB"/>
        </w:rPr>
        <w:t>Participant 22</w:t>
      </w:r>
      <w:r w:rsidRPr="009B3747">
        <w:rPr>
          <w:rFonts w:eastAsia="Times New Roman" w:cstheme="minorHAnsi"/>
          <w:b/>
          <w:color w:val="000000"/>
          <w:sz w:val="20"/>
          <w:szCs w:val="20"/>
          <w:lang w:eastAsia="en-GB"/>
        </w:rPr>
        <w:t xml:space="preserve"> </w:t>
      </w:r>
      <w:r w:rsidR="00A43A37" w:rsidRPr="009B3747">
        <w:rPr>
          <w:rFonts w:eastAsia="Times New Roman" w:cstheme="minorHAnsi"/>
          <w:b/>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One chair of governors drew comparisons and similarities between the differences in social classes, community environments and lifestyle behaviour in the United Kingdom and in America.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“I think you see it more acutely in the States, where you go to a middle class area and there is nobody overweight and they’re all frantically going to gyms and having their kids on healthy foods and won’t let them touch anything and you go to another neighbourhood and it’s stark, the contrast, the obesity, the takeaway, the food.” </w:t>
      </w:r>
      <w:r w:rsidRPr="009B3747">
        <w:rPr>
          <w:rFonts w:eastAsia="Times New Roman" w:cstheme="minorHAnsi"/>
          <w:b/>
          <w:i/>
          <w:iCs/>
          <w:color w:val="000000"/>
          <w:sz w:val="20"/>
          <w:szCs w:val="20"/>
          <w:lang w:eastAsia="en-GB"/>
        </w:rPr>
        <w:t> </w:t>
      </w:r>
      <w:r w:rsidRPr="009B3747">
        <w:rPr>
          <w:rFonts w:eastAsia="Times New Roman" w:cstheme="minorHAnsi"/>
          <w:b/>
          <w:bCs/>
          <w:color w:val="000000"/>
          <w:sz w:val="20"/>
          <w:szCs w:val="20"/>
          <w:lang w:eastAsia="en-GB"/>
        </w:rPr>
        <w:t>Participant 17</w:t>
      </w:r>
      <w:r w:rsidRPr="009B3747">
        <w:rPr>
          <w:rFonts w:eastAsia="Times New Roman" w:cstheme="minorHAnsi"/>
          <w:b/>
          <w:color w:val="000000"/>
          <w:sz w:val="20"/>
          <w:szCs w:val="20"/>
          <w:lang w:eastAsia="en-GB"/>
        </w:rPr>
        <w:t xml:space="preserve"> </w:t>
      </w:r>
      <w:r w:rsidR="00A43A37" w:rsidRPr="009B3747">
        <w:rPr>
          <w:rFonts w:eastAsia="Times New Roman" w:cstheme="minorHAnsi"/>
          <w:b/>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A minority of chairs of governors and headteachers questioned the majority view about the link between deprivation and financial hardship.  These participants proposed that generations of families have been able to live comfortably on welfa</w:t>
      </w:r>
      <w:r w:rsidR="004C584B">
        <w:rPr>
          <w:rFonts w:eastAsia="Times New Roman" w:cstheme="minorHAnsi"/>
          <w:color w:val="000000"/>
          <w:lang w:eastAsia="en-GB"/>
        </w:rPr>
        <w:t>re benefits from the government.  C</w:t>
      </w:r>
      <w:r w:rsidRPr="009B3747">
        <w:rPr>
          <w:rFonts w:eastAsia="Times New Roman" w:cstheme="minorHAnsi"/>
          <w:color w:val="000000"/>
          <w:lang w:eastAsia="en-GB"/>
        </w:rPr>
        <w:t>onsequently unhealthier d</w:t>
      </w:r>
      <w:r w:rsidR="004C584B">
        <w:rPr>
          <w:rFonts w:eastAsia="Times New Roman" w:cstheme="minorHAnsi"/>
          <w:color w:val="000000"/>
          <w:lang w:eastAsia="en-GB"/>
        </w:rPr>
        <w:t>iets in deprived communities were</w:t>
      </w:r>
      <w:r w:rsidRPr="009B3747">
        <w:rPr>
          <w:rFonts w:eastAsia="Times New Roman" w:cstheme="minorHAnsi"/>
          <w:color w:val="000000"/>
          <w:lang w:eastAsia="en-GB"/>
        </w:rPr>
        <w:t xml:space="preserve"> </w:t>
      </w:r>
      <w:r w:rsidR="004C584B">
        <w:rPr>
          <w:rFonts w:eastAsia="Times New Roman" w:cstheme="minorHAnsi"/>
          <w:color w:val="000000"/>
          <w:lang w:eastAsia="en-GB"/>
        </w:rPr>
        <w:t xml:space="preserve">argued to be </w:t>
      </w:r>
      <w:r w:rsidRPr="009B3747">
        <w:rPr>
          <w:rFonts w:eastAsia="Times New Roman" w:cstheme="minorHAnsi"/>
          <w:color w:val="000000"/>
          <w:lang w:eastAsia="en-GB"/>
        </w:rPr>
        <w:t>more of an issue of values, priorities and a disproportionate lack of education.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760AF5" w:rsidP="006F36A0">
      <w:pPr>
        <w:ind w:left="720"/>
        <w:rPr>
          <w:rFonts w:eastAsia="Times New Roman" w:cstheme="minorHAnsi"/>
          <w:b/>
          <w:sz w:val="24"/>
          <w:szCs w:val="24"/>
          <w:lang w:eastAsia="en-GB"/>
        </w:rPr>
      </w:pPr>
      <w:r w:rsidRPr="009B3747">
        <w:rPr>
          <w:rFonts w:eastAsia="Times New Roman" w:cstheme="minorHAnsi"/>
          <w:i/>
          <w:iCs/>
          <w:color w:val="000000"/>
          <w:sz w:val="20"/>
          <w:szCs w:val="20"/>
          <w:lang w:eastAsia="en-GB"/>
        </w:rPr>
        <w:t>“</w:t>
      </w:r>
      <w:r w:rsidR="006F36A0" w:rsidRPr="009B3747">
        <w:rPr>
          <w:rFonts w:eastAsia="Times New Roman" w:cstheme="minorHAnsi"/>
          <w:i/>
          <w:iCs/>
          <w:color w:val="000000"/>
          <w:sz w:val="20"/>
          <w:szCs w:val="20"/>
          <w:lang w:eastAsia="en-GB"/>
        </w:rPr>
        <w:t xml:space="preserve">I’m not sure it’s a financial thing you see, I think it’s just an education thing you know, I’m not sure healthy food is particularly more expensive than unhealthy food I just think there’s a lack of awareness about what’s bad and what’s good. And in deprived areas that seems to be worse whether, why I don’t know.” </w:t>
      </w:r>
      <w:r w:rsidR="006F36A0" w:rsidRPr="009B3747">
        <w:rPr>
          <w:rFonts w:eastAsia="Times New Roman" w:cstheme="minorHAnsi"/>
          <w:color w:val="000000"/>
          <w:sz w:val="20"/>
          <w:szCs w:val="20"/>
          <w:lang w:eastAsia="en-GB"/>
        </w:rPr>
        <w:t> </w:t>
      </w:r>
      <w:r w:rsidR="006F36A0" w:rsidRPr="009B3747">
        <w:rPr>
          <w:rFonts w:eastAsia="Times New Roman" w:cstheme="minorHAnsi"/>
          <w:b/>
          <w:bCs/>
          <w:color w:val="000000"/>
          <w:sz w:val="20"/>
          <w:szCs w:val="20"/>
          <w:lang w:eastAsia="en-GB"/>
        </w:rPr>
        <w:t>Participant 21</w:t>
      </w:r>
      <w:r w:rsidR="006F36A0" w:rsidRPr="009B3747">
        <w:rPr>
          <w:rFonts w:eastAsia="Times New Roman" w:cstheme="minorHAnsi"/>
          <w:b/>
          <w:color w:val="000000"/>
          <w:sz w:val="20"/>
          <w:szCs w:val="20"/>
          <w:lang w:eastAsia="en-GB"/>
        </w:rPr>
        <w:t xml:space="preserve"> </w:t>
      </w:r>
      <w:r w:rsidR="00A43A37" w:rsidRPr="009B3747">
        <w:rPr>
          <w:rFonts w:eastAsia="Times New Roman" w:cstheme="minorHAnsi"/>
          <w:b/>
          <w:color w:val="000000"/>
          <w:sz w:val="20"/>
          <w:szCs w:val="20"/>
          <w:lang w:eastAsia="en-GB"/>
        </w:rPr>
        <w:t>(Headteacher)</w:t>
      </w:r>
    </w:p>
    <w:p w:rsidR="006F36A0" w:rsidRPr="009B3747" w:rsidRDefault="006F36A0" w:rsidP="006F36A0">
      <w:pPr>
        <w:rPr>
          <w:rFonts w:eastAsia="Times New Roman" w:cstheme="minorHAnsi"/>
          <w:b/>
          <w:sz w:val="24"/>
          <w:szCs w:val="24"/>
          <w:lang w:eastAsia="en-GB"/>
        </w:rPr>
      </w:pPr>
      <w:r w:rsidRPr="009B3747">
        <w:rPr>
          <w:rFonts w:eastAsia="Times New Roman" w:cstheme="minorHAnsi"/>
          <w:b/>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Whilst for most</w:t>
      </w:r>
      <w:r w:rsidR="004C584B">
        <w:rPr>
          <w:rFonts w:eastAsia="Times New Roman" w:cstheme="minorHAnsi"/>
          <w:color w:val="000000"/>
          <w:lang w:eastAsia="en-GB"/>
        </w:rPr>
        <w:t>,</w:t>
      </w:r>
      <w:r w:rsidRPr="009B3747">
        <w:rPr>
          <w:rFonts w:eastAsia="Times New Roman" w:cstheme="minorHAnsi"/>
          <w:color w:val="000000"/>
          <w:lang w:eastAsia="en-GB"/>
        </w:rPr>
        <w:t xml:space="preserve"> a lack of income, resources and acc</w:t>
      </w:r>
      <w:r w:rsidR="004C584B">
        <w:rPr>
          <w:rFonts w:eastAsia="Times New Roman" w:cstheme="minorHAnsi"/>
          <w:color w:val="000000"/>
          <w:lang w:eastAsia="en-GB"/>
        </w:rPr>
        <w:t xml:space="preserve">ess in deprived communities </w:t>
      </w:r>
      <w:r w:rsidRPr="009B3747">
        <w:rPr>
          <w:rFonts w:eastAsia="Times New Roman" w:cstheme="minorHAnsi"/>
          <w:color w:val="000000"/>
          <w:lang w:eastAsia="en-GB"/>
        </w:rPr>
        <w:t>posed</w:t>
      </w:r>
      <w:r w:rsidR="004C584B">
        <w:rPr>
          <w:rFonts w:eastAsia="Times New Roman" w:cstheme="minorHAnsi"/>
          <w:color w:val="000000"/>
          <w:lang w:eastAsia="en-GB"/>
        </w:rPr>
        <w:t xml:space="preserve"> the most generated inequalities in obesity prevalence, </w:t>
      </w:r>
      <w:r w:rsidRPr="009B3747">
        <w:rPr>
          <w:rFonts w:eastAsia="Times New Roman" w:cstheme="minorHAnsi"/>
          <w:color w:val="000000"/>
          <w:lang w:eastAsia="en-GB"/>
        </w:rPr>
        <w:t xml:space="preserve">additional complex influences related to deprivation complicated this picture.  For those participants from schools with the highest free school meal percentages, substantial concerns were raised about the level of aspirations within their school’s local communities.  Similarly to the distribution of wealth, </w:t>
      </w:r>
      <w:r w:rsidR="00760AF5" w:rsidRPr="009B3747">
        <w:rPr>
          <w:rFonts w:eastAsia="Times New Roman" w:cstheme="minorHAnsi"/>
          <w:color w:val="000000"/>
          <w:lang w:eastAsia="en-GB"/>
        </w:rPr>
        <w:t>adolescents’</w:t>
      </w:r>
      <w:r w:rsidRPr="009B3747">
        <w:rPr>
          <w:rFonts w:eastAsia="Times New Roman" w:cstheme="minorHAnsi"/>
          <w:color w:val="000000"/>
          <w:lang w:eastAsia="en-GB"/>
        </w:rPr>
        <w:t xml:space="preserve"> aspirations regarding education, employment and health were reported to not be evenly distributed across society.  Lower aspirations were typically associated with working class pupils or those who lived in communities where deprivation and poverty were highly prevalent.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lastRenderedPageBreak/>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color w:val="000000"/>
          <w:sz w:val="20"/>
          <w:szCs w:val="20"/>
          <w:lang w:eastAsia="en-GB"/>
        </w:rPr>
        <w:t>“</w:t>
      </w:r>
      <w:r w:rsidRPr="009B3747">
        <w:rPr>
          <w:rFonts w:eastAsia="Times New Roman" w:cstheme="minorHAnsi"/>
          <w:i/>
          <w:iCs/>
          <w:color w:val="000000"/>
          <w:sz w:val="20"/>
          <w:szCs w:val="20"/>
          <w:lang w:eastAsia="en-GB"/>
        </w:rPr>
        <w:t>I think, in the city, if your parents are unemployed, education has failed them, they don’t value it, why would you come out of that household and think “oh I need to go to school, I need to do really well”. And I think that, I think that’s a really difficult battle to confront.”  </w:t>
      </w:r>
      <w:r w:rsidRPr="009B3747">
        <w:rPr>
          <w:rFonts w:eastAsia="Times New Roman" w:cstheme="minorHAnsi"/>
          <w:b/>
          <w:bCs/>
          <w:color w:val="000000"/>
          <w:sz w:val="20"/>
          <w:szCs w:val="20"/>
          <w:lang w:eastAsia="en-GB"/>
        </w:rPr>
        <w:t>Participant 14</w:t>
      </w:r>
      <w:r w:rsidRPr="009B3747">
        <w:rPr>
          <w:rFonts w:eastAsia="Times New Roman" w:cstheme="minorHAnsi"/>
          <w:b/>
          <w:color w:val="000000"/>
          <w:sz w:val="20"/>
          <w:szCs w:val="20"/>
          <w:lang w:eastAsia="en-GB"/>
        </w:rPr>
        <w:t> </w:t>
      </w:r>
      <w:r w:rsidR="00A43A37" w:rsidRPr="009B3747">
        <w:rPr>
          <w:rFonts w:eastAsia="Times New Roman" w:cstheme="minorHAnsi"/>
          <w:b/>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The combination of poverty, low aspirations and a perceived lack of prospects i</w:t>
      </w:r>
      <w:r w:rsidR="004C584B">
        <w:rPr>
          <w:rFonts w:eastAsia="Times New Roman" w:cstheme="minorHAnsi"/>
          <w:color w:val="000000"/>
          <w:lang w:eastAsia="en-GB"/>
        </w:rPr>
        <w:t xml:space="preserve">n certain areas of deprivation, were viewed </w:t>
      </w:r>
      <w:r w:rsidRPr="009B3747">
        <w:rPr>
          <w:rFonts w:eastAsia="Times New Roman" w:cstheme="minorHAnsi"/>
          <w:color w:val="000000"/>
          <w:lang w:eastAsia="en-GB"/>
        </w:rPr>
        <w:t>as a confounding negative factor not only for adolescent obesity</w:t>
      </w:r>
      <w:r w:rsidR="004C584B">
        <w:rPr>
          <w:rFonts w:eastAsia="Times New Roman" w:cstheme="minorHAnsi"/>
          <w:color w:val="000000"/>
          <w:lang w:eastAsia="en-GB"/>
        </w:rPr>
        <w:t>,</w:t>
      </w:r>
      <w:r w:rsidRPr="009B3747">
        <w:rPr>
          <w:rFonts w:eastAsia="Times New Roman" w:cstheme="minorHAnsi"/>
          <w:color w:val="000000"/>
          <w:lang w:eastAsia="en-GB"/>
        </w:rPr>
        <w:t xml:space="preserve"> but more broadly in relation to lifestyle behaviours.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“A lot of things, as in, “I can’t afford to buy a house, can’t afford to have a car, got no money”, you know, “not taking my pleasures away from me, I don’t have many pleasures, so you’re not going to have that”. I’ve heard that said by people, I’ve said that as an argument for why I’m smoking or why I’m drinking or whatever else.”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Participant 19</w:t>
      </w:r>
      <w:r w:rsidRPr="009B3747">
        <w:rPr>
          <w:rFonts w:eastAsia="Times New Roman" w:cstheme="minorHAnsi"/>
          <w:b/>
          <w:color w:val="000000"/>
          <w:sz w:val="20"/>
          <w:szCs w:val="20"/>
          <w:lang w:eastAsia="en-GB"/>
        </w:rPr>
        <w:t xml:space="preserve"> </w:t>
      </w:r>
      <w:r w:rsidR="00A43A37" w:rsidRPr="009B3747">
        <w:rPr>
          <w:rFonts w:eastAsia="Times New Roman" w:cstheme="minorHAnsi"/>
          <w:b/>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Some participants reflected on the relationship between social norms and aspirations for health and well-being both at a family and community level.  It was suggested that in areas of higher deprivation, adolescents grow up with the expectation that adopting particular lifestyle behaviours including unhealthy eating, physical inactivity, is the norm for their family and their community.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“That is what is expected and for some of our communities here where lots of our families don’t have high aspirations for their children, when they leave the academy they might go to college. They don’t expect them to want to do the exercise when they leave, they don’t want them to take part in different activities.”  </w:t>
      </w:r>
      <w:r w:rsidRPr="009B3747">
        <w:rPr>
          <w:rFonts w:eastAsia="Times New Roman" w:cstheme="minorHAnsi"/>
          <w:b/>
          <w:bCs/>
          <w:color w:val="000000"/>
          <w:sz w:val="20"/>
          <w:szCs w:val="20"/>
          <w:lang w:eastAsia="en-GB"/>
        </w:rPr>
        <w:t>Participant 22</w:t>
      </w:r>
      <w:r w:rsidRPr="009B3747">
        <w:rPr>
          <w:rFonts w:eastAsia="Times New Roman" w:cstheme="minorHAnsi"/>
          <w:color w:val="000000"/>
          <w:sz w:val="20"/>
          <w:szCs w:val="20"/>
          <w:lang w:eastAsia="en-GB"/>
        </w:rPr>
        <w:t xml:space="preserve"> </w:t>
      </w:r>
      <w:r w:rsidR="00A43A37" w:rsidRPr="009B3747">
        <w:rPr>
          <w:rFonts w:eastAsia="Times New Roman" w:cstheme="minorHAnsi"/>
          <w:b/>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In addition to the issue of aspiration, was the concept that some adolescents and their families from deprived communities have parochial attitudes.  This was evidenced in relation to a lack of willingness or indeed desire to travel out of an adolescent's own community</w:t>
      </w:r>
      <w:r w:rsidR="004C584B">
        <w:rPr>
          <w:rFonts w:eastAsia="Times New Roman" w:cstheme="minorHAnsi"/>
          <w:color w:val="000000"/>
          <w:lang w:eastAsia="en-GB"/>
        </w:rPr>
        <w:t>,</w:t>
      </w:r>
      <w:r w:rsidRPr="009B3747">
        <w:rPr>
          <w:rFonts w:eastAsia="Times New Roman" w:cstheme="minorHAnsi"/>
          <w:color w:val="000000"/>
          <w:lang w:eastAsia="en-GB"/>
        </w:rPr>
        <w:t xml:space="preserve"> to access sporting facilities or opportunities more widely.</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“So we try and get the kids out of school, we use public transport, so there’s not kid here that can go “well I would go </w:t>
      </w:r>
      <w:r w:rsidR="00EB44DD">
        <w:rPr>
          <w:rFonts w:eastAsia="Times New Roman" w:cstheme="minorHAnsi"/>
          <w:i/>
          <w:iCs/>
          <w:color w:val="000000"/>
          <w:sz w:val="20"/>
          <w:szCs w:val="20"/>
          <w:lang w:eastAsia="en-GB"/>
        </w:rPr>
        <w:t>swimming,</w:t>
      </w:r>
      <w:r w:rsidRPr="009B3747">
        <w:rPr>
          <w:rFonts w:eastAsia="Times New Roman" w:cstheme="minorHAnsi"/>
          <w:i/>
          <w:iCs/>
          <w:color w:val="000000"/>
          <w:sz w:val="20"/>
          <w:szCs w:val="20"/>
          <w:lang w:eastAsia="en-GB"/>
        </w:rPr>
        <w:t xml:space="preserve"> but I don’t know how to get there”, well it’s that bus at that stop cos we all go together and we take them, we physically break that barrier.”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Participant 6</w:t>
      </w:r>
      <w:r w:rsidR="008F1E07" w:rsidRPr="009B3747">
        <w:rPr>
          <w:rFonts w:eastAsia="Times New Roman" w:cstheme="minorHAnsi"/>
          <w:b/>
          <w:bCs/>
          <w:color w:val="000000"/>
          <w:sz w:val="20"/>
          <w:szCs w:val="20"/>
          <w:lang w:eastAsia="en-GB"/>
        </w:rPr>
        <w:t xml:space="preserve"> (Headteacher)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 xml:space="preserve">Throughout discussions regarding the influence of deprivation on adolescent obesity and lifestyle behaviours, participants from state schools, reflected on the impact and implications of community </w:t>
      </w:r>
      <w:r w:rsidRPr="009B3747">
        <w:rPr>
          <w:rFonts w:eastAsia="Times New Roman" w:cstheme="minorHAnsi"/>
          <w:color w:val="000000"/>
          <w:lang w:eastAsia="en-GB"/>
        </w:rPr>
        <w:lastRenderedPageBreak/>
        <w:t>poverty and low aspirations on their school.  In the main, deprivation was deemed to present significant challenges in not only their ability to improve adolescent lifestyle behaviours, but much more widely in terms of educational and developmental outcomes.  For those schools with higher free school meal percentages, the additional difficulties and complexities of meeting the government's academic standards in areas of high deprivation meant that issues like obesity or dietary habits couldn’t be a priority focus.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“I mean maybe, at you know, in the west end of the city, where all your kids were brought up and were taught to read at three weeks old and that kind of stuff, its more straight forward, you can have those fringe discussions.”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 xml:space="preserve">Participant 3 </w:t>
      </w:r>
      <w:r w:rsidR="008F1E07" w:rsidRPr="009B3747">
        <w:rPr>
          <w:rFonts w:eastAsia="Times New Roman" w:cstheme="minorHAnsi"/>
          <w:b/>
          <w:bCs/>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Headteachers and chairs of governors made reference to the allocation of pupil premium funding by government to support their school in reducing the academic achievement gap associated with deprivation and social disadvantage.  Some discussed how they used this funding towards action that contributes to obesity and the improvement of adolescent health and well-being generally.  Examples included breakfast clubs, physical activity opportunities, counselling services, additional school nursing services.  In the main however, frustration was expressed at the government's expectation</w:t>
      </w:r>
      <w:r w:rsidR="004C584B">
        <w:rPr>
          <w:rFonts w:eastAsia="Times New Roman" w:cstheme="minorHAnsi"/>
          <w:color w:val="000000"/>
          <w:lang w:eastAsia="en-GB"/>
        </w:rPr>
        <w:t>,</w:t>
      </w:r>
      <w:r w:rsidRPr="009B3747">
        <w:rPr>
          <w:rFonts w:eastAsia="Times New Roman" w:cstheme="minorHAnsi"/>
          <w:color w:val="000000"/>
          <w:lang w:eastAsia="en-GB"/>
        </w:rPr>
        <w:t xml:space="preserve"> that pupil premium funding </w:t>
      </w:r>
      <w:r w:rsidR="004C584B">
        <w:rPr>
          <w:rFonts w:eastAsia="Times New Roman" w:cstheme="minorHAnsi"/>
          <w:color w:val="000000"/>
          <w:lang w:eastAsia="en-GB"/>
        </w:rPr>
        <w:t>could</w:t>
      </w:r>
      <w:r w:rsidRPr="009B3747">
        <w:rPr>
          <w:rFonts w:eastAsia="Times New Roman" w:cstheme="minorHAnsi"/>
          <w:color w:val="000000"/>
          <w:lang w:eastAsia="en-GB"/>
        </w:rPr>
        <w:t xml:space="preserve"> overcome or counteract the overwhelmin</w:t>
      </w:r>
      <w:r w:rsidR="004C584B">
        <w:rPr>
          <w:rFonts w:eastAsia="Times New Roman" w:cstheme="minorHAnsi"/>
          <w:color w:val="000000"/>
          <w:lang w:eastAsia="en-GB"/>
        </w:rPr>
        <w:t xml:space="preserve">g health and social issues </w:t>
      </w:r>
      <w:r w:rsidRPr="009B3747">
        <w:rPr>
          <w:rFonts w:eastAsia="Times New Roman" w:cstheme="minorHAnsi"/>
          <w:color w:val="000000"/>
          <w:lang w:eastAsia="en-GB"/>
        </w:rPr>
        <w:t xml:space="preserve">connected with deprivation.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514099"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w:t>
      </w:r>
      <w:r w:rsidR="006F36A0" w:rsidRPr="009B3747">
        <w:rPr>
          <w:rFonts w:eastAsia="Times New Roman" w:cstheme="minorHAnsi"/>
          <w:i/>
          <w:iCs/>
          <w:color w:val="000000"/>
          <w:sz w:val="20"/>
          <w:szCs w:val="20"/>
          <w:lang w:eastAsia="en-GB"/>
        </w:rPr>
        <w:t>In our school it’s something like sixty five percent of the children are eligible, so it’s one of the biggest in England.  The idea that £1000 a year could somehow counterbalance a generation of conditioning and poverty and you know, to me was laughable.”  </w:t>
      </w:r>
      <w:r w:rsidR="006F36A0" w:rsidRPr="009B3747">
        <w:rPr>
          <w:rFonts w:eastAsia="Times New Roman" w:cstheme="minorHAnsi"/>
          <w:b/>
          <w:bCs/>
          <w:color w:val="000000"/>
          <w:sz w:val="20"/>
          <w:szCs w:val="20"/>
          <w:lang w:eastAsia="en-GB"/>
        </w:rPr>
        <w:t xml:space="preserve">Participant 4 </w:t>
      </w:r>
      <w:r w:rsidR="008F1E07" w:rsidRPr="009B3747">
        <w:rPr>
          <w:rFonts w:eastAsia="Times New Roman" w:cstheme="minorHAnsi"/>
          <w:b/>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A minority went against this viewpoint, arguing that regardless of where you are born, a school can be a powerful and influential driver for raising educational and</w:t>
      </w:r>
      <w:r w:rsidR="004C584B">
        <w:rPr>
          <w:rFonts w:eastAsia="Times New Roman" w:cstheme="minorHAnsi"/>
          <w:color w:val="000000"/>
          <w:lang w:eastAsia="en-GB"/>
        </w:rPr>
        <w:t xml:space="preserve"> health aspirations.  S</w:t>
      </w:r>
      <w:r w:rsidRPr="009B3747">
        <w:rPr>
          <w:rFonts w:eastAsia="Times New Roman" w:cstheme="minorHAnsi"/>
          <w:color w:val="000000"/>
          <w:lang w:eastAsia="en-GB"/>
        </w:rPr>
        <w:t>ome felt passionate about inspiring adolescents and families to move away from the fatalistic attitude that it is impossible to get out of the vicious and generational cycle of poor education, health and employment outcomes.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“And they’re just born, they happen to be born in that area and we have to allow them to see a world away from there and outside of that and it sounds very idealistic and it sounds very I don’t know what the right word is, like a dream almost</w:t>
      </w:r>
      <w:r w:rsidR="00EB44DD">
        <w:rPr>
          <w:rFonts w:eastAsia="Times New Roman" w:cstheme="minorHAnsi"/>
          <w:i/>
          <w:iCs/>
          <w:color w:val="000000"/>
          <w:sz w:val="20"/>
          <w:szCs w:val="20"/>
          <w:lang w:eastAsia="en-GB"/>
        </w:rPr>
        <w:t>,</w:t>
      </w:r>
      <w:r w:rsidRPr="009B3747">
        <w:rPr>
          <w:rFonts w:eastAsia="Times New Roman" w:cstheme="minorHAnsi"/>
          <w:i/>
          <w:iCs/>
          <w:color w:val="000000"/>
          <w:sz w:val="20"/>
          <w:szCs w:val="20"/>
          <w:lang w:eastAsia="en-GB"/>
        </w:rPr>
        <w:t xml:space="preserve"> but it’s not you’ve got to give them those opportunities and see that they have the chance to do that.”  </w:t>
      </w:r>
      <w:r w:rsidRPr="009B3747">
        <w:rPr>
          <w:rFonts w:eastAsia="Times New Roman" w:cstheme="minorHAnsi"/>
          <w:b/>
          <w:bCs/>
          <w:color w:val="000000"/>
          <w:sz w:val="20"/>
          <w:szCs w:val="20"/>
          <w:lang w:eastAsia="en-GB"/>
        </w:rPr>
        <w:t>Participant 6</w:t>
      </w:r>
      <w:r w:rsidR="008F1E07" w:rsidRPr="009B3747">
        <w:rPr>
          <w:rFonts w:eastAsia="Times New Roman" w:cstheme="minorHAnsi"/>
          <w:b/>
          <w:color w:val="000000"/>
          <w:sz w:val="20"/>
          <w:szCs w:val="20"/>
          <w:lang w:eastAsia="en-GB"/>
        </w:rPr>
        <w:t xml:space="preserve"> (Headteacher)</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lastRenderedPageBreak/>
        <w:t>This second theme has presented a detailed account of the connection participants made between adolescent excess weight and related lifestyle behaviours and the influence of place.  Whether caused by or associated with, participants identified predominantly n</w:t>
      </w:r>
      <w:r w:rsidR="004C584B">
        <w:rPr>
          <w:rFonts w:eastAsia="Times New Roman" w:cstheme="minorHAnsi"/>
          <w:color w:val="000000"/>
          <w:lang w:eastAsia="en-GB"/>
        </w:rPr>
        <w:t xml:space="preserve">egative factors within the home, wider </w:t>
      </w:r>
      <w:r w:rsidRPr="009B3747">
        <w:rPr>
          <w:rFonts w:eastAsia="Times New Roman" w:cstheme="minorHAnsi"/>
          <w:color w:val="000000"/>
          <w:lang w:eastAsia="en-GB"/>
        </w:rPr>
        <w:t xml:space="preserve">food </w:t>
      </w:r>
      <w:r w:rsidR="004C584B">
        <w:rPr>
          <w:rFonts w:eastAsia="Times New Roman" w:cstheme="minorHAnsi"/>
          <w:color w:val="000000"/>
          <w:lang w:eastAsia="en-GB"/>
        </w:rPr>
        <w:t xml:space="preserve">or community environment, </w:t>
      </w:r>
      <w:r w:rsidRPr="009B3747">
        <w:rPr>
          <w:rFonts w:eastAsia="Times New Roman" w:cstheme="minorHAnsi"/>
          <w:color w:val="000000"/>
          <w:lang w:eastAsia="en-GB"/>
        </w:rPr>
        <w:t>which influence</w:t>
      </w:r>
      <w:r w:rsidR="004C584B">
        <w:rPr>
          <w:rFonts w:eastAsia="Times New Roman" w:cstheme="minorHAnsi"/>
          <w:color w:val="000000"/>
          <w:lang w:eastAsia="en-GB"/>
        </w:rPr>
        <w:t>s</w:t>
      </w:r>
      <w:r w:rsidRPr="009B3747">
        <w:rPr>
          <w:rFonts w:eastAsia="Times New Roman" w:cstheme="minorHAnsi"/>
          <w:color w:val="000000"/>
          <w:lang w:eastAsia="en-GB"/>
        </w:rPr>
        <w:t xml:space="preserve"> an adolescent's lifestyle behaviours and resultant weight status.  In the main these were seen by most as affecting a school’s ability to address adolescent health and well-being and ensure equality in academic progress across their pupil population.</w:t>
      </w:r>
    </w:p>
    <w:p w:rsidR="00760AF5" w:rsidRPr="009B3747" w:rsidRDefault="00760AF5" w:rsidP="006F36A0">
      <w:pPr>
        <w:rPr>
          <w:rFonts w:eastAsia="Times New Roman" w:cstheme="minorHAnsi"/>
          <w:sz w:val="24"/>
          <w:szCs w:val="24"/>
          <w:lang w:eastAsia="en-GB"/>
        </w:rPr>
      </w:pPr>
    </w:p>
    <w:p w:rsidR="006F36A0" w:rsidRPr="009B3747" w:rsidRDefault="00991D2F" w:rsidP="006F36A0">
      <w:pPr>
        <w:rPr>
          <w:rFonts w:eastAsia="Times New Roman" w:cstheme="minorHAnsi"/>
          <w:sz w:val="24"/>
          <w:szCs w:val="24"/>
          <w:lang w:eastAsia="en-GB"/>
        </w:rPr>
      </w:pPr>
      <w:r w:rsidRPr="009B3747">
        <w:rPr>
          <w:rFonts w:eastAsia="Times New Roman" w:cstheme="minorHAnsi"/>
          <w:b/>
          <w:bCs/>
          <w:color w:val="000000"/>
          <w:sz w:val="24"/>
          <w:szCs w:val="24"/>
          <w:u w:val="single"/>
          <w:lang w:eastAsia="en-GB"/>
        </w:rPr>
        <w:t>6</w:t>
      </w:r>
      <w:r w:rsidR="00551065" w:rsidRPr="009B3747">
        <w:rPr>
          <w:rFonts w:eastAsia="Times New Roman" w:cstheme="minorHAnsi"/>
          <w:b/>
          <w:bCs/>
          <w:color w:val="000000"/>
          <w:sz w:val="24"/>
          <w:szCs w:val="24"/>
          <w:u w:val="single"/>
          <w:lang w:eastAsia="en-GB"/>
        </w:rPr>
        <w:t>.6</w:t>
      </w:r>
      <w:r w:rsidR="006F36A0" w:rsidRPr="009B3747">
        <w:rPr>
          <w:rFonts w:eastAsia="Times New Roman" w:cstheme="minorHAnsi"/>
          <w:b/>
          <w:bCs/>
          <w:color w:val="000000"/>
          <w:sz w:val="24"/>
          <w:szCs w:val="24"/>
          <w:u w:val="single"/>
          <w:lang w:eastAsia="en-GB"/>
        </w:rPr>
        <w:t xml:space="preserve"> Shared responsibility, collective solutions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 xml:space="preserve">This third theme builds on the first and second, by exploring </w:t>
      </w:r>
      <w:r w:rsidR="00760AF5" w:rsidRPr="009B3747">
        <w:rPr>
          <w:rFonts w:eastAsia="Times New Roman" w:cstheme="minorHAnsi"/>
          <w:color w:val="000000"/>
          <w:lang w:eastAsia="en-GB"/>
        </w:rPr>
        <w:t>participants’</w:t>
      </w:r>
      <w:r w:rsidRPr="009B3747">
        <w:rPr>
          <w:rFonts w:eastAsia="Times New Roman" w:cstheme="minorHAnsi"/>
          <w:color w:val="000000"/>
          <w:lang w:eastAsia="en-GB"/>
        </w:rPr>
        <w:t xml:space="preserve"> perspectives of responsibility, behaviour change and partnerships in relation to preventing excess weight in adolescence and addressing the associated negative influences of place.</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991D2F" w:rsidP="006F36A0">
      <w:pPr>
        <w:rPr>
          <w:rFonts w:eastAsia="Times New Roman" w:cstheme="minorHAnsi"/>
          <w:sz w:val="24"/>
          <w:szCs w:val="24"/>
          <w:u w:val="single"/>
          <w:lang w:eastAsia="en-GB"/>
        </w:rPr>
      </w:pPr>
      <w:r w:rsidRPr="009B3747">
        <w:rPr>
          <w:rFonts w:eastAsia="Times New Roman" w:cstheme="minorHAnsi"/>
          <w:iCs/>
          <w:color w:val="000000"/>
          <w:u w:val="single"/>
          <w:lang w:eastAsia="en-GB"/>
        </w:rPr>
        <w:t>6</w:t>
      </w:r>
      <w:r w:rsidR="00551065" w:rsidRPr="009B3747">
        <w:rPr>
          <w:rFonts w:eastAsia="Times New Roman" w:cstheme="minorHAnsi"/>
          <w:iCs/>
          <w:color w:val="000000"/>
          <w:u w:val="single"/>
          <w:lang w:eastAsia="en-GB"/>
        </w:rPr>
        <w:t>.6</w:t>
      </w:r>
      <w:r w:rsidR="006F36A0" w:rsidRPr="009B3747">
        <w:rPr>
          <w:rFonts w:eastAsia="Times New Roman" w:cstheme="minorHAnsi"/>
          <w:iCs/>
          <w:color w:val="000000"/>
          <w:u w:val="single"/>
          <w:lang w:eastAsia="en-GB"/>
        </w:rPr>
        <w:t xml:space="preserve">.1 Continuum of responsibility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Despite the variation in perceived prevalence of excess weight in secondary school settings, obesity within society was collectively acknowledged to be an apparent and escalating public health issue.  Furthermore, given the identified increase in unhealthy lifestyle behaviours of secondary school pupils, most revealed concern about the long term risks of those adolescents experiencing obesity, poor health outcomes and lower life expectancy during adulthood.  </w:t>
      </w:r>
    </w:p>
    <w:p w:rsidR="006F36A0" w:rsidRPr="009B3747" w:rsidRDefault="006F36A0" w:rsidP="006F36A0">
      <w:pPr>
        <w:ind w:left="-135" w:hanging="135"/>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“So on the physical side, if a child is overweight to obese, the potential issues are type two diabetes, too much blood sugar, heart disease in later life, I mean I guess most of these problems won’t be felt, they’ll kick in later on, but diabetes, heart disease possible musculoskeletal strain in extreme cases.”  </w:t>
      </w:r>
      <w:r w:rsidRPr="009B3747">
        <w:rPr>
          <w:rFonts w:eastAsia="Times New Roman" w:cstheme="minorHAnsi"/>
          <w:b/>
          <w:bCs/>
          <w:color w:val="000000"/>
          <w:sz w:val="20"/>
          <w:szCs w:val="20"/>
          <w:lang w:eastAsia="en-GB"/>
        </w:rPr>
        <w:t>Participant 4</w:t>
      </w:r>
      <w:r w:rsidRPr="009B3747">
        <w:rPr>
          <w:rFonts w:eastAsia="Times New Roman" w:cstheme="minorHAnsi"/>
          <w:b/>
          <w:color w:val="000000"/>
          <w:sz w:val="20"/>
          <w:szCs w:val="20"/>
          <w:lang w:eastAsia="en-GB"/>
        </w:rPr>
        <w:t xml:space="preserve"> </w:t>
      </w:r>
      <w:r w:rsidR="008F1E07" w:rsidRPr="009B3747">
        <w:rPr>
          <w:rFonts w:eastAsia="Times New Roman" w:cstheme="minorHAnsi"/>
          <w:b/>
          <w:color w:val="000000"/>
          <w:sz w:val="20"/>
          <w:szCs w:val="20"/>
          <w:lang w:eastAsia="en-GB"/>
        </w:rPr>
        <w:t>(Headteacher)</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This concern was directed not only at the significant health burden for individuals themselves</w:t>
      </w:r>
      <w:r w:rsidR="003E258C">
        <w:rPr>
          <w:rFonts w:eastAsia="Times New Roman" w:cstheme="minorHAnsi"/>
          <w:color w:val="000000"/>
          <w:lang w:eastAsia="en-GB"/>
        </w:rPr>
        <w:t>,</w:t>
      </w:r>
      <w:r w:rsidRPr="009B3747">
        <w:rPr>
          <w:rFonts w:eastAsia="Times New Roman" w:cstheme="minorHAnsi"/>
          <w:color w:val="000000"/>
          <w:lang w:eastAsia="en-GB"/>
        </w:rPr>
        <w:t xml:space="preserve"> but much wider for society as a whole.  The most prominent example of this concern, related to the perceived costs of obesity associated diseases.  Participants relayed the fact that increasing resources required to treat conditions such as type two diabetes</w:t>
      </w:r>
      <w:r w:rsidR="003E258C">
        <w:rPr>
          <w:rFonts w:eastAsia="Times New Roman" w:cstheme="minorHAnsi"/>
          <w:color w:val="000000"/>
          <w:lang w:eastAsia="en-GB"/>
        </w:rPr>
        <w:t>,</w:t>
      </w:r>
      <w:r w:rsidRPr="009B3747">
        <w:rPr>
          <w:rFonts w:eastAsia="Times New Roman" w:cstheme="minorHAnsi"/>
          <w:color w:val="000000"/>
          <w:lang w:eastAsia="en-GB"/>
        </w:rPr>
        <w:t xml:space="preserve"> presents substantial financial implications for the National Health Service.</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firstLine="720"/>
        <w:rPr>
          <w:rFonts w:eastAsia="Times New Roman" w:cstheme="minorHAnsi"/>
          <w:sz w:val="24"/>
          <w:szCs w:val="24"/>
          <w:lang w:eastAsia="en-GB"/>
        </w:rPr>
      </w:pPr>
      <w:r w:rsidRPr="009B3747">
        <w:rPr>
          <w:rFonts w:eastAsia="Times New Roman" w:cstheme="minorHAnsi"/>
          <w:i/>
          <w:iCs/>
          <w:color w:val="000000"/>
          <w:sz w:val="20"/>
          <w:szCs w:val="20"/>
          <w:lang w:eastAsia="en-GB"/>
        </w:rPr>
        <w:t>“I know that obesity’s been described as a ticking bomb and probably that’s a very very good label for</w:t>
      </w:r>
    </w:p>
    <w:p w:rsidR="006F36A0" w:rsidRPr="009B3747" w:rsidRDefault="006F36A0" w:rsidP="006F36A0">
      <w:pPr>
        <w:ind w:firstLine="720"/>
        <w:rPr>
          <w:rFonts w:eastAsia="Times New Roman" w:cstheme="minorHAnsi"/>
          <w:sz w:val="24"/>
          <w:szCs w:val="24"/>
          <w:lang w:eastAsia="en-GB"/>
        </w:rPr>
      </w:pPr>
      <w:r w:rsidRPr="009B3747">
        <w:rPr>
          <w:rFonts w:eastAsia="Times New Roman" w:cstheme="minorHAnsi"/>
          <w:i/>
          <w:iCs/>
          <w:color w:val="000000"/>
          <w:sz w:val="20"/>
          <w:szCs w:val="20"/>
          <w:lang w:eastAsia="en-GB"/>
        </w:rPr>
        <w:lastRenderedPageBreak/>
        <w:t>it. We talked early on just about the financial cost to services, that in itself means we have to take it</w:t>
      </w:r>
      <w:r w:rsidRPr="009B3747">
        <w:rPr>
          <w:rFonts w:eastAsia="Times New Roman" w:cstheme="minorHAnsi"/>
          <w:i/>
          <w:iCs/>
          <w:color w:val="000000"/>
          <w:sz w:val="20"/>
          <w:szCs w:val="20"/>
          <w:lang w:eastAsia="en-GB"/>
        </w:rPr>
        <w:tab/>
        <w:t>seriously”.  </w:t>
      </w:r>
      <w:r w:rsidRPr="009B3747">
        <w:rPr>
          <w:rFonts w:eastAsia="Times New Roman" w:cstheme="minorHAnsi"/>
          <w:b/>
          <w:bCs/>
          <w:color w:val="000000"/>
          <w:sz w:val="20"/>
          <w:szCs w:val="20"/>
          <w:lang w:eastAsia="en-GB"/>
        </w:rPr>
        <w:t xml:space="preserve">Participant 15 </w:t>
      </w:r>
      <w:r w:rsidR="008F1E07" w:rsidRPr="009B3747">
        <w:rPr>
          <w:rFonts w:eastAsia="Times New Roman" w:cstheme="minorHAnsi"/>
          <w:b/>
          <w:bCs/>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The shared consensus about the severity of obes</w:t>
      </w:r>
      <w:r w:rsidR="003E258C">
        <w:rPr>
          <w:rFonts w:eastAsia="Times New Roman" w:cstheme="minorHAnsi"/>
          <w:color w:val="000000"/>
          <w:lang w:eastAsia="en-GB"/>
        </w:rPr>
        <w:t xml:space="preserve">ity for individuals and society, </w:t>
      </w:r>
      <w:r w:rsidRPr="009B3747">
        <w:rPr>
          <w:rFonts w:eastAsia="Times New Roman" w:cstheme="minorHAnsi"/>
          <w:color w:val="000000"/>
          <w:lang w:eastAsia="en-GB"/>
        </w:rPr>
        <w:t>meant headteachers and chairs of governors universally supported the notion that obesity is an issue that requires addressing.  This was especially evident in regards to establishing the effective prevention of obesity in childhood and adolescence.  The complication for most, was in discussions about who had responsibility across socie</w:t>
      </w:r>
      <w:r w:rsidR="003E258C">
        <w:rPr>
          <w:rFonts w:eastAsia="Times New Roman" w:cstheme="minorHAnsi"/>
          <w:color w:val="000000"/>
          <w:lang w:eastAsia="en-GB"/>
        </w:rPr>
        <w:t xml:space="preserve">ty for this task.  Consequently, </w:t>
      </w:r>
      <w:r w:rsidRPr="009B3747">
        <w:rPr>
          <w:rFonts w:eastAsia="Times New Roman" w:cstheme="minorHAnsi"/>
          <w:color w:val="000000"/>
          <w:lang w:eastAsia="en-GB"/>
        </w:rPr>
        <w:t>substantial variation existed both within participants own views and in comparison to others</w:t>
      </w:r>
      <w:r w:rsidR="003E258C">
        <w:rPr>
          <w:rFonts w:eastAsia="Times New Roman" w:cstheme="minorHAnsi"/>
          <w:color w:val="000000"/>
          <w:lang w:eastAsia="en-GB"/>
        </w:rPr>
        <w:t>,</w:t>
      </w:r>
      <w:r w:rsidRPr="009B3747">
        <w:rPr>
          <w:rFonts w:eastAsia="Times New Roman" w:cstheme="minorHAnsi"/>
          <w:color w:val="000000"/>
          <w:lang w:eastAsia="en-GB"/>
        </w:rPr>
        <w:t xml:space="preserve"> about the concept of responsibility and obesity prevention.  A universal belief however, was that given the complexity of obesity causation</w:t>
      </w:r>
      <w:r w:rsidR="00760AF5" w:rsidRPr="009B3747">
        <w:rPr>
          <w:rFonts w:eastAsia="Times New Roman" w:cstheme="minorHAnsi"/>
          <w:color w:val="000000"/>
          <w:lang w:eastAsia="en-GB"/>
        </w:rPr>
        <w:t>,</w:t>
      </w:r>
      <w:r w:rsidRPr="009B3747">
        <w:rPr>
          <w:rFonts w:eastAsia="Times New Roman" w:cstheme="minorHAnsi"/>
          <w:color w:val="000000"/>
          <w:lang w:eastAsia="en-GB"/>
        </w:rPr>
        <w:t xml:space="preserve"> no single individual, organisation or stakeholder was responsible for its prevention.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3E258C" w:rsidRDefault="006F36A0" w:rsidP="003E258C">
      <w:pPr>
        <w:ind w:left="720"/>
        <w:rPr>
          <w:rFonts w:eastAsia="Times New Roman" w:cstheme="minorHAnsi"/>
          <w:i/>
          <w:iCs/>
          <w:color w:val="000000"/>
          <w:sz w:val="20"/>
          <w:szCs w:val="20"/>
          <w:lang w:eastAsia="en-GB"/>
        </w:rPr>
      </w:pPr>
      <w:r w:rsidRPr="009B3747">
        <w:rPr>
          <w:rFonts w:eastAsia="Times New Roman" w:cstheme="minorHAnsi"/>
          <w:i/>
          <w:iCs/>
          <w:color w:val="000000"/>
          <w:sz w:val="20"/>
          <w:szCs w:val="20"/>
          <w:lang w:eastAsia="en-GB"/>
        </w:rPr>
        <w:t xml:space="preserve">“Everybody’s, everybody’s responsibility. It is the responsibility of government, </w:t>
      </w:r>
      <w:r w:rsidR="00760AF5" w:rsidRPr="009B3747">
        <w:rPr>
          <w:rFonts w:eastAsia="Times New Roman" w:cstheme="minorHAnsi"/>
          <w:i/>
          <w:iCs/>
          <w:color w:val="000000"/>
          <w:sz w:val="20"/>
          <w:szCs w:val="20"/>
          <w:lang w:eastAsia="en-GB"/>
        </w:rPr>
        <w:t>manufacturers</w:t>
      </w:r>
      <w:r w:rsidRPr="009B3747">
        <w:rPr>
          <w:rFonts w:eastAsia="Times New Roman" w:cstheme="minorHAnsi"/>
          <w:i/>
          <w:iCs/>
          <w:color w:val="000000"/>
          <w:sz w:val="20"/>
          <w:szCs w:val="20"/>
          <w:lang w:eastAsia="en-GB"/>
        </w:rPr>
        <w:t xml:space="preserve">, parents, schools, community groups, anyone who is having a conversation…it cannot be one person’s responsibility.”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Participant 18</w:t>
      </w:r>
      <w:r w:rsidRPr="009B3747">
        <w:rPr>
          <w:rFonts w:eastAsia="Times New Roman" w:cstheme="minorHAnsi"/>
          <w:color w:val="000000"/>
          <w:sz w:val="20"/>
          <w:szCs w:val="20"/>
          <w:lang w:eastAsia="en-GB"/>
        </w:rPr>
        <w:t xml:space="preserve"> </w:t>
      </w:r>
      <w:r w:rsidR="008F1E07" w:rsidRPr="009B3747">
        <w:rPr>
          <w:rFonts w:eastAsia="Times New Roman" w:cstheme="minorHAnsi"/>
          <w:b/>
          <w:color w:val="000000"/>
          <w:sz w:val="20"/>
          <w:szCs w:val="20"/>
          <w:lang w:eastAsia="en-GB"/>
        </w:rPr>
        <w:t>(Chair of governors)</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 xml:space="preserve">Despite this </w:t>
      </w:r>
      <w:r w:rsidR="001512B6">
        <w:rPr>
          <w:rFonts w:eastAsia="Times New Roman" w:cstheme="minorHAnsi"/>
          <w:color w:val="000000"/>
          <w:lang w:eastAsia="en-GB"/>
        </w:rPr>
        <w:t xml:space="preserve">view, </w:t>
      </w:r>
      <w:r w:rsidRPr="009B3747">
        <w:rPr>
          <w:rFonts w:eastAsia="Times New Roman" w:cstheme="minorHAnsi"/>
          <w:color w:val="000000"/>
          <w:lang w:eastAsia="en-GB"/>
        </w:rPr>
        <w:t xml:space="preserve">many identified that there is a resistance across society to take collective responsibility </w:t>
      </w:r>
      <w:r w:rsidR="003E258C">
        <w:rPr>
          <w:rFonts w:eastAsia="Times New Roman" w:cstheme="minorHAnsi"/>
          <w:color w:val="000000"/>
          <w:lang w:eastAsia="en-GB"/>
        </w:rPr>
        <w:t xml:space="preserve">for both the problem of obesity, </w:t>
      </w:r>
      <w:r w:rsidRPr="009B3747">
        <w:rPr>
          <w:rFonts w:eastAsia="Times New Roman" w:cstheme="minorHAnsi"/>
          <w:color w:val="000000"/>
          <w:lang w:eastAsia="en-GB"/>
        </w:rPr>
        <w:t xml:space="preserve">and the required solutions for preventing it.  A minority discussed the increasing fractions within society that make a collective approach more challenging.  Furthermore, </w:t>
      </w:r>
      <w:r w:rsidR="003E258C">
        <w:rPr>
          <w:rFonts w:eastAsia="Times New Roman" w:cstheme="minorHAnsi"/>
          <w:color w:val="000000"/>
          <w:lang w:eastAsia="en-GB"/>
        </w:rPr>
        <w:t xml:space="preserve">reference was made to a current </w:t>
      </w:r>
      <w:r w:rsidRPr="009B3747">
        <w:rPr>
          <w:rFonts w:eastAsia="Times New Roman" w:cstheme="minorHAnsi"/>
          <w:color w:val="000000"/>
          <w:lang w:eastAsia="en-GB"/>
        </w:rPr>
        <w:t>political emphasis on personal responsibility, which whilst viewed as extremely important by all participants, was deemed to be overly simplistic given the complexity of the issue.</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“People are a little bit wary of tackling it and it sort of spreads and you can see why because the you know it goes against the type of society that we’re creating, which is you take responsibility for yourself.”  </w:t>
      </w:r>
      <w:r w:rsidRPr="009B3747">
        <w:rPr>
          <w:rFonts w:eastAsia="Times New Roman" w:cstheme="minorHAnsi"/>
          <w:b/>
          <w:bCs/>
          <w:color w:val="000000"/>
          <w:sz w:val="20"/>
          <w:szCs w:val="20"/>
          <w:lang w:eastAsia="en-GB"/>
        </w:rPr>
        <w:t>Participant 16</w:t>
      </w:r>
      <w:r w:rsidR="008F1E07" w:rsidRPr="009B3747">
        <w:rPr>
          <w:rFonts w:eastAsia="Times New Roman" w:cstheme="minorHAnsi"/>
          <w:b/>
          <w:bCs/>
          <w:color w:val="000000"/>
          <w:sz w:val="20"/>
          <w:szCs w:val="20"/>
          <w:lang w:eastAsia="en-GB"/>
        </w:rPr>
        <w:t xml:space="preserve"> (Headteacher)</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In spite of this, participants continued to argue for collective responsibility, with key stakeholders central to this concept perceived to have specific responsibilities for or towards obesity prevention, most notably parents, adolescents, schools, corporations and the government.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1512B6">
      <w:pPr>
        <w:tabs>
          <w:tab w:val="left" w:pos="6675"/>
        </w:tabs>
        <w:rPr>
          <w:rFonts w:eastAsia="Times New Roman" w:cstheme="minorHAnsi"/>
          <w:sz w:val="24"/>
          <w:szCs w:val="24"/>
          <w:lang w:eastAsia="en-GB"/>
        </w:rPr>
      </w:pPr>
      <w:r w:rsidRPr="009B3747">
        <w:rPr>
          <w:rFonts w:eastAsia="Times New Roman" w:cstheme="minorHAnsi"/>
          <w:i/>
          <w:iCs/>
          <w:color w:val="000000"/>
          <w:lang w:eastAsia="en-GB"/>
        </w:rPr>
        <w:t>Parents</w:t>
      </w:r>
      <w:r w:rsidR="001512B6">
        <w:rPr>
          <w:rFonts w:eastAsia="Times New Roman" w:cstheme="minorHAnsi"/>
          <w:i/>
          <w:iCs/>
          <w:color w:val="000000"/>
          <w:lang w:eastAsia="en-GB"/>
        </w:rPr>
        <w:tab/>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T</w:t>
      </w:r>
      <w:r w:rsidR="003E258C">
        <w:rPr>
          <w:rFonts w:eastAsia="Times New Roman" w:cstheme="minorHAnsi"/>
          <w:color w:val="000000"/>
          <w:lang w:eastAsia="en-GB"/>
        </w:rPr>
        <w:t>he overwhelming majority of</w:t>
      </w:r>
      <w:r w:rsidRPr="009B3747">
        <w:rPr>
          <w:rFonts w:eastAsia="Times New Roman" w:cstheme="minorHAnsi"/>
          <w:color w:val="000000"/>
          <w:lang w:eastAsia="en-GB"/>
        </w:rPr>
        <w:t xml:space="preserve"> headteachers and chairs of governors from across the stratas</w:t>
      </w:r>
      <w:r w:rsidR="003E258C">
        <w:rPr>
          <w:rFonts w:eastAsia="Times New Roman" w:cstheme="minorHAnsi"/>
          <w:color w:val="000000"/>
          <w:lang w:eastAsia="en-GB"/>
        </w:rPr>
        <w:t>,</w:t>
      </w:r>
      <w:r w:rsidRPr="009B3747">
        <w:rPr>
          <w:rFonts w:eastAsia="Times New Roman" w:cstheme="minorHAnsi"/>
          <w:color w:val="000000"/>
          <w:lang w:eastAsia="en-GB"/>
        </w:rPr>
        <w:t xml:space="preserve"> identified </w:t>
      </w:r>
      <w:r w:rsidR="001512B6">
        <w:rPr>
          <w:rFonts w:eastAsia="Times New Roman" w:cstheme="minorHAnsi"/>
          <w:color w:val="000000"/>
          <w:lang w:eastAsia="en-GB"/>
        </w:rPr>
        <w:t>first and foremost that parents have</w:t>
      </w:r>
      <w:r w:rsidRPr="009B3747">
        <w:rPr>
          <w:rFonts w:eastAsia="Times New Roman" w:cstheme="minorHAnsi"/>
          <w:color w:val="000000"/>
          <w:lang w:eastAsia="en-GB"/>
        </w:rPr>
        <w:t xml:space="preserve"> the primary responsibility for their child’s </w:t>
      </w:r>
      <w:r w:rsidRPr="009B3747">
        <w:rPr>
          <w:rFonts w:eastAsia="Times New Roman" w:cstheme="minorHAnsi"/>
          <w:color w:val="000000"/>
          <w:lang w:eastAsia="en-GB"/>
        </w:rPr>
        <w:lastRenderedPageBreak/>
        <w:t>educational, health, social and developmental needs.  This included the prevention of obesity during childhood and adolescence and the adoption of healthy lifestyle behaviours.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9B67B8" w:rsidRPr="009B3747" w:rsidRDefault="006F36A0" w:rsidP="006F36A0">
      <w:pPr>
        <w:ind w:firstLine="720"/>
        <w:rPr>
          <w:rFonts w:eastAsia="Times New Roman" w:cstheme="minorHAnsi"/>
          <w:i/>
          <w:iCs/>
          <w:color w:val="000000"/>
          <w:sz w:val="20"/>
          <w:szCs w:val="20"/>
          <w:lang w:eastAsia="en-GB"/>
        </w:rPr>
      </w:pPr>
      <w:r w:rsidRPr="009B3747">
        <w:rPr>
          <w:rFonts w:eastAsia="Times New Roman" w:cstheme="minorHAnsi"/>
          <w:color w:val="000000"/>
          <w:lang w:eastAsia="en-GB"/>
        </w:rPr>
        <w:t>“</w:t>
      </w:r>
      <w:r w:rsidRPr="009B3747">
        <w:rPr>
          <w:rFonts w:eastAsia="Times New Roman" w:cstheme="minorHAnsi"/>
          <w:i/>
          <w:iCs/>
          <w:color w:val="000000"/>
          <w:sz w:val="20"/>
          <w:szCs w:val="20"/>
          <w:lang w:eastAsia="en-GB"/>
        </w:rPr>
        <w:t>It’s primarily the parents [laughs], it must always be primarily the parents.”  </w:t>
      </w:r>
    </w:p>
    <w:p w:rsidR="006F36A0" w:rsidRPr="009B3747" w:rsidRDefault="006F36A0" w:rsidP="006F36A0">
      <w:pPr>
        <w:ind w:firstLine="720"/>
        <w:rPr>
          <w:rFonts w:eastAsia="Times New Roman" w:cstheme="minorHAnsi"/>
          <w:b/>
          <w:sz w:val="24"/>
          <w:szCs w:val="24"/>
          <w:lang w:eastAsia="en-GB"/>
        </w:rPr>
      </w:pPr>
      <w:r w:rsidRPr="009B3747">
        <w:rPr>
          <w:rFonts w:eastAsia="Times New Roman" w:cstheme="minorHAnsi"/>
          <w:b/>
          <w:bCs/>
          <w:color w:val="000000"/>
          <w:sz w:val="20"/>
          <w:szCs w:val="20"/>
          <w:lang w:eastAsia="en-GB"/>
        </w:rPr>
        <w:t>Participant 2</w:t>
      </w:r>
      <w:r w:rsidRPr="009B3747">
        <w:rPr>
          <w:rFonts w:eastAsia="Times New Roman" w:cstheme="minorHAnsi"/>
          <w:b/>
          <w:color w:val="000000"/>
          <w:sz w:val="20"/>
          <w:szCs w:val="20"/>
          <w:lang w:eastAsia="en-GB"/>
        </w:rPr>
        <w:t xml:space="preserve"> </w:t>
      </w:r>
      <w:r w:rsidR="009B67B8" w:rsidRPr="009B3747">
        <w:rPr>
          <w:rFonts w:eastAsia="Times New Roman" w:cstheme="minorHAnsi"/>
          <w:b/>
          <w:color w:val="000000"/>
          <w:sz w:val="20"/>
          <w:szCs w:val="20"/>
          <w:lang w:eastAsia="en-GB"/>
        </w:rPr>
        <w:t>(Chair of governors)</w:t>
      </w:r>
      <w:r w:rsidRPr="009B3747">
        <w:rPr>
          <w:rFonts w:eastAsia="Times New Roman" w:cstheme="minorHAnsi"/>
          <w:b/>
          <w:color w:val="000000"/>
          <w:sz w:val="20"/>
          <w:szCs w:val="20"/>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9B67B8" w:rsidRPr="009B3747" w:rsidRDefault="006F36A0" w:rsidP="006F36A0">
      <w:pPr>
        <w:ind w:firstLine="720"/>
        <w:rPr>
          <w:rFonts w:eastAsia="Times New Roman" w:cstheme="minorHAnsi"/>
          <w:color w:val="000000"/>
          <w:sz w:val="20"/>
          <w:szCs w:val="20"/>
          <w:lang w:eastAsia="en-GB"/>
        </w:rPr>
      </w:pPr>
      <w:r w:rsidRPr="009B3747">
        <w:rPr>
          <w:rFonts w:eastAsia="Times New Roman" w:cstheme="minorHAnsi"/>
          <w:i/>
          <w:iCs/>
          <w:color w:val="000000"/>
          <w:sz w:val="20"/>
          <w:szCs w:val="20"/>
          <w:lang w:eastAsia="en-GB"/>
        </w:rPr>
        <w:t xml:space="preserve">“Parents have a big role to play, if you’re a parent you are responsible for your child.” </w:t>
      </w:r>
      <w:r w:rsidRPr="009B3747">
        <w:rPr>
          <w:rFonts w:eastAsia="Times New Roman" w:cstheme="minorHAnsi"/>
          <w:color w:val="000000"/>
          <w:sz w:val="20"/>
          <w:szCs w:val="20"/>
          <w:lang w:eastAsia="en-GB"/>
        </w:rPr>
        <w:t> </w:t>
      </w:r>
    </w:p>
    <w:p w:rsidR="006F36A0" w:rsidRPr="009B3747" w:rsidRDefault="006F36A0" w:rsidP="006F36A0">
      <w:pPr>
        <w:ind w:firstLine="720"/>
        <w:rPr>
          <w:rFonts w:eastAsia="Times New Roman" w:cstheme="minorHAnsi"/>
          <w:b/>
          <w:sz w:val="24"/>
          <w:szCs w:val="24"/>
          <w:lang w:eastAsia="en-GB"/>
        </w:rPr>
      </w:pPr>
      <w:r w:rsidRPr="009B3747">
        <w:rPr>
          <w:rFonts w:eastAsia="Times New Roman" w:cstheme="minorHAnsi"/>
          <w:b/>
          <w:bCs/>
          <w:color w:val="000000"/>
          <w:sz w:val="20"/>
          <w:szCs w:val="20"/>
          <w:lang w:eastAsia="en-GB"/>
        </w:rPr>
        <w:t>Participant 11</w:t>
      </w:r>
      <w:r w:rsidRPr="009B3747">
        <w:rPr>
          <w:rFonts w:eastAsia="Times New Roman" w:cstheme="minorHAnsi"/>
          <w:b/>
          <w:i/>
          <w:iCs/>
          <w:color w:val="000000"/>
          <w:sz w:val="20"/>
          <w:szCs w:val="20"/>
          <w:lang w:eastAsia="en-GB"/>
        </w:rPr>
        <w:t xml:space="preserve"> </w:t>
      </w:r>
      <w:r w:rsidR="009B67B8" w:rsidRPr="009B3747">
        <w:rPr>
          <w:rFonts w:eastAsia="Times New Roman" w:cstheme="minorHAnsi"/>
          <w:b/>
          <w:iCs/>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3E258C" w:rsidP="006F36A0">
      <w:pPr>
        <w:rPr>
          <w:rFonts w:eastAsia="Times New Roman" w:cstheme="minorHAnsi"/>
          <w:sz w:val="24"/>
          <w:szCs w:val="24"/>
          <w:lang w:eastAsia="en-GB"/>
        </w:rPr>
      </w:pPr>
      <w:r>
        <w:rPr>
          <w:rFonts w:eastAsia="Times New Roman" w:cstheme="minorHAnsi"/>
          <w:color w:val="000000"/>
          <w:lang w:eastAsia="en-GB"/>
        </w:rPr>
        <w:t xml:space="preserve">Participants </w:t>
      </w:r>
      <w:r w:rsidR="006F36A0" w:rsidRPr="009B3747">
        <w:rPr>
          <w:rFonts w:eastAsia="Times New Roman" w:cstheme="minorHAnsi"/>
          <w:color w:val="000000"/>
          <w:lang w:eastAsia="en-GB"/>
        </w:rPr>
        <w:t>utilised words such as duty and obligation when referring to the parental responsibilities associated with preventing adolescent obesity.  </w:t>
      </w:r>
      <w:r w:rsidR="002C1405">
        <w:rPr>
          <w:rFonts w:eastAsia="Times New Roman" w:cstheme="minorHAnsi"/>
          <w:color w:val="000000"/>
          <w:lang w:eastAsia="en-GB"/>
        </w:rPr>
        <w:t>Perceived parental</w:t>
      </w:r>
      <w:r w:rsidR="006F36A0" w:rsidRPr="009B3747">
        <w:rPr>
          <w:rFonts w:eastAsia="Times New Roman" w:cstheme="minorHAnsi"/>
          <w:color w:val="000000"/>
          <w:lang w:eastAsia="en-GB"/>
        </w:rPr>
        <w:t xml:space="preserve"> responsibilities typically centred on </w:t>
      </w:r>
      <w:r w:rsidR="002C1405">
        <w:rPr>
          <w:rFonts w:eastAsia="Times New Roman" w:cstheme="minorHAnsi"/>
          <w:color w:val="000000"/>
          <w:lang w:eastAsia="en-GB"/>
        </w:rPr>
        <w:t>the importance of</w:t>
      </w:r>
      <w:r w:rsidR="001512B6">
        <w:rPr>
          <w:rFonts w:eastAsia="Times New Roman" w:cstheme="minorHAnsi"/>
          <w:color w:val="000000"/>
          <w:lang w:eastAsia="en-GB"/>
        </w:rPr>
        <w:t xml:space="preserve"> educating </w:t>
      </w:r>
      <w:r w:rsidR="006F36A0" w:rsidRPr="009B3747">
        <w:rPr>
          <w:rFonts w:eastAsia="Times New Roman" w:cstheme="minorHAnsi"/>
          <w:color w:val="000000"/>
          <w:lang w:eastAsia="en-GB"/>
        </w:rPr>
        <w:t>children about the imp</w:t>
      </w:r>
      <w:r w:rsidR="002C1405">
        <w:rPr>
          <w:rFonts w:eastAsia="Times New Roman" w:cstheme="minorHAnsi"/>
          <w:color w:val="000000"/>
          <w:lang w:eastAsia="en-GB"/>
        </w:rPr>
        <w:t xml:space="preserve">ortance of healthy lifestyles, and providing </w:t>
      </w:r>
      <w:r w:rsidR="006F36A0" w:rsidRPr="009B3747">
        <w:rPr>
          <w:rFonts w:eastAsia="Times New Roman" w:cstheme="minorHAnsi"/>
          <w:color w:val="000000"/>
          <w:lang w:eastAsia="en-GB"/>
        </w:rPr>
        <w:t>a home environment where opportunities for forming healthy dieta</w:t>
      </w:r>
      <w:r w:rsidR="002C1405">
        <w:rPr>
          <w:rFonts w:eastAsia="Times New Roman" w:cstheme="minorHAnsi"/>
          <w:color w:val="000000"/>
          <w:lang w:eastAsia="en-GB"/>
        </w:rPr>
        <w:t xml:space="preserve">ry and physical activity habits, </w:t>
      </w:r>
      <w:r w:rsidR="006F36A0" w:rsidRPr="009B3747">
        <w:rPr>
          <w:rFonts w:eastAsia="Times New Roman" w:cstheme="minorHAnsi"/>
          <w:color w:val="000000"/>
          <w:lang w:eastAsia="en-GB"/>
        </w:rPr>
        <w:t>are available and promoted.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“Well, clearly the parents have a moral obligation to bring up their children in a way that gives them the best chance in life.  So a parent who, you know, say just eat anything, just shove it do</w:t>
      </w:r>
      <w:r w:rsidR="009B67B8" w:rsidRPr="009B3747">
        <w:rPr>
          <w:rFonts w:eastAsia="Times New Roman" w:cstheme="minorHAnsi"/>
          <w:i/>
          <w:iCs/>
          <w:color w:val="000000"/>
          <w:sz w:val="20"/>
          <w:szCs w:val="20"/>
          <w:lang w:eastAsia="en-GB"/>
        </w:rPr>
        <w:t xml:space="preserve">wn, keep you quiet, all that I </w:t>
      </w:r>
      <w:r w:rsidRPr="009B3747">
        <w:rPr>
          <w:rFonts w:eastAsia="Times New Roman" w:cstheme="minorHAnsi"/>
          <w:i/>
          <w:iCs/>
          <w:color w:val="000000"/>
          <w:sz w:val="20"/>
          <w:szCs w:val="20"/>
          <w:lang w:eastAsia="en-GB"/>
        </w:rPr>
        <w:t xml:space="preserve">mean you know, that, someone who behaves like that in mind is not fulfilling their parental responsibilities.”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 xml:space="preserve">Participant 4 </w:t>
      </w:r>
      <w:r w:rsidR="009B67B8" w:rsidRPr="009B3747">
        <w:rPr>
          <w:rFonts w:eastAsia="Times New Roman" w:cstheme="minorHAnsi"/>
          <w:b/>
          <w:bCs/>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 xml:space="preserve">For a minority of participants, a belief existed that some parents were not deemed to be fulfilling </w:t>
      </w:r>
      <w:r w:rsidR="002C1405">
        <w:rPr>
          <w:rFonts w:eastAsia="Times New Roman" w:cstheme="minorHAnsi"/>
          <w:color w:val="000000"/>
          <w:lang w:eastAsia="en-GB"/>
        </w:rPr>
        <w:t xml:space="preserve">their parental responsibility.  This related to childrens’ </w:t>
      </w:r>
      <w:r w:rsidR="001512B6">
        <w:rPr>
          <w:rFonts w:eastAsia="Times New Roman" w:cstheme="minorHAnsi"/>
          <w:color w:val="000000"/>
          <w:lang w:eastAsia="en-GB"/>
        </w:rPr>
        <w:t>health and well-being and</w:t>
      </w:r>
      <w:r w:rsidRPr="009B3747">
        <w:rPr>
          <w:rFonts w:eastAsia="Times New Roman" w:cstheme="minorHAnsi"/>
          <w:color w:val="000000"/>
          <w:lang w:eastAsia="en-GB"/>
        </w:rPr>
        <w:t xml:space="preserve"> more broadly in terms of behaviour and education.  As discussed in theme 2, this was viewed to be indicative of a wider problem in society</w:t>
      </w:r>
      <w:r w:rsidR="002C1405">
        <w:rPr>
          <w:rFonts w:eastAsia="Times New Roman" w:cstheme="minorHAnsi"/>
          <w:color w:val="000000"/>
          <w:lang w:eastAsia="en-GB"/>
        </w:rPr>
        <w:t>,</w:t>
      </w:r>
      <w:r w:rsidRPr="009B3747">
        <w:rPr>
          <w:rFonts w:eastAsia="Times New Roman" w:cstheme="minorHAnsi"/>
          <w:color w:val="000000"/>
          <w:lang w:eastAsia="en-GB"/>
        </w:rPr>
        <w:t xml:space="preserve"> where personal responsibility has reduced.  Consequently it was perceived that a demand and resultant need for social responsibility has increased.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color w:val="000000"/>
          <w:sz w:val="20"/>
          <w:szCs w:val="20"/>
          <w:lang w:eastAsia="en-GB"/>
        </w:rPr>
        <w:t>“The parents have in some senses abdicated their responsibility.  I think we are a society that thinks somebody else should do it, the number of times you here “the government should do it, they should sort me out”, and I think we end up in a society where, and I think this is from children upwards we don’t want to take personal responsibility, we don’t want to take the blame so if we can blame it on somebody else, you know, McDonalds is there it’s too easy and it’s cheap therefore it’s their fault.”  </w:t>
      </w:r>
      <w:r w:rsidRPr="009B3747">
        <w:rPr>
          <w:rFonts w:eastAsia="Times New Roman" w:cstheme="minorHAnsi"/>
          <w:b/>
          <w:bCs/>
          <w:color w:val="000000"/>
          <w:sz w:val="20"/>
          <w:szCs w:val="20"/>
          <w:lang w:eastAsia="en-GB"/>
        </w:rPr>
        <w:t>Participant 7</w:t>
      </w:r>
      <w:r w:rsidR="009B67B8" w:rsidRPr="009B3747">
        <w:rPr>
          <w:rFonts w:eastAsia="Times New Roman" w:cstheme="minorHAnsi"/>
          <w:b/>
          <w:bCs/>
          <w:color w:val="000000"/>
          <w:sz w:val="20"/>
          <w:szCs w:val="20"/>
          <w:lang w:eastAsia="en-GB"/>
        </w:rPr>
        <w:t xml:space="preserve"> (Headteacher)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 xml:space="preserve">Despite these views and the wider consensus that parents have a responsibility to ensure their child remains a healthy weight, some participants applied a caveat to this belief.  As previously identified, </w:t>
      </w:r>
      <w:r w:rsidRPr="009B3747">
        <w:rPr>
          <w:rFonts w:eastAsia="Times New Roman" w:cstheme="minorHAnsi"/>
          <w:color w:val="000000"/>
          <w:lang w:eastAsia="en-GB"/>
        </w:rPr>
        <w:lastRenderedPageBreak/>
        <w:t xml:space="preserve">participants proposed that a lack of parental </w:t>
      </w:r>
      <w:r w:rsidR="000D684A">
        <w:rPr>
          <w:rFonts w:eastAsia="Times New Roman" w:cstheme="minorHAnsi"/>
          <w:color w:val="000000"/>
          <w:lang w:eastAsia="en-GB"/>
        </w:rPr>
        <w:t xml:space="preserve">education, awareness or skills, and the complex </w:t>
      </w:r>
      <w:r w:rsidRPr="009B3747">
        <w:rPr>
          <w:rFonts w:eastAsia="Times New Roman" w:cstheme="minorHAnsi"/>
          <w:color w:val="000000"/>
          <w:lang w:eastAsia="en-GB"/>
        </w:rPr>
        <w:t>multifactorial influe</w:t>
      </w:r>
      <w:r w:rsidR="007F3CF4">
        <w:rPr>
          <w:rFonts w:eastAsia="Times New Roman" w:cstheme="minorHAnsi"/>
          <w:color w:val="000000"/>
          <w:lang w:eastAsia="en-GB"/>
        </w:rPr>
        <w:t>n</w:t>
      </w:r>
      <w:r w:rsidR="000D684A">
        <w:rPr>
          <w:rFonts w:eastAsia="Times New Roman" w:cstheme="minorHAnsi"/>
          <w:color w:val="000000"/>
          <w:lang w:eastAsia="en-GB"/>
        </w:rPr>
        <w:t>ces from the wider environment</w:t>
      </w:r>
      <w:r w:rsidR="001512B6">
        <w:rPr>
          <w:rFonts w:eastAsia="Times New Roman" w:cstheme="minorHAnsi"/>
          <w:color w:val="000000"/>
          <w:lang w:eastAsia="en-GB"/>
        </w:rPr>
        <w:t xml:space="preserve">, meant </w:t>
      </w:r>
      <w:r w:rsidRPr="009B3747">
        <w:rPr>
          <w:rFonts w:eastAsia="Times New Roman" w:cstheme="minorHAnsi"/>
          <w:color w:val="000000"/>
          <w:lang w:eastAsia="en-GB"/>
        </w:rPr>
        <w:t xml:space="preserve">that it is challenging for some parents to fulfil their proposed responsibilities.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b/>
          <w:sz w:val="24"/>
          <w:szCs w:val="24"/>
          <w:lang w:eastAsia="en-GB"/>
        </w:rPr>
      </w:pPr>
      <w:r w:rsidRPr="009B3747">
        <w:rPr>
          <w:rFonts w:eastAsia="Times New Roman" w:cstheme="minorHAnsi"/>
          <w:i/>
          <w:iCs/>
          <w:color w:val="000000"/>
          <w:sz w:val="20"/>
          <w:szCs w:val="20"/>
          <w:lang w:eastAsia="en-GB"/>
        </w:rPr>
        <w:t>“I mean in ideal world it should be a parental responsibility</w:t>
      </w:r>
      <w:r w:rsidR="00EB44DD">
        <w:rPr>
          <w:rFonts w:eastAsia="Times New Roman" w:cstheme="minorHAnsi"/>
          <w:i/>
          <w:iCs/>
          <w:color w:val="000000"/>
          <w:sz w:val="20"/>
          <w:szCs w:val="20"/>
          <w:lang w:eastAsia="en-GB"/>
        </w:rPr>
        <w:t>,</w:t>
      </w:r>
      <w:r w:rsidRPr="009B3747">
        <w:rPr>
          <w:rFonts w:eastAsia="Times New Roman" w:cstheme="minorHAnsi"/>
          <w:i/>
          <w:iCs/>
          <w:color w:val="000000"/>
          <w:sz w:val="20"/>
          <w:szCs w:val="20"/>
          <w:lang w:eastAsia="en-GB"/>
        </w:rPr>
        <w:t xml:space="preserve"> but you know, you are talking about parents have the wherewithal, in terms of understanding, knowledge and so on and so forth or the point that I made earlier, even if they do, if you’re in extreme poverty you migh</w:t>
      </w:r>
      <w:r w:rsidR="00EB44DD">
        <w:rPr>
          <w:rFonts w:eastAsia="Times New Roman" w:cstheme="minorHAnsi"/>
          <w:i/>
          <w:iCs/>
          <w:color w:val="000000"/>
          <w:sz w:val="20"/>
          <w:szCs w:val="20"/>
          <w:lang w:eastAsia="en-GB"/>
        </w:rPr>
        <w:t xml:space="preserve">t know what you should be doing, </w:t>
      </w:r>
      <w:r w:rsidRPr="009B3747">
        <w:rPr>
          <w:rFonts w:eastAsia="Times New Roman" w:cstheme="minorHAnsi"/>
          <w:i/>
          <w:iCs/>
          <w:color w:val="000000"/>
          <w:sz w:val="20"/>
          <w:szCs w:val="20"/>
          <w:lang w:eastAsia="en-GB"/>
        </w:rPr>
        <w:t xml:space="preserve">but you actually can’t afford for that to happen.”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Participant 20</w:t>
      </w:r>
      <w:r w:rsidRPr="009B3747">
        <w:rPr>
          <w:rFonts w:eastAsia="Times New Roman" w:cstheme="minorHAnsi"/>
          <w:b/>
          <w:color w:val="000000"/>
          <w:sz w:val="20"/>
          <w:szCs w:val="20"/>
          <w:lang w:eastAsia="en-GB"/>
        </w:rPr>
        <w:t xml:space="preserve"> </w:t>
      </w:r>
      <w:r w:rsidR="009B67B8" w:rsidRPr="009B3747">
        <w:rPr>
          <w:rFonts w:eastAsia="Times New Roman" w:cstheme="minorHAnsi"/>
          <w:b/>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i/>
          <w:iCs/>
          <w:color w:val="000000"/>
          <w:lang w:eastAsia="en-GB"/>
        </w:rPr>
        <w:t xml:space="preserve">Adolescents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 xml:space="preserve">In addition to parental responsibility, participants extensively discussed the </w:t>
      </w:r>
      <w:r w:rsidR="001512B6">
        <w:rPr>
          <w:rFonts w:eastAsia="Times New Roman" w:cstheme="minorHAnsi"/>
          <w:color w:val="000000"/>
          <w:lang w:eastAsia="en-GB"/>
        </w:rPr>
        <w:t xml:space="preserve">personal </w:t>
      </w:r>
      <w:r w:rsidRPr="009B3747">
        <w:rPr>
          <w:rFonts w:eastAsia="Times New Roman" w:cstheme="minorHAnsi"/>
          <w:color w:val="000000"/>
          <w:lang w:eastAsia="en-GB"/>
        </w:rPr>
        <w:t xml:space="preserve">responsibility </w:t>
      </w:r>
      <w:r w:rsidR="001512B6">
        <w:rPr>
          <w:rFonts w:eastAsia="Times New Roman" w:cstheme="minorHAnsi"/>
          <w:color w:val="000000"/>
          <w:lang w:eastAsia="en-GB"/>
        </w:rPr>
        <w:t xml:space="preserve">of </w:t>
      </w:r>
      <w:r w:rsidRPr="009B3747">
        <w:rPr>
          <w:rFonts w:eastAsia="Times New Roman" w:cstheme="minorHAnsi"/>
          <w:color w:val="000000"/>
          <w:lang w:eastAsia="en-GB"/>
        </w:rPr>
        <w:t>adolescents for making their own lifestyle decisions</w:t>
      </w:r>
      <w:r w:rsidR="001512B6">
        <w:rPr>
          <w:rFonts w:eastAsia="Times New Roman" w:cstheme="minorHAnsi"/>
          <w:color w:val="000000"/>
          <w:lang w:eastAsia="en-GB"/>
        </w:rPr>
        <w:t xml:space="preserve">.  </w:t>
      </w:r>
      <w:r w:rsidRPr="009B3747">
        <w:rPr>
          <w:rFonts w:eastAsia="Times New Roman" w:cstheme="minorHAnsi"/>
          <w:color w:val="000000"/>
          <w:lang w:eastAsia="en-GB"/>
        </w:rPr>
        <w:t>Most participants identified that in comparison to children at primary school age, pupils within their schools especially those in teenage years have the ability and desire to make their own lifestyle choices.  Subsequently adolescents were deemed to have increasing personal responsibility for their own health and well-being.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“I think they do increasingly.  I think for an eleven or twelve year old more responsibility rests with the parents by the time they reach eighteen then yes they would have to take a, a considerable responsibility for their own dietary choices.”  </w:t>
      </w:r>
      <w:r w:rsidRPr="009B3747">
        <w:rPr>
          <w:rFonts w:eastAsia="Times New Roman" w:cstheme="minorHAnsi"/>
          <w:b/>
          <w:bCs/>
          <w:color w:val="000000"/>
          <w:sz w:val="20"/>
          <w:szCs w:val="20"/>
          <w:lang w:eastAsia="en-GB"/>
        </w:rPr>
        <w:t>Participant 5</w:t>
      </w:r>
      <w:r w:rsidRPr="009B3747">
        <w:rPr>
          <w:rFonts w:eastAsia="Times New Roman" w:cstheme="minorHAnsi"/>
          <w:b/>
          <w:color w:val="000000"/>
          <w:sz w:val="20"/>
          <w:szCs w:val="20"/>
          <w:lang w:eastAsia="en-GB"/>
        </w:rPr>
        <w:t xml:space="preserve"> </w:t>
      </w:r>
      <w:r w:rsidR="009B67B8" w:rsidRPr="009B3747">
        <w:rPr>
          <w:rFonts w:eastAsia="Times New Roman" w:cstheme="minorHAnsi"/>
          <w:b/>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Some participants provided examples of where their school had adopted different policies or rules for different age groups related to food access, in recognition of increasing responsibility, autonomy and independence in adolescence.</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“I think we probably could provide the same sort of service in school and</w:t>
      </w:r>
      <w:r w:rsidR="00EB44DD">
        <w:rPr>
          <w:rFonts w:eastAsia="Times New Roman" w:cstheme="minorHAnsi"/>
          <w:i/>
          <w:iCs/>
          <w:color w:val="000000"/>
          <w:sz w:val="20"/>
          <w:szCs w:val="20"/>
          <w:lang w:eastAsia="en-GB"/>
        </w:rPr>
        <w:t>,</w:t>
      </w:r>
      <w:r w:rsidRPr="009B3747">
        <w:rPr>
          <w:rFonts w:eastAsia="Times New Roman" w:cstheme="minorHAnsi"/>
          <w:i/>
          <w:iCs/>
          <w:color w:val="000000"/>
          <w:sz w:val="20"/>
          <w:szCs w:val="20"/>
          <w:lang w:eastAsia="en-GB"/>
        </w:rPr>
        <w:t xml:space="preserve"> but it’s not the point is it when you’re in year ten and eleven and you're allowed out of school at lunch you gonna go out of school at lunch let’s not deny it, it’s almost like a right of passage.”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 xml:space="preserve">Participant 6 </w:t>
      </w:r>
      <w:r w:rsidR="009B67B8" w:rsidRPr="009B3747">
        <w:rPr>
          <w:rFonts w:eastAsia="Times New Roman" w:cstheme="minorHAnsi"/>
          <w:b/>
          <w:bCs/>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Providing opportunities both in the home and at school to encourage greater personal responsibility around lifestyle choices</w:t>
      </w:r>
      <w:r w:rsidR="001512B6">
        <w:rPr>
          <w:rFonts w:eastAsia="Times New Roman" w:cstheme="minorHAnsi"/>
          <w:color w:val="000000"/>
          <w:lang w:eastAsia="en-GB"/>
        </w:rPr>
        <w:t>,</w:t>
      </w:r>
      <w:r w:rsidRPr="009B3747">
        <w:rPr>
          <w:rFonts w:eastAsia="Times New Roman" w:cstheme="minorHAnsi"/>
          <w:color w:val="000000"/>
          <w:lang w:eastAsia="en-GB"/>
        </w:rPr>
        <w:t xml:space="preserve"> was viewed as important for supporting an adolescent's maturation.  However it was deemed by some as a necessity given an adolescent's increasing resistance to authority and the greater influence of peers on choices</w:t>
      </w:r>
      <w:r w:rsidR="001512B6">
        <w:rPr>
          <w:rFonts w:eastAsia="Times New Roman" w:cstheme="minorHAnsi"/>
          <w:color w:val="000000"/>
          <w:lang w:eastAsia="en-GB"/>
        </w:rPr>
        <w:t xml:space="preserve"> and decisions</w:t>
      </w:r>
      <w:r w:rsidRPr="009B3747">
        <w:rPr>
          <w:rFonts w:eastAsia="Times New Roman" w:cstheme="minorHAnsi"/>
          <w:color w:val="000000"/>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sz w:val="20"/>
          <w:szCs w:val="20"/>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“We, we can recommend strongly that you know, and we do, about w</w:t>
      </w:r>
      <w:r w:rsidR="00EB44DD">
        <w:rPr>
          <w:rFonts w:eastAsia="Times New Roman" w:cstheme="minorHAnsi"/>
          <w:i/>
          <w:iCs/>
          <w:color w:val="000000"/>
          <w:sz w:val="20"/>
          <w:szCs w:val="20"/>
          <w:lang w:eastAsia="en-GB"/>
        </w:rPr>
        <w:t xml:space="preserve">hat should be in a packed lunch, </w:t>
      </w:r>
      <w:r w:rsidRPr="009B3747">
        <w:rPr>
          <w:rFonts w:eastAsia="Times New Roman" w:cstheme="minorHAnsi"/>
          <w:i/>
          <w:iCs/>
          <w:color w:val="000000"/>
          <w:sz w:val="20"/>
          <w:szCs w:val="20"/>
          <w:lang w:eastAsia="en-GB"/>
        </w:rPr>
        <w:t xml:space="preserve">but they’re teenagers and it’s more difficult to prescribe that.”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Participant 8</w:t>
      </w:r>
      <w:r w:rsidRPr="009B3747">
        <w:rPr>
          <w:rFonts w:eastAsia="Times New Roman" w:cstheme="minorHAnsi"/>
          <w:b/>
          <w:color w:val="000000"/>
          <w:sz w:val="20"/>
          <w:szCs w:val="20"/>
          <w:lang w:eastAsia="en-GB"/>
        </w:rPr>
        <w:t xml:space="preserve"> </w:t>
      </w:r>
      <w:r w:rsidR="009B67B8" w:rsidRPr="009B3747">
        <w:rPr>
          <w:rFonts w:eastAsia="Times New Roman" w:cstheme="minorHAnsi"/>
          <w:b/>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lastRenderedPageBreak/>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“It’s a funny age when you’re at secondary school because you’re influenced by your friends and it matters so much what people think about and what you look like and you want to fit don’t you.”  </w:t>
      </w:r>
      <w:r w:rsidRPr="009B3747">
        <w:rPr>
          <w:rFonts w:eastAsia="Times New Roman" w:cstheme="minorHAnsi"/>
          <w:b/>
          <w:bCs/>
          <w:color w:val="000000"/>
          <w:sz w:val="20"/>
          <w:szCs w:val="20"/>
          <w:lang w:eastAsia="en-GB"/>
        </w:rPr>
        <w:t>Participant 11</w:t>
      </w:r>
      <w:r w:rsidR="009B67B8" w:rsidRPr="009B3747">
        <w:rPr>
          <w:rFonts w:eastAsia="Times New Roman" w:cstheme="minorHAnsi"/>
          <w:b/>
          <w:i/>
          <w:iCs/>
          <w:color w:val="000000"/>
          <w:sz w:val="20"/>
          <w:szCs w:val="20"/>
          <w:lang w:eastAsia="en-GB"/>
        </w:rPr>
        <w:t xml:space="preserve"> </w:t>
      </w:r>
      <w:r w:rsidR="009B67B8" w:rsidRPr="009B3747">
        <w:rPr>
          <w:rFonts w:eastAsia="Times New Roman" w:cstheme="minorHAnsi"/>
          <w:b/>
          <w:iCs/>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i/>
          <w:iCs/>
          <w:color w:val="000000"/>
          <w:lang w:eastAsia="en-GB"/>
        </w:rPr>
        <w:t>Schools</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Whereas opinions regarding parental and adolescent responsibilities achieved a greater consensus, views were divided regarding what, if any responsibility a school has towards the prevention of obesity and improvement of lifestyle behaviours.  In comparison to parental responsibility, almost universally participants agreed with the view that schools ought to bear only part of the responsibility</w:t>
      </w:r>
      <w:r w:rsidR="001512B6">
        <w:rPr>
          <w:rFonts w:eastAsia="Times New Roman" w:cstheme="minorHAnsi"/>
          <w:color w:val="000000"/>
          <w:lang w:eastAsia="en-GB"/>
        </w:rPr>
        <w:t xml:space="preserve"> for adolescent obesity prevention,</w:t>
      </w:r>
      <w:r w:rsidRPr="009B3747">
        <w:rPr>
          <w:rFonts w:eastAsia="Times New Roman" w:cstheme="minorHAnsi"/>
          <w:color w:val="000000"/>
          <w:lang w:eastAsia="en-GB"/>
        </w:rPr>
        <w:t xml:space="preserve"> and not all of it</w:t>
      </w:r>
      <w:r w:rsidR="001512B6">
        <w:rPr>
          <w:rFonts w:eastAsia="Times New Roman" w:cstheme="minorHAnsi"/>
          <w:color w:val="000000"/>
          <w:lang w:eastAsia="en-GB"/>
        </w:rPr>
        <w:t>,</w:t>
      </w:r>
      <w:r w:rsidRPr="009B3747">
        <w:rPr>
          <w:rFonts w:eastAsia="Times New Roman" w:cstheme="minorHAnsi"/>
          <w:color w:val="000000"/>
          <w:lang w:eastAsia="en-GB"/>
        </w:rPr>
        <w:t xml:space="preserve"> as this participant succinctly notes: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“So we have the major contact so I’d expect us to have that responsibility as well or responsibility towards, not responsibility for obesity.”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Participant 19</w:t>
      </w:r>
      <w:r w:rsidR="009B67B8" w:rsidRPr="009B3747">
        <w:rPr>
          <w:rFonts w:eastAsia="Times New Roman" w:cstheme="minorHAnsi"/>
          <w:b/>
          <w:bCs/>
          <w:color w:val="000000"/>
          <w:sz w:val="20"/>
          <w:szCs w:val="20"/>
          <w:lang w:eastAsia="en-GB"/>
        </w:rPr>
        <w:t xml:space="preserve"> (Headteacher)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 xml:space="preserve">Recognition was given to the fact that adolescents spend a large proportion of their </w:t>
      </w:r>
      <w:r w:rsidR="000C6FEB">
        <w:rPr>
          <w:rFonts w:eastAsia="Times New Roman" w:cstheme="minorHAnsi"/>
          <w:color w:val="000000"/>
          <w:lang w:eastAsia="en-GB"/>
        </w:rPr>
        <w:t>time in a secondary school.  C</w:t>
      </w:r>
      <w:r w:rsidRPr="009B3747">
        <w:rPr>
          <w:rFonts w:eastAsia="Times New Roman" w:cstheme="minorHAnsi"/>
          <w:color w:val="000000"/>
          <w:lang w:eastAsia="en-GB"/>
        </w:rPr>
        <w:t>onsequently most proposed that a school ‘in loco parentis’ has a responsibility to positively influence adolescent’s lifestyle choices and resultant weight status within their setting.  </w:t>
      </w:r>
      <w:r w:rsidR="000C6FEB">
        <w:rPr>
          <w:rFonts w:eastAsia="Times New Roman" w:cstheme="minorHAnsi"/>
          <w:color w:val="000000"/>
          <w:lang w:eastAsia="en-GB"/>
        </w:rPr>
        <w:t>Despite this,</w:t>
      </w:r>
      <w:r w:rsidRPr="009B3747">
        <w:rPr>
          <w:rFonts w:eastAsia="Times New Roman" w:cstheme="minorHAnsi"/>
          <w:color w:val="000000"/>
          <w:lang w:eastAsia="en-GB"/>
        </w:rPr>
        <w:t xml:space="preserve"> most felt having responsibility for obesit</w:t>
      </w:r>
      <w:r w:rsidR="000C6FEB">
        <w:rPr>
          <w:rFonts w:eastAsia="Times New Roman" w:cstheme="minorHAnsi"/>
          <w:color w:val="000000"/>
          <w:lang w:eastAsia="en-GB"/>
        </w:rPr>
        <w:t xml:space="preserve">y outside of the school setting, </w:t>
      </w:r>
      <w:r w:rsidRPr="009B3747">
        <w:rPr>
          <w:rFonts w:eastAsia="Times New Roman" w:cstheme="minorHAnsi"/>
          <w:color w:val="000000"/>
          <w:lang w:eastAsia="en-GB"/>
        </w:rPr>
        <w:t xml:space="preserve">would be disproportionate to the amount of control or power </w:t>
      </w:r>
      <w:r w:rsidR="000C6FEB">
        <w:rPr>
          <w:rFonts w:eastAsia="Times New Roman" w:cstheme="minorHAnsi"/>
          <w:color w:val="000000"/>
          <w:lang w:eastAsia="en-GB"/>
        </w:rPr>
        <w:t xml:space="preserve">a </w:t>
      </w:r>
      <w:r w:rsidRPr="009B3747">
        <w:rPr>
          <w:rFonts w:eastAsia="Times New Roman" w:cstheme="minorHAnsi"/>
          <w:color w:val="000000"/>
          <w:lang w:eastAsia="en-GB"/>
        </w:rPr>
        <w:t>school has over the wider inf</w:t>
      </w:r>
      <w:r w:rsidR="007F3CF4">
        <w:rPr>
          <w:rFonts w:eastAsia="Times New Roman" w:cstheme="minorHAnsi"/>
          <w:color w:val="000000"/>
          <w:lang w:eastAsia="en-GB"/>
        </w:rPr>
        <w:t xml:space="preserve">luences in an adolescent's life, </w:t>
      </w:r>
      <w:r w:rsidRPr="009B3747">
        <w:rPr>
          <w:rFonts w:eastAsia="Times New Roman" w:cstheme="minorHAnsi"/>
          <w:color w:val="000000"/>
          <w:lang w:eastAsia="en-GB"/>
        </w:rPr>
        <w:t xml:space="preserve">i.e. the home environment, wider food environment, deprivation.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9B67B8" w:rsidRPr="009B3747" w:rsidRDefault="006F36A0" w:rsidP="006F36A0">
      <w:pPr>
        <w:ind w:left="720"/>
        <w:rPr>
          <w:rFonts w:eastAsia="Times New Roman" w:cstheme="minorHAnsi"/>
          <w:i/>
          <w:iCs/>
          <w:color w:val="000000"/>
          <w:sz w:val="20"/>
          <w:szCs w:val="20"/>
          <w:lang w:eastAsia="en-GB"/>
        </w:rPr>
      </w:pPr>
      <w:r w:rsidRPr="009B3747">
        <w:rPr>
          <w:rFonts w:eastAsia="Times New Roman" w:cstheme="minorHAnsi"/>
          <w:i/>
          <w:iCs/>
          <w:color w:val="000000"/>
          <w:sz w:val="20"/>
          <w:szCs w:val="20"/>
          <w:lang w:eastAsia="en-GB"/>
        </w:rPr>
        <w:t>“People want you to take ownership of it for them and solve the problem for them</w:t>
      </w:r>
      <w:r w:rsidR="00EB44DD">
        <w:rPr>
          <w:rFonts w:eastAsia="Times New Roman" w:cstheme="minorHAnsi"/>
          <w:i/>
          <w:iCs/>
          <w:color w:val="000000"/>
          <w:sz w:val="20"/>
          <w:szCs w:val="20"/>
          <w:lang w:eastAsia="en-GB"/>
        </w:rPr>
        <w:t>,</w:t>
      </w:r>
      <w:r w:rsidRPr="009B3747">
        <w:rPr>
          <w:rFonts w:eastAsia="Times New Roman" w:cstheme="minorHAnsi"/>
          <w:i/>
          <w:iCs/>
          <w:color w:val="000000"/>
          <w:sz w:val="20"/>
          <w:szCs w:val="20"/>
          <w:lang w:eastAsia="en-GB"/>
        </w:rPr>
        <w:t xml:space="preserve"> but actually you know, we can’t as a school, we can’t take away what is effectively a parental responsibility. The children are in loco parentis while they’re here, we do our best to act in l</w:t>
      </w:r>
      <w:r w:rsidR="00EB44DD">
        <w:rPr>
          <w:rFonts w:eastAsia="Times New Roman" w:cstheme="minorHAnsi"/>
          <w:i/>
          <w:iCs/>
          <w:color w:val="000000"/>
          <w:sz w:val="20"/>
          <w:szCs w:val="20"/>
          <w:lang w:eastAsia="en-GB"/>
        </w:rPr>
        <w:t xml:space="preserve">oco parentis while they’re here, </w:t>
      </w:r>
      <w:r w:rsidRPr="009B3747">
        <w:rPr>
          <w:rFonts w:eastAsia="Times New Roman" w:cstheme="minorHAnsi"/>
          <w:i/>
          <w:iCs/>
          <w:color w:val="000000"/>
          <w:sz w:val="20"/>
          <w:szCs w:val="20"/>
          <w:lang w:eastAsia="en-GB"/>
        </w:rPr>
        <w:t>but if we, if parents get a message at home that they don’t want to buy into, that can cause conflict, and then tension and that tension comes back into school.”  </w:t>
      </w:r>
    </w:p>
    <w:p w:rsidR="006F36A0" w:rsidRPr="009B3747" w:rsidRDefault="006F36A0" w:rsidP="006F36A0">
      <w:pPr>
        <w:ind w:left="720"/>
        <w:rPr>
          <w:rFonts w:eastAsia="Times New Roman" w:cstheme="minorHAnsi"/>
          <w:b/>
          <w:sz w:val="24"/>
          <w:szCs w:val="24"/>
          <w:lang w:eastAsia="en-GB"/>
        </w:rPr>
      </w:pPr>
      <w:r w:rsidRPr="009B3747">
        <w:rPr>
          <w:rFonts w:eastAsia="Times New Roman" w:cstheme="minorHAnsi"/>
          <w:b/>
          <w:bCs/>
          <w:color w:val="000000"/>
          <w:sz w:val="20"/>
          <w:szCs w:val="20"/>
          <w:lang w:eastAsia="en-GB"/>
        </w:rPr>
        <w:t>Participant 18</w:t>
      </w:r>
      <w:r w:rsidR="009B67B8" w:rsidRPr="009B3747">
        <w:rPr>
          <w:rFonts w:eastAsia="Times New Roman" w:cstheme="minorHAnsi"/>
          <w:b/>
          <w:color w:val="000000"/>
          <w:sz w:val="20"/>
          <w:szCs w:val="20"/>
          <w:lang w:eastAsia="en-GB"/>
        </w:rPr>
        <w:t xml:space="preserve"> (Chair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Despite this, most felt that their school has two main responsibilities towards the prevention of adolescent obesity.  Firstly, participants proposed the belief that a school has a responsibility to educate its pupils, both in relation to the formal curriculum</w:t>
      </w:r>
      <w:r w:rsidR="00EB44DD">
        <w:rPr>
          <w:rFonts w:eastAsia="Times New Roman" w:cstheme="minorHAnsi"/>
          <w:color w:val="000000"/>
          <w:lang w:eastAsia="en-GB"/>
        </w:rPr>
        <w:t>,</w:t>
      </w:r>
      <w:r w:rsidRPr="009B3747">
        <w:rPr>
          <w:rFonts w:eastAsia="Times New Roman" w:cstheme="minorHAnsi"/>
          <w:color w:val="000000"/>
          <w:lang w:eastAsia="en-GB"/>
        </w:rPr>
        <w:t xml:space="preserve"> but more broadly in terms of wider health and social issues.  In relation to obesity, this centred on a school providing formal education to raise awareness about the risks associated with unhealthy lifestyle choices</w:t>
      </w:r>
      <w:r w:rsidR="007F3CF4">
        <w:rPr>
          <w:rFonts w:eastAsia="Times New Roman" w:cstheme="minorHAnsi"/>
          <w:color w:val="000000"/>
          <w:lang w:eastAsia="en-GB"/>
        </w:rPr>
        <w:t>,</w:t>
      </w:r>
      <w:r w:rsidRPr="009B3747">
        <w:rPr>
          <w:rFonts w:eastAsia="Times New Roman" w:cstheme="minorHAnsi"/>
          <w:color w:val="000000"/>
          <w:lang w:eastAsia="en-GB"/>
        </w:rPr>
        <w:t xml:space="preserve"> i.e. through physical education, food technology, PSHE.</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lastRenderedPageBreak/>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“Well I think it, when you look at the amount of time in the life of a child, from the time they come into secondary school from the time they go, they spend quite high, heavy percentage, so I think it’s incumbent upon the school to educate children, not just educationally, not just morally</w:t>
      </w:r>
      <w:r w:rsidR="00EB44DD">
        <w:rPr>
          <w:rFonts w:eastAsia="Times New Roman" w:cstheme="minorHAnsi"/>
          <w:i/>
          <w:iCs/>
          <w:color w:val="000000"/>
          <w:sz w:val="20"/>
          <w:szCs w:val="20"/>
          <w:lang w:eastAsia="en-GB"/>
        </w:rPr>
        <w:t>,</w:t>
      </w:r>
      <w:r w:rsidRPr="009B3747">
        <w:rPr>
          <w:rFonts w:eastAsia="Times New Roman" w:cstheme="minorHAnsi"/>
          <w:i/>
          <w:iCs/>
          <w:color w:val="000000"/>
          <w:sz w:val="20"/>
          <w:szCs w:val="20"/>
          <w:lang w:eastAsia="en-GB"/>
        </w:rPr>
        <w:t xml:space="preserve"> but also health wise and I think that they should be educating young people in what’s good for them, what’s not good for them.”</w:t>
      </w:r>
      <w:r w:rsidRPr="009B3747">
        <w:rPr>
          <w:rFonts w:eastAsia="Times New Roman" w:cstheme="minorHAnsi"/>
          <w:color w:val="000000"/>
          <w:sz w:val="20"/>
          <w:szCs w:val="20"/>
          <w:lang w:eastAsia="en-GB"/>
        </w:rPr>
        <w:t xml:space="preserve">  </w:t>
      </w:r>
      <w:r w:rsidRPr="009B3747">
        <w:rPr>
          <w:rFonts w:eastAsia="Times New Roman" w:cstheme="minorHAnsi"/>
          <w:b/>
          <w:bCs/>
          <w:color w:val="000000"/>
          <w:sz w:val="20"/>
          <w:szCs w:val="20"/>
          <w:lang w:eastAsia="en-GB"/>
        </w:rPr>
        <w:t>Participant 15</w:t>
      </w:r>
      <w:r w:rsidRPr="009B3747">
        <w:rPr>
          <w:rFonts w:eastAsia="Times New Roman" w:cstheme="minorHAnsi"/>
          <w:b/>
          <w:color w:val="000000"/>
          <w:sz w:val="20"/>
          <w:szCs w:val="20"/>
          <w:lang w:eastAsia="en-GB"/>
        </w:rPr>
        <w:t xml:space="preserve"> </w:t>
      </w:r>
      <w:r w:rsidR="009B67B8" w:rsidRPr="009B3747">
        <w:rPr>
          <w:rFonts w:eastAsia="Times New Roman" w:cstheme="minorHAnsi"/>
          <w:b/>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As identified previously, emphasis was placed on the importance of increased personal responsibility during adolescence.  Consequently a schools educative responsibility for raising awareness was also focused on supporting adolescents to make informed lifestyle choices</w:t>
      </w:r>
      <w:r w:rsidR="000C6FEB">
        <w:rPr>
          <w:rFonts w:eastAsia="Times New Roman" w:cstheme="minorHAnsi"/>
          <w:color w:val="000000"/>
          <w:lang w:eastAsia="en-GB"/>
        </w:rPr>
        <w:t>,</w:t>
      </w:r>
      <w:r w:rsidRPr="009B3747">
        <w:rPr>
          <w:rFonts w:eastAsia="Times New Roman" w:cstheme="minorHAnsi"/>
          <w:color w:val="000000"/>
          <w:lang w:eastAsia="en-GB"/>
        </w:rPr>
        <w:t xml:space="preserve"> as they transition into adulthood.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firstLine="720"/>
        <w:rPr>
          <w:rFonts w:eastAsia="Times New Roman" w:cstheme="minorHAnsi"/>
          <w:sz w:val="24"/>
          <w:szCs w:val="24"/>
          <w:lang w:eastAsia="en-GB"/>
        </w:rPr>
      </w:pPr>
      <w:r w:rsidRPr="009B3747">
        <w:rPr>
          <w:rFonts w:eastAsia="Times New Roman" w:cstheme="minorHAnsi"/>
          <w:i/>
          <w:iCs/>
          <w:color w:val="000000"/>
          <w:sz w:val="20"/>
          <w:szCs w:val="20"/>
          <w:lang w:eastAsia="en-GB"/>
        </w:rPr>
        <w:t>“One of the main jobs of the secondary teacher is to help children begin to take personal responsibility</w:t>
      </w:r>
    </w:p>
    <w:p w:rsidR="009B67B8" w:rsidRPr="009B3747" w:rsidRDefault="006F36A0" w:rsidP="006F36A0">
      <w:pPr>
        <w:ind w:left="720"/>
        <w:rPr>
          <w:rFonts w:eastAsia="Times New Roman" w:cstheme="minorHAnsi"/>
          <w:i/>
          <w:iCs/>
          <w:color w:val="000000"/>
          <w:sz w:val="20"/>
          <w:szCs w:val="20"/>
          <w:lang w:eastAsia="en-GB"/>
        </w:rPr>
      </w:pPr>
      <w:r w:rsidRPr="009B3747">
        <w:rPr>
          <w:rFonts w:eastAsia="Times New Roman" w:cstheme="minorHAnsi"/>
          <w:i/>
          <w:iCs/>
          <w:color w:val="000000"/>
          <w:sz w:val="20"/>
          <w:szCs w:val="20"/>
          <w:lang w:eastAsia="en-GB"/>
        </w:rPr>
        <w:t>for all aspects of life and to help them grow from children who are completely dependent on parents for all decisions to adults who are basically responsible for all their own decisions.”  </w:t>
      </w:r>
    </w:p>
    <w:p w:rsidR="006F36A0" w:rsidRPr="009B3747" w:rsidRDefault="006F36A0" w:rsidP="006F36A0">
      <w:pPr>
        <w:ind w:left="720"/>
        <w:rPr>
          <w:rFonts w:eastAsia="Times New Roman" w:cstheme="minorHAnsi"/>
          <w:b/>
          <w:sz w:val="24"/>
          <w:szCs w:val="24"/>
          <w:lang w:eastAsia="en-GB"/>
        </w:rPr>
      </w:pPr>
      <w:r w:rsidRPr="009B3747">
        <w:rPr>
          <w:rFonts w:eastAsia="Times New Roman" w:cstheme="minorHAnsi"/>
          <w:b/>
          <w:bCs/>
          <w:color w:val="000000"/>
          <w:sz w:val="20"/>
          <w:szCs w:val="20"/>
          <w:lang w:eastAsia="en-GB"/>
        </w:rPr>
        <w:t>Participant 7</w:t>
      </w:r>
      <w:r w:rsidR="009B67B8" w:rsidRPr="009B3747">
        <w:rPr>
          <w:rFonts w:eastAsia="Times New Roman" w:cstheme="minorHAnsi"/>
          <w:b/>
          <w:color w:val="000000"/>
          <w:sz w:val="20"/>
          <w:szCs w:val="20"/>
          <w:lang w:eastAsia="en-GB"/>
        </w:rPr>
        <w:t xml:space="preserve"> (Headteacher)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Secondly most participant</w:t>
      </w:r>
      <w:r w:rsidR="004B590A" w:rsidRPr="009B3747">
        <w:rPr>
          <w:rFonts w:eastAsia="Times New Roman" w:cstheme="minorHAnsi"/>
          <w:color w:val="000000"/>
          <w:lang w:eastAsia="en-GB"/>
        </w:rPr>
        <w:t>s felt the school and indeed it</w:t>
      </w:r>
      <w:r w:rsidR="000C6FEB">
        <w:rPr>
          <w:rFonts w:eastAsia="Times New Roman" w:cstheme="minorHAnsi"/>
          <w:color w:val="000000"/>
          <w:lang w:eastAsia="en-GB"/>
        </w:rPr>
        <w:t xml:space="preserve">s respective headteacher, </w:t>
      </w:r>
      <w:r w:rsidRPr="009B3747">
        <w:rPr>
          <w:rFonts w:eastAsia="Times New Roman" w:cstheme="minorHAnsi"/>
          <w:color w:val="000000"/>
          <w:lang w:eastAsia="en-GB"/>
        </w:rPr>
        <w:t>have a responsibility for ensuring the s</w:t>
      </w:r>
      <w:r w:rsidR="009025E2">
        <w:rPr>
          <w:rFonts w:eastAsia="Times New Roman" w:cstheme="minorHAnsi"/>
          <w:color w:val="000000"/>
          <w:lang w:eastAsia="en-GB"/>
        </w:rPr>
        <w:t xml:space="preserve">chool setting is an environment, </w:t>
      </w:r>
      <w:r w:rsidRPr="009B3747">
        <w:rPr>
          <w:rFonts w:eastAsia="Times New Roman" w:cstheme="minorHAnsi"/>
          <w:color w:val="000000"/>
          <w:lang w:eastAsia="en-GB"/>
        </w:rPr>
        <w:t>which promotes and enables the adoption of healthy lifestyle behaviours.  This was most frequently discussed in relation to a school’s catering provision and physical activity facilities.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“The school acts in loco parentis, so they have a responsibility when the child is within the confines of the school, to make sure that they’re eating reasonably and moderately.  I mean a school that had fizzy drinks dispensers and chocolate bar dispensers on every corridor to keep kids would to happy to my mind would not be fulfilling their full obligation.”  </w:t>
      </w:r>
      <w:r w:rsidRPr="009B3747">
        <w:rPr>
          <w:rFonts w:eastAsia="Times New Roman" w:cstheme="minorHAnsi"/>
          <w:b/>
          <w:bCs/>
          <w:color w:val="000000"/>
          <w:sz w:val="20"/>
          <w:szCs w:val="20"/>
          <w:lang w:eastAsia="en-GB"/>
        </w:rPr>
        <w:t xml:space="preserve">Participant 4 </w:t>
      </w:r>
      <w:r w:rsidR="009B67B8" w:rsidRPr="009B3747">
        <w:rPr>
          <w:rFonts w:eastAsia="Times New Roman" w:cstheme="minorHAnsi"/>
          <w:b/>
          <w:bCs/>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i/>
          <w:iCs/>
          <w:color w:val="000000"/>
          <w:lang w:eastAsia="en-GB"/>
        </w:rPr>
        <w:t>Corporate responsibility</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 xml:space="preserve">As detailed in theme 2, a clear frustration for many participants was the influence and more often negative influence of the wider food environment on both children, adolescent and adult dietary habits.  Consequently within discussions around responsibility, some participants deemed corporations that produce, manufacture and sell food products have a duty of care for the </w:t>
      </w:r>
      <w:r w:rsidR="000C6FEB" w:rsidRPr="009B3747">
        <w:rPr>
          <w:rFonts w:eastAsia="Times New Roman" w:cstheme="minorHAnsi"/>
          <w:color w:val="000000"/>
          <w:lang w:eastAsia="en-GB"/>
        </w:rPr>
        <w:t>populations’</w:t>
      </w:r>
      <w:r w:rsidRPr="009B3747">
        <w:rPr>
          <w:rFonts w:eastAsia="Times New Roman" w:cstheme="minorHAnsi"/>
          <w:color w:val="000000"/>
          <w:lang w:eastAsia="en-GB"/>
        </w:rPr>
        <w:t xml:space="preserve"> health.  This was in relation to the nutritional content and value of food</w:t>
      </w:r>
      <w:r w:rsidR="000C6FEB">
        <w:rPr>
          <w:rFonts w:eastAsia="Times New Roman" w:cstheme="minorHAnsi"/>
          <w:color w:val="000000"/>
          <w:lang w:eastAsia="en-GB"/>
        </w:rPr>
        <w:t>,</w:t>
      </w:r>
      <w:r w:rsidRPr="009B3747">
        <w:rPr>
          <w:rFonts w:eastAsia="Times New Roman" w:cstheme="minorHAnsi"/>
          <w:color w:val="000000"/>
          <w:lang w:eastAsia="en-GB"/>
        </w:rPr>
        <w:t xml:space="preserve"> but also the advertising undertaken to promote the products.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color w:val="000000"/>
          <w:lang w:eastAsia="en-GB"/>
        </w:rPr>
        <w:lastRenderedPageBreak/>
        <w:t>“</w:t>
      </w:r>
      <w:r w:rsidRPr="009B3747">
        <w:rPr>
          <w:rFonts w:eastAsia="Times New Roman" w:cstheme="minorHAnsi"/>
          <w:i/>
          <w:iCs/>
          <w:color w:val="000000"/>
          <w:sz w:val="20"/>
          <w:szCs w:val="20"/>
          <w:lang w:eastAsia="en-GB"/>
        </w:rPr>
        <w:t>I think that that is the other element of this, it’s immoral what certain organisations have done with our diets and ok, you, we might argue that we all have a responsibility for what we put in our bodies</w:t>
      </w:r>
      <w:r w:rsidR="00EB44DD">
        <w:rPr>
          <w:rFonts w:eastAsia="Times New Roman" w:cstheme="minorHAnsi"/>
          <w:i/>
          <w:iCs/>
          <w:color w:val="000000"/>
          <w:sz w:val="20"/>
          <w:szCs w:val="20"/>
          <w:lang w:eastAsia="en-GB"/>
        </w:rPr>
        <w:t>,</w:t>
      </w:r>
      <w:r w:rsidRPr="009B3747">
        <w:rPr>
          <w:rFonts w:eastAsia="Times New Roman" w:cstheme="minorHAnsi"/>
          <w:i/>
          <w:iCs/>
          <w:color w:val="000000"/>
          <w:sz w:val="20"/>
          <w:szCs w:val="20"/>
          <w:lang w:eastAsia="en-GB"/>
        </w:rPr>
        <w:t xml:space="preserve"> but I think it’s all too easy to go to even Starbucks or wherever and have a very very sweet drink and not know and not be alert to what actually is in it.”  </w:t>
      </w:r>
      <w:r w:rsidRPr="009B3747">
        <w:rPr>
          <w:rFonts w:eastAsia="Times New Roman" w:cstheme="minorHAnsi"/>
          <w:b/>
          <w:bCs/>
          <w:color w:val="000000"/>
          <w:sz w:val="20"/>
          <w:szCs w:val="20"/>
          <w:lang w:eastAsia="en-GB"/>
        </w:rPr>
        <w:t>Participant 14</w:t>
      </w:r>
      <w:r w:rsidR="009B67B8" w:rsidRPr="009B3747">
        <w:rPr>
          <w:rFonts w:eastAsia="Times New Roman" w:cstheme="minorHAnsi"/>
          <w:b/>
          <w:bCs/>
          <w:color w:val="000000"/>
          <w:sz w:val="20"/>
          <w:szCs w:val="20"/>
          <w:lang w:eastAsia="en-GB"/>
        </w:rPr>
        <w:t xml:space="preserve"> (Headteacher)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 xml:space="preserve">Some described the harm they deemed unhealthy foods to have on </w:t>
      </w:r>
      <w:r w:rsidR="004B590A" w:rsidRPr="009B3747">
        <w:rPr>
          <w:rFonts w:eastAsia="Times New Roman" w:cstheme="minorHAnsi"/>
          <w:color w:val="000000"/>
          <w:lang w:eastAsia="en-GB"/>
        </w:rPr>
        <w:t>adolescents’</w:t>
      </w:r>
      <w:r w:rsidR="000C6FEB">
        <w:rPr>
          <w:rFonts w:eastAsia="Times New Roman" w:cstheme="minorHAnsi"/>
          <w:color w:val="000000"/>
          <w:lang w:eastAsia="en-GB"/>
        </w:rPr>
        <w:t xml:space="preserve"> health.  Comparisons were made with</w:t>
      </w:r>
      <w:r w:rsidRPr="009B3747">
        <w:rPr>
          <w:rFonts w:eastAsia="Times New Roman" w:cstheme="minorHAnsi"/>
          <w:color w:val="000000"/>
          <w:lang w:eastAsia="en-GB"/>
        </w:rPr>
        <w:t xml:space="preserve"> other corporations or businesses and the obligations they are expected to meet around societal health and well-being.</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“Well they have a responsibility in terms of what people are allowed to produce and sell.  They must be some, I mean, you can’t sell a motor car that’s going to have its wheels fall off can you, so why should you be able to sell a drink that’s going to kill a child with diabetes, you know it’s the same concept to me.”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Participant 2</w:t>
      </w:r>
      <w:r w:rsidRPr="009B3747">
        <w:rPr>
          <w:rFonts w:eastAsia="Times New Roman" w:cstheme="minorHAnsi"/>
          <w:b/>
          <w:color w:val="000000"/>
          <w:sz w:val="20"/>
          <w:szCs w:val="20"/>
          <w:lang w:eastAsia="en-GB"/>
        </w:rPr>
        <w:t xml:space="preserve"> </w:t>
      </w:r>
      <w:r w:rsidR="009B67B8" w:rsidRPr="009B3747">
        <w:rPr>
          <w:rFonts w:eastAsia="Times New Roman" w:cstheme="minorHAnsi"/>
          <w:b/>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Both headteachers and chairs of governors referred to the responsibility they believe food manufacturers and retailers have</w:t>
      </w:r>
      <w:r w:rsidR="000C6FEB">
        <w:rPr>
          <w:rFonts w:eastAsia="Times New Roman" w:cstheme="minorHAnsi"/>
          <w:color w:val="000000"/>
          <w:lang w:eastAsia="en-GB"/>
        </w:rPr>
        <w:t>,</w:t>
      </w:r>
      <w:r w:rsidRPr="009B3747">
        <w:rPr>
          <w:rFonts w:eastAsia="Times New Roman" w:cstheme="minorHAnsi"/>
          <w:color w:val="000000"/>
          <w:lang w:eastAsia="en-GB"/>
        </w:rPr>
        <w:t xml:space="preserve"> to ensure </w:t>
      </w:r>
      <w:r w:rsidR="000C6FEB">
        <w:rPr>
          <w:rFonts w:eastAsia="Times New Roman" w:cstheme="minorHAnsi"/>
          <w:color w:val="000000"/>
          <w:lang w:eastAsia="en-GB"/>
        </w:rPr>
        <w:t xml:space="preserve">appropriate public information is provided </w:t>
      </w:r>
      <w:r w:rsidRPr="009B3747">
        <w:rPr>
          <w:rFonts w:eastAsia="Times New Roman" w:cstheme="minorHAnsi"/>
          <w:color w:val="000000"/>
          <w:lang w:eastAsia="en-GB"/>
        </w:rPr>
        <w:t>regarding the content of food and drinks products.  Whilst, examples were given of corporations undertaking responsible labelling and marketing, some participants felt this doesn’t go far enough and that a greater responsibility lies with food production.</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“Dolmio’s haven’t said “we’re going to make Dolmio’s sauces from now on with less sugar”, they’ve said “only eat our sauces once a week”, that’s not the appropriate response. The appropriate response is, “no we will manufacture Dolmio sauces now with only you know, five spoons of sugar instead of twenty five” or whatever it is. It’s, it’s piecemeal, you’re paying, piecemeal approach to a massive problem.”  </w:t>
      </w:r>
      <w:r w:rsidRPr="009B3747">
        <w:rPr>
          <w:rFonts w:eastAsia="Times New Roman" w:cstheme="minorHAnsi"/>
          <w:b/>
          <w:bCs/>
          <w:color w:val="000000"/>
          <w:sz w:val="20"/>
          <w:szCs w:val="20"/>
          <w:lang w:eastAsia="en-GB"/>
        </w:rPr>
        <w:t>Participant 18</w:t>
      </w:r>
      <w:r w:rsidRPr="009B3747">
        <w:rPr>
          <w:rFonts w:eastAsia="Times New Roman" w:cstheme="minorHAnsi"/>
          <w:b/>
          <w:color w:val="000000"/>
          <w:sz w:val="20"/>
          <w:szCs w:val="20"/>
          <w:lang w:eastAsia="en-GB"/>
        </w:rPr>
        <w:t xml:space="preserve"> </w:t>
      </w:r>
      <w:r w:rsidR="009B67B8" w:rsidRPr="009B3747">
        <w:rPr>
          <w:rFonts w:eastAsia="Times New Roman" w:cstheme="minorHAnsi"/>
          <w:b/>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The concept of morality was referenced in relation to the responsibility of food manufacturers and retailers.  Both chairs of governors and headteacher proposed that it is challenging to balance the perceived moral r</w:t>
      </w:r>
      <w:r w:rsidR="000C6FEB">
        <w:rPr>
          <w:rFonts w:eastAsia="Times New Roman" w:cstheme="minorHAnsi"/>
          <w:color w:val="000000"/>
          <w:lang w:eastAsia="en-GB"/>
        </w:rPr>
        <w:t xml:space="preserve">esponsibility corporations have, </w:t>
      </w:r>
      <w:r w:rsidRPr="009B3747">
        <w:rPr>
          <w:rFonts w:eastAsia="Times New Roman" w:cstheme="minorHAnsi"/>
          <w:color w:val="000000"/>
          <w:lang w:eastAsia="en-GB"/>
        </w:rPr>
        <w:t>to not cause ill-hea</w:t>
      </w:r>
      <w:r w:rsidR="000C6FEB">
        <w:rPr>
          <w:rFonts w:eastAsia="Times New Roman" w:cstheme="minorHAnsi"/>
          <w:color w:val="000000"/>
          <w:lang w:eastAsia="en-GB"/>
        </w:rPr>
        <w:t xml:space="preserve">lth or harm in society, with an organisational </w:t>
      </w:r>
      <w:r w:rsidRPr="009B3747">
        <w:rPr>
          <w:rFonts w:eastAsia="Times New Roman" w:cstheme="minorHAnsi"/>
          <w:color w:val="000000"/>
          <w:lang w:eastAsia="en-GB"/>
        </w:rPr>
        <w:t>necessity to make profits.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b/>
          <w:sz w:val="24"/>
          <w:szCs w:val="24"/>
          <w:lang w:eastAsia="en-GB"/>
        </w:rPr>
      </w:pPr>
      <w:r w:rsidRPr="009B3747">
        <w:rPr>
          <w:rFonts w:eastAsia="Times New Roman" w:cstheme="minorHAnsi"/>
          <w:i/>
          <w:iCs/>
          <w:color w:val="000000"/>
          <w:sz w:val="20"/>
          <w:szCs w:val="20"/>
          <w:lang w:eastAsia="en-GB"/>
        </w:rPr>
        <w:t>“How do you change the behaviours of supermarkets? And you know, is there a moral dimension to our debate here, because it surely, it’s got to be mor</w:t>
      </w:r>
      <w:r w:rsidR="00EB44DD">
        <w:rPr>
          <w:rFonts w:eastAsia="Times New Roman" w:cstheme="minorHAnsi"/>
          <w:i/>
          <w:iCs/>
          <w:color w:val="000000"/>
          <w:sz w:val="20"/>
          <w:szCs w:val="20"/>
          <w:lang w:eastAsia="en-GB"/>
        </w:rPr>
        <w:t xml:space="preserve">e than just selling the product, </w:t>
      </w:r>
      <w:r w:rsidRPr="009B3747">
        <w:rPr>
          <w:rFonts w:eastAsia="Times New Roman" w:cstheme="minorHAnsi"/>
          <w:i/>
          <w:iCs/>
          <w:color w:val="000000"/>
          <w:sz w:val="20"/>
          <w:szCs w:val="20"/>
          <w:lang w:eastAsia="en-GB"/>
        </w:rPr>
        <w:t xml:space="preserve">but unfortunately making a profit doesn’t always sit well with making really good food.”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Participant 8</w:t>
      </w:r>
      <w:r w:rsidRPr="009B3747">
        <w:rPr>
          <w:rFonts w:eastAsia="Times New Roman" w:cstheme="minorHAnsi"/>
          <w:b/>
          <w:color w:val="000000"/>
          <w:sz w:val="20"/>
          <w:szCs w:val="20"/>
          <w:lang w:eastAsia="en-GB"/>
        </w:rPr>
        <w:t xml:space="preserve"> </w:t>
      </w:r>
      <w:r w:rsidR="009B67B8" w:rsidRPr="009B3747">
        <w:rPr>
          <w:rFonts w:eastAsia="Times New Roman" w:cstheme="minorHAnsi"/>
          <w:b/>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lastRenderedPageBreak/>
        <w:t>Furthermore, discussions around po</w:t>
      </w:r>
      <w:r w:rsidR="005D3459" w:rsidRPr="009B3747">
        <w:rPr>
          <w:rFonts w:eastAsia="Times New Roman" w:cstheme="minorHAnsi"/>
          <w:color w:val="000000"/>
          <w:lang w:eastAsia="en-GB"/>
        </w:rPr>
        <w:t>wer, influence and corporate</w:t>
      </w:r>
      <w:r w:rsidRPr="009B3747">
        <w:rPr>
          <w:rFonts w:eastAsia="Times New Roman" w:cstheme="minorHAnsi"/>
          <w:color w:val="000000"/>
          <w:lang w:eastAsia="en-GB"/>
        </w:rPr>
        <w:t xml:space="preserve"> responsibility for preventing adolescent obesity and improving lifestyle behaviours led some participants, both headteachers and chairs of governors to discuss their political views.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“I mean, I have, because politically I’m a socialist, I have serious serious concern about the power multinational companies have anyway. I would regard companies like Coca-Cola as such, they have tremendous sway, tremendous amounts of money that they use to basically buy governments for their own ends, but that’s moving away from.”  </w:t>
      </w:r>
      <w:r w:rsidRPr="009B3747">
        <w:rPr>
          <w:rFonts w:eastAsia="Times New Roman" w:cstheme="minorHAnsi"/>
          <w:b/>
          <w:bCs/>
          <w:color w:val="000000"/>
          <w:sz w:val="20"/>
          <w:szCs w:val="20"/>
          <w:lang w:eastAsia="en-GB"/>
        </w:rPr>
        <w:t xml:space="preserve">Participant 15 </w:t>
      </w:r>
      <w:r w:rsidR="009B67B8" w:rsidRPr="009B3747">
        <w:rPr>
          <w:rFonts w:eastAsia="Times New Roman" w:cstheme="minorHAnsi"/>
          <w:b/>
          <w:bCs/>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A minority explored whether and how corporations could or ind</w:t>
      </w:r>
      <w:r w:rsidR="000C6FEB">
        <w:rPr>
          <w:rFonts w:eastAsia="Times New Roman" w:cstheme="minorHAnsi"/>
          <w:color w:val="000000"/>
          <w:lang w:eastAsia="en-GB"/>
        </w:rPr>
        <w:t xml:space="preserve">eed should, </w:t>
      </w:r>
      <w:r w:rsidRPr="009B3747">
        <w:rPr>
          <w:rFonts w:eastAsia="Times New Roman" w:cstheme="minorHAnsi"/>
          <w:color w:val="000000"/>
          <w:lang w:eastAsia="en-GB"/>
        </w:rPr>
        <w:t xml:space="preserve">as part of </w:t>
      </w:r>
      <w:r w:rsidR="004B590A" w:rsidRPr="009B3747">
        <w:rPr>
          <w:rFonts w:eastAsia="Times New Roman" w:cstheme="minorHAnsi"/>
          <w:color w:val="000000"/>
          <w:lang w:eastAsia="en-GB"/>
        </w:rPr>
        <w:t>its</w:t>
      </w:r>
      <w:r w:rsidRPr="009B3747">
        <w:rPr>
          <w:rFonts w:eastAsia="Times New Roman" w:cstheme="minorHAnsi"/>
          <w:color w:val="000000"/>
          <w:lang w:eastAsia="en-GB"/>
        </w:rPr>
        <w:t xml:space="preserve"> moral responsibility</w:t>
      </w:r>
      <w:r w:rsidR="000C6FEB">
        <w:rPr>
          <w:rFonts w:eastAsia="Times New Roman" w:cstheme="minorHAnsi"/>
          <w:color w:val="000000"/>
          <w:lang w:eastAsia="en-GB"/>
        </w:rPr>
        <w:t>,</w:t>
      </w:r>
      <w:r w:rsidRPr="009B3747">
        <w:rPr>
          <w:rFonts w:eastAsia="Times New Roman" w:cstheme="minorHAnsi"/>
          <w:color w:val="000000"/>
          <w:lang w:eastAsia="en-GB"/>
        </w:rPr>
        <w:t xml:space="preserve"> utilise profits for wider community or societal benefit.</w:t>
      </w:r>
    </w:p>
    <w:p w:rsidR="005D3459"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9B67B8" w:rsidRPr="009B3747" w:rsidRDefault="006F36A0" w:rsidP="005D3459">
      <w:pPr>
        <w:ind w:left="720"/>
        <w:rPr>
          <w:rFonts w:eastAsia="Times New Roman" w:cstheme="minorHAnsi"/>
          <w:i/>
          <w:iCs/>
          <w:color w:val="000000"/>
          <w:sz w:val="20"/>
          <w:szCs w:val="20"/>
          <w:lang w:eastAsia="en-GB"/>
        </w:rPr>
      </w:pPr>
      <w:r w:rsidRPr="009B3747">
        <w:rPr>
          <w:rFonts w:eastAsia="Times New Roman" w:cstheme="minorHAnsi"/>
          <w:i/>
          <w:iCs/>
          <w:color w:val="000000"/>
          <w:sz w:val="20"/>
          <w:szCs w:val="20"/>
          <w:lang w:eastAsia="en-GB"/>
        </w:rPr>
        <w:t xml:space="preserve">“So I think they’ve got a moral responsibility as corporations and what are they putting back into the education I suppose from their profits, I don’t know. I don’t know how much </w:t>
      </w:r>
      <w:r w:rsidR="004B590A" w:rsidRPr="009B3747">
        <w:rPr>
          <w:rFonts w:eastAsia="Times New Roman" w:cstheme="minorHAnsi"/>
          <w:i/>
          <w:iCs/>
          <w:color w:val="000000"/>
          <w:sz w:val="20"/>
          <w:szCs w:val="20"/>
          <w:lang w:eastAsia="en-GB"/>
        </w:rPr>
        <w:t>Coca-Cola</w:t>
      </w:r>
      <w:r w:rsidRPr="009B3747">
        <w:rPr>
          <w:rFonts w:eastAsia="Times New Roman" w:cstheme="minorHAnsi"/>
          <w:i/>
          <w:iCs/>
          <w:color w:val="000000"/>
          <w:sz w:val="20"/>
          <w:szCs w:val="20"/>
          <w:lang w:eastAsia="en-GB"/>
        </w:rPr>
        <w:t xml:space="preserve"> puts back into you know education on you know healthy eating for example, whether they do I don’t.” </w:t>
      </w:r>
      <w:r w:rsidRPr="009B3747">
        <w:rPr>
          <w:rFonts w:eastAsia="Times New Roman" w:cstheme="minorHAnsi"/>
          <w:color w:val="000000"/>
          <w:sz w:val="20"/>
          <w:szCs w:val="20"/>
          <w:lang w:eastAsia="en-GB"/>
        </w:rPr>
        <w:t> </w:t>
      </w:r>
    </w:p>
    <w:p w:rsidR="006F36A0" w:rsidRPr="009B3747" w:rsidRDefault="006F36A0" w:rsidP="006F36A0">
      <w:pPr>
        <w:ind w:left="720"/>
        <w:rPr>
          <w:rFonts w:eastAsia="Times New Roman" w:cstheme="minorHAnsi"/>
          <w:b/>
          <w:sz w:val="24"/>
          <w:szCs w:val="24"/>
          <w:lang w:eastAsia="en-GB"/>
        </w:rPr>
      </w:pPr>
      <w:r w:rsidRPr="009B3747">
        <w:rPr>
          <w:rFonts w:eastAsia="Times New Roman" w:cstheme="minorHAnsi"/>
          <w:b/>
          <w:bCs/>
          <w:color w:val="000000"/>
          <w:sz w:val="20"/>
          <w:szCs w:val="20"/>
          <w:lang w:eastAsia="en-GB"/>
        </w:rPr>
        <w:t>Participant 21</w:t>
      </w:r>
      <w:r w:rsidR="009B67B8" w:rsidRPr="009B3747">
        <w:rPr>
          <w:rFonts w:eastAsia="Times New Roman" w:cstheme="minorHAnsi"/>
          <w:b/>
          <w:color w:val="000000"/>
          <w:sz w:val="20"/>
          <w:szCs w:val="20"/>
          <w:lang w:eastAsia="en-GB"/>
        </w:rPr>
        <w:t xml:space="preserve"> (Headteacher)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i/>
          <w:iCs/>
          <w:color w:val="000000"/>
          <w:lang w:eastAsia="en-GB"/>
        </w:rPr>
        <w:t xml:space="preserve">Government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A contentious issue</w:t>
      </w:r>
      <w:r w:rsidR="0026414C" w:rsidRPr="009B3747">
        <w:rPr>
          <w:rFonts w:eastAsia="Times New Roman" w:cstheme="minorHAnsi"/>
          <w:color w:val="000000"/>
          <w:lang w:eastAsia="en-GB"/>
        </w:rPr>
        <w:t>,</w:t>
      </w:r>
      <w:r w:rsidRPr="009B3747">
        <w:rPr>
          <w:rFonts w:eastAsia="Times New Roman" w:cstheme="minorHAnsi"/>
          <w:color w:val="000000"/>
          <w:lang w:eastAsia="en-GB"/>
        </w:rPr>
        <w:t xml:space="preserve"> although commonly discussed in regards to responsibility amongst participants was the </w:t>
      </w:r>
      <w:r w:rsidR="00BF6D71">
        <w:rPr>
          <w:rFonts w:eastAsia="Times New Roman" w:cstheme="minorHAnsi"/>
          <w:color w:val="000000"/>
          <w:lang w:eastAsia="en-GB"/>
        </w:rPr>
        <w:t xml:space="preserve">role of </w:t>
      </w:r>
      <w:r w:rsidRPr="009B3747">
        <w:rPr>
          <w:rFonts w:eastAsia="Times New Roman" w:cstheme="minorHAnsi"/>
          <w:color w:val="000000"/>
          <w:lang w:eastAsia="en-GB"/>
        </w:rPr>
        <w:t>government or state.  Despite the arguments strongly advocating the importance of personal responsibility, many deemed that</w:t>
      </w:r>
      <w:r w:rsidR="00BF6D71">
        <w:rPr>
          <w:rFonts w:eastAsia="Times New Roman" w:cstheme="minorHAnsi"/>
          <w:color w:val="000000"/>
          <w:lang w:eastAsia="en-GB"/>
        </w:rPr>
        <w:t xml:space="preserve"> the complexity of the problem </w:t>
      </w:r>
      <w:r w:rsidRPr="009B3747">
        <w:rPr>
          <w:rFonts w:eastAsia="Times New Roman" w:cstheme="minorHAnsi"/>
          <w:color w:val="000000"/>
          <w:lang w:eastAsia="en-GB"/>
        </w:rPr>
        <w:t xml:space="preserve">and </w:t>
      </w:r>
      <w:r w:rsidR="0026414C" w:rsidRPr="009B3747">
        <w:rPr>
          <w:rFonts w:eastAsia="Times New Roman" w:cstheme="minorHAnsi"/>
          <w:color w:val="000000"/>
          <w:lang w:eastAsia="en-GB"/>
        </w:rPr>
        <w:t>its</w:t>
      </w:r>
      <w:r w:rsidRPr="009B3747">
        <w:rPr>
          <w:rFonts w:eastAsia="Times New Roman" w:cstheme="minorHAnsi"/>
          <w:color w:val="000000"/>
          <w:lang w:eastAsia="en-GB"/>
        </w:rPr>
        <w:t xml:space="preserve"> resultant burden</w:t>
      </w:r>
      <w:r w:rsidR="00BF6D71">
        <w:rPr>
          <w:rFonts w:eastAsia="Times New Roman" w:cstheme="minorHAnsi"/>
          <w:color w:val="000000"/>
          <w:lang w:eastAsia="en-GB"/>
        </w:rPr>
        <w:t>, means government has a</w:t>
      </w:r>
      <w:r w:rsidRPr="009B3747">
        <w:rPr>
          <w:rFonts w:eastAsia="Times New Roman" w:cstheme="minorHAnsi"/>
          <w:color w:val="000000"/>
          <w:lang w:eastAsia="en-GB"/>
        </w:rPr>
        <w:t xml:space="preserve"> clear responsibility and role in its prevention and resolution.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“So generally, I’m not a, I’m not a someone who thinks </w:t>
      </w:r>
      <w:r w:rsidR="00EB44DD">
        <w:rPr>
          <w:rFonts w:eastAsia="Times New Roman" w:cstheme="minorHAnsi"/>
          <w:i/>
          <w:iCs/>
          <w:color w:val="000000"/>
          <w:sz w:val="20"/>
          <w:szCs w:val="20"/>
          <w:lang w:eastAsia="en-GB"/>
        </w:rPr>
        <w:t xml:space="preserve">the government should intervene, </w:t>
      </w:r>
      <w:r w:rsidRPr="009B3747">
        <w:rPr>
          <w:rFonts w:eastAsia="Times New Roman" w:cstheme="minorHAnsi"/>
          <w:i/>
          <w:iCs/>
          <w:color w:val="000000"/>
          <w:sz w:val="20"/>
          <w:szCs w:val="20"/>
          <w:lang w:eastAsia="en-GB"/>
        </w:rPr>
        <w:t>but I mean I guess we’ve been, we are where we are because no one intervening, so you know, as individuals, as a society of individuals we’ve sort of allowed this to happen.”  </w:t>
      </w:r>
      <w:r w:rsidRPr="009B3747">
        <w:rPr>
          <w:rFonts w:eastAsia="Times New Roman" w:cstheme="minorHAnsi"/>
          <w:b/>
          <w:bCs/>
          <w:color w:val="000000"/>
          <w:sz w:val="20"/>
          <w:szCs w:val="20"/>
          <w:lang w:eastAsia="en-GB"/>
        </w:rPr>
        <w:t>Participant 12</w:t>
      </w:r>
      <w:r w:rsidRPr="009B3747">
        <w:rPr>
          <w:rFonts w:eastAsia="Times New Roman" w:cstheme="minorHAnsi"/>
          <w:b/>
          <w:color w:val="000000"/>
          <w:sz w:val="20"/>
          <w:szCs w:val="20"/>
          <w:lang w:eastAsia="en-GB"/>
        </w:rPr>
        <w:t xml:space="preserve"> </w:t>
      </w:r>
      <w:r w:rsidR="009B67B8" w:rsidRPr="009B3747">
        <w:rPr>
          <w:rFonts w:eastAsia="Times New Roman" w:cstheme="minorHAnsi"/>
          <w:b/>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Most participants who advocated for or promoted government responsibility in prevention, discussed the importance of the state’s role in</w:t>
      </w:r>
      <w:r w:rsidR="00BF6D71">
        <w:rPr>
          <w:rFonts w:eastAsia="Times New Roman" w:cstheme="minorHAnsi"/>
          <w:color w:val="000000"/>
          <w:lang w:eastAsia="en-GB"/>
        </w:rPr>
        <w:t>;</w:t>
      </w:r>
      <w:r w:rsidRPr="009B3747">
        <w:rPr>
          <w:rFonts w:eastAsia="Times New Roman" w:cstheme="minorHAnsi"/>
          <w:color w:val="000000"/>
          <w:lang w:eastAsia="en-GB"/>
        </w:rPr>
        <w:t xml:space="preserve"> setting a strategic direction, creating national guidance, providing education and health services, utilising regulation and taxation measures and raising public awareness.  Comparisons were made to other public health issues such as smoking, sexual health or mental health.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b/>
          <w:sz w:val="24"/>
          <w:szCs w:val="24"/>
          <w:lang w:eastAsia="en-GB"/>
        </w:rPr>
      </w:pPr>
      <w:r w:rsidRPr="009B3747">
        <w:rPr>
          <w:rFonts w:eastAsia="Times New Roman" w:cstheme="minorHAnsi"/>
          <w:i/>
          <w:iCs/>
          <w:color w:val="000000"/>
          <w:sz w:val="20"/>
          <w:szCs w:val="20"/>
          <w:lang w:eastAsia="en-GB"/>
        </w:rPr>
        <w:t>“I think government has a duty, in the same way it has a duty to intervene in terms of smoking or something.”  </w:t>
      </w:r>
      <w:r w:rsidRPr="009B3747">
        <w:rPr>
          <w:rFonts w:eastAsia="Times New Roman" w:cstheme="minorHAnsi"/>
          <w:b/>
          <w:bCs/>
          <w:color w:val="000000"/>
          <w:sz w:val="20"/>
          <w:szCs w:val="20"/>
          <w:lang w:eastAsia="en-GB"/>
        </w:rPr>
        <w:t xml:space="preserve">Participant 5 </w:t>
      </w:r>
      <w:r w:rsidR="009B67B8" w:rsidRPr="009B3747">
        <w:rPr>
          <w:rFonts w:eastAsia="Times New Roman" w:cstheme="minorHAnsi"/>
          <w:b/>
          <w:iCs/>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lastRenderedPageBreak/>
        <w:t> </w:t>
      </w:r>
      <w:r w:rsidRPr="009B3747">
        <w:rPr>
          <w:rFonts w:eastAsia="Times New Roman" w:cstheme="minorHAnsi"/>
          <w:color w:val="000000"/>
          <w:lang w:eastAsia="en-GB"/>
        </w:rPr>
        <w:t>Whilst some discussed the merits of each</w:t>
      </w:r>
      <w:r w:rsidR="005D3459" w:rsidRPr="009B3747">
        <w:rPr>
          <w:rFonts w:eastAsia="Times New Roman" w:cstheme="minorHAnsi"/>
          <w:color w:val="000000"/>
          <w:lang w:eastAsia="en-GB"/>
        </w:rPr>
        <w:t xml:space="preserve"> approach</w:t>
      </w:r>
      <w:r w:rsidRPr="009B3747">
        <w:rPr>
          <w:rFonts w:eastAsia="Times New Roman" w:cstheme="minorHAnsi"/>
          <w:color w:val="000000"/>
          <w:lang w:eastAsia="en-GB"/>
        </w:rPr>
        <w:t xml:space="preserve"> as an aid for changing behaviou</w:t>
      </w:r>
      <w:r w:rsidR="0026414C" w:rsidRPr="009B3747">
        <w:rPr>
          <w:rFonts w:eastAsia="Times New Roman" w:cstheme="minorHAnsi"/>
          <w:color w:val="000000"/>
          <w:lang w:eastAsia="en-GB"/>
        </w:rPr>
        <w:t>r within society</w:t>
      </w:r>
      <w:r w:rsidR="005D3459" w:rsidRPr="009B3747">
        <w:rPr>
          <w:rFonts w:eastAsia="Times New Roman" w:cstheme="minorHAnsi"/>
          <w:color w:val="000000"/>
          <w:lang w:eastAsia="en-GB"/>
        </w:rPr>
        <w:t xml:space="preserve"> (see 6.6.2)</w:t>
      </w:r>
      <w:r w:rsidRPr="009B3747">
        <w:rPr>
          <w:rFonts w:eastAsia="Times New Roman" w:cstheme="minorHAnsi"/>
          <w:color w:val="000000"/>
          <w:lang w:eastAsia="en-GB"/>
        </w:rPr>
        <w:t>, some relayed concerns that an overemphasis on government responsibilities for prevention would detract from the importance of personal responsibility.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“The state [pause], in my view has an obligation to provide as much information as it can to people about the consequences of their actions, but I would, I’m not, I don’t typically think that it’s the government fault or the </w:t>
      </w:r>
      <w:r w:rsidR="0026414C" w:rsidRPr="009B3747">
        <w:rPr>
          <w:rFonts w:eastAsia="Times New Roman" w:cstheme="minorHAnsi"/>
          <w:i/>
          <w:iCs/>
          <w:color w:val="000000"/>
          <w:sz w:val="20"/>
          <w:szCs w:val="20"/>
          <w:lang w:eastAsia="en-GB"/>
        </w:rPr>
        <w:t>government’s</w:t>
      </w:r>
      <w:r w:rsidRPr="009B3747">
        <w:rPr>
          <w:rFonts w:eastAsia="Times New Roman" w:cstheme="minorHAnsi"/>
          <w:i/>
          <w:iCs/>
          <w:color w:val="000000"/>
          <w:sz w:val="20"/>
          <w:szCs w:val="20"/>
          <w:lang w:eastAsia="en-GB"/>
        </w:rPr>
        <w:t xml:space="preserve"> responsibility to stop childhood obesity.  I mean it has a social responsibility to put the information out there and to stand ready to catch people if they fall through the net and protect</w:t>
      </w:r>
      <w:r w:rsidR="00EB44DD">
        <w:rPr>
          <w:rFonts w:eastAsia="Times New Roman" w:cstheme="minorHAnsi"/>
          <w:i/>
          <w:iCs/>
          <w:color w:val="000000"/>
          <w:sz w:val="20"/>
          <w:szCs w:val="20"/>
          <w:lang w:eastAsia="en-GB"/>
        </w:rPr>
        <w:t xml:space="preserve"> them, </w:t>
      </w:r>
      <w:r w:rsidRPr="009B3747">
        <w:rPr>
          <w:rFonts w:eastAsia="Times New Roman" w:cstheme="minorHAnsi"/>
          <w:i/>
          <w:iCs/>
          <w:color w:val="000000"/>
          <w:sz w:val="20"/>
          <w:szCs w:val="20"/>
          <w:lang w:eastAsia="en-GB"/>
        </w:rPr>
        <w:t>but you know, there are limits on what the state should feel it’s responsible for.”  </w:t>
      </w:r>
      <w:r w:rsidRPr="009B3747">
        <w:rPr>
          <w:rFonts w:eastAsia="Times New Roman" w:cstheme="minorHAnsi"/>
          <w:b/>
          <w:bCs/>
          <w:color w:val="000000"/>
          <w:sz w:val="20"/>
          <w:szCs w:val="20"/>
          <w:lang w:eastAsia="en-GB"/>
        </w:rPr>
        <w:t>Participant 4</w:t>
      </w:r>
      <w:r w:rsidR="009B67B8" w:rsidRPr="009B3747">
        <w:rPr>
          <w:rFonts w:eastAsia="Times New Roman" w:cstheme="minorHAnsi"/>
          <w:b/>
          <w:bCs/>
          <w:color w:val="000000"/>
          <w:sz w:val="20"/>
          <w:szCs w:val="20"/>
          <w:lang w:eastAsia="en-GB"/>
        </w:rPr>
        <w:t xml:space="preserve"> (Chair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Others expressed particular worries about the intrusiveness of government responsibilit</w:t>
      </w:r>
      <w:r w:rsidR="00BF6D71">
        <w:rPr>
          <w:rFonts w:eastAsia="Times New Roman" w:cstheme="minorHAnsi"/>
          <w:color w:val="000000"/>
          <w:lang w:eastAsia="en-GB"/>
        </w:rPr>
        <w:t>y or increasing responsibility, a</w:t>
      </w:r>
      <w:r w:rsidRPr="009B3747">
        <w:rPr>
          <w:rFonts w:eastAsia="Times New Roman" w:cstheme="minorHAnsi"/>
          <w:color w:val="000000"/>
          <w:lang w:eastAsia="en-GB"/>
        </w:rPr>
        <w:t>s a means to prevent obesity at a social or society level.  Some utilising the phrases ‘big brother’ and ‘nanny state’ to highlight</w:t>
      </w:r>
      <w:r w:rsidR="00BF6D71">
        <w:rPr>
          <w:rFonts w:eastAsia="Times New Roman" w:cstheme="minorHAnsi"/>
          <w:color w:val="000000"/>
          <w:lang w:eastAsia="en-GB"/>
        </w:rPr>
        <w:t xml:space="preserve"> concerns about</w:t>
      </w:r>
      <w:r w:rsidRPr="009B3747">
        <w:rPr>
          <w:rFonts w:eastAsia="Times New Roman" w:cstheme="minorHAnsi"/>
          <w:color w:val="000000"/>
          <w:lang w:eastAsia="en-GB"/>
        </w:rPr>
        <w:t xml:space="preserve"> the level of involvement g</w:t>
      </w:r>
      <w:r w:rsidR="00BF6D71">
        <w:rPr>
          <w:rFonts w:eastAsia="Times New Roman" w:cstheme="minorHAnsi"/>
          <w:color w:val="000000"/>
          <w:lang w:eastAsia="en-GB"/>
        </w:rPr>
        <w:t>overnment should have in people</w:t>
      </w:r>
      <w:r w:rsidRPr="009B3747">
        <w:rPr>
          <w:rFonts w:eastAsia="Times New Roman" w:cstheme="minorHAnsi"/>
          <w:color w:val="000000"/>
          <w:lang w:eastAsia="en-GB"/>
        </w:rPr>
        <w:t>s</w:t>
      </w:r>
      <w:r w:rsidR="00BF6D71">
        <w:rPr>
          <w:rFonts w:eastAsia="Times New Roman" w:cstheme="minorHAnsi"/>
          <w:color w:val="000000"/>
          <w:lang w:eastAsia="en-GB"/>
        </w:rPr>
        <w:t>’</w:t>
      </w:r>
      <w:r w:rsidRPr="009B3747">
        <w:rPr>
          <w:rFonts w:eastAsia="Times New Roman" w:cstheme="minorHAnsi"/>
          <w:color w:val="000000"/>
          <w:lang w:eastAsia="en-GB"/>
        </w:rPr>
        <w:t xml:space="preserve"> lives.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firstLine="720"/>
        <w:rPr>
          <w:rFonts w:eastAsia="Times New Roman" w:cstheme="minorHAnsi"/>
          <w:sz w:val="24"/>
          <w:szCs w:val="24"/>
          <w:lang w:eastAsia="en-GB"/>
        </w:rPr>
      </w:pPr>
      <w:r w:rsidRPr="009B3747">
        <w:rPr>
          <w:rFonts w:eastAsia="Times New Roman" w:cstheme="minorHAnsi"/>
          <w:i/>
          <w:iCs/>
          <w:color w:val="000000"/>
          <w:sz w:val="20"/>
          <w:szCs w:val="20"/>
          <w:lang w:eastAsia="en-GB"/>
        </w:rPr>
        <w:t>“Some people just aren’t bothered and I actually I think more people hide behind “it’s a nanny state,</w:t>
      </w:r>
      <w:r w:rsidRPr="009B3747">
        <w:rPr>
          <w:rFonts w:eastAsia="Times New Roman" w:cstheme="minorHAnsi"/>
          <w:i/>
          <w:iCs/>
          <w:color w:val="000000"/>
          <w:sz w:val="20"/>
          <w:szCs w:val="20"/>
          <w:lang w:eastAsia="en-GB"/>
        </w:rPr>
        <w:tab/>
        <w:t xml:space="preserve">they’re not going to tell me what to do.”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Participant 19</w:t>
      </w:r>
      <w:r w:rsidR="009B67B8" w:rsidRPr="009B3747">
        <w:rPr>
          <w:rFonts w:eastAsia="Times New Roman" w:cstheme="minorHAnsi"/>
          <w:b/>
          <w:color w:val="000000"/>
          <w:sz w:val="20"/>
          <w:szCs w:val="20"/>
          <w:lang w:eastAsia="en-GB"/>
        </w:rPr>
        <w:t xml:space="preserve"> (Headteacher)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“It starts to become my personal, political view if we’re not careful. I think there’s a, I worry the government will get too involved in trying to change behaviours.”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Participant 21</w:t>
      </w:r>
      <w:r w:rsidR="009B67B8" w:rsidRPr="009B3747">
        <w:rPr>
          <w:rFonts w:eastAsia="Times New Roman" w:cstheme="minorHAnsi"/>
          <w:b/>
          <w:color w:val="000000"/>
          <w:sz w:val="20"/>
          <w:szCs w:val="20"/>
          <w:lang w:eastAsia="en-GB"/>
        </w:rPr>
        <w:t xml:space="preserve"> (Headteacher)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 xml:space="preserve">A few participants made reference to the effect of politics on </w:t>
      </w:r>
      <w:r w:rsidR="00BF6D71">
        <w:rPr>
          <w:rFonts w:eastAsia="Times New Roman" w:cstheme="minorHAnsi"/>
          <w:color w:val="000000"/>
          <w:lang w:eastAsia="en-GB"/>
        </w:rPr>
        <w:t>whether and how a government acknowledges or acts</w:t>
      </w:r>
      <w:r w:rsidRPr="009B3747">
        <w:rPr>
          <w:rFonts w:eastAsia="Times New Roman" w:cstheme="minorHAnsi"/>
          <w:color w:val="000000"/>
          <w:lang w:eastAsia="en-GB"/>
        </w:rPr>
        <w:t xml:space="preserve"> out responsibilities for issues such as obesity.  Some proposed that the relatively short periods of time a government holds power for</w:t>
      </w:r>
      <w:r w:rsidR="00BF6D71">
        <w:rPr>
          <w:rFonts w:eastAsia="Times New Roman" w:cstheme="minorHAnsi"/>
          <w:color w:val="000000"/>
          <w:lang w:eastAsia="en-GB"/>
        </w:rPr>
        <w:t>,</w:t>
      </w:r>
      <w:r w:rsidRPr="009B3747">
        <w:rPr>
          <w:rFonts w:eastAsia="Times New Roman" w:cstheme="minorHAnsi"/>
          <w:color w:val="000000"/>
          <w:lang w:eastAsia="en-GB"/>
        </w:rPr>
        <w:t xml:space="preserve"> and the </w:t>
      </w:r>
      <w:r w:rsidR="00BF6D71">
        <w:rPr>
          <w:rFonts w:eastAsia="Times New Roman" w:cstheme="minorHAnsi"/>
          <w:color w:val="000000"/>
          <w:lang w:eastAsia="en-GB"/>
        </w:rPr>
        <w:t>political desire to</w:t>
      </w:r>
      <w:r w:rsidRPr="009B3747">
        <w:rPr>
          <w:rFonts w:eastAsia="Times New Roman" w:cstheme="minorHAnsi"/>
          <w:color w:val="000000"/>
          <w:lang w:eastAsia="en-GB"/>
        </w:rPr>
        <w:t xml:space="preserve"> take action that is popular with the </w:t>
      </w:r>
      <w:r w:rsidR="00BF6D71">
        <w:rPr>
          <w:rFonts w:eastAsia="Times New Roman" w:cstheme="minorHAnsi"/>
          <w:color w:val="000000"/>
          <w:lang w:eastAsia="en-GB"/>
        </w:rPr>
        <w:t xml:space="preserve">electorate, means the perceived </w:t>
      </w:r>
      <w:r w:rsidRPr="009B3747">
        <w:rPr>
          <w:rFonts w:eastAsia="Times New Roman" w:cstheme="minorHAnsi"/>
          <w:color w:val="000000"/>
          <w:lang w:eastAsia="en-GB"/>
        </w:rPr>
        <w:t xml:space="preserve">responsibilities of the state are not always fulfilled.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“Well they’re responsibility, I mean it, they’ve got to get votes and I think part of the problem with politicians is that every decision they are making is very very short term, it’s all about five years time, winning the next election and actually we are sleepwalking into disaster on so many different things.”  </w:t>
      </w:r>
      <w:r w:rsidRPr="009B3747">
        <w:rPr>
          <w:rFonts w:eastAsia="Times New Roman" w:cstheme="minorHAnsi"/>
          <w:b/>
          <w:bCs/>
          <w:color w:val="000000"/>
          <w:sz w:val="20"/>
          <w:szCs w:val="20"/>
          <w:lang w:eastAsia="en-GB"/>
        </w:rPr>
        <w:t xml:space="preserve">Participant 14 </w:t>
      </w:r>
      <w:r w:rsidR="009B67B8" w:rsidRPr="009B3747">
        <w:rPr>
          <w:rFonts w:eastAsia="Times New Roman" w:cstheme="minorHAnsi"/>
          <w:b/>
          <w:iCs/>
          <w:color w:val="000000"/>
          <w:sz w:val="20"/>
          <w:szCs w:val="20"/>
          <w:lang w:eastAsia="en-GB"/>
        </w:rPr>
        <w:t>(Headteacher)</w:t>
      </w:r>
    </w:p>
    <w:p w:rsidR="006F36A0"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BF6D71" w:rsidRDefault="00BF6D71" w:rsidP="006F36A0">
      <w:pPr>
        <w:rPr>
          <w:rFonts w:eastAsia="Times New Roman" w:cstheme="minorHAnsi"/>
          <w:sz w:val="24"/>
          <w:szCs w:val="24"/>
          <w:lang w:eastAsia="en-GB"/>
        </w:rPr>
      </w:pPr>
    </w:p>
    <w:p w:rsidR="00BF6D71" w:rsidRDefault="00BF6D71" w:rsidP="006F36A0">
      <w:pPr>
        <w:rPr>
          <w:rFonts w:eastAsia="Times New Roman" w:cstheme="minorHAnsi"/>
          <w:sz w:val="24"/>
          <w:szCs w:val="24"/>
          <w:lang w:eastAsia="en-GB"/>
        </w:rPr>
      </w:pPr>
    </w:p>
    <w:p w:rsidR="006F36A0" w:rsidRPr="009B3747" w:rsidRDefault="00991D2F" w:rsidP="006F36A0">
      <w:pPr>
        <w:rPr>
          <w:rFonts w:eastAsia="Times New Roman" w:cstheme="minorHAnsi"/>
          <w:sz w:val="24"/>
          <w:szCs w:val="24"/>
          <w:u w:val="single"/>
          <w:lang w:eastAsia="en-GB"/>
        </w:rPr>
      </w:pPr>
      <w:r w:rsidRPr="009B3747">
        <w:rPr>
          <w:rFonts w:eastAsia="Times New Roman" w:cstheme="minorHAnsi"/>
          <w:iCs/>
          <w:color w:val="000000"/>
          <w:u w:val="single"/>
          <w:lang w:eastAsia="en-GB"/>
        </w:rPr>
        <w:lastRenderedPageBreak/>
        <w:t>6.</w:t>
      </w:r>
      <w:r w:rsidR="00551065" w:rsidRPr="009B3747">
        <w:rPr>
          <w:rFonts w:eastAsia="Times New Roman" w:cstheme="minorHAnsi"/>
          <w:iCs/>
          <w:color w:val="000000"/>
          <w:u w:val="single"/>
          <w:lang w:eastAsia="en-GB"/>
        </w:rPr>
        <w:t>6</w:t>
      </w:r>
      <w:r w:rsidR="006F36A0" w:rsidRPr="009B3747">
        <w:rPr>
          <w:rFonts w:eastAsia="Times New Roman" w:cstheme="minorHAnsi"/>
          <w:iCs/>
          <w:color w:val="000000"/>
          <w:u w:val="single"/>
          <w:lang w:eastAsia="en-GB"/>
        </w:rPr>
        <w:t>.2 Approaches to behaviour change</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8F31F2" w:rsidP="006F36A0">
      <w:pPr>
        <w:rPr>
          <w:rFonts w:eastAsia="Times New Roman" w:cstheme="minorHAnsi"/>
          <w:sz w:val="24"/>
          <w:szCs w:val="24"/>
          <w:lang w:eastAsia="en-GB"/>
        </w:rPr>
      </w:pPr>
      <w:r>
        <w:rPr>
          <w:rFonts w:eastAsia="Times New Roman" w:cstheme="minorHAnsi"/>
          <w:color w:val="000000"/>
          <w:lang w:eastAsia="en-GB"/>
        </w:rPr>
        <w:t>P</w:t>
      </w:r>
      <w:r w:rsidR="006F36A0" w:rsidRPr="009B3747">
        <w:rPr>
          <w:rFonts w:eastAsia="Times New Roman" w:cstheme="minorHAnsi"/>
          <w:color w:val="000000"/>
          <w:lang w:eastAsia="en-GB"/>
        </w:rPr>
        <w:t>articipants referred to and promoted a diverse range of a</w:t>
      </w:r>
      <w:r>
        <w:rPr>
          <w:rFonts w:eastAsia="Times New Roman" w:cstheme="minorHAnsi"/>
          <w:color w:val="000000"/>
          <w:lang w:eastAsia="en-GB"/>
        </w:rPr>
        <w:t>pproaches, deemed to be effective in preventing adolescent obesity and improving lifestyle behaviours,</w:t>
      </w:r>
      <w:r w:rsidR="006F36A0" w:rsidRPr="009B3747">
        <w:rPr>
          <w:rFonts w:eastAsia="Times New Roman" w:cstheme="minorHAnsi"/>
          <w:color w:val="000000"/>
          <w:lang w:eastAsia="en-GB"/>
        </w:rPr>
        <w:t xml:space="preserve"> both inside and outside of a school setting.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 xml:space="preserve">First and foremost, a collective recognition amongst headteachers </w:t>
      </w:r>
      <w:r w:rsidR="008F31F2">
        <w:rPr>
          <w:rFonts w:eastAsia="Times New Roman" w:cstheme="minorHAnsi"/>
          <w:color w:val="000000"/>
          <w:lang w:eastAsia="en-GB"/>
        </w:rPr>
        <w:t xml:space="preserve">and chairs of governors existed, </w:t>
      </w:r>
      <w:r w:rsidRPr="009B3747">
        <w:rPr>
          <w:rFonts w:eastAsia="Times New Roman" w:cstheme="minorHAnsi"/>
          <w:color w:val="000000"/>
          <w:lang w:eastAsia="en-GB"/>
        </w:rPr>
        <w:t xml:space="preserve">about the role and value of education in influencing adolescent lifestyle behaviours.  Many extensively discussed the importance of providing information and raising awareness about the risks associated with obesity and </w:t>
      </w:r>
      <w:r w:rsidR="008F31F2">
        <w:rPr>
          <w:rFonts w:eastAsia="Times New Roman" w:cstheme="minorHAnsi"/>
          <w:color w:val="000000"/>
          <w:lang w:eastAsia="en-GB"/>
        </w:rPr>
        <w:t>the benefits of improving lifestyle</w:t>
      </w:r>
      <w:r w:rsidRPr="009B3747">
        <w:rPr>
          <w:rFonts w:eastAsia="Times New Roman" w:cstheme="minorHAnsi"/>
          <w:color w:val="000000"/>
          <w:lang w:eastAsia="en-GB"/>
        </w:rPr>
        <w:t xml:space="preserve"> behaviours.  For most, it was perceived that by imparting this knowledge, adolescent behaviour would positively adjust in accordance with the information they received.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26414C"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w:t>
      </w:r>
      <w:r w:rsidR="006F36A0" w:rsidRPr="009B3747">
        <w:rPr>
          <w:rFonts w:eastAsia="Times New Roman" w:cstheme="minorHAnsi"/>
          <w:i/>
          <w:iCs/>
          <w:color w:val="000000"/>
          <w:sz w:val="20"/>
          <w:szCs w:val="20"/>
          <w:lang w:eastAsia="en-GB"/>
        </w:rPr>
        <w:t>It’s just so many different things isn’t it. If I had to pick the main thing, it would be education in a, in a whole society sense</w:t>
      </w:r>
      <w:r w:rsidR="00EB44DD">
        <w:rPr>
          <w:rFonts w:eastAsia="Times New Roman" w:cstheme="minorHAnsi"/>
          <w:i/>
          <w:iCs/>
          <w:color w:val="000000"/>
          <w:sz w:val="20"/>
          <w:szCs w:val="20"/>
          <w:lang w:eastAsia="en-GB"/>
        </w:rPr>
        <w:t xml:space="preserve"> not education through what I do,</w:t>
      </w:r>
      <w:r w:rsidR="006F36A0" w:rsidRPr="009B3747">
        <w:rPr>
          <w:rFonts w:eastAsia="Times New Roman" w:cstheme="minorHAnsi"/>
          <w:i/>
          <w:iCs/>
          <w:color w:val="000000"/>
          <w:sz w:val="20"/>
          <w:szCs w:val="20"/>
          <w:lang w:eastAsia="en-GB"/>
        </w:rPr>
        <w:t xml:space="preserve"> but making everybody aware of as much as we can.” </w:t>
      </w:r>
      <w:r w:rsidR="006F36A0" w:rsidRPr="009B3747">
        <w:rPr>
          <w:rFonts w:eastAsia="Times New Roman" w:cstheme="minorHAnsi"/>
          <w:color w:val="000000"/>
          <w:sz w:val="20"/>
          <w:szCs w:val="20"/>
          <w:lang w:eastAsia="en-GB"/>
        </w:rPr>
        <w:t> </w:t>
      </w:r>
      <w:r w:rsidR="006F36A0" w:rsidRPr="009B3747">
        <w:rPr>
          <w:rFonts w:eastAsia="Times New Roman" w:cstheme="minorHAnsi"/>
          <w:b/>
          <w:bCs/>
          <w:color w:val="000000"/>
          <w:sz w:val="20"/>
          <w:szCs w:val="20"/>
          <w:lang w:eastAsia="en-GB"/>
        </w:rPr>
        <w:t>Participant 21</w:t>
      </w:r>
      <w:r w:rsidR="006F36A0" w:rsidRPr="009B3747">
        <w:rPr>
          <w:rFonts w:eastAsia="Times New Roman" w:cstheme="minorHAnsi"/>
          <w:b/>
          <w:color w:val="000000"/>
          <w:sz w:val="20"/>
          <w:szCs w:val="20"/>
          <w:lang w:eastAsia="en-GB"/>
        </w:rPr>
        <w:t xml:space="preserve"> </w:t>
      </w:r>
      <w:r w:rsidR="009B67B8" w:rsidRPr="009B3747">
        <w:rPr>
          <w:rFonts w:eastAsia="Times New Roman" w:cstheme="minorHAnsi"/>
          <w:b/>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A minority of participants typically chairs of governors, proposed the use of ‘shock tactics’ when educat</w:t>
      </w:r>
      <w:r w:rsidR="008F31F2">
        <w:rPr>
          <w:rFonts w:eastAsia="Times New Roman" w:cstheme="minorHAnsi"/>
          <w:color w:val="000000"/>
          <w:lang w:eastAsia="en-GB"/>
        </w:rPr>
        <w:t>ing adolescents about obesity.  This was viewed as useful for scaring</w:t>
      </w:r>
      <w:r w:rsidRPr="009B3747">
        <w:rPr>
          <w:rFonts w:eastAsia="Times New Roman" w:cstheme="minorHAnsi"/>
          <w:color w:val="000000"/>
          <w:lang w:eastAsia="en-GB"/>
        </w:rPr>
        <w:t xml:space="preserve"> or alarm</w:t>
      </w:r>
      <w:r w:rsidR="008F31F2">
        <w:rPr>
          <w:rFonts w:eastAsia="Times New Roman" w:cstheme="minorHAnsi"/>
          <w:color w:val="000000"/>
          <w:lang w:eastAsia="en-GB"/>
        </w:rPr>
        <w:t>ing</w:t>
      </w:r>
      <w:r w:rsidRPr="009B3747">
        <w:rPr>
          <w:rFonts w:eastAsia="Times New Roman" w:cstheme="minorHAnsi"/>
          <w:color w:val="000000"/>
          <w:lang w:eastAsia="en-GB"/>
        </w:rPr>
        <w:t xml:space="preserve"> adolescents into changing behaviour.  This approach was also deemed by some to be useful within education for wider public health issues</w:t>
      </w:r>
      <w:r w:rsidR="007F3CF4">
        <w:rPr>
          <w:rFonts w:eastAsia="Times New Roman" w:cstheme="minorHAnsi"/>
          <w:color w:val="000000"/>
          <w:lang w:eastAsia="en-GB"/>
        </w:rPr>
        <w:t>,</w:t>
      </w:r>
      <w:r w:rsidRPr="009B3747">
        <w:rPr>
          <w:rFonts w:eastAsia="Times New Roman" w:cstheme="minorHAnsi"/>
          <w:color w:val="000000"/>
          <w:lang w:eastAsia="en-GB"/>
        </w:rPr>
        <w:t xml:space="preserve"> i.e. smoking and sexual health.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“It’s about education, it’s about understanding what it’s doing inside your body and understanding the impact it’s going to have later on and kids don’t really appreciate that, teenagers they don’t really care what’s going to happen when they’re in their fifties and sixties and seventies do they. So it’s finding a way, maybe it’s the shock factor, showing some horrible pictures of heart disease and things like that.”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Participant 11</w:t>
      </w:r>
      <w:r w:rsidRPr="009B3747">
        <w:rPr>
          <w:rFonts w:eastAsia="Times New Roman" w:cstheme="minorHAnsi"/>
          <w:b/>
          <w:color w:val="000000"/>
          <w:sz w:val="20"/>
          <w:szCs w:val="20"/>
          <w:lang w:eastAsia="en-GB"/>
        </w:rPr>
        <w:t xml:space="preserve"> </w:t>
      </w:r>
      <w:r w:rsidR="00A23662" w:rsidRPr="009B3747">
        <w:rPr>
          <w:rFonts w:eastAsia="Times New Roman" w:cstheme="minorHAnsi"/>
          <w:b/>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Changing behaviour through education and information provision was predominantly viewed as an i</w:t>
      </w:r>
      <w:r w:rsidR="008F31F2">
        <w:rPr>
          <w:rFonts w:eastAsia="Times New Roman" w:cstheme="minorHAnsi"/>
          <w:color w:val="000000"/>
          <w:lang w:eastAsia="en-GB"/>
        </w:rPr>
        <w:t>mportant and effective approach, given the perception of its use in</w:t>
      </w:r>
      <w:r w:rsidRPr="009B3747">
        <w:rPr>
          <w:rFonts w:eastAsia="Times New Roman" w:cstheme="minorHAnsi"/>
          <w:color w:val="000000"/>
          <w:lang w:eastAsia="en-GB"/>
        </w:rPr>
        <w:t xml:space="preserve"> schools and health services.  However, many identified value in havin</w:t>
      </w:r>
      <w:r w:rsidR="008F31F2">
        <w:rPr>
          <w:rFonts w:eastAsia="Times New Roman" w:cstheme="minorHAnsi"/>
          <w:color w:val="000000"/>
          <w:lang w:eastAsia="en-GB"/>
        </w:rPr>
        <w:t xml:space="preserve">g increased public health campaigns, </w:t>
      </w:r>
      <w:r w:rsidRPr="009B3747">
        <w:rPr>
          <w:rFonts w:eastAsia="Times New Roman" w:cstheme="minorHAnsi"/>
          <w:color w:val="000000"/>
          <w:lang w:eastAsia="en-GB"/>
        </w:rPr>
        <w:t xml:space="preserve">delivered at a national level </w:t>
      </w:r>
      <w:r w:rsidR="008F31F2">
        <w:rPr>
          <w:rFonts w:eastAsia="Times New Roman" w:cstheme="minorHAnsi"/>
          <w:color w:val="000000"/>
          <w:lang w:eastAsia="en-GB"/>
        </w:rPr>
        <w:t xml:space="preserve">in order </w:t>
      </w:r>
      <w:r w:rsidRPr="009B3747">
        <w:rPr>
          <w:rFonts w:eastAsia="Times New Roman" w:cstheme="minorHAnsi"/>
          <w:color w:val="000000"/>
          <w:lang w:eastAsia="en-GB"/>
        </w:rPr>
        <w:t>to develop greater awareness across society rather than simply in isolated settings.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lastRenderedPageBreak/>
        <w:t>“I think we’re going to attack it nationally it needs to come at all levels in that golden triangle, the kids, the parents and the school, and there needs to be a concerted effort to provide information, guidance and also opportunity to do something about it.”  </w:t>
      </w:r>
      <w:r w:rsidRPr="009B3747">
        <w:rPr>
          <w:rFonts w:eastAsia="Times New Roman" w:cstheme="minorHAnsi"/>
          <w:b/>
          <w:bCs/>
          <w:color w:val="000000"/>
          <w:sz w:val="20"/>
          <w:szCs w:val="20"/>
          <w:lang w:eastAsia="en-GB"/>
        </w:rPr>
        <w:t xml:space="preserve">Participant 6 </w:t>
      </w:r>
      <w:r w:rsidR="00A23662" w:rsidRPr="009B3747">
        <w:rPr>
          <w:rFonts w:eastAsia="Times New Roman" w:cstheme="minorHAnsi"/>
          <w:b/>
          <w:bCs/>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No reference by any participant was made to existing national government awareness campaigns for obesity, improving dietary or physical activity habits.  Despite this, some provided examples of previous or existing national campaigns or projects for raising population awareness about wider public health and environmental issues.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firstLine="720"/>
        <w:rPr>
          <w:rFonts w:eastAsia="Times New Roman" w:cstheme="minorHAnsi"/>
          <w:sz w:val="24"/>
          <w:szCs w:val="24"/>
          <w:lang w:eastAsia="en-GB"/>
        </w:rPr>
      </w:pPr>
      <w:r w:rsidRPr="009B3747">
        <w:rPr>
          <w:rFonts w:eastAsia="Times New Roman" w:cstheme="minorHAnsi"/>
          <w:i/>
          <w:iCs/>
          <w:color w:val="000000"/>
          <w:sz w:val="20"/>
          <w:szCs w:val="20"/>
          <w:lang w:eastAsia="en-GB"/>
        </w:rPr>
        <w:t>“Adverts.  TV talks to every household doesn’t it, there’s barely a household not talked to by a TV.  We</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know not to overfill out kettles, we know to turn our lights off, we know to recycle cos of big recycling and energy saving campaigns, has there been a campaigns, that sticks in, all the ones about cigarettes and all your blackened lungs and your impotence.”  </w:t>
      </w:r>
      <w:r w:rsidRPr="009B3747">
        <w:rPr>
          <w:rFonts w:eastAsia="Times New Roman" w:cstheme="minorHAnsi"/>
          <w:b/>
          <w:bCs/>
          <w:color w:val="000000"/>
          <w:sz w:val="20"/>
          <w:szCs w:val="20"/>
          <w:lang w:eastAsia="en-GB"/>
        </w:rPr>
        <w:t>Participant 10</w:t>
      </w:r>
      <w:r w:rsidR="00A23662" w:rsidRPr="009B3747">
        <w:rPr>
          <w:rFonts w:eastAsia="Times New Roman" w:cstheme="minorHAnsi"/>
          <w:b/>
          <w:i/>
          <w:iCs/>
          <w:color w:val="000000"/>
          <w:sz w:val="20"/>
          <w:szCs w:val="20"/>
          <w:lang w:eastAsia="en-GB"/>
        </w:rPr>
        <w:t xml:space="preserve"> </w:t>
      </w:r>
      <w:r w:rsidR="00A23662" w:rsidRPr="009B3747">
        <w:rPr>
          <w:rFonts w:eastAsia="Times New Roman" w:cstheme="minorHAnsi"/>
          <w:b/>
          <w:iCs/>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 xml:space="preserve">Consequently, many participants </w:t>
      </w:r>
      <w:r w:rsidR="008F31F2">
        <w:rPr>
          <w:rFonts w:eastAsia="Times New Roman" w:cstheme="minorHAnsi"/>
          <w:color w:val="000000"/>
          <w:lang w:eastAsia="en-GB"/>
        </w:rPr>
        <w:t>championed an</w:t>
      </w:r>
      <w:r w:rsidRPr="009B3747">
        <w:rPr>
          <w:rFonts w:eastAsia="Times New Roman" w:cstheme="minorHAnsi"/>
          <w:color w:val="000000"/>
          <w:lang w:eastAsia="en-GB"/>
        </w:rPr>
        <w:t xml:space="preserve"> increased use of the media by government and obesity associated health charities (e.g. diabetes UK) to cascade information and raise awareness</w:t>
      </w:r>
      <w:r w:rsidR="008F31F2">
        <w:rPr>
          <w:rFonts w:eastAsia="Times New Roman" w:cstheme="minorHAnsi"/>
          <w:color w:val="000000"/>
          <w:lang w:eastAsia="en-GB"/>
        </w:rPr>
        <w:t>.  This approach was proposed as having a potentially positive impact on</w:t>
      </w:r>
      <w:r w:rsidRPr="009B3747">
        <w:rPr>
          <w:rFonts w:eastAsia="Times New Roman" w:cstheme="minorHAnsi"/>
          <w:color w:val="000000"/>
          <w:lang w:eastAsia="en-GB"/>
        </w:rPr>
        <w:t xml:space="preserve"> changing obesi</w:t>
      </w:r>
      <w:r w:rsidR="008F31F2">
        <w:rPr>
          <w:rFonts w:eastAsia="Times New Roman" w:cstheme="minorHAnsi"/>
          <w:color w:val="000000"/>
          <w:lang w:eastAsia="en-GB"/>
        </w:rPr>
        <w:t>ty related lifestyle behaviours in children, adolescents and adults.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“I, I suppose government health campaigns aimed at parents would be quite effective and just saying you know, how do you care for your son or your daughter.  I think that would quite effective, just raising awareness of how many calories go into some of the ready meals, junk food and that’s, that’s important.”  </w:t>
      </w:r>
      <w:r w:rsidRPr="009B3747">
        <w:rPr>
          <w:rFonts w:eastAsia="Times New Roman" w:cstheme="minorHAnsi"/>
          <w:b/>
          <w:bCs/>
          <w:color w:val="000000"/>
          <w:sz w:val="20"/>
          <w:szCs w:val="20"/>
          <w:lang w:eastAsia="en-GB"/>
        </w:rPr>
        <w:t>Participant 5</w:t>
      </w:r>
      <w:r w:rsidRPr="009B3747">
        <w:rPr>
          <w:rFonts w:eastAsia="Times New Roman" w:cstheme="minorHAnsi"/>
          <w:color w:val="000000"/>
          <w:sz w:val="20"/>
          <w:szCs w:val="20"/>
          <w:lang w:eastAsia="en-GB"/>
        </w:rPr>
        <w:t xml:space="preserve"> </w:t>
      </w:r>
      <w:r w:rsidR="00A23662" w:rsidRPr="009B3747">
        <w:rPr>
          <w:rFonts w:eastAsia="Times New Roman" w:cstheme="minorHAnsi"/>
          <w:b/>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For some, in addition to ensuring availability of public health information amongst adolescents, reference was made t</w:t>
      </w:r>
      <w:r w:rsidR="008F31F2">
        <w:rPr>
          <w:rFonts w:eastAsia="Times New Roman" w:cstheme="minorHAnsi"/>
          <w:color w:val="000000"/>
          <w:lang w:eastAsia="en-GB"/>
        </w:rPr>
        <w:t xml:space="preserve">o the importance of repetition and the </w:t>
      </w:r>
      <w:r w:rsidRPr="009B3747">
        <w:rPr>
          <w:rFonts w:eastAsia="Times New Roman" w:cstheme="minorHAnsi"/>
          <w:color w:val="000000"/>
          <w:lang w:eastAsia="en-GB"/>
        </w:rPr>
        <w:t>consistency</w:t>
      </w:r>
      <w:r w:rsidR="008F31F2">
        <w:rPr>
          <w:rFonts w:eastAsia="Times New Roman" w:cstheme="minorHAnsi"/>
          <w:color w:val="000000"/>
          <w:lang w:eastAsia="en-GB"/>
        </w:rPr>
        <w:t xml:space="preserve"> of awareness raising.  Furthermore, </w:t>
      </w:r>
      <w:r w:rsidRPr="009B3747">
        <w:rPr>
          <w:rFonts w:eastAsia="Times New Roman" w:cstheme="minorHAnsi"/>
          <w:color w:val="000000"/>
          <w:lang w:eastAsia="en-GB"/>
        </w:rPr>
        <w:t xml:space="preserve">the </w:t>
      </w:r>
      <w:r w:rsidR="008F31F2">
        <w:rPr>
          <w:rFonts w:eastAsia="Times New Roman" w:cstheme="minorHAnsi"/>
          <w:color w:val="000000"/>
          <w:lang w:eastAsia="en-GB"/>
        </w:rPr>
        <w:t xml:space="preserve">effectiveness of raising awareness was argued to be dependent on the </w:t>
      </w:r>
      <w:r w:rsidRPr="009B3747">
        <w:rPr>
          <w:rFonts w:eastAsia="Times New Roman" w:cstheme="minorHAnsi"/>
          <w:color w:val="000000"/>
          <w:lang w:eastAsia="en-GB"/>
        </w:rPr>
        <w:t>credibility of those individuals or or</w:t>
      </w:r>
      <w:r w:rsidR="008F31F2">
        <w:rPr>
          <w:rFonts w:eastAsia="Times New Roman" w:cstheme="minorHAnsi"/>
          <w:color w:val="000000"/>
          <w:lang w:eastAsia="en-GB"/>
        </w:rPr>
        <w:t xml:space="preserve">ganisations delivering the messages.  </w:t>
      </w:r>
      <w:r w:rsidRPr="009B3747">
        <w:rPr>
          <w:rFonts w:eastAsia="Times New Roman" w:cstheme="minorHAnsi"/>
          <w:color w:val="000000"/>
          <w:lang w:eastAsia="en-GB"/>
        </w:rPr>
        <w:t>For example, a few participants proposed how behaviour change in adolescence would be more likely, if parents, teachers, the health service and the government were all ‘singing from the same hymn sheet’ in their information regarding obesity.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“Yeah and it, the repetition of it and it being consistent as it’s repeated, yeah , I think, I believe, I believe in information provision, in a way that people can grasp it, but I believe in repeating them, cos that, for me, that’s a lot about what leadership is about, it's having a consistent message</w:t>
      </w:r>
      <w:r w:rsidR="00EB44DD">
        <w:rPr>
          <w:rFonts w:eastAsia="Times New Roman" w:cstheme="minorHAnsi"/>
          <w:i/>
          <w:iCs/>
          <w:color w:val="000000"/>
          <w:sz w:val="20"/>
          <w:szCs w:val="20"/>
          <w:lang w:eastAsia="en-GB"/>
        </w:rPr>
        <w:t>,</w:t>
      </w:r>
      <w:r w:rsidRPr="009B3747">
        <w:rPr>
          <w:rFonts w:eastAsia="Times New Roman" w:cstheme="minorHAnsi"/>
          <w:i/>
          <w:iCs/>
          <w:color w:val="000000"/>
          <w:sz w:val="20"/>
          <w:szCs w:val="20"/>
          <w:lang w:eastAsia="en-GB"/>
        </w:rPr>
        <w:t xml:space="preserve"> but people </w:t>
      </w:r>
      <w:r w:rsidRPr="009B3747">
        <w:rPr>
          <w:rFonts w:eastAsia="Times New Roman" w:cstheme="minorHAnsi"/>
          <w:i/>
          <w:iCs/>
          <w:color w:val="000000"/>
          <w:sz w:val="20"/>
          <w:szCs w:val="20"/>
          <w:lang w:eastAsia="en-GB"/>
        </w:rPr>
        <w:lastRenderedPageBreak/>
        <w:t xml:space="preserve">hearing it often and then they begin to think “oh yeah, I know, this is how we roll around here, because he keeps telling us.”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Participant 4</w:t>
      </w:r>
      <w:r w:rsidRPr="009B3747">
        <w:rPr>
          <w:rFonts w:eastAsia="Times New Roman" w:cstheme="minorHAnsi"/>
          <w:b/>
          <w:color w:val="000000"/>
          <w:sz w:val="20"/>
          <w:szCs w:val="20"/>
          <w:lang w:eastAsia="en-GB"/>
        </w:rPr>
        <w:t xml:space="preserve"> </w:t>
      </w:r>
      <w:r w:rsidR="00A23662" w:rsidRPr="009B3747">
        <w:rPr>
          <w:rFonts w:eastAsia="Times New Roman" w:cstheme="minorHAnsi"/>
          <w:b/>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8F31F2" w:rsidRDefault="006F36A0" w:rsidP="006F36A0">
      <w:pPr>
        <w:rPr>
          <w:rFonts w:eastAsia="Times New Roman" w:cstheme="minorHAnsi"/>
          <w:color w:val="000000"/>
          <w:lang w:eastAsia="en-GB"/>
        </w:rPr>
      </w:pPr>
      <w:r w:rsidRPr="009B3747">
        <w:rPr>
          <w:rFonts w:eastAsia="Times New Roman" w:cstheme="minorHAnsi"/>
          <w:color w:val="000000"/>
          <w:lang w:eastAsia="en-GB"/>
        </w:rPr>
        <w:t xml:space="preserve">An alternative view to the majority was posed, with concerns being raised about an over saturation of information.  The age of the internet, the constant accessibility of </w:t>
      </w:r>
      <w:r w:rsidR="008F31F2">
        <w:rPr>
          <w:rFonts w:eastAsia="Times New Roman" w:cstheme="minorHAnsi"/>
          <w:color w:val="000000"/>
          <w:lang w:eastAsia="en-GB"/>
        </w:rPr>
        <w:t>the media and news, meant that adolescents and families were argued to be overwhelmed by the amount of often conflicting health information.</w:t>
      </w:r>
    </w:p>
    <w:p w:rsidR="008F31F2" w:rsidRDefault="008F31F2" w:rsidP="006F36A0">
      <w:pPr>
        <w:ind w:left="720"/>
        <w:rPr>
          <w:rFonts w:eastAsia="Times New Roman" w:cstheme="minorHAnsi"/>
          <w:i/>
          <w:iCs/>
          <w:color w:val="000000"/>
          <w:sz w:val="20"/>
          <w:szCs w:val="20"/>
          <w:lang w:eastAsia="en-GB"/>
        </w:rPr>
      </w:pP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“Information overload in the media and my son and daughter in law are on the laptop or </w:t>
      </w:r>
      <w:r w:rsidR="004B590A" w:rsidRPr="009B3747">
        <w:rPr>
          <w:rFonts w:eastAsia="Times New Roman" w:cstheme="minorHAnsi"/>
          <w:i/>
          <w:iCs/>
          <w:color w:val="000000"/>
          <w:sz w:val="20"/>
          <w:szCs w:val="20"/>
          <w:lang w:eastAsia="en-GB"/>
        </w:rPr>
        <w:t>iPhone</w:t>
      </w:r>
      <w:r w:rsidRPr="009B3747">
        <w:rPr>
          <w:rFonts w:eastAsia="Times New Roman" w:cstheme="minorHAnsi"/>
          <w:i/>
          <w:iCs/>
          <w:color w:val="000000"/>
          <w:sz w:val="20"/>
          <w:szCs w:val="20"/>
          <w:lang w:eastAsia="en-GB"/>
        </w:rPr>
        <w:t xml:space="preserve"> all the time and so they think, “oh we shouldn’t be given sugar, oh we shouldn’t be giving her salt, oh we should.”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 xml:space="preserve">Participant 7 </w:t>
      </w:r>
      <w:r w:rsidR="00A23662" w:rsidRPr="009B3747">
        <w:rPr>
          <w:rFonts w:eastAsia="Times New Roman" w:cstheme="minorHAnsi"/>
          <w:b/>
          <w:bCs/>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Despite strong support for the role of education and information provision in influencing adolescent lifestyle behaviours, a few headteachers and chairs of governors highlighted reservations about its actual effectiveness as a single approach to behaviour change.  Some proposed that whilst in areas of society</w:t>
      </w:r>
      <w:r w:rsidR="007F3CF4">
        <w:rPr>
          <w:rFonts w:eastAsia="Times New Roman" w:cstheme="minorHAnsi"/>
          <w:color w:val="000000"/>
          <w:lang w:eastAsia="en-GB"/>
        </w:rPr>
        <w:t>,</w:t>
      </w:r>
      <w:r w:rsidRPr="009B3747">
        <w:rPr>
          <w:rFonts w:eastAsia="Times New Roman" w:cstheme="minorHAnsi"/>
          <w:color w:val="000000"/>
          <w:lang w:eastAsia="en-GB"/>
        </w:rPr>
        <w:t xml:space="preserve"> i.e. more deprived communities, a lack of education and awareness remains, generally the knowledge about the risks of obesity and benefits of improving lifestyle behaviours already exists.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A23662" w:rsidRPr="009B3747" w:rsidRDefault="006F36A0" w:rsidP="006F36A0">
      <w:pPr>
        <w:ind w:left="720"/>
        <w:rPr>
          <w:rFonts w:eastAsia="Times New Roman" w:cstheme="minorHAnsi"/>
          <w:i/>
          <w:iCs/>
          <w:color w:val="000000"/>
          <w:sz w:val="20"/>
          <w:szCs w:val="20"/>
          <w:lang w:eastAsia="en-GB"/>
        </w:rPr>
      </w:pPr>
      <w:r w:rsidRPr="009B3747">
        <w:rPr>
          <w:rFonts w:eastAsia="Times New Roman" w:cstheme="minorHAnsi"/>
          <w:i/>
          <w:iCs/>
          <w:color w:val="000000"/>
          <w:sz w:val="20"/>
          <w:szCs w:val="20"/>
          <w:lang w:eastAsia="en-GB"/>
        </w:rPr>
        <w:t xml:space="preserve">“The statistics clearly show, I mean the advice is being given, people are being employed, I mean dietitians exist, nutritionists exists, schools are teaching about diet, teaching about healthy eating. There are programmes like I mentioned earlier in the primary schools, we still have the majority of people in this country who are by the accepted measurement overweight or worse.”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b/>
          <w:bCs/>
          <w:color w:val="000000"/>
          <w:sz w:val="20"/>
          <w:szCs w:val="20"/>
          <w:lang w:eastAsia="en-GB"/>
        </w:rPr>
        <w:t>Participant 18</w:t>
      </w:r>
      <w:r w:rsidR="00A23662" w:rsidRPr="009B3747">
        <w:rPr>
          <w:rFonts w:eastAsia="Times New Roman" w:cstheme="minorHAnsi"/>
          <w:b/>
          <w:bCs/>
          <w:color w:val="000000"/>
          <w:sz w:val="20"/>
          <w:szCs w:val="20"/>
          <w:lang w:eastAsia="en-GB"/>
        </w:rPr>
        <w:t xml:space="preserve"> (Chair of governors)</w:t>
      </w:r>
      <w:r w:rsidRPr="009B3747">
        <w:rPr>
          <w:rFonts w:eastAsia="Times New Roman" w:cstheme="minorHAnsi"/>
          <w:b/>
          <w:bCs/>
          <w:color w:val="000000"/>
          <w:sz w:val="20"/>
          <w:szCs w:val="20"/>
          <w:lang w:eastAsia="en-GB"/>
        </w:rPr>
        <w:t xml:space="preserve"> </w:t>
      </w:r>
      <w:r w:rsidRPr="009B3747">
        <w:rPr>
          <w:rFonts w:eastAsia="Times New Roman" w:cstheme="minorHAnsi"/>
          <w:i/>
          <w:iCs/>
          <w:color w:val="000000"/>
          <w:sz w:val="20"/>
          <w:szCs w:val="20"/>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Furthermore, some highlighted limitations in the concept that merely increasing knowledge through the provision of education and information</w:t>
      </w:r>
      <w:r w:rsidR="008F31F2">
        <w:rPr>
          <w:rFonts w:eastAsia="Times New Roman" w:cstheme="minorHAnsi"/>
          <w:color w:val="000000"/>
          <w:lang w:eastAsia="en-GB"/>
        </w:rPr>
        <w:t>,</w:t>
      </w:r>
      <w:r w:rsidRPr="009B3747">
        <w:rPr>
          <w:rFonts w:eastAsia="Times New Roman" w:cstheme="minorHAnsi"/>
          <w:color w:val="000000"/>
          <w:lang w:eastAsia="en-GB"/>
        </w:rPr>
        <w:t xml:space="preserve"> automatically results in positive behaviour change.  Those participants identified that despite knowing the risks and benefits, individuals are still able and frequently do exercise their right to make personal choices.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b/>
          <w:sz w:val="24"/>
          <w:szCs w:val="24"/>
          <w:lang w:eastAsia="en-GB"/>
        </w:rPr>
      </w:pPr>
      <w:r w:rsidRPr="009B3747">
        <w:rPr>
          <w:rFonts w:eastAsia="Times New Roman" w:cstheme="minorHAnsi"/>
          <w:i/>
          <w:iCs/>
          <w:color w:val="000000"/>
          <w:sz w:val="20"/>
          <w:szCs w:val="20"/>
          <w:lang w:eastAsia="en-GB"/>
        </w:rPr>
        <w:t xml:space="preserve">“Yeah, it comes down to choices doesn’t </w:t>
      </w:r>
      <w:r w:rsidR="0026414C" w:rsidRPr="009B3747">
        <w:rPr>
          <w:rFonts w:eastAsia="Times New Roman" w:cstheme="minorHAnsi"/>
          <w:i/>
          <w:iCs/>
          <w:color w:val="000000"/>
          <w:sz w:val="20"/>
          <w:szCs w:val="20"/>
          <w:lang w:eastAsia="en-GB"/>
        </w:rPr>
        <w:t>it?</w:t>
      </w:r>
      <w:r w:rsidRPr="009B3747">
        <w:rPr>
          <w:rFonts w:eastAsia="Times New Roman" w:cstheme="minorHAnsi"/>
          <w:i/>
          <w:iCs/>
          <w:color w:val="000000"/>
          <w:sz w:val="20"/>
          <w:szCs w:val="20"/>
          <w:lang w:eastAsia="en-GB"/>
        </w:rPr>
        <w:t xml:space="preserve"> That can’s got more sugar in it than that can yeah I know that</w:t>
      </w:r>
      <w:r w:rsidR="00EB44DD">
        <w:rPr>
          <w:rFonts w:eastAsia="Times New Roman" w:cstheme="minorHAnsi"/>
          <w:i/>
          <w:iCs/>
          <w:color w:val="000000"/>
          <w:sz w:val="20"/>
          <w:szCs w:val="20"/>
          <w:lang w:eastAsia="en-GB"/>
        </w:rPr>
        <w:t>,</w:t>
      </w:r>
      <w:r w:rsidRPr="009B3747">
        <w:rPr>
          <w:rFonts w:eastAsia="Times New Roman" w:cstheme="minorHAnsi"/>
          <w:i/>
          <w:iCs/>
          <w:color w:val="000000"/>
          <w:sz w:val="20"/>
          <w:szCs w:val="20"/>
          <w:lang w:eastAsia="en-GB"/>
        </w:rPr>
        <w:t xml:space="preserve"> but I’m still going to drink it because it’s my favourite, so I think people will still make those choices.”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Participant 19</w:t>
      </w:r>
      <w:r w:rsidRPr="009B3747">
        <w:rPr>
          <w:rFonts w:eastAsia="Times New Roman" w:cstheme="minorHAnsi"/>
          <w:color w:val="000000"/>
          <w:sz w:val="20"/>
          <w:szCs w:val="20"/>
          <w:lang w:eastAsia="en-GB"/>
        </w:rPr>
        <w:t xml:space="preserve"> </w:t>
      </w:r>
      <w:r w:rsidR="00A23662" w:rsidRPr="009B3747">
        <w:rPr>
          <w:rFonts w:eastAsia="Times New Roman" w:cstheme="minorHAnsi"/>
          <w:b/>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lastRenderedPageBreak/>
        <w:t>In addition, given the perception by a few that adolescents live in the moment or indeed the short term, simply presenting education about the long term risks and benef</w:t>
      </w:r>
      <w:r w:rsidR="00646E02">
        <w:rPr>
          <w:rFonts w:eastAsia="Times New Roman" w:cstheme="minorHAnsi"/>
          <w:color w:val="000000"/>
          <w:lang w:eastAsia="en-GB"/>
        </w:rPr>
        <w:t xml:space="preserve">its of health decisions was not viewed as an effective method to change </w:t>
      </w:r>
      <w:r w:rsidRPr="009B3747">
        <w:rPr>
          <w:rFonts w:eastAsia="Times New Roman" w:cstheme="minorHAnsi"/>
          <w:color w:val="000000"/>
          <w:lang w:eastAsia="en-GB"/>
        </w:rPr>
        <w:t>behaviour in the immediate term.</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b/>
          <w:sz w:val="24"/>
          <w:szCs w:val="24"/>
          <w:lang w:eastAsia="en-GB"/>
        </w:rPr>
      </w:pPr>
      <w:r w:rsidRPr="009B3747">
        <w:rPr>
          <w:rFonts w:eastAsia="Times New Roman" w:cstheme="minorHAnsi"/>
          <w:i/>
          <w:iCs/>
          <w:color w:val="000000"/>
          <w:sz w:val="20"/>
          <w:szCs w:val="20"/>
          <w:lang w:eastAsia="en-GB"/>
        </w:rPr>
        <w:t>“We’ve just got to not to preach at them and say you know, “you’ll get diabetes, or you’ll end up without a liver”, or anything like that, “you’ll get lung cancer”, they can’t see that bit, it’s too far ahead, you know, they will take risks.”  </w:t>
      </w:r>
      <w:r w:rsidRPr="009B3747">
        <w:rPr>
          <w:rFonts w:eastAsia="Times New Roman" w:cstheme="minorHAnsi"/>
          <w:b/>
          <w:bCs/>
          <w:color w:val="000000"/>
          <w:sz w:val="20"/>
          <w:szCs w:val="20"/>
          <w:lang w:eastAsia="en-GB"/>
        </w:rPr>
        <w:t xml:space="preserve">Participant 1 </w:t>
      </w:r>
      <w:r w:rsidR="00A23662" w:rsidRPr="009B3747">
        <w:rPr>
          <w:rFonts w:eastAsia="Times New Roman" w:cstheme="minorHAnsi"/>
          <w:b/>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Given the identified limitations of education as a single intervention for behaviour change, many headteachers and chairs of governors proposed alternative combined approaches.  For some, a combining education with either provision and/or restriction of opportunities related to lifestyle behaviours</w:t>
      </w:r>
      <w:r w:rsidR="00646E02">
        <w:rPr>
          <w:rFonts w:eastAsia="Times New Roman" w:cstheme="minorHAnsi"/>
          <w:color w:val="000000"/>
          <w:lang w:eastAsia="en-GB"/>
        </w:rPr>
        <w:t>,</w:t>
      </w:r>
      <w:r w:rsidRPr="009B3747">
        <w:rPr>
          <w:rFonts w:eastAsia="Times New Roman" w:cstheme="minorHAnsi"/>
          <w:color w:val="000000"/>
          <w:lang w:eastAsia="en-GB"/>
        </w:rPr>
        <w:t xml:space="preserve"> was proposed as an effective approach to preventing adolescent obesity.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 xml:space="preserve">Participants often referred to the provision of opportunities within schools and wider society as </w:t>
      </w:r>
      <w:r w:rsidR="006A4517">
        <w:rPr>
          <w:rFonts w:eastAsia="Times New Roman" w:cstheme="minorHAnsi"/>
          <w:color w:val="000000"/>
          <w:lang w:eastAsia="en-GB"/>
        </w:rPr>
        <w:t xml:space="preserve">potentially enabling </w:t>
      </w:r>
      <w:r w:rsidRPr="009B3747">
        <w:rPr>
          <w:rFonts w:eastAsia="Times New Roman" w:cstheme="minorHAnsi"/>
          <w:color w:val="000000"/>
          <w:lang w:eastAsia="en-GB"/>
        </w:rPr>
        <w:t>adolescents to make positive changes to their lifestyle behaviours.  Examples of beneficial opportunities included facilities for sport and physical activity, local programmes for cooking commissioned community healthy lifestyle services or projects.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b/>
          <w:sz w:val="24"/>
          <w:szCs w:val="24"/>
          <w:lang w:eastAsia="en-GB"/>
        </w:rPr>
      </w:pPr>
      <w:r w:rsidRPr="009B3747">
        <w:rPr>
          <w:rFonts w:eastAsia="Times New Roman" w:cstheme="minorHAnsi"/>
          <w:i/>
          <w:iCs/>
          <w:color w:val="000000"/>
          <w:sz w:val="20"/>
          <w:szCs w:val="20"/>
          <w:lang w:eastAsia="en-GB"/>
        </w:rPr>
        <w:t>“The thing is it was all very active and activity was encouraged and there were facilities to do physical exercise and we have to get our heads around somehow the encouragement and provision of facilities for physical exercise.”  </w:t>
      </w:r>
      <w:r w:rsidRPr="009B3747">
        <w:rPr>
          <w:rFonts w:eastAsia="Times New Roman" w:cstheme="minorHAnsi"/>
          <w:b/>
          <w:bCs/>
          <w:color w:val="000000"/>
          <w:sz w:val="20"/>
          <w:szCs w:val="20"/>
          <w:lang w:eastAsia="en-GB"/>
        </w:rPr>
        <w:t>Participant 15</w:t>
      </w:r>
      <w:r w:rsidRPr="009B3747">
        <w:rPr>
          <w:rFonts w:eastAsia="Times New Roman" w:cstheme="minorHAnsi"/>
          <w:b/>
          <w:color w:val="000000"/>
          <w:sz w:val="20"/>
          <w:szCs w:val="20"/>
          <w:lang w:eastAsia="en-GB"/>
        </w:rPr>
        <w:t xml:space="preserve"> </w:t>
      </w:r>
      <w:r w:rsidR="00A23662" w:rsidRPr="009B3747">
        <w:rPr>
          <w:rFonts w:eastAsia="Times New Roman" w:cstheme="minorHAnsi"/>
          <w:b/>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Despite some reference to the benefits of providing opportunities for enabling behaviour change, a greater proportion of discussions focused on restricting opportunities for adolescents to engage in unhealthy behaviours, typically poor dietary habits.  Within a school setting, restrictions typically centred around the utilisation of school food rules and policies to influence both the accessibility and</w:t>
      </w:r>
      <w:r w:rsidR="00D62F95" w:rsidRPr="009B3747">
        <w:rPr>
          <w:rFonts w:eastAsia="Times New Roman" w:cstheme="minorHAnsi"/>
          <w:color w:val="000000"/>
          <w:lang w:eastAsia="en-GB"/>
        </w:rPr>
        <w:t xml:space="preserve"> demand of particular food types</w:t>
      </w:r>
      <w:r w:rsidR="007F3CF4">
        <w:rPr>
          <w:rFonts w:eastAsia="Times New Roman" w:cstheme="minorHAnsi"/>
          <w:color w:val="000000"/>
          <w:lang w:eastAsia="en-GB"/>
        </w:rPr>
        <w:t>,</w:t>
      </w:r>
      <w:r w:rsidR="00D62F95" w:rsidRPr="009B3747">
        <w:rPr>
          <w:rFonts w:eastAsia="Times New Roman" w:cstheme="minorHAnsi"/>
          <w:color w:val="000000"/>
          <w:lang w:eastAsia="en-GB"/>
        </w:rPr>
        <w:t xml:space="preserve"> i.e. energy or sugar sweetened fizzy beverages and snacks high in fat or sugar</w:t>
      </w:r>
      <w:r w:rsidRPr="009B3747">
        <w:rPr>
          <w:rFonts w:eastAsia="Times New Roman" w:cstheme="minorHAnsi"/>
          <w:color w:val="000000"/>
          <w:lang w:eastAsia="en-GB"/>
        </w:rPr>
        <w:t>.  Participants</w:t>
      </w:r>
      <w:r w:rsidR="005D3459" w:rsidRPr="009B3747">
        <w:rPr>
          <w:rFonts w:eastAsia="Times New Roman" w:cstheme="minorHAnsi"/>
          <w:color w:val="000000"/>
          <w:lang w:eastAsia="en-GB"/>
        </w:rPr>
        <w:t>’</w:t>
      </w:r>
      <w:r w:rsidRPr="009B3747">
        <w:rPr>
          <w:rFonts w:eastAsia="Times New Roman" w:cstheme="minorHAnsi"/>
          <w:color w:val="000000"/>
          <w:lang w:eastAsia="en-GB"/>
        </w:rPr>
        <w:t xml:space="preserve"> opinions were divided about the effectiveness or indeed appropriateness of this approach for changing behaviour not only in adolescence</w:t>
      </w:r>
      <w:r w:rsidR="00EB44DD">
        <w:rPr>
          <w:rFonts w:eastAsia="Times New Roman" w:cstheme="minorHAnsi"/>
          <w:color w:val="000000"/>
          <w:lang w:eastAsia="en-GB"/>
        </w:rPr>
        <w:t>,</w:t>
      </w:r>
      <w:r w:rsidRPr="009B3747">
        <w:rPr>
          <w:rFonts w:eastAsia="Times New Roman" w:cstheme="minorHAnsi"/>
          <w:color w:val="000000"/>
          <w:lang w:eastAsia="en-GB"/>
        </w:rPr>
        <w:t xml:space="preserve"> but more broadly across society.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“I don’t think it’s about depriving people of things because if you deprive children of things they want it either more, it’s like adults you just want it even more, it’s about giving them healthy choices and then they need to understand why it's unhealthy.”  </w:t>
      </w:r>
      <w:r w:rsidRPr="009B3747">
        <w:rPr>
          <w:rFonts w:eastAsia="Times New Roman" w:cstheme="minorHAnsi"/>
          <w:b/>
          <w:bCs/>
          <w:color w:val="000000"/>
          <w:sz w:val="20"/>
          <w:szCs w:val="20"/>
          <w:lang w:eastAsia="en-GB"/>
        </w:rPr>
        <w:t xml:space="preserve">Participant 11 </w:t>
      </w:r>
      <w:r w:rsidR="00A23662" w:rsidRPr="009B3747">
        <w:rPr>
          <w:rFonts w:eastAsia="Times New Roman" w:cstheme="minorHAnsi"/>
          <w:b/>
          <w:bCs/>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lastRenderedPageBreak/>
        <w:t>Outside of the school setting and in relation to the wider food environment, the use of legislation and taxation was extensively discussed by the majority of participants.  Frequent reference was made to the government's proposed sugar tax on the soft drinks industry</w:t>
      </w:r>
      <w:r w:rsidR="00D55A48">
        <w:rPr>
          <w:rFonts w:eastAsia="Times New Roman" w:cstheme="minorHAnsi"/>
          <w:color w:val="000000"/>
          <w:lang w:eastAsia="en-GB"/>
        </w:rPr>
        <w:t>,</w:t>
      </w:r>
      <w:r w:rsidRPr="009B3747">
        <w:rPr>
          <w:rFonts w:eastAsia="Times New Roman" w:cstheme="minorHAnsi"/>
          <w:color w:val="000000"/>
          <w:lang w:eastAsia="en-GB"/>
        </w:rPr>
        <w:t xml:space="preserve"> and whether or not its application would result in a change in individual and societal behaviour. The perceived effectiveness of utilising legislation and taxation based appr</w:t>
      </w:r>
      <w:r w:rsidR="00D55A48">
        <w:rPr>
          <w:rFonts w:eastAsia="Times New Roman" w:cstheme="minorHAnsi"/>
          <w:color w:val="000000"/>
          <w:lang w:eastAsia="en-GB"/>
        </w:rPr>
        <w:t xml:space="preserve">oaches to behaviour change was </w:t>
      </w:r>
      <w:r w:rsidRPr="009B3747">
        <w:rPr>
          <w:rFonts w:eastAsia="Times New Roman" w:cstheme="minorHAnsi"/>
          <w:color w:val="000000"/>
          <w:lang w:eastAsia="en-GB"/>
        </w:rPr>
        <w:t xml:space="preserve">highly contested.  Some participants proposed that given the escalating prevalence of obesity in society and the multiple negative influences on </w:t>
      </w:r>
      <w:r w:rsidR="005D3459" w:rsidRPr="009B3747">
        <w:rPr>
          <w:rFonts w:eastAsia="Times New Roman" w:cstheme="minorHAnsi"/>
          <w:color w:val="000000"/>
          <w:lang w:eastAsia="en-GB"/>
        </w:rPr>
        <w:t>individuals’</w:t>
      </w:r>
      <w:r w:rsidRPr="009B3747">
        <w:rPr>
          <w:rFonts w:eastAsia="Times New Roman" w:cstheme="minorHAnsi"/>
          <w:color w:val="000000"/>
          <w:lang w:eastAsia="en-GB"/>
        </w:rPr>
        <w:t xml:space="preserve"> behaviour, tougher approaches are now required to prevent obesity.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A23662" w:rsidRPr="009B3747" w:rsidRDefault="006F36A0" w:rsidP="006F36A0">
      <w:pPr>
        <w:ind w:left="720"/>
        <w:rPr>
          <w:rFonts w:eastAsia="Times New Roman" w:cstheme="minorHAnsi"/>
          <w:color w:val="000000"/>
          <w:sz w:val="20"/>
          <w:szCs w:val="20"/>
          <w:lang w:eastAsia="en-GB"/>
        </w:rPr>
      </w:pPr>
      <w:r w:rsidRPr="009B3747">
        <w:rPr>
          <w:rFonts w:eastAsia="Times New Roman" w:cstheme="minorHAnsi"/>
          <w:i/>
          <w:iCs/>
          <w:color w:val="000000"/>
          <w:sz w:val="20"/>
          <w:szCs w:val="20"/>
          <w:lang w:eastAsia="en-GB"/>
        </w:rPr>
        <w:t>“I think that sugar tax is a great idea, you know, that, I think, there might have been something in the news saying used somewhere and it had led to a reduction in the amount of soft drinks consumed</w:t>
      </w:r>
      <w:r w:rsidR="00EB44DD">
        <w:rPr>
          <w:rFonts w:eastAsia="Times New Roman" w:cstheme="minorHAnsi"/>
          <w:i/>
          <w:iCs/>
          <w:color w:val="000000"/>
          <w:sz w:val="20"/>
          <w:szCs w:val="20"/>
          <w:lang w:eastAsia="en-GB"/>
        </w:rPr>
        <w:t>,</w:t>
      </w:r>
      <w:r w:rsidRPr="009B3747">
        <w:rPr>
          <w:rFonts w:eastAsia="Times New Roman" w:cstheme="minorHAnsi"/>
          <w:i/>
          <w:iCs/>
          <w:color w:val="000000"/>
          <w:sz w:val="20"/>
          <w:szCs w:val="20"/>
          <w:lang w:eastAsia="en-GB"/>
        </w:rPr>
        <w:t xml:space="preserve"> but if you know what your main proponents that cause childhood obesity are and you can stem them, in various different ways same as you do with alcohol and smoking they’re exactly the same.  If we know that sugar are as harmful as those then you put the taxes up on them.” </w:t>
      </w:r>
      <w:r w:rsidRPr="009B3747">
        <w:rPr>
          <w:rFonts w:eastAsia="Times New Roman" w:cstheme="minorHAnsi"/>
          <w:color w:val="000000"/>
          <w:sz w:val="20"/>
          <w:szCs w:val="20"/>
          <w:lang w:eastAsia="en-GB"/>
        </w:rPr>
        <w:t> </w:t>
      </w:r>
    </w:p>
    <w:p w:rsidR="006F36A0" w:rsidRDefault="006F36A0" w:rsidP="006F36A0">
      <w:pPr>
        <w:ind w:left="720"/>
        <w:rPr>
          <w:rFonts w:eastAsia="Times New Roman" w:cstheme="minorHAnsi"/>
          <w:b/>
          <w:bCs/>
          <w:color w:val="000000"/>
          <w:sz w:val="20"/>
          <w:szCs w:val="20"/>
          <w:lang w:eastAsia="en-GB"/>
        </w:rPr>
      </w:pPr>
      <w:r w:rsidRPr="009B3747">
        <w:rPr>
          <w:rFonts w:eastAsia="Times New Roman" w:cstheme="minorHAnsi"/>
          <w:b/>
          <w:bCs/>
          <w:color w:val="000000"/>
          <w:sz w:val="20"/>
          <w:szCs w:val="20"/>
          <w:lang w:eastAsia="en-GB"/>
        </w:rPr>
        <w:t xml:space="preserve">Participant 10 </w:t>
      </w:r>
      <w:r w:rsidR="00A23662" w:rsidRPr="009B3747">
        <w:rPr>
          <w:rFonts w:eastAsia="Times New Roman" w:cstheme="minorHAnsi"/>
          <w:b/>
          <w:bCs/>
          <w:color w:val="000000"/>
          <w:sz w:val="20"/>
          <w:szCs w:val="20"/>
          <w:lang w:eastAsia="en-GB"/>
        </w:rPr>
        <w:t>(Headteacher)</w:t>
      </w:r>
    </w:p>
    <w:p w:rsidR="00D55A48" w:rsidRPr="009B3747" w:rsidRDefault="00D55A48" w:rsidP="006F36A0">
      <w:pPr>
        <w:ind w:left="720"/>
        <w:rPr>
          <w:rFonts w:eastAsia="Times New Roman" w:cstheme="minorHAnsi"/>
          <w:sz w:val="24"/>
          <w:szCs w:val="24"/>
          <w:lang w:eastAsia="en-GB"/>
        </w:rPr>
      </w:pP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Furthermore, others felt that whilst the sugar tax was a positive step forward in taking firmer preventative action, the measures currently proposed by government do not go far enough to address the overwhelming accessibility and promotion of unhealthy foods.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A23662" w:rsidRPr="009B3747" w:rsidRDefault="006F36A0" w:rsidP="00A23662">
      <w:pPr>
        <w:ind w:firstLine="720"/>
        <w:rPr>
          <w:rFonts w:eastAsia="Times New Roman" w:cstheme="minorHAnsi"/>
          <w:sz w:val="24"/>
          <w:szCs w:val="24"/>
          <w:lang w:eastAsia="en-GB"/>
        </w:rPr>
      </w:pPr>
      <w:r w:rsidRPr="009B3747">
        <w:rPr>
          <w:rFonts w:eastAsia="Times New Roman" w:cstheme="minorHAnsi"/>
          <w:i/>
          <w:iCs/>
          <w:color w:val="000000"/>
          <w:sz w:val="20"/>
          <w:szCs w:val="20"/>
          <w:lang w:eastAsia="en-GB"/>
        </w:rPr>
        <w:t>“I don’t think it’s going to work, I really don’t. Because a sugar tax, if you tax coke, people will say “oh</w:t>
      </w:r>
      <w:r w:rsidR="00A23662" w:rsidRPr="009B3747">
        <w:rPr>
          <w:rFonts w:eastAsia="Times New Roman" w:cstheme="minorHAnsi"/>
          <w:sz w:val="24"/>
          <w:szCs w:val="24"/>
          <w:lang w:eastAsia="en-GB"/>
        </w:rPr>
        <w:tab/>
      </w:r>
      <w:r w:rsidRPr="009B3747">
        <w:rPr>
          <w:rFonts w:eastAsia="Times New Roman" w:cstheme="minorHAnsi"/>
          <w:i/>
          <w:iCs/>
          <w:color w:val="000000"/>
          <w:sz w:val="20"/>
          <w:szCs w:val="20"/>
          <w:lang w:eastAsia="en-GB"/>
        </w:rPr>
        <w:t>ok the price has gone up, I’m going to carry on drinking it. You’ve got to ban or control, I’m not saying</w:t>
      </w:r>
      <w:r w:rsidR="00A23662" w:rsidRPr="009B3747">
        <w:rPr>
          <w:rFonts w:eastAsia="Times New Roman" w:cstheme="minorHAnsi"/>
          <w:sz w:val="24"/>
          <w:szCs w:val="24"/>
          <w:lang w:eastAsia="en-GB"/>
        </w:rPr>
        <w:tab/>
      </w:r>
      <w:r w:rsidRPr="009B3747">
        <w:rPr>
          <w:rFonts w:eastAsia="Times New Roman" w:cstheme="minorHAnsi"/>
          <w:i/>
          <w:iCs/>
          <w:color w:val="000000"/>
          <w:sz w:val="20"/>
          <w:szCs w:val="20"/>
          <w:lang w:eastAsia="en-GB"/>
        </w:rPr>
        <w:t>ban it completely because a certain amount of sugar is obviously good for you. But they do need to</w:t>
      </w:r>
    </w:p>
    <w:p w:rsidR="006F36A0" w:rsidRPr="009B3747" w:rsidRDefault="006F36A0" w:rsidP="00A23662">
      <w:pPr>
        <w:ind w:firstLine="720"/>
        <w:rPr>
          <w:rFonts w:eastAsia="Times New Roman" w:cstheme="minorHAnsi"/>
          <w:sz w:val="24"/>
          <w:szCs w:val="24"/>
          <w:lang w:eastAsia="en-GB"/>
        </w:rPr>
      </w:pPr>
      <w:r w:rsidRPr="009B3747">
        <w:rPr>
          <w:rFonts w:eastAsia="Times New Roman" w:cstheme="minorHAnsi"/>
          <w:i/>
          <w:iCs/>
          <w:color w:val="000000"/>
          <w:sz w:val="20"/>
          <w:szCs w:val="20"/>
          <w:lang w:eastAsia="en-GB"/>
        </w:rPr>
        <w:t>control it.”  </w:t>
      </w:r>
      <w:r w:rsidRPr="009B3747">
        <w:rPr>
          <w:rFonts w:eastAsia="Times New Roman" w:cstheme="minorHAnsi"/>
          <w:b/>
          <w:bCs/>
          <w:color w:val="000000"/>
          <w:sz w:val="20"/>
          <w:szCs w:val="20"/>
          <w:lang w:eastAsia="en-GB"/>
        </w:rPr>
        <w:t xml:space="preserve">Participant 13 </w:t>
      </w:r>
      <w:r w:rsidR="00A23662" w:rsidRPr="009B3747">
        <w:rPr>
          <w:rFonts w:eastAsia="Times New Roman" w:cstheme="minorHAnsi"/>
          <w:b/>
          <w:bCs/>
          <w:color w:val="000000"/>
          <w:sz w:val="20"/>
          <w:szCs w:val="20"/>
          <w:lang w:eastAsia="en-GB"/>
        </w:rPr>
        <w:t>(Chair of governors)</w:t>
      </w:r>
      <w:r w:rsidRPr="009B3747">
        <w:rPr>
          <w:rFonts w:eastAsia="Times New Roman" w:cstheme="minorHAnsi"/>
          <w:color w:val="000000"/>
          <w:sz w:val="20"/>
          <w:szCs w:val="20"/>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In stark contrast to those who promoted government led legislation and taxation as an effective approach to behaviour change, some expressed concerns about whether controlling or directing behaviour in this manner interferes with indiv</w:t>
      </w:r>
      <w:r w:rsidR="00D55A48">
        <w:rPr>
          <w:rFonts w:eastAsia="Times New Roman" w:cstheme="minorHAnsi"/>
          <w:color w:val="000000"/>
          <w:lang w:eastAsia="en-GB"/>
        </w:rPr>
        <w:t>iduals democratic freedoms.  This led to some proposing greater governmental interference creates</w:t>
      </w:r>
      <w:r w:rsidRPr="009B3747">
        <w:rPr>
          <w:rFonts w:eastAsia="Times New Roman" w:cstheme="minorHAnsi"/>
          <w:color w:val="000000"/>
          <w:lang w:eastAsia="en-GB"/>
        </w:rPr>
        <w:t xml:space="preserve"> a ‘nanny state’.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b/>
          <w:sz w:val="24"/>
          <w:szCs w:val="24"/>
          <w:lang w:eastAsia="en-GB"/>
        </w:rPr>
      </w:pPr>
      <w:r w:rsidRPr="009B3747">
        <w:rPr>
          <w:rFonts w:eastAsia="Times New Roman" w:cstheme="minorHAnsi"/>
          <w:i/>
          <w:iCs/>
          <w:color w:val="000000"/>
          <w:sz w:val="20"/>
          <w:szCs w:val="20"/>
          <w:lang w:eastAsia="en-GB"/>
        </w:rPr>
        <w:t>“It goes back to this idea of the nanny state, I’m not one for saying we shouldn’t have a vending machine, with Coke and Pepsi and all the other things because we’ve got to trust the kids to make the right choices.”  </w:t>
      </w:r>
      <w:r w:rsidRPr="009B3747">
        <w:rPr>
          <w:rFonts w:eastAsia="Times New Roman" w:cstheme="minorHAnsi"/>
          <w:b/>
          <w:bCs/>
          <w:color w:val="000000"/>
          <w:sz w:val="20"/>
          <w:szCs w:val="20"/>
          <w:lang w:eastAsia="en-GB"/>
        </w:rPr>
        <w:t>Participant 14</w:t>
      </w:r>
      <w:r w:rsidRPr="009B3747">
        <w:rPr>
          <w:rFonts w:eastAsia="Times New Roman" w:cstheme="minorHAnsi"/>
          <w:color w:val="000000"/>
          <w:sz w:val="20"/>
          <w:szCs w:val="20"/>
          <w:lang w:eastAsia="en-GB"/>
        </w:rPr>
        <w:t xml:space="preserve"> </w:t>
      </w:r>
      <w:r w:rsidR="00A23662" w:rsidRPr="009B3747">
        <w:rPr>
          <w:rFonts w:eastAsia="Times New Roman" w:cstheme="minorHAnsi"/>
          <w:b/>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lastRenderedPageBreak/>
        <w:t>In spite of these concerns, most participants recognised that utilising one single approach</w:t>
      </w:r>
      <w:r w:rsidR="007F3CF4">
        <w:rPr>
          <w:rFonts w:eastAsia="Times New Roman" w:cstheme="minorHAnsi"/>
          <w:color w:val="000000"/>
          <w:lang w:eastAsia="en-GB"/>
        </w:rPr>
        <w:t>,</w:t>
      </w:r>
      <w:r w:rsidRPr="009B3747">
        <w:rPr>
          <w:rFonts w:eastAsia="Times New Roman" w:cstheme="minorHAnsi"/>
          <w:color w:val="000000"/>
          <w:lang w:eastAsia="en-GB"/>
        </w:rPr>
        <w:t xml:space="preserve"> i.e. education or legislation, would not be effective in shifting the increasing societal norm of excess weight.  Therefore some participants proposed the necessity to use an array of approaches in order to make a meaningful difference to prevention</w:t>
      </w:r>
      <w:r w:rsidR="00D55A48">
        <w:rPr>
          <w:rFonts w:eastAsia="Times New Roman" w:cstheme="minorHAnsi"/>
          <w:color w:val="000000"/>
          <w:lang w:eastAsia="en-GB"/>
        </w:rPr>
        <w:t>,</w:t>
      </w:r>
      <w:r w:rsidRPr="009B3747">
        <w:rPr>
          <w:rFonts w:eastAsia="Times New Roman" w:cstheme="minorHAnsi"/>
          <w:color w:val="000000"/>
          <w:lang w:eastAsia="en-GB"/>
        </w:rPr>
        <w:t xml:space="preserve"> whilst also retaining the balance of individual and social responsibility.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A key dimension to conversations around behaviour change was the concept of early intervention. Whether in relation to education or the provision and restriction of opportunities</w:t>
      </w:r>
      <w:r w:rsidR="00D55A48">
        <w:rPr>
          <w:rFonts w:eastAsia="Times New Roman" w:cstheme="minorHAnsi"/>
          <w:color w:val="000000"/>
          <w:lang w:eastAsia="en-GB"/>
        </w:rPr>
        <w:t>,</w:t>
      </w:r>
      <w:r w:rsidRPr="009B3747">
        <w:rPr>
          <w:rFonts w:eastAsia="Times New Roman" w:cstheme="minorHAnsi"/>
          <w:color w:val="000000"/>
          <w:lang w:eastAsia="en-GB"/>
        </w:rPr>
        <w:t xml:space="preserve"> a common percept</w:t>
      </w:r>
      <w:r w:rsidR="00D55A48">
        <w:rPr>
          <w:rFonts w:eastAsia="Times New Roman" w:cstheme="minorHAnsi"/>
          <w:color w:val="000000"/>
          <w:lang w:eastAsia="en-GB"/>
        </w:rPr>
        <w:t xml:space="preserve">ion was that prevention </w:t>
      </w:r>
      <w:r w:rsidRPr="009B3747">
        <w:rPr>
          <w:rFonts w:eastAsia="Times New Roman" w:cstheme="minorHAnsi"/>
          <w:color w:val="000000"/>
          <w:lang w:eastAsia="en-GB"/>
        </w:rPr>
        <w:t>should start earlier than at secondary school age (i.e. adolescence).  Some made explicit reference to the role of maternity services, early years settings and primary schools in supporting parents and their children to adopt healthy habits early in life.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b/>
          <w:sz w:val="24"/>
          <w:szCs w:val="24"/>
          <w:lang w:eastAsia="en-GB"/>
        </w:rPr>
      </w:pPr>
      <w:r w:rsidRPr="009B3747">
        <w:rPr>
          <w:rFonts w:eastAsia="Times New Roman" w:cstheme="minorHAnsi"/>
          <w:i/>
          <w:iCs/>
          <w:color w:val="000000"/>
          <w:sz w:val="20"/>
          <w:szCs w:val="20"/>
          <w:lang w:eastAsia="en-GB"/>
        </w:rPr>
        <w:t xml:space="preserve">“So from day one really, it’s about how to you approach the feeding of your baby and how soon do you wean that baby off milk onto supplements and onto you know liquid food and what’s the nature of that food. So from very early on there are very important choices to make and those choices that are made pre-school, first three years maybe, will already be having an influence before that child sets foot in nursery.”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Participant 18</w:t>
      </w:r>
      <w:r w:rsidRPr="009B3747">
        <w:rPr>
          <w:rFonts w:eastAsia="Times New Roman" w:cstheme="minorHAnsi"/>
          <w:color w:val="000000"/>
          <w:sz w:val="20"/>
          <w:szCs w:val="20"/>
          <w:lang w:eastAsia="en-GB"/>
        </w:rPr>
        <w:t xml:space="preserve"> </w:t>
      </w:r>
      <w:r w:rsidR="00A23662" w:rsidRPr="009B3747">
        <w:rPr>
          <w:rFonts w:eastAsia="Times New Roman" w:cstheme="minorHAnsi"/>
          <w:b/>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 xml:space="preserve">A few participants discussed the challenges for their school and wider society in trying to influence or improve </w:t>
      </w:r>
      <w:r w:rsidR="00D55A48">
        <w:rPr>
          <w:rFonts w:eastAsia="Times New Roman" w:cstheme="minorHAnsi"/>
          <w:color w:val="000000"/>
          <w:lang w:eastAsia="en-GB"/>
        </w:rPr>
        <w:t xml:space="preserve">adolescent lifestyle behaviours, </w:t>
      </w:r>
      <w:r w:rsidRPr="009B3747">
        <w:rPr>
          <w:rFonts w:eastAsia="Times New Roman" w:cstheme="minorHAnsi"/>
          <w:color w:val="000000"/>
          <w:lang w:eastAsia="en-GB"/>
        </w:rPr>
        <w:t>when habits had already been formed in the years prior to them arriving into secondary education.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b/>
          <w:sz w:val="24"/>
          <w:szCs w:val="24"/>
          <w:lang w:eastAsia="en-GB"/>
        </w:rPr>
      </w:pPr>
      <w:r w:rsidRPr="009B3747">
        <w:rPr>
          <w:rFonts w:eastAsia="Times New Roman" w:cstheme="minorHAnsi"/>
          <w:i/>
          <w:iCs/>
          <w:color w:val="000000"/>
          <w:sz w:val="20"/>
          <w:szCs w:val="20"/>
          <w:lang w:eastAsia="en-GB"/>
        </w:rPr>
        <w:t>“Really in order for it to work it shouldn’t be a problem secondary schools have to deal with because all the work should been done in the first ten years.”  </w:t>
      </w:r>
      <w:r w:rsidRPr="009B3747">
        <w:rPr>
          <w:rFonts w:eastAsia="Times New Roman" w:cstheme="minorHAnsi"/>
          <w:b/>
          <w:bCs/>
          <w:color w:val="000000"/>
          <w:sz w:val="20"/>
          <w:szCs w:val="20"/>
          <w:lang w:eastAsia="en-GB"/>
        </w:rPr>
        <w:t>Participant 9</w:t>
      </w:r>
      <w:r w:rsidRPr="009B3747">
        <w:rPr>
          <w:rFonts w:eastAsia="Times New Roman" w:cstheme="minorHAnsi"/>
          <w:color w:val="000000"/>
          <w:sz w:val="20"/>
          <w:szCs w:val="20"/>
          <w:lang w:eastAsia="en-GB"/>
        </w:rPr>
        <w:t xml:space="preserve"> </w:t>
      </w:r>
      <w:r w:rsidR="00A23662" w:rsidRPr="009B3747">
        <w:rPr>
          <w:rFonts w:eastAsia="Times New Roman" w:cstheme="minorHAnsi"/>
          <w:b/>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Despite this, most participants proposed that behaviour change could occur in adolescence as a result of various approaches either within their school setting or across wider society.  Furthermore both headteachers and chairs of governors collectively supported their school’s role in this process (as detailed in theme 4).</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b/>
          <w:sz w:val="24"/>
          <w:szCs w:val="24"/>
          <w:lang w:eastAsia="en-GB"/>
        </w:rPr>
      </w:pPr>
      <w:r w:rsidRPr="009B3747">
        <w:rPr>
          <w:rFonts w:eastAsia="Times New Roman" w:cstheme="minorHAnsi"/>
          <w:i/>
          <w:iCs/>
          <w:color w:val="000000"/>
          <w:sz w:val="20"/>
          <w:szCs w:val="20"/>
          <w:lang w:eastAsia="en-GB"/>
        </w:rPr>
        <w:t>“I think we can change things I think it’s more difficult. I think they get into bad habits, or there’s a sort of lifestyle they’ve slipped i</w:t>
      </w:r>
      <w:r w:rsidR="00EB44DD">
        <w:rPr>
          <w:rFonts w:eastAsia="Times New Roman" w:cstheme="minorHAnsi"/>
          <w:i/>
          <w:iCs/>
          <w:color w:val="000000"/>
          <w:sz w:val="20"/>
          <w:szCs w:val="20"/>
          <w:lang w:eastAsia="en-GB"/>
        </w:rPr>
        <w:t xml:space="preserve">nto by the time they come to us, </w:t>
      </w:r>
      <w:r w:rsidRPr="009B3747">
        <w:rPr>
          <w:rFonts w:eastAsia="Times New Roman" w:cstheme="minorHAnsi"/>
          <w:i/>
          <w:iCs/>
          <w:color w:val="000000"/>
          <w:sz w:val="20"/>
          <w:szCs w:val="20"/>
          <w:lang w:eastAsia="en-GB"/>
        </w:rPr>
        <w:t>but I don’t think we can’t change that, I think we can. It’s e</w:t>
      </w:r>
      <w:r w:rsidR="00EB44DD">
        <w:rPr>
          <w:rFonts w:eastAsia="Times New Roman" w:cstheme="minorHAnsi"/>
          <w:i/>
          <w:iCs/>
          <w:color w:val="000000"/>
          <w:sz w:val="20"/>
          <w:szCs w:val="20"/>
          <w:lang w:eastAsia="en-GB"/>
        </w:rPr>
        <w:t xml:space="preserve">asier if it’s been done earlier, </w:t>
      </w:r>
      <w:r w:rsidRPr="009B3747">
        <w:rPr>
          <w:rFonts w:eastAsia="Times New Roman" w:cstheme="minorHAnsi"/>
          <w:i/>
          <w:iCs/>
          <w:color w:val="000000"/>
          <w:sz w:val="20"/>
          <w:szCs w:val="20"/>
          <w:lang w:eastAsia="en-GB"/>
        </w:rPr>
        <w:t>but that’s all childhood development really I think.”  </w:t>
      </w:r>
      <w:r w:rsidRPr="009B3747">
        <w:rPr>
          <w:rFonts w:eastAsia="Times New Roman" w:cstheme="minorHAnsi"/>
          <w:b/>
          <w:bCs/>
          <w:color w:val="000000"/>
          <w:sz w:val="20"/>
          <w:szCs w:val="20"/>
          <w:lang w:eastAsia="en-GB"/>
        </w:rPr>
        <w:t>Participant 21</w:t>
      </w:r>
      <w:r w:rsidRPr="009B3747">
        <w:rPr>
          <w:rFonts w:eastAsia="Times New Roman" w:cstheme="minorHAnsi"/>
          <w:color w:val="000000"/>
          <w:sz w:val="20"/>
          <w:szCs w:val="20"/>
          <w:lang w:eastAsia="en-GB"/>
        </w:rPr>
        <w:t xml:space="preserve"> </w:t>
      </w:r>
      <w:r w:rsidR="00A23662" w:rsidRPr="009B3747">
        <w:rPr>
          <w:rFonts w:eastAsia="Times New Roman" w:cstheme="minorHAnsi"/>
          <w:b/>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551065" w:rsidP="006F36A0">
      <w:pPr>
        <w:rPr>
          <w:rFonts w:eastAsia="Times New Roman" w:cstheme="minorHAnsi"/>
          <w:sz w:val="24"/>
          <w:szCs w:val="24"/>
          <w:lang w:eastAsia="en-GB"/>
        </w:rPr>
      </w:pPr>
      <w:r w:rsidRPr="009B3747">
        <w:rPr>
          <w:rFonts w:eastAsia="Times New Roman" w:cstheme="minorHAnsi"/>
          <w:color w:val="000000"/>
          <w:u w:val="single"/>
          <w:lang w:eastAsia="en-GB"/>
        </w:rPr>
        <w:lastRenderedPageBreak/>
        <w:t>6.6</w:t>
      </w:r>
      <w:r w:rsidR="00991D2F" w:rsidRPr="009B3747">
        <w:rPr>
          <w:rFonts w:eastAsia="Times New Roman" w:cstheme="minorHAnsi"/>
          <w:color w:val="000000"/>
          <w:u w:val="single"/>
          <w:lang w:eastAsia="en-GB"/>
        </w:rPr>
        <w:t>.3</w:t>
      </w:r>
      <w:r w:rsidR="006F36A0" w:rsidRPr="009B3747">
        <w:rPr>
          <w:rFonts w:eastAsia="Times New Roman" w:cstheme="minorHAnsi"/>
          <w:color w:val="000000"/>
          <w:u w:val="single"/>
          <w:lang w:eastAsia="en-GB"/>
        </w:rPr>
        <w:t xml:space="preserve"> - The importance of partnerships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Throughout the interviews and resultant discussions, participants interchangeably referred to</w:t>
      </w:r>
      <w:r w:rsidR="00D55A48">
        <w:rPr>
          <w:rFonts w:eastAsia="Times New Roman" w:cstheme="minorHAnsi"/>
          <w:color w:val="000000"/>
          <w:lang w:eastAsia="en-GB"/>
        </w:rPr>
        <w:t xml:space="preserve"> the importance of</w:t>
      </w:r>
      <w:r w:rsidRPr="009B3747">
        <w:rPr>
          <w:rFonts w:eastAsia="Times New Roman" w:cstheme="minorHAnsi"/>
          <w:color w:val="000000"/>
          <w:lang w:eastAsia="en-GB"/>
        </w:rPr>
        <w:t xml:space="preserve"> </w:t>
      </w:r>
      <w:r w:rsidR="00D55A48">
        <w:rPr>
          <w:rFonts w:eastAsia="Times New Roman" w:cstheme="minorHAnsi"/>
          <w:color w:val="000000"/>
          <w:lang w:eastAsia="en-GB"/>
        </w:rPr>
        <w:t>external partners.  W</w:t>
      </w:r>
      <w:r w:rsidRPr="009B3747">
        <w:rPr>
          <w:rFonts w:eastAsia="Times New Roman" w:cstheme="minorHAnsi"/>
          <w:color w:val="000000"/>
          <w:lang w:eastAsia="en-GB"/>
        </w:rPr>
        <w:t>hilst not deemed to have a key responsibil</w:t>
      </w:r>
      <w:r w:rsidR="00D55A48">
        <w:rPr>
          <w:rFonts w:eastAsia="Times New Roman" w:cstheme="minorHAnsi"/>
          <w:color w:val="000000"/>
          <w:lang w:eastAsia="en-GB"/>
        </w:rPr>
        <w:t xml:space="preserve">ity for obesity prevention, external partners </w:t>
      </w:r>
      <w:r w:rsidRPr="009B3747">
        <w:rPr>
          <w:rFonts w:eastAsia="Times New Roman" w:cstheme="minorHAnsi"/>
          <w:color w:val="000000"/>
          <w:lang w:eastAsia="en-GB"/>
        </w:rPr>
        <w:t xml:space="preserve">were </w:t>
      </w:r>
      <w:r w:rsidR="00D55A48">
        <w:rPr>
          <w:rFonts w:eastAsia="Times New Roman" w:cstheme="minorHAnsi"/>
          <w:color w:val="000000"/>
          <w:lang w:eastAsia="en-GB"/>
        </w:rPr>
        <w:t>viewed to be instrumental in the</w:t>
      </w:r>
      <w:r w:rsidRPr="009B3747">
        <w:rPr>
          <w:rFonts w:eastAsia="Times New Roman" w:cstheme="minorHAnsi"/>
          <w:color w:val="000000"/>
          <w:lang w:eastAsia="en-GB"/>
        </w:rPr>
        <w:t xml:space="preserve"> effectiveness </w:t>
      </w:r>
      <w:r w:rsidR="00D55A48">
        <w:rPr>
          <w:rFonts w:eastAsia="Times New Roman" w:cstheme="minorHAnsi"/>
          <w:color w:val="000000"/>
          <w:lang w:eastAsia="en-GB"/>
        </w:rPr>
        <w:t xml:space="preserve">of preventing excess weight </w:t>
      </w:r>
      <w:r w:rsidRPr="009B3747">
        <w:rPr>
          <w:rFonts w:eastAsia="Times New Roman" w:cstheme="minorHAnsi"/>
          <w:color w:val="000000"/>
          <w:lang w:eastAsia="en-GB"/>
        </w:rPr>
        <w:t>both inside and outside the school setting.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For most, the concept of building and maintaining multi-agency partnerships</w:t>
      </w:r>
      <w:r w:rsidR="00D55A48">
        <w:rPr>
          <w:rFonts w:eastAsia="Times New Roman" w:cstheme="minorHAnsi"/>
          <w:color w:val="000000"/>
          <w:lang w:eastAsia="en-GB"/>
        </w:rPr>
        <w:t>,</w:t>
      </w:r>
      <w:r w:rsidRPr="009B3747">
        <w:rPr>
          <w:rFonts w:eastAsia="Times New Roman" w:cstheme="minorHAnsi"/>
          <w:color w:val="000000"/>
          <w:lang w:eastAsia="en-GB"/>
        </w:rPr>
        <w:t xml:space="preserve"> especially across public sector organisations</w:t>
      </w:r>
      <w:r w:rsidR="00D55A48">
        <w:rPr>
          <w:rFonts w:eastAsia="Times New Roman" w:cstheme="minorHAnsi"/>
          <w:color w:val="000000"/>
          <w:lang w:eastAsia="en-GB"/>
        </w:rPr>
        <w:t>,</w:t>
      </w:r>
      <w:r w:rsidRPr="009B3747">
        <w:rPr>
          <w:rFonts w:eastAsia="Times New Roman" w:cstheme="minorHAnsi"/>
          <w:color w:val="000000"/>
          <w:lang w:eastAsia="en-GB"/>
        </w:rPr>
        <w:t xml:space="preserve"> was deemed</w:t>
      </w:r>
      <w:r w:rsidR="00D55A48">
        <w:rPr>
          <w:rFonts w:eastAsia="Times New Roman" w:cstheme="minorHAnsi"/>
          <w:color w:val="000000"/>
          <w:lang w:eastAsia="en-GB"/>
        </w:rPr>
        <w:t xml:space="preserve"> to be of critical importance.  This was in relation to both the prevention of obesity and the improvement of l</w:t>
      </w:r>
      <w:r w:rsidRPr="009B3747">
        <w:rPr>
          <w:rFonts w:eastAsia="Times New Roman" w:cstheme="minorHAnsi"/>
          <w:color w:val="000000"/>
          <w:lang w:eastAsia="en-GB"/>
        </w:rPr>
        <w:t>ifestyle behaviours across childhood and adolescence.</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A23662" w:rsidRPr="009B3747" w:rsidRDefault="006F36A0" w:rsidP="006F36A0">
      <w:pPr>
        <w:ind w:left="720"/>
        <w:rPr>
          <w:rFonts w:eastAsia="Times New Roman" w:cstheme="minorHAnsi"/>
          <w:color w:val="000000"/>
          <w:sz w:val="20"/>
          <w:szCs w:val="20"/>
          <w:lang w:eastAsia="en-GB"/>
        </w:rPr>
      </w:pPr>
      <w:r w:rsidRPr="009B3747">
        <w:rPr>
          <w:rFonts w:eastAsia="Times New Roman" w:cstheme="minorHAnsi"/>
          <w:i/>
          <w:iCs/>
          <w:color w:val="000000"/>
          <w:sz w:val="20"/>
          <w:szCs w:val="20"/>
          <w:lang w:eastAsia="en-GB"/>
        </w:rPr>
        <w:t xml:space="preserve">“I think unless you get a concerted approach across a number of areas of activity, so health, social services, education, I think that concerted pressure can make more of a difference.” </w:t>
      </w:r>
      <w:r w:rsidRPr="009B3747">
        <w:rPr>
          <w:rFonts w:eastAsia="Times New Roman" w:cstheme="minorHAnsi"/>
          <w:color w:val="000000"/>
          <w:sz w:val="20"/>
          <w:szCs w:val="20"/>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b/>
          <w:bCs/>
          <w:color w:val="000000"/>
          <w:sz w:val="20"/>
          <w:szCs w:val="20"/>
          <w:lang w:eastAsia="en-GB"/>
        </w:rPr>
        <w:t>Participant 20</w:t>
      </w:r>
      <w:r w:rsidRPr="009B3747">
        <w:rPr>
          <w:rFonts w:eastAsia="Times New Roman" w:cstheme="minorHAnsi"/>
          <w:color w:val="000000"/>
          <w:sz w:val="20"/>
          <w:szCs w:val="20"/>
          <w:lang w:eastAsia="en-GB"/>
        </w:rPr>
        <w:t xml:space="preserve"> </w:t>
      </w:r>
      <w:r w:rsidR="00A23662" w:rsidRPr="009B3747">
        <w:rPr>
          <w:rFonts w:eastAsia="Times New Roman" w:cstheme="minorHAnsi"/>
          <w:b/>
          <w:color w:val="000000"/>
          <w:sz w:val="20"/>
          <w:szCs w:val="20"/>
          <w:lang w:eastAsia="en-GB"/>
        </w:rPr>
        <w:t>(Chair of governors)</w:t>
      </w:r>
      <w:r w:rsidRPr="009B3747">
        <w:rPr>
          <w:rFonts w:eastAsia="Times New Roman" w:cstheme="minorHAnsi"/>
          <w:color w:val="000000"/>
          <w:sz w:val="20"/>
          <w:szCs w:val="20"/>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The most notable partner</w:t>
      </w:r>
      <w:r w:rsidR="00D55A48">
        <w:rPr>
          <w:rFonts w:eastAsia="Times New Roman" w:cstheme="minorHAnsi"/>
          <w:color w:val="000000"/>
          <w:lang w:eastAsia="en-GB"/>
        </w:rPr>
        <w:t>,</w:t>
      </w:r>
      <w:r w:rsidRPr="009B3747">
        <w:rPr>
          <w:rFonts w:eastAsia="Times New Roman" w:cstheme="minorHAnsi"/>
          <w:color w:val="000000"/>
          <w:lang w:eastAsia="en-GB"/>
        </w:rPr>
        <w:t xml:space="preserve"> who participants frequently referenced as central to public sector partnerships for obesity prevention</w:t>
      </w:r>
      <w:r w:rsidR="00D55A48">
        <w:rPr>
          <w:rFonts w:eastAsia="Times New Roman" w:cstheme="minorHAnsi"/>
          <w:color w:val="000000"/>
          <w:lang w:eastAsia="en-GB"/>
        </w:rPr>
        <w:t>,</w:t>
      </w:r>
      <w:r w:rsidRPr="009B3747">
        <w:rPr>
          <w:rFonts w:eastAsia="Times New Roman" w:cstheme="minorHAnsi"/>
          <w:color w:val="000000"/>
          <w:lang w:eastAsia="en-GB"/>
        </w:rPr>
        <w:t xml:space="preserve"> was the National Health Service (NHS).  Whilst no formal responsibility for prevention appeared to be attributed to the NHS, most participants referenced the vital role the organisation does and could have in the future.  Some headteachers from state funded schools provided examples of where partnership working with the NHS or associated organisations</w:t>
      </w:r>
      <w:r w:rsidR="00D55A48">
        <w:rPr>
          <w:rFonts w:eastAsia="Times New Roman" w:cstheme="minorHAnsi"/>
          <w:color w:val="000000"/>
          <w:lang w:eastAsia="en-GB"/>
        </w:rPr>
        <w:t>,</w:t>
      </w:r>
      <w:r w:rsidRPr="009B3747">
        <w:rPr>
          <w:rFonts w:eastAsia="Times New Roman" w:cstheme="minorHAnsi"/>
          <w:color w:val="000000"/>
          <w:lang w:eastAsia="en-GB"/>
        </w:rPr>
        <w:t xml:space="preserve"> had enabled the implementation of</w:t>
      </w:r>
      <w:r w:rsidR="00D55A48">
        <w:rPr>
          <w:rFonts w:eastAsia="Times New Roman" w:cstheme="minorHAnsi"/>
          <w:color w:val="000000"/>
          <w:lang w:eastAsia="en-GB"/>
        </w:rPr>
        <w:t xml:space="preserve"> behaviour change interventions, </w:t>
      </w:r>
      <w:r w:rsidRPr="009B3747">
        <w:rPr>
          <w:rFonts w:eastAsia="Times New Roman" w:cstheme="minorHAnsi"/>
          <w:color w:val="000000"/>
          <w:lang w:eastAsia="en-GB"/>
        </w:rPr>
        <w:t xml:space="preserve">with </w:t>
      </w:r>
      <w:r w:rsidR="00D55A48">
        <w:rPr>
          <w:rFonts w:eastAsia="Times New Roman" w:cstheme="minorHAnsi"/>
          <w:color w:val="000000"/>
          <w:lang w:eastAsia="en-GB"/>
        </w:rPr>
        <w:t>pupils</w:t>
      </w:r>
      <w:r w:rsidRPr="009B3747">
        <w:rPr>
          <w:rFonts w:eastAsia="Times New Roman" w:cstheme="minorHAnsi"/>
          <w:color w:val="000000"/>
          <w:lang w:eastAsia="en-GB"/>
        </w:rPr>
        <w:t xml:space="preserve"> and their families in </w:t>
      </w:r>
      <w:r w:rsidR="00D55A48">
        <w:rPr>
          <w:rFonts w:eastAsia="Times New Roman" w:cstheme="minorHAnsi"/>
          <w:color w:val="000000"/>
          <w:lang w:eastAsia="en-GB"/>
        </w:rPr>
        <w:t>school settings.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b/>
          <w:sz w:val="24"/>
          <w:szCs w:val="24"/>
          <w:lang w:eastAsia="en-GB"/>
        </w:rPr>
      </w:pPr>
      <w:r w:rsidRPr="009B3747">
        <w:rPr>
          <w:rFonts w:eastAsia="Times New Roman" w:cstheme="minorHAnsi"/>
          <w:i/>
          <w:iCs/>
          <w:color w:val="000000"/>
          <w:sz w:val="20"/>
          <w:szCs w:val="20"/>
          <w:lang w:eastAsia="en-GB"/>
        </w:rPr>
        <w:t>“I’d worked with the local primary care trust to try a</w:t>
      </w:r>
      <w:r w:rsidR="00EB44DD">
        <w:rPr>
          <w:rFonts w:eastAsia="Times New Roman" w:cstheme="minorHAnsi"/>
          <w:i/>
          <w:iCs/>
          <w:color w:val="000000"/>
          <w:sz w:val="20"/>
          <w:szCs w:val="20"/>
          <w:lang w:eastAsia="en-GB"/>
        </w:rPr>
        <w:t xml:space="preserve">nd get at least if not leaflets, </w:t>
      </w:r>
      <w:r w:rsidRPr="009B3747">
        <w:rPr>
          <w:rFonts w:eastAsia="Times New Roman" w:cstheme="minorHAnsi"/>
          <w:i/>
          <w:iCs/>
          <w:color w:val="000000"/>
          <w:sz w:val="20"/>
          <w:szCs w:val="20"/>
          <w:lang w:eastAsia="en-GB"/>
        </w:rPr>
        <w:t>but a person with leaflets or something available, so that there was, when people came into school, one it helped me as it broke down a few barriers because they didn’t like going to school because most had had a bad experience.”  </w:t>
      </w:r>
      <w:r w:rsidRPr="009B3747">
        <w:rPr>
          <w:rFonts w:eastAsia="Times New Roman" w:cstheme="minorHAnsi"/>
          <w:b/>
          <w:bCs/>
          <w:color w:val="000000"/>
          <w:sz w:val="20"/>
          <w:szCs w:val="20"/>
          <w:lang w:eastAsia="en-GB"/>
        </w:rPr>
        <w:t>Participant 6</w:t>
      </w:r>
      <w:r w:rsidRPr="009B3747">
        <w:rPr>
          <w:rFonts w:eastAsia="Times New Roman" w:cstheme="minorHAnsi"/>
          <w:color w:val="000000"/>
          <w:sz w:val="20"/>
          <w:szCs w:val="20"/>
          <w:lang w:eastAsia="en-GB"/>
        </w:rPr>
        <w:t xml:space="preserve"> </w:t>
      </w:r>
      <w:r w:rsidR="00A23662" w:rsidRPr="009B3747">
        <w:rPr>
          <w:rFonts w:eastAsia="Times New Roman" w:cstheme="minorHAnsi"/>
          <w:b/>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Both headteachers and chairs of governors discussed the benefits of their schools engaging with both the NHS and wid</w:t>
      </w:r>
      <w:r w:rsidR="00D55A48">
        <w:rPr>
          <w:rFonts w:eastAsia="Times New Roman" w:cstheme="minorHAnsi"/>
          <w:color w:val="000000"/>
          <w:lang w:eastAsia="en-GB"/>
        </w:rPr>
        <w:t>er public sector organisations.  Examples included</w:t>
      </w:r>
      <w:r w:rsidRPr="009B3747">
        <w:rPr>
          <w:rFonts w:eastAsia="Times New Roman" w:cstheme="minorHAnsi"/>
          <w:color w:val="000000"/>
          <w:lang w:eastAsia="en-GB"/>
        </w:rPr>
        <w:t xml:space="preserve"> school nursing services and public health programmes to support prevention in schools.  These perceived benefits centred on the ability for partners to address capacity issues within schools (discussed in theme 4) and enhance the credibility and consistency of health messages delivered.</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A23662" w:rsidRPr="009B3747" w:rsidRDefault="006F36A0" w:rsidP="006F36A0">
      <w:pPr>
        <w:ind w:left="720"/>
        <w:rPr>
          <w:rFonts w:eastAsia="Times New Roman" w:cstheme="minorHAnsi"/>
          <w:i/>
          <w:iCs/>
          <w:color w:val="000000"/>
          <w:sz w:val="20"/>
          <w:szCs w:val="20"/>
          <w:lang w:eastAsia="en-GB"/>
        </w:rPr>
      </w:pPr>
      <w:r w:rsidRPr="009B3747">
        <w:rPr>
          <w:rFonts w:eastAsia="Times New Roman" w:cstheme="minorHAnsi"/>
          <w:i/>
          <w:iCs/>
          <w:color w:val="000000"/>
          <w:sz w:val="20"/>
          <w:szCs w:val="20"/>
          <w:lang w:eastAsia="en-GB"/>
        </w:rPr>
        <w:lastRenderedPageBreak/>
        <w:t>“Well it’s unless its, because of the capacity, it’s just capacity and maybe, maybe coming from someone else a professional, from public health or someone like that, from a health background rather than an academic background might have more impact, with the kids.”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b/>
          <w:bCs/>
          <w:color w:val="000000"/>
          <w:sz w:val="20"/>
          <w:szCs w:val="20"/>
          <w:lang w:eastAsia="en-GB"/>
        </w:rPr>
        <w:t xml:space="preserve">Participant 11 </w:t>
      </w:r>
      <w:r w:rsidR="00A23662" w:rsidRPr="009B3747">
        <w:rPr>
          <w:rFonts w:eastAsia="Times New Roman" w:cstheme="minorHAnsi"/>
          <w:b/>
          <w:bCs/>
          <w:color w:val="000000"/>
          <w:sz w:val="20"/>
          <w:szCs w:val="20"/>
          <w:lang w:eastAsia="en-GB"/>
        </w:rPr>
        <w:t>(Chair of governors)</w:t>
      </w:r>
      <w:r w:rsidRPr="009B3747">
        <w:rPr>
          <w:rFonts w:eastAsia="Times New Roman" w:cstheme="minorHAnsi"/>
          <w:color w:val="000000"/>
          <w:sz w:val="20"/>
          <w:szCs w:val="20"/>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Despite this, many headteachers and chairs of governo</w:t>
      </w:r>
      <w:r w:rsidR="00D55A48">
        <w:rPr>
          <w:rFonts w:eastAsia="Times New Roman" w:cstheme="minorHAnsi"/>
          <w:color w:val="000000"/>
          <w:lang w:eastAsia="en-GB"/>
        </w:rPr>
        <w:t xml:space="preserve">rs discussed their belief that </w:t>
      </w:r>
      <w:r w:rsidRPr="009B3747">
        <w:rPr>
          <w:rFonts w:eastAsia="Times New Roman" w:cstheme="minorHAnsi"/>
          <w:color w:val="000000"/>
          <w:lang w:eastAsia="en-GB"/>
        </w:rPr>
        <w:t>partnerships acr</w:t>
      </w:r>
      <w:r w:rsidR="00D55A48">
        <w:rPr>
          <w:rFonts w:eastAsia="Times New Roman" w:cstheme="minorHAnsi"/>
          <w:color w:val="000000"/>
          <w:lang w:eastAsia="en-GB"/>
        </w:rPr>
        <w:t xml:space="preserve">oss public sector organisations are currently disjointed and lacking connection, </w:t>
      </w:r>
      <w:r w:rsidRPr="009B3747">
        <w:rPr>
          <w:rFonts w:eastAsia="Times New Roman" w:cstheme="minorHAnsi"/>
          <w:color w:val="000000"/>
          <w:lang w:eastAsia="en-GB"/>
        </w:rPr>
        <w:t>especially in relation to education and health.  This was perceived to present significant challenges for achieving a meaningful reduction in obesity prevalence across society.</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A23662" w:rsidRPr="009B3747" w:rsidRDefault="006F36A0" w:rsidP="006F36A0">
      <w:pPr>
        <w:ind w:left="720"/>
        <w:rPr>
          <w:rFonts w:eastAsia="Times New Roman" w:cstheme="minorHAnsi"/>
          <w:color w:val="000000"/>
          <w:sz w:val="20"/>
          <w:szCs w:val="20"/>
          <w:lang w:eastAsia="en-GB"/>
        </w:rPr>
      </w:pPr>
      <w:r w:rsidRPr="009B3747">
        <w:rPr>
          <w:rFonts w:eastAsia="Times New Roman" w:cstheme="minorHAnsi"/>
          <w:i/>
          <w:iCs/>
          <w:color w:val="000000"/>
          <w:sz w:val="20"/>
          <w:szCs w:val="20"/>
          <w:lang w:eastAsia="en-GB"/>
        </w:rPr>
        <w:t xml:space="preserve">“There’s no real, there’s no joined up thinking between schools and other government bodies currently, if you look at again, probably the biggest, doctors are not close to schools anymore, school nurses, I’m not sure we’ve even got one anymore full time, local authorities and Public Health England have some duty for public health don’t they I know, so they never do anything.” </w:t>
      </w:r>
      <w:r w:rsidRPr="009B3747">
        <w:rPr>
          <w:rFonts w:eastAsia="Times New Roman" w:cstheme="minorHAnsi"/>
          <w:color w:val="000000"/>
          <w:sz w:val="20"/>
          <w:szCs w:val="20"/>
          <w:lang w:eastAsia="en-GB"/>
        </w:rPr>
        <w:t> </w:t>
      </w:r>
    </w:p>
    <w:p w:rsidR="006F36A0" w:rsidRPr="009B3747" w:rsidRDefault="006F36A0" w:rsidP="006F36A0">
      <w:pPr>
        <w:ind w:left="720"/>
        <w:rPr>
          <w:rFonts w:eastAsia="Times New Roman" w:cstheme="minorHAnsi"/>
          <w:b/>
          <w:sz w:val="24"/>
          <w:szCs w:val="24"/>
          <w:lang w:eastAsia="en-GB"/>
        </w:rPr>
      </w:pPr>
      <w:r w:rsidRPr="009B3747">
        <w:rPr>
          <w:rFonts w:eastAsia="Times New Roman" w:cstheme="minorHAnsi"/>
          <w:b/>
          <w:bCs/>
          <w:color w:val="000000"/>
          <w:sz w:val="20"/>
          <w:szCs w:val="20"/>
          <w:lang w:eastAsia="en-GB"/>
        </w:rPr>
        <w:t>Participant 12</w:t>
      </w:r>
      <w:r w:rsidRPr="009B3747">
        <w:rPr>
          <w:rFonts w:eastAsia="Times New Roman" w:cstheme="minorHAnsi"/>
          <w:color w:val="000000"/>
          <w:sz w:val="20"/>
          <w:szCs w:val="20"/>
          <w:lang w:eastAsia="en-GB"/>
        </w:rPr>
        <w:t xml:space="preserve"> </w:t>
      </w:r>
      <w:r w:rsidR="00A23662" w:rsidRPr="009B3747">
        <w:rPr>
          <w:rFonts w:eastAsia="Times New Roman" w:cstheme="minorHAnsi"/>
          <w:b/>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 xml:space="preserve">Some referenced the view that whereas historically strong and effective relationships existed between the NHS, health services (i.e. school nurses) and schools, the current ability for those partnerships to </w:t>
      </w:r>
      <w:r w:rsidR="00D55A48">
        <w:rPr>
          <w:rFonts w:eastAsia="Times New Roman" w:cstheme="minorHAnsi"/>
          <w:color w:val="000000"/>
          <w:lang w:eastAsia="en-GB"/>
        </w:rPr>
        <w:t>be sustained is being hindered.   This was attributed to</w:t>
      </w:r>
      <w:r w:rsidRPr="009B3747">
        <w:rPr>
          <w:rFonts w:eastAsia="Times New Roman" w:cstheme="minorHAnsi"/>
          <w:color w:val="000000"/>
          <w:lang w:eastAsia="en-GB"/>
        </w:rPr>
        <w:t xml:space="preserve"> disparate priorities and </w:t>
      </w:r>
      <w:r w:rsidR="00D55A48">
        <w:rPr>
          <w:rFonts w:eastAsia="Times New Roman" w:cstheme="minorHAnsi"/>
          <w:color w:val="000000"/>
          <w:lang w:eastAsia="en-GB"/>
        </w:rPr>
        <w:t>substantial funding pressures.  Participants argued that this</w:t>
      </w:r>
      <w:r w:rsidRPr="009B3747">
        <w:rPr>
          <w:rFonts w:eastAsia="Times New Roman" w:cstheme="minorHAnsi"/>
          <w:color w:val="000000"/>
          <w:lang w:eastAsia="en-GB"/>
        </w:rPr>
        <w:t xml:space="preserve"> impact</w:t>
      </w:r>
      <w:r w:rsidR="00D55A48">
        <w:rPr>
          <w:rFonts w:eastAsia="Times New Roman" w:cstheme="minorHAnsi"/>
          <w:color w:val="000000"/>
          <w:lang w:eastAsia="en-GB"/>
        </w:rPr>
        <w:t>ed</w:t>
      </w:r>
      <w:r w:rsidRPr="009B3747">
        <w:rPr>
          <w:rFonts w:eastAsia="Times New Roman" w:cstheme="minorHAnsi"/>
          <w:color w:val="000000"/>
          <w:lang w:eastAsia="en-GB"/>
        </w:rPr>
        <w:t xml:space="preserve"> on the ability for behaviour change interventions to be delivered in their school settings.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“But it worries me, it gives me great anxiety when I see local authorities having to cut back, government cutting back in areas like health visitors, the kind of people who would historically go into school and talk to children about foods, what their weight was doing to them and that side has now been cut back along with other government cut backs.”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Participant 15</w:t>
      </w:r>
      <w:r w:rsidR="00A23662" w:rsidRPr="009B3747">
        <w:rPr>
          <w:rFonts w:eastAsia="Times New Roman" w:cstheme="minorHAnsi"/>
          <w:b/>
          <w:bCs/>
          <w:color w:val="000000"/>
          <w:sz w:val="20"/>
          <w:szCs w:val="20"/>
          <w:lang w:eastAsia="en-GB"/>
        </w:rPr>
        <w:t xml:space="preserve"> (Chair of governors)</w:t>
      </w:r>
      <w:r w:rsidRPr="009B3747">
        <w:rPr>
          <w:rFonts w:eastAsia="Times New Roman" w:cstheme="minorHAnsi"/>
          <w:color w:val="000000"/>
          <w:sz w:val="20"/>
          <w:szCs w:val="20"/>
          <w:lang w:eastAsia="en-GB"/>
        </w:rPr>
        <w:t xml:space="preserve">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 xml:space="preserve">Furthermore for one headteacher, not only were financial constraints within NHS and health services affecting </w:t>
      </w:r>
      <w:r w:rsidR="00D55A48">
        <w:rPr>
          <w:rFonts w:eastAsia="Times New Roman" w:cstheme="minorHAnsi"/>
          <w:color w:val="000000"/>
          <w:lang w:eastAsia="en-GB"/>
        </w:rPr>
        <w:t>partnerships</w:t>
      </w:r>
      <w:r w:rsidRPr="009B3747">
        <w:rPr>
          <w:rFonts w:eastAsia="Times New Roman" w:cstheme="minorHAnsi"/>
          <w:color w:val="000000"/>
          <w:lang w:eastAsia="en-GB"/>
        </w:rPr>
        <w:t xml:space="preserve"> across public sector organisations, it also meant schools were being disproportionately expected to deliver against a wider health and well-being agenda.</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“It really pees me off how, I </w:t>
      </w:r>
      <w:r w:rsidR="00EB44DD">
        <w:rPr>
          <w:rFonts w:eastAsia="Times New Roman" w:cstheme="minorHAnsi"/>
          <w:i/>
          <w:iCs/>
          <w:color w:val="000000"/>
          <w:sz w:val="20"/>
          <w:szCs w:val="20"/>
          <w:lang w:eastAsia="en-GB"/>
        </w:rPr>
        <w:t>mean, everybody's short of money,</w:t>
      </w:r>
      <w:r w:rsidRPr="009B3747">
        <w:rPr>
          <w:rFonts w:eastAsia="Times New Roman" w:cstheme="minorHAnsi"/>
          <w:i/>
          <w:iCs/>
          <w:color w:val="000000"/>
          <w:sz w:val="20"/>
          <w:szCs w:val="20"/>
          <w:lang w:eastAsia="en-GB"/>
        </w:rPr>
        <w:t xml:space="preserve"> but if anything gets put on to the NHS they immediately pass it on to schools.  It happened, as soon as they realised the power of email, when stuff like swine flu was kicking off, well it was really important that everybody washed their hands, they sent us an email of a poster saying “print these off and put them around your school”,”.  </w:t>
      </w:r>
      <w:r w:rsidRPr="009B3747">
        <w:rPr>
          <w:rFonts w:eastAsia="Times New Roman" w:cstheme="minorHAnsi"/>
          <w:b/>
          <w:bCs/>
          <w:color w:val="000000"/>
          <w:sz w:val="20"/>
          <w:szCs w:val="20"/>
          <w:lang w:eastAsia="en-GB"/>
        </w:rPr>
        <w:t xml:space="preserve">Participant 9 </w:t>
      </w:r>
      <w:r w:rsidR="00A23662" w:rsidRPr="009B3747">
        <w:rPr>
          <w:rFonts w:eastAsia="Times New Roman" w:cstheme="minorHAnsi"/>
          <w:b/>
          <w:bCs/>
          <w:color w:val="000000"/>
          <w:sz w:val="20"/>
          <w:szCs w:val="20"/>
          <w:lang w:eastAsia="en-GB"/>
        </w:rPr>
        <w:t>(Headteacher)</w:t>
      </w:r>
      <w:r w:rsidRPr="009B3747">
        <w:rPr>
          <w:rFonts w:eastAsia="Times New Roman" w:cstheme="minorHAnsi"/>
          <w:i/>
          <w:iCs/>
          <w:color w:val="000000"/>
          <w:sz w:val="20"/>
          <w:szCs w:val="20"/>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lastRenderedPageBreak/>
        <w:t>Both headteachers and chairs of governors made reference to financial challenges in wider public sector organisations</w:t>
      </w:r>
      <w:r w:rsidR="00D55A48">
        <w:rPr>
          <w:rFonts w:eastAsia="Times New Roman" w:cstheme="minorHAnsi"/>
          <w:color w:val="000000"/>
          <w:lang w:eastAsia="en-GB"/>
        </w:rPr>
        <w:t>,</w:t>
      </w:r>
      <w:r w:rsidRPr="009B3747">
        <w:rPr>
          <w:rFonts w:eastAsia="Times New Roman" w:cstheme="minorHAnsi"/>
          <w:color w:val="000000"/>
          <w:lang w:eastAsia="en-GB"/>
        </w:rPr>
        <w:t xml:space="preserve"> outside of a health remit such as local authorities.  For some, this coupled with the incr</w:t>
      </w:r>
      <w:r w:rsidR="00D55A48">
        <w:rPr>
          <w:rFonts w:eastAsia="Times New Roman" w:cstheme="minorHAnsi"/>
          <w:color w:val="000000"/>
          <w:lang w:eastAsia="en-GB"/>
        </w:rPr>
        <w:t xml:space="preserve">easing academisation of schools, </w:t>
      </w:r>
      <w:r w:rsidRPr="009B3747">
        <w:rPr>
          <w:rFonts w:eastAsia="Times New Roman" w:cstheme="minorHAnsi"/>
          <w:color w:val="000000"/>
          <w:lang w:eastAsia="en-GB"/>
        </w:rPr>
        <w:t xml:space="preserve">was perceived to further impact on the ability to develop effective partnerships for preventing obesity and improving lifestyle behaviours in adolescence.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“I still come back to the fact that I think it has to be multi-agency and at the moment that’s not happening because the resource isn’t there and how you would bring that about with increasing academisation in schools I don’t know.”  </w:t>
      </w:r>
      <w:r w:rsidRPr="009B3747">
        <w:rPr>
          <w:rFonts w:eastAsia="Times New Roman" w:cstheme="minorHAnsi"/>
          <w:b/>
          <w:bCs/>
          <w:color w:val="000000"/>
          <w:sz w:val="20"/>
          <w:szCs w:val="20"/>
          <w:lang w:eastAsia="en-GB"/>
        </w:rPr>
        <w:t>Participant 20</w:t>
      </w:r>
      <w:r w:rsidR="00A23662" w:rsidRPr="009B3747">
        <w:rPr>
          <w:rFonts w:eastAsia="Times New Roman" w:cstheme="minorHAnsi"/>
          <w:b/>
          <w:bCs/>
          <w:color w:val="000000"/>
          <w:sz w:val="20"/>
          <w:szCs w:val="20"/>
          <w:lang w:eastAsia="en-GB"/>
        </w:rPr>
        <w:t xml:space="preserve"> (Chair of governors)</w:t>
      </w:r>
      <w:r w:rsidRPr="009B3747">
        <w:rPr>
          <w:rFonts w:eastAsia="Times New Roman" w:cstheme="minorHAnsi"/>
          <w:color w:val="000000"/>
          <w:sz w:val="20"/>
          <w:szCs w:val="20"/>
          <w:lang w:eastAsia="en-GB"/>
        </w:rPr>
        <w:t xml:space="preserve">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The view that an academy school has less access to support from wider partners around health and well-being than a community school</w:t>
      </w:r>
      <w:r w:rsidR="00D55A48">
        <w:rPr>
          <w:rFonts w:eastAsia="Times New Roman" w:cstheme="minorHAnsi"/>
          <w:color w:val="000000"/>
          <w:lang w:eastAsia="en-GB"/>
        </w:rPr>
        <w:t>,</w:t>
      </w:r>
      <w:r w:rsidRPr="009B3747">
        <w:rPr>
          <w:rFonts w:eastAsia="Times New Roman" w:cstheme="minorHAnsi"/>
          <w:color w:val="000000"/>
          <w:lang w:eastAsia="en-GB"/>
        </w:rPr>
        <w:t xml:space="preserve"> was disputed by one headteacher.</w:t>
      </w:r>
    </w:p>
    <w:p w:rsidR="0085424B"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A23662" w:rsidRPr="009B3747" w:rsidRDefault="006F36A0" w:rsidP="006F36A0">
      <w:pPr>
        <w:ind w:left="720"/>
        <w:rPr>
          <w:rFonts w:eastAsia="Times New Roman" w:cstheme="minorHAnsi"/>
          <w:i/>
          <w:iCs/>
          <w:color w:val="000000"/>
          <w:sz w:val="20"/>
          <w:szCs w:val="20"/>
          <w:lang w:eastAsia="en-GB"/>
        </w:rPr>
      </w:pPr>
      <w:r w:rsidRPr="009B3747">
        <w:rPr>
          <w:rFonts w:eastAsia="Times New Roman" w:cstheme="minorHAnsi"/>
          <w:i/>
          <w:iCs/>
          <w:color w:val="000000"/>
          <w:sz w:val="20"/>
          <w:szCs w:val="20"/>
          <w:lang w:eastAsia="en-GB"/>
        </w:rPr>
        <w:t>“Yeah but you’d get that with a trust so I get exactly the same support pretty much probably better in some areas not as good in others from the trust than I got with the local authority.”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b/>
          <w:bCs/>
          <w:color w:val="000000"/>
          <w:sz w:val="20"/>
          <w:szCs w:val="20"/>
          <w:lang w:eastAsia="en-GB"/>
        </w:rPr>
        <w:t xml:space="preserve">Participant 21 </w:t>
      </w:r>
      <w:r w:rsidR="00A23662" w:rsidRPr="009B3747">
        <w:rPr>
          <w:rFonts w:eastAsia="Times New Roman" w:cstheme="minorHAnsi"/>
          <w:b/>
          <w:bCs/>
          <w:color w:val="000000"/>
          <w:sz w:val="20"/>
          <w:szCs w:val="20"/>
          <w:lang w:eastAsia="en-GB"/>
        </w:rPr>
        <w:t>(Headteacher)</w:t>
      </w:r>
      <w:r w:rsidRPr="009B3747">
        <w:rPr>
          <w:rFonts w:eastAsia="Times New Roman" w:cstheme="minorHAnsi"/>
          <w:color w:val="000000"/>
          <w:sz w:val="20"/>
          <w:szCs w:val="20"/>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Consequently, some called for greater capacity ‘within the system’</w:t>
      </w:r>
      <w:r w:rsidR="00D55A48">
        <w:rPr>
          <w:rFonts w:eastAsia="Times New Roman" w:cstheme="minorHAnsi"/>
          <w:color w:val="000000"/>
          <w:lang w:eastAsia="en-GB"/>
        </w:rPr>
        <w:t xml:space="preserve">, </w:t>
      </w:r>
      <w:r w:rsidRPr="009B3747">
        <w:rPr>
          <w:rFonts w:eastAsia="Times New Roman" w:cstheme="minorHAnsi"/>
          <w:color w:val="000000"/>
          <w:lang w:eastAsia="en-GB"/>
        </w:rPr>
        <w:t>in order to be able to develop connected and sustainable</w:t>
      </w:r>
      <w:r w:rsidR="00D55A48">
        <w:rPr>
          <w:rFonts w:eastAsia="Times New Roman" w:cstheme="minorHAnsi"/>
          <w:color w:val="000000"/>
          <w:lang w:eastAsia="en-GB"/>
        </w:rPr>
        <w:t xml:space="preserve"> public sector partnerships, which</w:t>
      </w:r>
      <w:r w:rsidRPr="009B3747">
        <w:rPr>
          <w:rFonts w:eastAsia="Times New Roman" w:cstheme="minorHAnsi"/>
          <w:color w:val="000000"/>
          <w:lang w:eastAsia="en-GB"/>
        </w:rPr>
        <w:t xml:space="preserve"> will have a meaningful impact on reducing population level obesity.</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b/>
          <w:sz w:val="24"/>
          <w:szCs w:val="24"/>
          <w:lang w:eastAsia="en-GB"/>
        </w:rPr>
      </w:pPr>
      <w:r w:rsidRPr="009B3747">
        <w:rPr>
          <w:rFonts w:eastAsia="Times New Roman" w:cstheme="minorHAnsi"/>
          <w:i/>
          <w:iCs/>
          <w:color w:val="000000"/>
          <w:sz w:val="20"/>
          <w:szCs w:val="20"/>
          <w:lang w:eastAsia="en-GB"/>
        </w:rPr>
        <w:t xml:space="preserve">“So money is a barrier in terms of us having, being able for us to provide something more holistic on a Monday to Friday.  A school nurse would be brilliant, a </w:t>
      </w:r>
      <w:r w:rsidR="00EB44DD">
        <w:rPr>
          <w:rFonts w:eastAsia="Times New Roman" w:cstheme="minorHAnsi"/>
          <w:i/>
          <w:iCs/>
          <w:color w:val="000000"/>
          <w:sz w:val="20"/>
          <w:szCs w:val="20"/>
          <w:lang w:eastAsia="en-GB"/>
        </w:rPr>
        <w:t xml:space="preserve">school nurse not even full time, </w:t>
      </w:r>
      <w:r w:rsidRPr="009B3747">
        <w:rPr>
          <w:rFonts w:eastAsia="Times New Roman" w:cstheme="minorHAnsi"/>
          <w:i/>
          <w:iCs/>
          <w:color w:val="000000"/>
          <w:sz w:val="20"/>
          <w:szCs w:val="20"/>
          <w:lang w:eastAsia="en-GB"/>
        </w:rPr>
        <w:t>but five days a week would be absolutely superb because they would be able to get their teeth into something.”  </w:t>
      </w:r>
      <w:r w:rsidRPr="009B3747">
        <w:rPr>
          <w:rFonts w:eastAsia="Times New Roman" w:cstheme="minorHAnsi"/>
          <w:b/>
          <w:bCs/>
          <w:color w:val="000000"/>
          <w:sz w:val="20"/>
          <w:szCs w:val="20"/>
          <w:lang w:eastAsia="en-GB"/>
        </w:rPr>
        <w:t>Participant 9</w:t>
      </w:r>
      <w:r w:rsidRPr="009B3747">
        <w:rPr>
          <w:rFonts w:eastAsia="Times New Roman" w:cstheme="minorHAnsi"/>
          <w:color w:val="000000"/>
          <w:sz w:val="20"/>
          <w:szCs w:val="20"/>
          <w:lang w:eastAsia="en-GB"/>
        </w:rPr>
        <w:t xml:space="preserve"> </w:t>
      </w:r>
      <w:r w:rsidR="00A23662" w:rsidRPr="009B3747">
        <w:rPr>
          <w:rFonts w:eastAsia="Times New Roman" w:cstheme="minorHAnsi"/>
          <w:b/>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In contrast to the majority focus on public sector partnerships, a smaller minority discussed the potential advantages of forming relationships with private sector organisations.  Participants provided examples of working with private companies</w:t>
      </w:r>
      <w:r w:rsidR="00D55A48">
        <w:rPr>
          <w:rFonts w:eastAsia="Times New Roman" w:cstheme="minorHAnsi"/>
          <w:color w:val="000000"/>
          <w:lang w:eastAsia="en-GB"/>
        </w:rPr>
        <w:t>,</w:t>
      </w:r>
      <w:r w:rsidRPr="009B3747">
        <w:rPr>
          <w:rFonts w:eastAsia="Times New Roman" w:cstheme="minorHAnsi"/>
          <w:color w:val="000000"/>
          <w:lang w:eastAsia="en-GB"/>
        </w:rPr>
        <w:t xml:space="preserve"> either to deliver health and well-being information in schools or to provide a range of resources.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firstLine="720"/>
        <w:rPr>
          <w:rFonts w:eastAsia="Times New Roman" w:cstheme="minorHAnsi"/>
          <w:b/>
          <w:sz w:val="24"/>
          <w:szCs w:val="24"/>
          <w:lang w:eastAsia="en-GB"/>
        </w:rPr>
      </w:pPr>
      <w:r w:rsidRPr="009B3747">
        <w:rPr>
          <w:rFonts w:eastAsia="Times New Roman" w:cstheme="minorHAnsi"/>
          <w:i/>
          <w:iCs/>
          <w:color w:val="000000"/>
          <w:sz w:val="20"/>
          <w:szCs w:val="20"/>
          <w:lang w:eastAsia="en-GB"/>
        </w:rPr>
        <w:t>“We do a PSHE programme and one of the units is in there is about self-image. It’s run by Dove, you</w:t>
      </w:r>
      <w:r w:rsidRPr="009B3747">
        <w:rPr>
          <w:rFonts w:eastAsia="Times New Roman" w:cstheme="minorHAnsi"/>
          <w:i/>
          <w:iCs/>
          <w:color w:val="000000"/>
          <w:sz w:val="20"/>
          <w:szCs w:val="20"/>
          <w:lang w:eastAsia="en-GB"/>
        </w:rPr>
        <w:tab/>
        <w:t>know, Dove, in the cosmetic industry.”  </w:t>
      </w:r>
      <w:r w:rsidRPr="009B3747">
        <w:rPr>
          <w:rFonts w:eastAsia="Times New Roman" w:cstheme="minorHAnsi"/>
          <w:b/>
          <w:bCs/>
          <w:color w:val="000000"/>
          <w:sz w:val="20"/>
          <w:szCs w:val="20"/>
          <w:lang w:eastAsia="en-GB"/>
        </w:rPr>
        <w:t>Participant 16</w:t>
      </w:r>
      <w:r w:rsidRPr="009B3747">
        <w:rPr>
          <w:rFonts w:eastAsia="Times New Roman" w:cstheme="minorHAnsi"/>
          <w:color w:val="000000"/>
          <w:sz w:val="20"/>
          <w:szCs w:val="20"/>
          <w:lang w:eastAsia="en-GB"/>
        </w:rPr>
        <w:t xml:space="preserve"> </w:t>
      </w:r>
      <w:r w:rsidR="00A23662" w:rsidRPr="009B3747">
        <w:rPr>
          <w:rFonts w:eastAsia="Times New Roman" w:cstheme="minorHAnsi"/>
          <w:b/>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lastRenderedPageBreak/>
        <w:t>One chair of governors proposed that whilst not currently in place, a potential reciprocal relationship could be established between schools and supermarket retailers</w:t>
      </w:r>
      <w:r w:rsidR="00D55A48">
        <w:rPr>
          <w:rFonts w:eastAsia="Times New Roman" w:cstheme="minorHAnsi"/>
          <w:color w:val="000000"/>
          <w:lang w:eastAsia="en-GB"/>
        </w:rPr>
        <w:t>,</w:t>
      </w:r>
      <w:r w:rsidRPr="009B3747">
        <w:rPr>
          <w:rFonts w:eastAsia="Times New Roman" w:cstheme="minorHAnsi"/>
          <w:color w:val="000000"/>
          <w:lang w:eastAsia="en-GB"/>
        </w:rPr>
        <w:t xml:space="preserve"> in order to deliver behaviour change interventions around healthy eating.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color w:val="000000"/>
          <w:lang w:eastAsia="en-GB"/>
        </w:rPr>
        <w:t>“</w:t>
      </w:r>
      <w:r w:rsidRPr="009B3747">
        <w:rPr>
          <w:rFonts w:eastAsia="Times New Roman" w:cstheme="minorHAnsi"/>
          <w:i/>
          <w:iCs/>
          <w:color w:val="000000"/>
          <w:sz w:val="20"/>
          <w:szCs w:val="20"/>
          <w:lang w:eastAsia="en-GB"/>
        </w:rPr>
        <w:t xml:space="preserve">Maybe if a kind of a programme could target others and say “do you need some help in planning healthy menus for your family”, something I think your Aldi’s and Lidi’s and people like that could be involved with….They get a benefit out of it because if you come in and say “listen, a healthy menu for a week is da, da, da, da”, and many would “that will cost a fortune”, “not if you come to Aldi”,”. </w:t>
      </w:r>
      <w:r w:rsidRPr="009B3747">
        <w:rPr>
          <w:rFonts w:eastAsia="Times New Roman" w:cstheme="minorHAnsi"/>
          <w:b/>
          <w:bCs/>
          <w:color w:val="000000"/>
          <w:sz w:val="20"/>
          <w:szCs w:val="20"/>
          <w:lang w:eastAsia="en-GB"/>
        </w:rPr>
        <w:t>Participant 13</w:t>
      </w:r>
      <w:r w:rsidR="00A23662" w:rsidRPr="009B3747">
        <w:rPr>
          <w:rFonts w:eastAsia="Times New Roman" w:cstheme="minorHAnsi"/>
          <w:b/>
          <w:bCs/>
          <w:color w:val="000000"/>
          <w:sz w:val="20"/>
          <w:szCs w:val="20"/>
          <w:lang w:eastAsia="en-GB"/>
        </w:rPr>
        <w:t xml:space="preserve"> (Chair of governors)</w:t>
      </w:r>
      <w:r w:rsidRPr="009B3747">
        <w:rPr>
          <w:rFonts w:eastAsia="Times New Roman" w:cstheme="minorHAnsi"/>
          <w:color w:val="000000"/>
          <w:sz w:val="20"/>
          <w:szCs w:val="20"/>
          <w:lang w:eastAsia="en-GB"/>
        </w:rPr>
        <w:t xml:space="preserve">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However, the concept of forming partnerships with private sector organisations to assist in preventing adolescent obesity wasn’t wide</w:t>
      </w:r>
      <w:r w:rsidR="00D55A48">
        <w:rPr>
          <w:rFonts w:eastAsia="Times New Roman" w:cstheme="minorHAnsi"/>
          <w:color w:val="000000"/>
          <w:lang w:eastAsia="en-GB"/>
        </w:rPr>
        <w:t>ly discussed or suggested.  In</w:t>
      </w:r>
      <w:r w:rsidRPr="009B3747">
        <w:rPr>
          <w:rFonts w:eastAsia="Times New Roman" w:cstheme="minorHAnsi"/>
          <w:color w:val="000000"/>
          <w:lang w:eastAsia="en-GB"/>
        </w:rPr>
        <w:t xml:space="preserve"> some case</w:t>
      </w:r>
      <w:r w:rsidR="00D55A48">
        <w:rPr>
          <w:rFonts w:eastAsia="Times New Roman" w:cstheme="minorHAnsi"/>
          <w:color w:val="000000"/>
          <w:lang w:eastAsia="en-GB"/>
        </w:rPr>
        <w:t>s concerns were raised about the</w:t>
      </w:r>
      <w:r w:rsidRPr="009B3747">
        <w:rPr>
          <w:rFonts w:eastAsia="Times New Roman" w:cstheme="minorHAnsi"/>
          <w:color w:val="000000"/>
          <w:lang w:eastAsia="en-GB"/>
        </w:rPr>
        <w:t xml:space="preserve"> appropriateness </w:t>
      </w:r>
      <w:r w:rsidR="00D55A48">
        <w:rPr>
          <w:rFonts w:eastAsia="Times New Roman" w:cstheme="minorHAnsi"/>
          <w:color w:val="000000"/>
          <w:lang w:eastAsia="en-GB"/>
        </w:rPr>
        <w:t xml:space="preserve">of engaging the private sector </w:t>
      </w:r>
      <w:r w:rsidRPr="009B3747">
        <w:rPr>
          <w:rFonts w:eastAsia="Times New Roman" w:cstheme="minorHAnsi"/>
          <w:color w:val="000000"/>
          <w:lang w:eastAsia="en-GB"/>
        </w:rPr>
        <w:t xml:space="preserve">due to their profit-making nature.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“I mean they are profit making organisations whereas the National Health Service isn’t. I would much rather see the National Health Service in a position to be able to provide people to come in and talk to children and talk to schools.”  </w:t>
      </w:r>
      <w:r w:rsidRPr="009B3747">
        <w:rPr>
          <w:rFonts w:eastAsia="Times New Roman" w:cstheme="minorHAnsi"/>
          <w:b/>
          <w:bCs/>
          <w:color w:val="000000"/>
          <w:sz w:val="20"/>
          <w:szCs w:val="20"/>
          <w:lang w:eastAsia="en-GB"/>
        </w:rPr>
        <w:t>Participant 15</w:t>
      </w:r>
      <w:r w:rsidR="00A23662" w:rsidRPr="009B3747">
        <w:rPr>
          <w:rFonts w:eastAsia="Times New Roman" w:cstheme="minorHAnsi"/>
          <w:b/>
          <w:bCs/>
          <w:color w:val="000000"/>
          <w:sz w:val="20"/>
          <w:szCs w:val="20"/>
          <w:lang w:eastAsia="en-GB"/>
        </w:rPr>
        <w:t xml:space="preserve"> (Chair of governors)</w:t>
      </w:r>
      <w:r w:rsidRPr="009B3747">
        <w:rPr>
          <w:rFonts w:eastAsia="Times New Roman" w:cstheme="minorHAnsi"/>
          <w:color w:val="000000"/>
          <w:sz w:val="20"/>
          <w:szCs w:val="20"/>
          <w:lang w:eastAsia="en-GB"/>
        </w:rPr>
        <w:t xml:space="preserve">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In addition to discussing partnerships with public and private sector organisations, participants referred to other individuals and groups within society</w:t>
      </w:r>
      <w:r w:rsidR="00D55A48">
        <w:rPr>
          <w:rFonts w:eastAsia="Times New Roman" w:cstheme="minorHAnsi"/>
          <w:color w:val="000000"/>
          <w:lang w:eastAsia="en-GB"/>
        </w:rPr>
        <w:t>, who</w:t>
      </w:r>
      <w:r w:rsidRPr="009B3747">
        <w:rPr>
          <w:rFonts w:eastAsia="Times New Roman" w:cstheme="minorHAnsi"/>
          <w:color w:val="000000"/>
          <w:lang w:eastAsia="en-GB"/>
        </w:rPr>
        <w:t xml:space="preserve"> were perceived to be able to support the obesity prevention agenda.  Firstly, celebrities and the influence of celebrity culture on children’s and adolescents lives was referenced.  Some headteachers and chairs of governors proposed</w:t>
      </w:r>
      <w:r w:rsidR="00D55A48">
        <w:rPr>
          <w:rFonts w:eastAsia="Times New Roman" w:cstheme="minorHAnsi"/>
          <w:color w:val="000000"/>
          <w:lang w:eastAsia="en-GB"/>
        </w:rPr>
        <w:t>,</w:t>
      </w:r>
      <w:r w:rsidRPr="009B3747">
        <w:rPr>
          <w:rFonts w:eastAsia="Times New Roman" w:cstheme="minorHAnsi"/>
          <w:color w:val="000000"/>
          <w:lang w:eastAsia="en-GB"/>
        </w:rPr>
        <w:t xml:space="preserve"> that collectively schools have and indeed could develop partnerships with celebrities like Ja</w:t>
      </w:r>
      <w:r w:rsidR="00D55A48">
        <w:rPr>
          <w:rFonts w:eastAsia="Times New Roman" w:cstheme="minorHAnsi"/>
          <w:color w:val="000000"/>
          <w:lang w:eastAsia="en-GB"/>
        </w:rPr>
        <w:t>mie Oliver and David Beckham.  This was argued on the basis of strengthening the credibility of</w:t>
      </w:r>
      <w:r w:rsidRPr="009B3747">
        <w:rPr>
          <w:rFonts w:eastAsia="Times New Roman" w:cstheme="minorHAnsi"/>
          <w:color w:val="000000"/>
          <w:lang w:eastAsia="en-GB"/>
        </w:rPr>
        <w:t xml:space="preserve"> behaviour change messages both within and outside of school settings.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Default="006F36A0" w:rsidP="006F36A0">
      <w:pPr>
        <w:ind w:left="720"/>
        <w:rPr>
          <w:rFonts w:eastAsia="Times New Roman" w:cstheme="minorHAnsi"/>
          <w:b/>
          <w:color w:val="000000"/>
          <w:sz w:val="20"/>
          <w:szCs w:val="20"/>
          <w:lang w:eastAsia="en-GB"/>
        </w:rPr>
      </w:pPr>
      <w:r w:rsidRPr="009B3747">
        <w:rPr>
          <w:rFonts w:eastAsia="Times New Roman" w:cstheme="minorHAnsi"/>
          <w:i/>
          <w:iCs/>
          <w:color w:val="000000"/>
          <w:sz w:val="20"/>
          <w:szCs w:val="20"/>
          <w:lang w:eastAsia="en-GB"/>
        </w:rPr>
        <w:t>“I think the sort of, I use the word cultural, it’s so big isn’t it and the cultural shift that’s occurred I think of as result of the likes of Jamie Oliver is substantial, you know significant. His cooking in schools and really, this dead cool guy telling you “that it’s better to eat one thing or another”, does have an impact.”  </w:t>
      </w:r>
      <w:r w:rsidRPr="009B3747">
        <w:rPr>
          <w:rFonts w:eastAsia="Times New Roman" w:cstheme="minorHAnsi"/>
          <w:b/>
          <w:bCs/>
          <w:color w:val="000000"/>
          <w:sz w:val="20"/>
          <w:szCs w:val="20"/>
          <w:lang w:eastAsia="en-GB"/>
        </w:rPr>
        <w:t>Participant 17</w:t>
      </w:r>
      <w:r w:rsidR="00A23662" w:rsidRPr="009B3747">
        <w:rPr>
          <w:rFonts w:eastAsia="Times New Roman" w:cstheme="minorHAnsi"/>
          <w:color w:val="000000"/>
          <w:sz w:val="20"/>
          <w:szCs w:val="20"/>
          <w:lang w:eastAsia="en-GB"/>
        </w:rPr>
        <w:t xml:space="preserve"> </w:t>
      </w:r>
      <w:r w:rsidR="00A23662" w:rsidRPr="009B3747">
        <w:rPr>
          <w:rFonts w:eastAsia="Times New Roman" w:cstheme="minorHAnsi"/>
          <w:b/>
          <w:color w:val="000000"/>
          <w:sz w:val="20"/>
          <w:szCs w:val="20"/>
          <w:lang w:eastAsia="en-GB"/>
        </w:rPr>
        <w:t>(Headteacher)</w:t>
      </w:r>
    </w:p>
    <w:p w:rsidR="00D55A48" w:rsidRPr="009B3747" w:rsidRDefault="00D55A48" w:rsidP="006F36A0">
      <w:pPr>
        <w:ind w:left="720"/>
        <w:rPr>
          <w:rFonts w:eastAsia="Times New Roman" w:cstheme="minorHAnsi"/>
          <w:b/>
          <w:sz w:val="24"/>
          <w:szCs w:val="24"/>
          <w:lang w:eastAsia="en-GB"/>
        </w:rPr>
      </w:pP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r w:rsidRPr="009B3747">
        <w:rPr>
          <w:rFonts w:eastAsia="Times New Roman" w:cstheme="minorHAnsi"/>
          <w:color w:val="000000"/>
          <w:lang w:eastAsia="en-GB"/>
        </w:rPr>
        <w:t>In addition to celebrities, participants referenced the existing and potential partnership role for charities, commun</w:t>
      </w:r>
      <w:r w:rsidR="0084267C">
        <w:rPr>
          <w:rFonts w:eastAsia="Times New Roman" w:cstheme="minorHAnsi"/>
          <w:color w:val="000000"/>
          <w:lang w:eastAsia="en-GB"/>
        </w:rPr>
        <w:t xml:space="preserve">ity groups and religious bodies, </w:t>
      </w:r>
      <w:r w:rsidRPr="009B3747">
        <w:rPr>
          <w:rFonts w:eastAsia="Times New Roman" w:cstheme="minorHAnsi"/>
          <w:color w:val="000000"/>
          <w:lang w:eastAsia="en-GB"/>
        </w:rPr>
        <w:t>in supporting the delivery and consistency of messages amongst adolescents and their families.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lastRenderedPageBreak/>
        <w:t>“We have a lot of family workers here, we have a lot of agencies that work with us out in the community with the families in terms of nutrition, in terms you know, trying to make an apple not an alien in this school.”  </w:t>
      </w:r>
      <w:r w:rsidRPr="009B3747">
        <w:rPr>
          <w:rFonts w:eastAsia="Times New Roman" w:cstheme="minorHAnsi"/>
          <w:b/>
          <w:bCs/>
          <w:color w:val="000000"/>
          <w:sz w:val="20"/>
          <w:szCs w:val="20"/>
          <w:lang w:eastAsia="en-GB"/>
        </w:rPr>
        <w:t xml:space="preserve">Participant 6 </w:t>
      </w:r>
      <w:r w:rsidR="00A23662" w:rsidRPr="009B3747">
        <w:rPr>
          <w:rFonts w:eastAsia="Times New Roman" w:cstheme="minorHAnsi"/>
          <w:b/>
          <w:bCs/>
          <w:color w:val="000000"/>
          <w:sz w:val="20"/>
          <w:szCs w:val="20"/>
          <w:lang w:eastAsia="en-GB"/>
        </w:rPr>
        <w:t>(Headteacher)</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In summary, this third theme has presented both shared and diverse perspectives on excess weight prevention</w:t>
      </w:r>
      <w:r w:rsidR="0084267C">
        <w:rPr>
          <w:rFonts w:eastAsia="Times New Roman" w:cstheme="minorHAnsi"/>
          <w:color w:val="000000"/>
          <w:lang w:eastAsia="en-GB"/>
        </w:rPr>
        <w:t>,</w:t>
      </w:r>
      <w:r w:rsidRPr="009B3747">
        <w:rPr>
          <w:rFonts w:eastAsia="Times New Roman" w:cstheme="minorHAnsi"/>
          <w:color w:val="000000"/>
          <w:lang w:eastAsia="en-GB"/>
        </w:rPr>
        <w:t xml:space="preserve"> related to the concepts of responsibility, behaviour change and partnerships.  Broadly speaking preventing excess weight was seen as the responsibility of a variety of key stakeholders including secondary schools.  Furthermore, given the complexity of overweight and obesity, a range of approaches to behaviour change were proposed along with the requirement to develop effective multi-agency partnerships.</w:t>
      </w:r>
    </w:p>
    <w:p w:rsidR="005647C8" w:rsidRDefault="005647C8" w:rsidP="006F36A0">
      <w:pPr>
        <w:rPr>
          <w:rFonts w:eastAsia="Times New Roman" w:cstheme="minorHAnsi"/>
          <w:sz w:val="24"/>
          <w:szCs w:val="24"/>
          <w:lang w:eastAsia="en-GB"/>
        </w:rPr>
      </w:pPr>
    </w:p>
    <w:p w:rsidR="006F36A0" w:rsidRPr="009B3747" w:rsidRDefault="00551065" w:rsidP="006F36A0">
      <w:pPr>
        <w:rPr>
          <w:rFonts w:eastAsia="Times New Roman" w:cstheme="minorHAnsi"/>
          <w:sz w:val="24"/>
          <w:szCs w:val="24"/>
          <w:lang w:eastAsia="en-GB"/>
        </w:rPr>
      </w:pPr>
      <w:r w:rsidRPr="009B3747">
        <w:rPr>
          <w:rFonts w:eastAsia="Times New Roman" w:cstheme="minorHAnsi"/>
          <w:b/>
          <w:bCs/>
          <w:color w:val="000000"/>
          <w:sz w:val="24"/>
          <w:szCs w:val="24"/>
          <w:u w:val="single"/>
          <w:lang w:eastAsia="en-GB"/>
        </w:rPr>
        <w:t>6.7</w:t>
      </w:r>
      <w:r w:rsidR="00991D2F" w:rsidRPr="009B3747">
        <w:rPr>
          <w:rFonts w:eastAsia="Times New Roman" w:cstheme="minorHAnsi"/>
          <w:b/>
          <w:bCs/>
          <w:color w:val="000000"/>
          <w:sz w:val="24"/>
          <w:szCs w:val="24"/>
          <w:u w:val="single"/>
          <w:lang w:eastAsia="en-GB"/>
        </w:rPr>
        <w:t xml:space="preserve"> </w:t>
      </w:r>
      <w:r w:rsidR="006F36A0" w:rsidRPr="009B3747">
        <w:rPr>
          <w:rFonts w:eastAsia="Times New Roman" w:cstheme="minorHAnsi"/>
          <w:b/>
          <w:bCs/>
          <w:color w:val="000000"/>
          <w:sz w:val="24"/>
          <w:szCs w:val="24"/>
          <w:u w:val="single"/>
          <w:lang w:eastAsia="en-GB"/>
        </w:rPr>
        <w:t>The secondary school setting</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Throughout the third theme, when exploring participants perspectives on responsibility, behaviour change and partnerships, frequent and consistent reference was made to the roles of secondary schools.  Significant time during interviews was spent on discussing the internal activity and dynamics within a secondary school setting</w:t>
      </w:r>
      <w:r w:rsidR="007C6B3D">
        <w:rPr>
          <w:rFonts w:eastAsia="Times New Roman" w:cstheme="minorHAnsi"/>
          <w:color w:val="000000"/>
          <w:lang w:eastAsia="en-GB"/>
        </w:rPr>
        <w:t>,</w:t>
      </w:r>
      <w:r w:rsidRPr="009B3747">
        <w:rPr>
          <w:rFonts w:eastAsia="Times New Roman" w:cstheme="minorHAnsi"/>
          <w:color w:val="000000"/>
          <w:lang w:eastAsia="en-GB"/>
        </w:rPr>
        <w:t xml:space="preserve"> related to the prevention of excess weight in adolescence.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991D2F" w:rsidP="006F36A0">
      <w:pPr>
        <w:rPr>
          <w:rFonts w:eastAsia="Times New Roman" w:cstheme="minorHAnsi"/>
          <w:sz w:val="24"/>
          <w:szCs w:val="24"/>
          <w:u w:val="single"/>
          <w:lang w:eastAsia="en-GB"/>
        </w:rPr>
      </w:pPr>
      <w:r w:rsidRPr="009B3747">
        <w:rPr>
          <w:rFonts w:eastAsia="Times New Roman" w:cstheme="minorHAnsi"/>
          <w:color w:val="000000"/>
          <w:u w:val="single"/>
          <w:lang w:eastAsia="en-GB"/>
        </w:rPr>
        <w:t>6</w:t>
      </w:r>
      <w:r w:rsidR="006F36A0" w:rsidRPr="009B3747">
        <w:rPr>
          <w:rFonts w:eastAsia="Times New Roman" w:cstheme="minorHAnsi"/>
          <w:iCs/>
          <w:color w:val="000000"/>
          <w:u w:val="single"/>
          <w:lang w:eastAsia="en-GB"/>
        </w:rPr>
        <w:t>.</w:t>
      </w:r>
      <w:r w:rsidR="00551065" w:rsidRPr="009B3747">
        <w:rPr>
          <w:rFonts w:eastAsia="Times New Roman" w:cstheme="minorHAnsi"/>
          <w:iCs/>
          <w:color w:val="000000"/>
          <w:u w:val="single"/>
          <w:lang w:eastAsia="en-GB"/>
        </w:rPr>
        <w:t>7</w:t>
      </w:r>
      <w:r w:rsidR="006F36A0" w:rsidRPr="009B3747">
        <w:rPr>
          <w:rFonts w:eastAsia="Times New Roman" w:cstheme="minorHAnsi"/>
          <w:iCs/>
          <w:color w:val="000000"/>
          <w:u w:val="single"/>
          <w:lang w:eastAsia="en-GB"/>
        </w:rPr>
        <w:t>.1 Action contributing to obesity prevention</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Given the belief that schools have a key responsibility and role in supporting behaviour change, participants talked extensively about action within their setting that was deemed to contribute to the agenda of obesity prevention.</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 xml:space="preserve">Within the conducted interviews, a whole school or systematic approach to preventing excess weight gain in adolescence was not reported or discussed.  Furthermore, aside from one school, the majority of participants confirmed any school-based policies to improve </w:t>
      </w:r>
      <w:r w:rsidR="007C6B3D">
        <w:rPr>
          <w:rFonts w:eastAsia="Times New Roman" w:cstheme="minorHAnsi"/>
          <w:color w:val="000000"/>
          <w:lang w:eastAsia="en-GB"/>
        </w:rPr>
        <w:t xml:space="preserve">adolescent lifestyle behaviours did not explicitly reference </w:t>
      </w:r>
      <w:r w:rsidRPr="009B3747">
        <w:rPr>
          <w:rFonts w:eastAsia="Times New Roman" w:cstheme="minorHAnsi"/>
          <w:color w:val="000000"/>
          <w:lang w:eastAsia="en-GB"/>
        </w:rPr>
        <w:t xml:space="preserve">obesity and its prevention.  For most, this was attributed in the main to obesity not being a priority issue.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b/>
          <w:sz w:val="24"/>
          <w:szCs w:val="24"/>
          <w:lang w:eastAsia="en-GB"/>
        </w:rPr>
      </w:pPr>
      <w:r w:rsidRPr="009B3747">
        <w:rPr>
          <w:rFonts w:eastAsia="Times New Roman" w:cstheme="minorHAnsi"/>
          <w:i/>
          <w:iCs/>
          <w:color w:val="000000"/>
          <w:sz w:val="20"/>
          <w:szCs w:val="20"/>
          <w:lang w:eastAsia="en-GB"/>
        </w:rPr>
        <w:t>“We talk about the unhealthy lifestyles ch</w:t>
      </w:r>
      <w:r w:rsidR="00EB44DD">
        <w:rPr>
          <w:rFonts w:eastAsia="Times New Roman" w:cstheme="minorHAnsi"/>
          <w:i/>
          <w:iCs/>
          <w:color w:val="000000"/>
          <w:sz w:val="20"/>
          <w:szCs w:val="20"/>
          <w:lang w:eastAsia="en-GB"/>
        </w:rPr>
        <w:t xml:space="preserve">oices some of our students make, </w:t>
      </w:r>
      <w:r w:rsidRPr="009B3747">
        <w:rPr>
          <w:rFonts w:eastAsia="Times New Roman" w:cstheme="minorHAnsi"/>
          <w:i/>
          <w:iCs/>
          <w:color w:val="000000"/>
          <w:sz w:val="20"/>
          <w:szCs w:val="20"/>
          <w:lang w:eastAsia="en-GB"/>
        </w:rPr>
        <w:t>but we don’t talk explicitly about obesity.”  </w:t>
      </w:r>
      <w:r w:rsidRPr="009B3747">
        <w:rPr>
          <w:rFonts w:eastAsia="Times New Roman" w:cstheme="minorHAnsi"/>
          <w:b/>
          <w:bCs/>
          <w:color w:val="000000"/>
          <w:sz w:val="20"/>
          <w:szCs w:val="20"/>
          <w:lang w:eastAsia="en-GB"/>
        </w:rPr>
        <w:t>Participant 21</w:t>
      </w:r>
      <w:r w:rsidRPr="009B3747">
        <w:rPr>
          <w:rFonts w:eastAsia="Times New Roman" w:cstheme="minorHAnsi"/>
          <w:color w:val="000000"/>
          <w:sz w:val="20"/>
          <w:szCs w:val="20"/>
          <w:lang w:eastAsia="en-GB"/>
        </w:rPr>
        <w:t xml:space="preserve"> </w:t>
      </w:r>
      <w:r w:rsidR="00A23662" w:rsidRPr="009B3747">
        <w:rPr>
          <w:rFonts w:eastAsia="Times New Roman" w:cstheme="minorHAnsi"/>
          <w:b/>
          <w:color w:val="000000"/>
          <w:sz w:val="20"/>
          <w:szCs w:val="20"/>
          <w:lang w:eastAsia="en-GB"/>
        </w:rPr>
        <w:t>(Headteacher)</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“Because?” </w:t>
      </w:r>
      <w:r w:rsidRPr="009B3747">
        <w:rPr>
          <w:rFonts w:eastAsia="Times New Roman" w:cstheme="minorHAnsi"/>
          <w:b/>
          <w:bCs/>
          <w:color w:val="000000"/>
          <w:sz w:val="20"/>
          <w:szCs w:val="20"/>
          <w:lang w:eastAsia="en-GB"/>
        </w:rPr>
        <w:t>Interviewer</w:t>
      </w:r>
      <w:r w:rsidRPr="009B3747">
        <w:rPr>
          <w:rFonts w:eastAsia="Times New Roman" w:cstheme="minorHAnsi"/>
          <w:color w:val="000000"/>
          <w:sz w:val="20"/>
          <w:szCs w:val="20"/>
          <w:lang w:eastAsia="en-GB"/>
        </w:rPr>
        <w:t xml:space="preserve">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lastRenderedPageBreak/>
        <w:t>“I just don’t think it’s on the agenda at the moment in that respect.”  </w:t>
      </w:r>
      <w:r w:rsidRPr="009B3747">
        <w:rPr>
          <w:rFonts w:eastAsia="Times New Roman" w:cstheme="minorHAnsi"/>
          <w:b/>
          <w:bCs/>
          <w:color w:val="000000"/>
          <w:sz w:val="20"/>
          <w:szCs w:val="20"/>
          <w:lang w:eastAsia="en-GB"/>
        </w:rPr>
        <w:t>Participant 21</w:t>
      </w:r>
      <w:r w:rsidR="00A23662" w:rsidRPr="009B3747">
        <w:rPr>
          <w:rFonts w:eastAsia="Times New Roman" w:cstheme="minorHAnsi"/>
          <w:b/>
          <w:bCs/>
          <w:color w:val="000000"/>
          <w:sz w:val="20"/>
          <w:szCs w:val="20"/>
          <w:lang w:eastAsia="en-GB"/>
        </w:rPr>
        <w:t xml:space="preserve"> (Headteacher)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Despite this, all participants did refer to priorities and action their schools were currently undertaking</w:t>
      </w:r>
      <w:r w:rsidR="007C6B3D">
        <w:rPr>
          <w:rFonts w:eastAsia="Times New Roman" w:cstheme="minorHAnsi"/>
          <w:color w:val="000000"/>
          <w:lang w:eastAsia="en-GB"/>
        </w:rPr>
        <w:t>,</w:t>
      </w:r>
      <w:r w:rsidRPr="009B3747">
        <w:rPr>
          <w:rFonts w:eastAsia="Times New Roman" w:cstheme="minorHAnsi"/>
          <w:color w:val="000000"/>
          <w:lang w:eastAsia="en-GB"/>
        </w:rPr>
        <w:t xml:space="preserve"> that could or indeed does contribute to the prevention of excess weight gain during adolescence.  Driving this action was an understanding of the connection between lifestyle behaviours </w:t>
      </w:r>
      <w:r w:rsidR="007C6B3D">
        <w:rPr>
          <w:rFonts w:eastAsia="Times New Roman" w:cstheme="minorHAnsi"/>
          <w:color w:val="000000"/>
          <w:lang w:eastAsia="en-GB"/>
        </w:rPr>
        <w:t>and academic performance.  In addition was a reported</w:t>
      </w:r>
      <w:r w:rsidRPr="009B3747">
        <w:rPr>
          <w:rFonts w:eastAsia="Times New Roman" w:cstheme="minorHAnsi"/>
          <w:color w:val="000000"/>
          <w:lang w:eastAsia="en-GB"/>
        </w:rPr>
        <w:t xml:space="preserve"> desire to improve adolescent's health and wellbeing given their school’s commitment to developing the ‘whole child’.</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“Yeah, it’s not about, I don’t want any fat children.  I just want healthy, well children.  Emotionally well children, resilient children.”  </w:t>
      </w:r>
      <w:r w:rsidRPr="009B3747">
        <w:rPr>
          <w:rFonts w:eastAsia="Times New Roman" w:cstheme="minorHAnsi"/>
          <w:b/>
          <w:bCs/>
          <w:color w:val="000000"/>
          <w:sz w:val="20"/>
          <w:szCs w:val="20"/>
          <w:lang w:eastAsia="en-GB"/>
        </w:rPr>
        <w:t>Participant 1</w:t>
      </w:r>
      <w:r w:rsidR="00A23662" w:rsidRPr="009B3747">
        <w:rPr>
          <w:rFonts w:eastAsia="Times New Roman" w:cstheme="minorHAnsi"/>
          <w:b/>
          <w:bCs/>
          <w:color w:val="000000"/>
          <w:sz w:val="20"/>
          <w:szCs w:val="20"/>
          <w:lang w:eastAsia="en-GB"/>
        </w:rPr>
        <w:t xml:space="preserve"> (Headteacher)</w:t>
      </w:r>
      <w:r w:rsidRPr="009B3747">
        <w:rPr>
          <w:rFonts w:eastAsia="Times New Roman" w:cstheme="minorHAnsi"/>
          <w:color w:val="000000"/>
          <w:sz w:val="20"/>
          <w:szCs w:val="20"/>
          <w:lang w:eastAsia="en-GB"/>
        </w:rPr>
        <w:t xml:space="preserve"> </w:t>
      </w:r>
      <w:r w:rsidRPr="009B3747">
        <w:rPr>
          <w:rFonts w:eastAsia="Times New Roman" w:cstheme="minorHAnsi"/>
          <w:color w:val="000000"/>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Prioritising the ‘whole child’ was a concept frequently discussed by headteachers in particular, and referred to focusing on an adolescent's educational, physical, mental an</w:t>
      </w:r>
      <w:r w:rsidR="007C6B3D">
        <w:rPr>
          <w:rFonts w:eastAsia="Times New Roman" w:cstheme="minorHAnsi"/>
          <w:color w:val="000000"/>
          <w:lang w:eastAsia="en-GB"/>
        </w:rPr>
        <w:t xml:space="preserve">d social developmental needs.  </w:t>
      </w:r>
      <w:r w:rsidRPr="009B3747">
        <w:rPr>
          <w:rFonts w:eastAsia="Times New Roman" w:cstheme="minorHAnsi"/>
          <w:color w:val="000000"/>
          <w:lang w:eastAsia="en-GB"/>
        </w:rPr>
        <w:t xml:space="preserve">On a practical level, this included a school providing opportunities both inside and outside </w:t>
      </w:r>
      <w:r w:rsidR="007C6B3D">
        <w:rPr>
          <w:rFonts w:eastAsia="Times New Roman" w:cstheme="minorHAnsi"/>
          <w:color w:val="000000"/>
          <w:lang w:eastAsia="en-GB"/>
        </w:rPr>
        <w:t xml:space="preserve">the formal curriculum, </w:t>
      </w:r>
      <w:r w:rsidRPr="009B3747">
        <w:rPr>
          <w:rFonts w:eastAsia="Times New Roman" w:cstheme="minorHAnsi"/>
          <w:color w:val="000000"/>
          <w:lang w:eastAsia="en-GB"/>
        </w:rPr>
        <w:t>to develop and improve adolescent life skills, social relationships, character education and healthy lifestyle behaviours.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“There is a willingness and desire as it’s all wrapped up in wanting the best outcome for that person isn’t it, every individual student, we want the best outcome for the child. So that’s not just teaching and learning we always say that, our ethos, it’s about that person being a well-rounded individual when they come out of school.”  </w:t>
      </w:r>
      <w:r w:rsidRPr="009B3747">
        <w:rPr>
          <w:rFonts w:eastAsia="Times New Roman" w:cstheme="minorHAnsi"/>
          <w:b/>
          <w:bCs/>
          <w:iCs/>
          <w:color w:val="000000"/>
          <w:sz w:val="20"/>
          <w:szCs w:val="20"/>
          <w:lang w:eastAsia="en-GB"/>
        </w:rPr>
        <w:t>Participant 11</w:t>
      </w:r>
      <w:r w:rsidRPr="009B3747">
        <w:rPr>
          <w:rFonts w:eastAsia="Times New Roman" w:cstheme="minorHAnsi"/>
          <w:b/>
          <w:iCs/>
          <w:color w:val="000000"/>
          <w:sz w:val="20"/>
          <w:szCs w:val="20"/>
          <w:lang w:eastAsia="en-GB"/>
        </w:rPr>
        <w:t xml:space="preserve"> </w:t>
      </w:r>
      <w:r w:rsidR="00A23662" w:rsidRPr="009B3747">
        <w:rPr>
          <w:rFonts w:eastAsia="Times New Roman" w:cstheme="minorHAnsi"/>
          <w:b/>
          <w:iCs/>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color w:val="000000"/>
          <w:lang w:eastAsia="en-GB"/>
        </w:rPr>
      </w:pPr>
      <w:r w:rsidRPr="009B3747">
        <w:rPr>
          <w:rFonts w:eastAsia="Times New Roman" w:cstheme="minorHAnsi"/>
          <w:color w:val="000000"/>
          <w:lang w:eastAsia="en-GB"/>
        </w:rPr>
        <w:t>In relation to their school’s contribution to adolescent obesity prevention, participants typically focused on action deriving from a secondary school performing two key functions.  Firstly</w:t>
      </w:r>
      <w:r w:rsidR="00D62F95" w:rsidRPr="009B3747">
        <w:rPr>
          <w:rFonts w:eastAsia="Times New Roman" w:cstheme="minorHAnsi"/>
          <w:color w:val="000000"/>
          <w:lang w:eastAsia="en-GB"/>
        </w:rPr>
        <w:t>,</w:t>
      </w:r>
      <w:r w:rsidRPr="009B3747">
        <w:rPr>
          <w:rFonts w:eastAsia="Times New Roman" w:cstheme="minorHAnsi"/>
          <w:color w:val="000000"/>
          <w:lang w:eastAsia="en-GB"/>
        </w:rPr>
        <w:t xml:space="preserve"> as an educator delivering and teaching health information and secondly</w:t>
      </w:r>
      <w:r w:rsidR="00D62F95" w:rsidRPr="009B3747">
        <w:rPr>
          <w:rFonts w:eastAsia="Times New Roman" w:cstheme="minorHAnsi"/>
          <w:color w:val="000000"/>
          <w:lang w:eastAsia="en-GB"/>
        </w:rPr>
        <w:t>,</w:t>
      </w:r>
      <w:r w:rsidRPr="009B3747">
        <w:rPr>
          <w:rFonts w:eastAsia="Times New Roman" w:cstheme="minorHAnsi"/>
          <w:color w:val="000000"/>
          <w:lang w:eastAsia="en-GB"/>
        </w:rPr>
        <w:t xml:space="preserve"> through the provision or restriction of opportunities related to lifestyle behaviours.</w:t>
      </w:r>
    </w:p>
    <w:p w:rsidR="00D62F95" w:rsidRPr="009B3747" w:rsidRDefault="00D62F95" w:rsidP="006F36A0">
      <w:pPr>
        <w:rPr>
          <w:rFonts w:eastAsia="Times New Roman" w:cstheme="minorHAnsi"/>
          <w:sz w:val="24"/>
          <w:szCs w:val="24"/>
          <w:lang w:eastAsia="en-GB"/>
        </w:rPr>
      </w:pPr>
    </w:p>
    <w:p w:rsidR="007C6B3D" w:rsidRDefault="006F36A0" w:rsidP="006F36A0">
      <w:pPr>
        <w:rPr>
          <w:rFonts w:eastAsia="Times New Roman" w:cstheme="minorHAnsi"/>
          <w:color w:val="000000"/>
          <w:lang w:eastAsia="en-GB"/>
        </w:rPr>
      </w:pPr>
      <w:r w:rsidRPr="009B3747">
        <w:rPr>
          <w:rFonts w:eastAsia="Times New Roman" w:cstheme="minorHAnsi"/>
          <w:color w:val="000000"/>
          <w:lang w:eastAsia="en-GB"/>
        </w:rPr>
        <w:t xml:space="preserve">Regarding a school’s educative role, significant value was placed by both headteachers and chairs of governors on the use of the existing curriculum to deliver key messages around obesity, diet and physical activity.  Underpinned primarily by the belief that increasing knowledge and awareness can be an effective vehicle for behaviour change, participants referred to </w:t>
      </w:r>
      <w:r w:rsidR="007C6B3D">
        <w:rPr>
          <w:rFonts w:eastAsia="Times New Roman" w:cstheme="minorHAnsi"/>
          <w:color w:val="000000"/>
          <w:lang w:eastAsia="en-GB"/>
        </w:rPr>
        <w:t xml:space="preserve">the use of academic lessons to embed key health information and messages </w:t>
      </w:r>
      <w:r w:rsidRPr="009B3747">
        <w:rPr>
          <w:rFonts w:eastAsia="Times New Roman" w:cstheme="minorHAnsi"/>
          <w:color w:val="000000"/>
          <w:lang w:eastAsia="en-GB"/>
        </w:rPr>
        <w:t xml:space="preserve"> (e.g. within food technology, biology, physical education and PSHE - physical social health education). </w:t>
      </w:r>
    </w:p>
    <w:p w:rsidR="006F36A0" w:rsidRPr="009B3747" w:rsidRDefault="006F36A0" w:rsidP="006F36A0">
      <w:pPr>
        <w:rPr>
          <w:rFonts w:eastAsia="Times New Roman" w:cstheme="minorHAnsi"/>
          <w:color w:val="000000"/>
          <w:lang w:eastAsia="en-GB"/>
        </w:rPr>
      </w:pPr>
      <w:r w:rsidRPr="009B3747">
        <w:rPr>
          <w:rFonts w:eastAsia="Times New Roman" w:cstheme="minorHAnsi"/>
          <w:color w:val="000000"/>
          <w:lang w:eastAsia="en-GB"/>
        </w:rPr>
        <w:t> </w:t>
      </w:r>
    </w:p>
    <w:p w:rsidR="006F36A0" w:rsidRPr="009B3747" w:rsidRDefault="006F36A0" w:rsidP="006F36A0">
      <w:pPr>
        <w:ind w:left="720"/>
        <w:rPr>
          <w:rFonts w:eastAsia="Times New Roman" w:cstheme="minorHAnsi"/>
          <w:b/>
          <w:sz w:val="24"/>
          <w:szCs w:val="24"/>
          <w:lang w:eastAsia="en-GB"/>
        </w:rPr>
      </w:pPr>
      <w:r w:rsidRPr="009B3747">
        <w:rPr>
          <w:rFonts w:eastAsia="Times New Roman" w:cstheme="minorHAnsi"/>
          <w:i/>
          <w:iCs/>
          <w:color w:val="000000"/>
          <w:sz w:val="20"/>
          <w:szCs w:val="20"/>
          <w:lang w:eastAsia="en-GB"/>
        </w:rPr>
        <w:lastRenderedPageBreak/>
        <w:t>“So long as everybody’s singing from the same hymn sheet, everybody is saying the same thing and all lessons are relevant lessons, are raising the issues like food technology, biology, any of those where you’ve got an opportunity to talk about healthy body, healthy lifestyle and things like that and obviously PE.”  </w:t>
      </w:r>
      <w:r w:rsidRPr="009B3747">
        <w:rPr>
          <w:rFonts w:eastAsia="Times New Roman" w:cstheme="minorHAnsi"/>
          <w:b/>
          <w:bCs/>
          <w:color w:val="000000"/>
          <w:sz w:val="20"/>
          <w:szCs w:val="20"/>
          <w:lang w:eastAsia="en-GB"/>
        </w:rPr>
        <w:t xml:space="preserve">Participant 2 </w:t>
      </w:r>
      <w:r w:rsidR="00A23662" w:rsidRPr="009B3747">
        <w:rPr>
          <w:rFonts w:eastAsia="Times New Roman" w:cstheme="minorHAnsi"/>
          <w:b/>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b/>
          <w:color w:val="000000"/>
          <w:sz w:val="20"/>
          <w:szCs w:val="20"/>
          <w:lang w:eastAsia="en-GB"/>
        </w:rPr>
      </w:pPr>
      <w:r w:rsidRPr="009B3747">
        <w:rPr>
          <w:rFonts w:eastAsia="Times New Roman" w:cstheme="minorHAnsi"/>
          <w:i/>
          <w:iCs/>
          <w:color w:val="000000"/>
          <w:sz w:val="20"/>
          <w:szCs w:val="20"/>
          <w:lang w:eastAsia="en-GB"/>
        </w:rPr>
        <w:t>“So we have a job as educators to teach kids the rights and wrongs of hea</w:t>
      </w:r>
      <w:r w:rsidR="009025E2">
        <w:rPr>
          <w:rFonts w:eastAsia="Times New Roman" w:cstheme="minorHAnsi"/>
          <w:i/>
          <w:iCs/>
          <w:color w:val="000000"/>
          <w:sz w:val="20"/>
          <w:szCs w:val="20"/>
          <w:lang w:eastAsia="en-GB"/>
        </w:rPr>
        <w:t xml:space="preserve">lthy eating, healthy lifestyles, </w:t>
      </w:r>
      <w:r w:rsidRPr="009B3747">
        <w:rPr>
          <w:rFonts w:eastAsia="Times New Roman" w:cstheme="minorHAnsi"/>
          <w:i/>
          <w:iCs/>
          <w:color w:val="000000"/>
          <w:sz w:val="20"/>
          <w:szCs w:val="20"/>
          <w:lang w:eastAsia="en-GB"/>
        </w:rPr>
        <w:t>which we do through the curriculum like PSHE.”  </w:t>
      </w:r>
      <w:r w:rsidRPr="009B3747">
        <w:rPr>
          <w:rFonts w:eastAsia="Times New Roman" w:cstheme="minorHAnsi"/>
          <w:b/>
          <w:bCs/>
          <w:color w:val="000000"/>
          <w:sz w:val="20"/>
          <w:szCs w:val="20"/>
          <w:lang w:eastAsia="en-GB"/>
        </w:rPr>
        <w:t>Participant 10</w:t>
      </w:r>
      <w:r w:rsidR="00A23662" w:rsidRPr="009B3747">
        <w:rPr>
          <w:rFonts w:eastAsia="Times New Roman" w:cstheme="minorHAnsi"/>
          <w:color w:val="000000"/>
          <w:sz w:val="20"/>
          <w:szCs w:val="20"/>
          <w:lang w:eastAsia="en-GB"/>
        </w:rPr>
        <w:t xml:space="preserve"> </w:t>
      </w:r>
      <w:r w:rsidR="00A23662" w:rsidRPr="009B3747">
        <w:rPr>
          <w:rFonts w:eastAsia="Times New Roman" w:cstheme="minorHAnsi"/>
          <w:b/>
          <w:color w:val="000000"/>
          <w:sz w:val="20"/>
          <w:szCs w:val="20"/>
          <w:lang w:eastAsia="en-GB"/>
        </w:rPr>
        <w:t>(Headteacher)</w:t>
      </w:r>
    </w:p>
    <w:p w:rsidR="00991D2F" w:rsidRPr="009B3747" w:rsidRDefault="00991D2F" w:rsidP="006F36A0">
      <w:pPr>
        <w:ind w:left="720"/>
        <w:rPr>
          <w:rFonts w:eastAsia="Times New Roman" w:cstheme="minorHAnsi"/>
          <w:sz w:val="24"/>
          <w:szCs w:val="24"/>
          <w:lang w:eastAsia="en-GB"/>
        </w:rPr>
      </w:pPr>
    </w:p>
    <w:p w:rsidR="006F36A0" w:rsidRPr="009B3747" w:rsidRDefault="006F36A0" w:rsidP="006F36A0">
      <w:pPr>
        <w:rPr>
          <w:rFonts w:eastAsia="Times New Roman" w:cstheme="minorHAnsi"/>
          <w:color w:val="000000"/>
          <w:lang w:eastAsia="en-GB"/>
        </w:rPr>
      </w:pPr>
      <w:r w:rsidRPr="009B3747">
        <w:rPr>
          <w:rFonts w:eastAsia="Times New Roman" w:cstheme="minorHAnsi"/>
          <w:color w:val="000000"/>
          <w:lang w:eastAsia="en-GB"/>
        </w:rPr>
        <w:t>A distinct advantage of embedding healthy lifestyle information in existing lessons, was for some the ability to overcome a lack of av</w:t>
      </w:r>
      <w:r w:rsidR="007C6B3D">
        <w:rPr>
          <w:rFonts w:eastAsia="Times New Roman" w:cstheme="minorHAnsi"/>
          <w:color w:val="000000"/>
          <w:lang w:eastAsia="en-GB"/>
        </w:rPr>
        <w:t>ailable time in the curriculum.  The lack of time was attributed by all state-funded schools to the</w:t>
      </w:r>
      <w:r w:rsidRPr="009B3747">
        <w:rPr>
          <w:rFonts w:eastAsia="Times New Roman" w:cstheme="minorHAnsi"/>
          <w:color w:val="000000"/>
          <w:lang w:eastAsia="en-GB"/>
        </w:rPr>
        <w:t xml:space="preserve"> increasing government prioritisation on pure</w:t>
      </w:r>
      <w:r w:rsidR="007C6B3D">
        <w:rPr>
          <w:rFonts w:eastAsia="Times New Roman" w:cstheme="minorHAnsi"/>
          <w:color w:val="000000"/>
          <w:lang w:eastAsia="en-GB"/>
        </w:rPr>
        <w:t>ly academic subjects and performance</w:t>
      </w:r>
      <w:r w:rsidRPr="009B3747">
        <w:rPr>
          <w:rFonts w:eastAsia="Times New Roman" w:cstheme="minorHAnsi"/>
          <w:color w:val="000000"/>
          <w:lang w:eastAsia="en-GB"/>
        </w:rPr>
        <w:t>.  An additional benefit, highlighted by one headteacher</w:t>
      </w:r>
      <w:r w:rsidR="00D62F95" w:rsidRPr="009B3747">
        <w:rPr>
          <w:rFonts w:eastAsia="Times New Roman" w:cstheme="minorHAnsi"/>
          <w:color w:val="000000"/>
          <w:lang w:eastAsia="en-GB"/>
        </w:rPr>
        <w:t>,</w:t>
      </w:r>
      <w:r w:rsidRPr="009B3747">
        <w:rPr>
          <w:rFonts w:eastAsia="Times New Roman" w:cstheme="minorHAnsi"/>
          <w:color w:val="000000"/>
          <w:lang w:eastAsia="en-GB"/>
        </w:rPr>
        <w:t xml:space="preserve"> was that ‘smuggling’ health messages into compulsory examinable subjects rather </w:t>
      </w:r>
      <w:r w:rsidR="007C6B3D">
        <w:rPr>
          <w:rFonts w:eastAsia="Times New Roman" w:cstheme="minorHAnsi"/>
          <w:color w:val="000000"/>
          <w:lang w:eastAsia="en-GB"/>
        </w:rPr>
        <w:t xml:space="preserve">than having a standalone lesson, </w:t>
      </w:r>
      <w:r w:rsidRPr="009B3747">
        <w:rPr>
          <w:rFonts w:eastAsia="Times New Roman" w:cstheme="minorHAnsi"/>
          <w:color w:val="000000"/>
          <w:lang w:eastAsia="en-GB"/>
        </w:rPr>
        <w:t>meant students took the information more seriously.  For some however, limitations did exist in relyi</w:t>
      </w:r>
      <w:r w:rsidR="00D62F95" w:rsidRPr="009B3747">
        <w:rPr>
          <w:rFonts w:eastAsia="Times New Roman" w:cstheme="minorHAnsi"/>
          <w:color w:val="000000"/>
          <w:lang w:eastAsia="en-GB"/>
        </w:rPr>
        <w:t>ng exclusively on formal health e</w:t>
      </w:r>
      <w:r w:rsidRPr="009B3747">
        <w:rPr>
          <w:rFonts w:eastAsia="Times New Roman" w:cstheme="minorHAnsi"/>
          <w:color w:val="000000"/>
          <w:lang w:eastAsia="en-GB"/>
        </w:rPr>
        <w:t>ducation.  For secondary school students particularly in the latter two school years, non-mandatory subjects like PSHE, food technology and physical education were often ‘dropped’ or not prioritised due to increasing academic pressures.  This results in adolescents not consistently accessing health education throughout their entire school experience.</w:t>
      </w:r>
    </w:p>
    <w:p w:rsidR="00991D2F" w:rsidRPr="009B3747" w:rsidRDefault="00991D2F" w:rsidP="006F36A0">
      <w:pPr>
        <w:rPr>
          <w:rFonts w:eastAsia="Times New Roman" w:cstheme="minorHAnsi"/>
          <w:sz w:val="24"/>
          <w:szCs w:val="24"/>
          <w:lang w:eastAsia="en-GB"/>
        </w:rPr>
      </w:pP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“When a student make their options at GCSE, if they don’t choose PE and they don’t choose food technology then the only other </w:t>
      </w:r>
      <w:r w:rsidR="00EB44DD">
        <w:rPr>
          <w:rFonts w:eastAsia="Times New Roman" w:cstheme="minorHAnsi"/>
          <w:i/>
          <w:iCs/>
          <w:color w:val="000000"/>
          <w:sz w:val="20"/>
          <w:szCs w:val="20"/>
          <w:lang w:eastAsia="en-GB"/>
        </w:rPr>
        <w:t xml:space="preserve">sort of curriculum area is PSHE, </w:t>
      </w:r>
      <w:r w:rsidRPr="009B3747">
        <w:rPr>
          <w:rFonts w:eastAsia="Times New Roman" w:cstheme="minorHAnsi"/>
          <w:i/>
          <w:iCs/>
          <w:color w:val="000000"/>
          <w:sz w:val="20"/>
          <w:szCs w:val="20"/>
          <w:lang w:eastAsia="en-GB"/>
        </w:rPr>
        <w:t>but by then you tend to have moved off those issues and have moved onto, those personal kind of issues and have moved onto more moral types of issues.”  </w:t>
      </w:r>
      <w:r w:rsidRPr="009B3747">
        <w:rPr>
          <w:rFonts w:eastAsia="Times New Roman" w:cstheme="minorHAnsi"/>
          <w:b/>
          <w:bCs/>
          <w:color w:val="000000"/>
          <w:sz w:val="20"/>
          <w:szCs w:val="20"/>
          <w:lang w:eastAsia="en-GB"/>
        </w:rPr>
        <w:t>Participant 16</w:t>
      </w:r>
      <w:r w:rsidR="00767418" w:rsidRPr="009B3747">
        <w:rPr>
          <w:rFonts w:eastAsia="Times New Roman" w:cstheme="minorHAnsi"/>
          <w:b/>
          <w:bCs/>
          <w:color w:val="000000"/>
          <w:sz w:val="20"/>
          <w:szCs w:val="20"/>
          <w:lang w:eastAsia="en-GB"/>
        </w:rPr>
        <w:t xml:space="preserve"> (Headteacher)</w:t>
      </w:r>
      <w:r w:rsidRPr="009B3747">
        <w:rPr>
          <w:rFonts w:eastAsia="Times New Roman" w:cstheme="minorHAnsi"/>
          <w:color w:val="000000"/>
          <w:sz w:val="20"/>
          <w:szCs w:val="20"/>
          <w:lang w:eastAsia="en-GB"/>
        </w:rPr>
        <w:t xml:space="preserve">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color w:val="000000"/>
          <w:lang w:eastAsia="en-GB"/>
        </w:rPr>
      </w:pPr>
      <w:r w:rsidRPr="009B3747">
        <w:rPr>
          <w:rFonts w:eastAsia="Times New Roman" w:cstheme="minorHAnsi"/>
          <w:color w:val="000000"/>
          <w:lang w:eastAsia="en-GB"/>
        </w:rPr>
        <w:t xml:space="preserve">Aside from contributing to the prevention of obesity through education, participants reported extensive action around the provision or restriction of opportunities related to lifestyle behaviours.  For the majority this focused on their school’s approach to school catering and school sport. </w:t>
      </w:r>
      <w:r w:rsidRPr="009B3747">
        <w:rPr>
          <w:rFonts w:eastAsia="Times New Roman" w:cstheme="minorHAnsi"/>
          <w:color w:val="FF0000"/>
          <w:lang w:eastAsia="en-GB"/>
        </w:rPr>
        <w:t> </w:t>
      </w:r>
      <w:r w:rsidRPr="009B3747">
        <w:rPr>
          <w:rFonts w:eastAsia="Times New Roman" w:cstheme="minorHAnsi"/>
          <w:color w:val="000000"/>
          <w:lang w:eastAsia="en-GB"/>
        </w:rPr>
        <w:t>Whereas a specific focus on obesity prevention didn’t exist for the vast majority, all participants did report that their secondary school had ‘policies’ or ‘rules’ governing the provision of their school catering.  </w:t>
      </w:r>
    </w:p>
    <w:p w:rsidR="00991D2F" w:rsidRPr="009B3747" w:rsidRDefault="00991D2F" w:rsidP="006F36A0">
      <w:pPr>
        <w:rPr>
          <w:rFonts w:eastAsia="Times New Roman" w:cstheme="minorHAnsi"/>
          <w:sz w:val="24"/>
          <w:szCs w:val="24"/>
          <w:lang w:eastAsia="en-GB"/>
        </w:rPr>
      </w:pP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“Well it’s about catering, what catering you provide, it’s about not providing some catering, so you don’t have vending machines for example, yeah, that’s the first thing you don’t do, its restricting opportunities.”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Participant 3</w:t>
      </w:r>
      <w:r w:rsidRPr="009B3747">
        <w:rPr>
          <w:rFonts w:eastAsia="Times New Roman" w:cstheme="minorHAnsi"/>
          <w:b/>
          <w:color w:val="000000"/>
          <w:sz w:val="20"/>
          <w:szCs w:val="20"/>
          <w:lang w:eastAsia="en-GB"/>
        </w:rPr>
        <w:t xml:space="preserve"> </w:t>
      </w:r>
      <w:r w:rsidR="00767418" w:rsidRPr="009B3747">
        <w:rPr>
          <w:rFonts w:eastAsia="Times New Roman" w:cstheme="minorHAnsi"/>
          <w:b/>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lastRenderedPageBreak/>
        <w:t xml:space="preserve">Headteachers and chairs of governors in the main expressed their school’s commitment to </w:t>
      </w:r>
      <w:r w:rsidR="007C6B3D">
        <w:rPr>
          <w:rFonts w:eastAsia="Times New Roman" w:cstheme="minorHAnsi"/>
          <w:color w:val="000000"/>
          <w:lang w:eastAsia="en-GB"/>
        </w:rPr>
        <w:t xml:space="preserve">meeting national food standards, </w:t>
      </w:r>
      <w:r w:rsidRPr="009B3747">
        <w:rPr>
          <w:rFonts w:eastAsia="Times New Roman" w:cstheme="minorHAnsi"/>
          <w:color w:val="000000"/>
          <w:lang w:eastAsia="en-GB"/>
        </w:rPr>
        <w:t xml:space="preserve">and to increasing the uptake of school meals (especially for those adolescents on ‘free school meals’).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b/>
          <w:sz w:val="24"/>
          <w:szCs w:val="24"/>
          <w:lang w:eastAsia="en-GB"/>
        </w:rPr>
      </w:pPr>
      <w:r w:rsidRPr="009B3747">
        <w:rPr>
          <w:rFonts w:eastAsia="Times New Roman" w:cstheme="minorHAnsi"/>
          <w:i/>
          <w:iCs/>
          <w:color w:val="000000"/>
          <w:sz w:val="20"/>
          <w:szCs w:val="20"/>
          <w:lang w:eastAsia="en-GB"/>
        </w:rPr>
        <w:t>“I think so because of the food standards have been in since 2008 now so we’re seeing children come through to secondary school that are used to not having chips everyday, that are used to choosing vegetables and fruit and salad and things like that.”  </w:t>
      </w:r>
      <w:r w:rsidRPr="009B3747">
        <w:rPr>
          <w:rFonts w:eastAsia="Times New Roman" w:cstheme="minorHAnsi"/>
          <w:b/>
          <w:bCs/>
          <w:color w:val="000000"/>
          <w:sz w:val="20"/>
          <w:szCs w:val="20"/>
          <w:lang w:eastAsia="en-GB"/>
        </w:rPr>
        <w:t>Participant 11</w:t>
      </w:r>
      <w:r w:rsidR="00767418" w:rsidRPr="009B3747">
        <w:rPr>
          <w:rFonts w:eastAsia="Times New Roman" w:cstheme="minorHAnsi"/>
          <w:color w:val="000000"/>
          <w:sz w:val="20"/>
          <w:szCs w:val="20"/>
          <w:lang w:eastAsia="en-GB"/>
        </w:rPr>
        <w:t xml:space="preserve"> </w:t>
      </w:r>
      <w:r w:rsidR="00767418" w:rsidRPr="009B3747">
        <w:rPr>
          <w:rFonts w:eastAsia="Times New Roman" w:cstheme="minorHAnsi"/>
          <w:b/>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b/>
          <w:color w:val="000000"/>
          <w:sz w:val="20"/>
          <w:szCs w:val="20"/>
          <w:lang w:eastAsia="en-GB"/>
        </w:rPr>
      </w:pPr>
      <w:r w:rsidRPr="009B3747">
        <w:rPr>
          <w:rFonts w:eastAsia="Times New Roman" w:cstheme="minorHAnsi"/>
          <w:i/>
          <w:iCs/>
          <w:color w:val="000000"/>
          <w:sz w:val="20"/>
          <w:szCs w:val="20"/>
          <w:lang w:eastAsia="en-GB"/>
        </w:rPr>
        <w:t>“We try and put on healthy stuff at school because we’ve got nearly half our kids free school meals, so therefore we try to create a balanced lunch for them because we sometimes know they might not get a nutritional sort of meal at the end of the day.”  </w:t>
      </w:r>
      <w:r w:rsidRPr="009B3747">
        <w:rPr>
          <w:rFonts w:eastAsia="Times New Roman" w:cstheme="minorHAnsi"/>
          <w:b/>
          <w:bCs/>
          <w:color w:val="000000"/>
          <w:sz w:val="20"/>
          <w:szCs w:val="20"/>
          <w:lang w:eastAsia="en-GB"/>
        </w:rPr>
        <w:t>Participant 21</w:t>
      </w:r>
      <w:r w:rsidRPr="009B3747">
        <w:rPr>
          <w:rFonts w:eastAsia="Times New Roman" w:cstheme="minorHAnsi"/>
          <w:color w:val="000000"/>
          <w:sz w:val="20"/>
          <w:szCs w:val="20"/>
          <w:lang w:eastAsia="en-GB"/>
        </w:rPr>
        <w:t xml:space="preserve"> </w:t>
      </w:r>
      <w:r w:rsidR="00767418" w:rsidRPr="009B3747">
        <w:rPr>
          <w:rFonts w:eastAsia="Times New Roman" w:cstheme="minorHAnsi"/>
          <w:b/>
          <w:color w:val="000000"/>
          <w:sz w:val="20"/>
          <w:szCs w:val="20"/>
          <w:lang w:eastAsia="en-GB"/>
        </w:rPr>
        <w:t>(Headteacher)</w:t>
      </w:r>
    </w:p>
    <w:p w:rsidR="00991D2F" w:rsidRPr="009B3747" w:rsidRDefault="00991D2F" w:rsidP="006F36A0">
      <w:pPr>
        <w:ind w:left="720"/>
        <w:rPr>
          <w:rFonts w:eastAsia="Times New Roman" w:cstheme="minorHAnsi"/>
          <w:sz w:val="24"/>
          <w:szCs w:val="24"/>
          <w:lang w:eastAsia="en-GB"/>
        </w:rPr>
      </w:pPr>
    </w:p>
    <w:p w:rsidR="006F36A0" w:rsidRPr="009B3747" w:rsidRDefault="006F36A0" w:rsidP="006F36A0">
      <w:pPr>
        <w:rPr>
          <w:rFonts w:eastAsia="Times New Roman" w:cstheme="minorHAnsi"/>
          <w:color w:val="000000"/>
          <w:lang w:eastAsia="en-GB"/>
        </w:rPr>
      </w:pPr>
      <w:r w:rsidRPr="009B3747">
        <w:rPr>
          <w:rFonts w:eastAsia="Times New Roman" w:cstheme="minorHAnsi"/>
          <w:color w:val="000000"/>
          <w:lang w:eastAsia="en-GB"/>
        </w:rPr>
        <w:t>This commitment was reported to be not without its challenges however.  Common difficulties in doing so for state funded schools</w:t>
      </w:r>
      <w:r w:rsidR="007C6B3D">
        <w:rPr>
          <w:rFonts w:eastAsia="Times New Roman" w:cstheme="minorHAnsi"/>
          <w:color w:val="000000"/>
          <w:lang w:eastAsia="en-GB"/>
        </w:rPr>
        <w:t>,</w:t>
      </w:r>
      <w:r w:rsidRPr="009B3747">
        <w:rPr>
          <w:rFonts w:eastAsia="Times New Roman" w:cstheme="minorHAnsi"/>
          <w:color w:val="000000"/>
          <w:lang w:eastAsia="en-GB"/>
        </w:rPr>
        <w:t xml:space="preserve"> related to the significant complexities of delivering high quality food with reduced budgets.  For both state funded and independent schools, providing healthy balanced food acceptable to adolescent dietary preferences was presented in the main as problematic.  This was especially noted by those schools with a higher free school meal percentage.  This often produced noticeable tensions particularly for academy schools and their catering providers, who were frequently deemed to prioritise profits over adolescents’ health. </w:t>
      </w:r>
    </w:p>
    <w:p w:rsidR="00551065" w:rsidRPr="009B3747" w:rsidRDefault="00551065" w:rsidP="006F36A0">
      <w:pPr>
        <w:rPr>
          <w:rFonts w:eastAsia="Times New Roman" w:cstheme="minorHAnsi"/>
          <w:sz w:val="24"/>
          <w:szCs w:val="24"/>
          <w:lang w:eastAsia="en-GB"/>
        </w:rPr>
      </w:pPr>
    </w:p>
    <w:p w:rsidR="006F36A0" w:rsidRPr="009B3747" w:rsidRDefault="006F36A0" w:rsidP="006F36A0">
      <w:pPr>
        <w:ind w:left="720"/>
        <w:rPr>
          <w:rFonts w:eastAsia="Times New Roman" w:cstheme="minorHAnsi"/>
          <w:b/>
          <w:color w:val="000000"/>
          <w:sz w:val="20"/>
          <w:szCs w:val="20"/>
          <w:lang w:eastAsia="en-GB"/>
        </w:rPr>
      </w:pPr>
      <w:r w:rsidRPr="009B3747">
        <w:rPr>
          <w:rFonts w:eastAsia="Times New Roman" w:cstheme="minorHAnsi"/>
          <w:i/>
          <w:iCs/>
          <w:color w:val="000000"/>
          <w:sz w:val="20"/>
          <w:szCs w:val="20"/>
          <w:lang w:eastAsia="en-GB"/>
        </w:rPr>
        <w:t>“They sneaked on sausage sandwiches and I took them off because they looked revolting and I thought they were high fat… they wanted t</w:t>
      </w:r>
      <w:r w:rsidR="00EB44DD">
        <w:rPr>
          <w:rFonts w:eastAsia="Times New Roman" w:cstheme="minorHAnsi"/>
          <w:i/>
          <w:iCs/>
          <w:color w:val="000000"/>
          <w:sz w:val="20"/>
          <w:szCs w:val="20"/>
          <w:lang w:eastAsia="en-GB"/>
        </w:rPr>
        <w:t xml:space="preserve">o put flapjacks on at breaktime, </w:t>
      </w:r>
      <w:r w:rsidRPr="009B3747">
        <w:rPr>
          <w:rFonts w:eastAsia="Times New Roman" w:cstheme="minorHAnsi"/>
          <w:i/>
          <w:iCs/>
          <w:color w:val="000000"/>
          <w:sz w:val="20"/>
          <w:szCs w:val="20"/>
          <w:lang w:eastAsia="en-GB"/>
        </w:rPr>
        <w:t>but I said no because I know it’s going to be treacle and sugar…..We do battle with the company cos theirs is about profit and ours is about healthy food.”  </w:t>
      </w:r>
      <w:r w:rsidRPr="009B3747">
        <w:rPr>
          <w:rFonts w:eastAsia="Times New Roman" w:cstheme="minorHAnsi"/>
          <w:b/>
          <w:bCs/>
          <w:color w:val="000000"/>
          <w:sz w:val="20"/>
          <w:szCs w:val="20"/>
          <w:lang w:eastAsia="en-GB"/>
        </w:rPr>
        <w:t>Participant 1</w:t>
      </w:r>
      <w:r w:rsidRPr="009B3747">
        <w:rPr>
          <w:rFonts w:eastAsia="Times New Roman" w:cstheme="minorHAnsi"/>
          <w:color w:val="000000"/>
          <w:sz w:val="20"/>
          <w:szCs w:val="20"/>
          <w:lang w:eastAsia="en-GB"/>
        </w:rPr>
        <w:t xml:space="preserve"> </w:t>
      </w:r>
      <w:r w:rsidR="00767418" w:rsidRPr="009B3747">
        <w:rPr>
          <w:rFonts w:eastAsia="Times New Roman" w:cstheme="minorHAnsi"/>
          <w:b/>
          <w:color w:val="000000"/>
          <w:sz w:val="20"/>
          <w:szCs w:val="20"/>
          <w:lang w:eastAsia="en-GB"/>
        </w:rPr>
        <w:t>(Headteacher)</w:t>
      </w:r>
    </w:p>
    <w:p w:rsidR="00991D2F" w:rsidRPr="009B3747" w:rsidRDefault="00991D2F" w:rsidP="006F36A0">
      <w:pPr>
        <w:ind w:left="720"/>
        <w:rPr>
          <w:rFonts w:eastAsia="Times New Roman" w:cstheme="minorHAnsi"/>
          <w:sz w:val="24"/>
          <w:szCs w:val="24"/>
          <w:lang w:eastAsia="en-GB"/>
        </w:rPr>
      </w:pP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A further challenge centred on a perceived inadequacy of some school dining spaces to host a growing school population</w:t>
      </w:r>
      <w:r w:rsidR="007C6B3D">
        <w:rPr>
          <w:rFonts w:eastAsia="Times New Roman" w:cstheme="minorHAnsi"/>
          <w:color w:val="000000"/>
          <w:lang w:eastAsia="en-GB"/>
        </w:rPr>
        <w:t>,</w:t>
      </w:r>
      <w:r w:rsidRPr="009B3747">
        <w:rPr>
          <w:rFonts w:eastAsia="Times New Roman" w:cstheme="minorHAnsi"/>
          <w:color w:val="000000"/>
          <w:lang w:eastAsia="en-GB"/>
        </w:rPr>
        <w:t xml:space="preserve"> and participants’ beliefs that adolescents disliked to queue for foo</w:t>
      </w:r>
      <w:r w:rsidR="007C6B3D">
        <w:rPr>
          <w:rFonts w:eastAsia="Times New Roman" w:cstheme="minorHAnsi"/>
          <w:color w:val="000000"/>
          <w:lang w:eastAsia="en-GB"/>
        </w:rPr>
        <w:t xml:space="preserve">d and wanted lunch ‘on the go’.  </w:t>
      </w:r>
      <w:r w:rsidRPr="009B3747">
        <w:rPr>
          <w:rFonts w:eastAsia="Times New Roman" w:cstheme="minorHAnsi"/>
          <w:color w:val="000000"/>
          <w:lang w:eastAsia="en-GB"/>
        </w:rPr>
        <w:t>This combination often required catering to become more efficient</w:t>
      </w:r>
      <w:r w:rsidR="007C6B3D">
        <w:rPr>
          <w:rFonts w:eastAsia="Times New Roman" w:cstheme="minorHAnsi"/>
          <w:color w:val="000000"/>
          <w:lang w:eastAsia="en-GB"/>
        </w:rPr>
        <w:t>,</w:t>
      </w:r>
      <w:r w:rsidRPr="009B3747">
        <w:rPr>
          <w:rFonts w:eastAsia="Times New Roman" w:cstheme="minorHAnsi"/>
          <w:color w:val="000000"/>
          <w:lang w:eastAsia="en-GB"/>
        </w:rPr>
        <w:t xml:space="preserve"> through the use of snack bars, typically selling quickly accessible and consumable pasta pots, sandwiches and ‘healthy pizza slices’.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b/>
          <w:color w:val="000000"/>
          <w:sz w:val="20"/>
          <w:szCs w:val="20"/>
          <w:lang w:eastAsia="en-GB"/>
        </w:rPr>
      </w:pPr>
      <w:r w:rsidRPr="009B3747">
        <w:rPr>
          <w:rFonts w:eastAsia="Times New Roman" w:cstheme="minorHAnsi"/>
          <w:i/>
          <w:iCs/>
          <w:color w:val="000000"/>
          <w:sz w:val="20"/>
          <w:szCs w:val="20"/>
          <w:lang w:eastAsia="en-GB"/>
        </w:rPr>
        <w:t>“A lot of secondary schools now are new builds and the dining facilities are tiny because they just, they put the space into teaching spaces quite rightly</w:t>
      </w:r>
      <w:r w:rsidR="00EB44DD">
        <w:rPr>
          <w:rFonts w:eastAsia="Times New Roman" w:cstheme="minorHAnsi"/>
          <w:i/>
          <w:iCs/>
          <w:color w:val="000000"/>
          <w:sz w:val="20"/>
          <w:szCs w:val="20"/>
          <w:lang w:eastAsia="en-GB"/>
        </w:rPr>
        <w:t xml:space="preserve">, </w:t>
      </w:r>
      <w:r w:rsidRPr="009B3747">
        <w:rPr>
          <w:rFonts w:eastAsia="Times New Roman" w:cstheme="minorHAnsi"/>
          <w:i/>
          <w:iCs/>
          <w:color w:val="000000"/>
          <w:sz w:val="20"/>
          <w:szCs w:val="20"/>
          <w:lang w:eastAsia="en-GB"/>
        </w:rPr>
        <w:t xml:space="preserve">but it just means that your dining space is compromised.”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Participant 11</w:t>
      </w:r>
      <w:r w:rsidRPr="009B3747">
        <w:rPr>
          <w:rFonts w:eastAsia="Times New Roman" w:cstheme="minorHAnsi"/>
          <w:color w:val="000000"/>
          <w:sz w:val="20"/>
          <w:szCs w:val="20"/>
          <w:lang w:eastAsia="en-GB"/>
        </w:rPr>
        <w:t xml:space="preserve"> </w:t>
      </w:r>
      <w:r w:rsidR="00767418" w:rsidRPr="009B3747">
        <w:rPr>
          <w:rFonts w:eastAsia="Times New Roman" w:cstheme="minorHAnsi"/>
          <w:b/>
          <w:color w:val="000000"/>
          <w:sz w:val="20"/>
          <w:szCs w:val="20"/>
          <w:lang w:eastAsia="en-GB"/>
        </w:rPr>
        <w:t>(Chair of governors)</w:t>
      </w:r>
    </w:p>
    <w:p w:rsidR="00991D2F" w:rsidRPr="009B3747" w:rsidRDefault="00991D2F" w:rsidP="006F36A0">
      <w:pPr>
        <w:ind w:left="720"/>
        <w:rPr>
          <w:rFonts w:eastAsia="Times New Roman" w:cstheme="minorHAnsi"/>
          <w:sz w:val="24"/>
          <w:szCs w:val="24"/>
          <w:lang w:eastAsia="en-GB"/>
        </w:rPr>
      </w:pP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lastRenderedPageBreak/>
        <w:t xml:space="preserve">At times, innovation in catering was deemed a necessity to overcome the perceived preference </w:t>
      </w:r>
      <w:r w:rsidR="007C6B3D">
        <w:rPr>
          <w:rFonts w:eastAsia="Times New Roman" w:cstheme="minorHAnsi"/>
          <w:color w:val="000000"/>
          <w:lang w:eastAsia="en-GB"/>
        </w:rPr>
        <w:t xml:space="preserve">by adolescents </w:t>
      </w:r>
      <w:r w:rsidRPr="009B3747">
        <w:rPr>
          <w:rFonts w:eastAsia="Times New Roman" w:cstheme="minorHAnsi"/>
          <w:color w:val="000000"/>
          <w:lang w:eastAsia="en-GB"/>
        </w:rPr>
        <w:t>for unhealthier food.  ‘Health through stealth’ was adopted by some school caterers, where adolescents were accessing healthier options without the awareness of this occurring.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b/>
          <w:color w:val="000000"/>
          <w:sz w:val="20"/>
          <w:szCs w:val="20"/>
          <w:lang w:eastAsia="en-GB"/>
        </w:rPr>
      </w:pPr>
      <w:r w:rsidRPr="009B3747">
        <w:rPr>
          <w:rFonts w:eastAsia="Times New Roman" w:cstheme="minorHAnsi"/>
          <w:i/>
          <w:iCs/>
          <w:color w:val="000000"/>
          <w:sz w:val="20"/>
          <w:szCs w:val="20"/>
          <w:lang w:eastAsia="en-GB"/>
        </w:rPr>
        <w:t>“We’ve got a duty in terms of the provision in the canteen to be a healthy school, to make pizzas as we do, but with oats, oat flour, the kids don’t realise they’ve got, it’s not white flour it’s oat flour, so they get in their nutrition so they don’t realise when they buy the cans of fizzy pop it’s not sugar rich fizzy pop.”  </w:t>
      </w:r>
      <w:r w:rsidRPr="009B3747">
        <w:rPr>
          <w:rFonts w:eastAsia="Times New Roman" w:cstheme="minorHAnsi"/>
          <w:b/>
          <w:bCs/>
          <w:color w:val="000000"/>
          <w:sz w:val="20"/>
          <w:szCs w:val="20"/>
          <w:lang w:eastAsia="en-GB"/>
        </w:rPr>
        <w:t>Participant 10</w:t>
      </w:r>
      <w:r w:rsidRPr="009B3747">
        <w:rPr>
          <w:rFonts w:eastAsia="Times New Roman" w:cstheme="minorHAnsi"/>
          <w:color w:val="000000"/>
          <w:sz w:val="20"/>
          <w:szCs w:val="20"/>
          <w:lang w:eastAsia="en-GB"/>
        </w:rPr>
        <w:t xml:space="preserve"> </w:t>
      </w:r>
      <w:r w:rsidR="00767418" w:rsidRPr="009B3747">
        <w:rPr>
          <w:rFonts w:eastAsia="Times New Roman" w:cstheme="minorHAnsi"/>
          <w:b/>
          <w:color w:val="000000"/>
          <w:sz w:val="20"/>
          <w:szCs w:val="20"/>
          <w:lang w:eastAsia="en-GB"/>
        </w:rPr>
        <w:t>(Headteacher)</w:t>
      </w:r>
    </w:p>
    <w:p w:rsidR="00991D2F" w:rsidRPr="009B3747" w:rsidRDefault="00991D2F" w:rsidP="006F36A0">
      <w:pPr>
        <w:ind w:left="720"/>
        <w:rPr>
          <w:rFonts w:eastAsia="Times New Roman" w:cstheme="minorHAnsi"/>
          <w:sz w:val="24"/>
          <w:szCs w:val="24"/>
          <w:lang w:eastAsia="en-GB"/>
        </w:rPr>
      </w:pP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In addition to the provision of opportunities to partake in healthier options, participants overwhelming reported having school rules restricting the on-site sale of items perceived as ‘unhealthy’.  This related to food provided or sold within breakfast clubs, school lunches and vending machines.  Examples of restricted products included fizzy drinks, sweets, crisps and chocolate.  Other items such as energy drinks were reported to be prohibited from being brought onto school premises.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b/>
          <w:bCs/>
          <w:color w:val="000000"/>
          <w:sz w:val="20"/>
          <w:szCs w:val="20"/>
          <w:lang w:eastAsia="en-GB"/>
        </w:rPr>
      </w:pPr>
      <w:r w:rsidRPr="009B3747">
        <w:rPr>
          <w:rFonts w:eastAsia="Times New Roman" w:cstheme="minorHAnsi"/>
          <w:i/>
          <w:iCs/>
          <w:color w:val="000000"/>
          <w:sz w:val="20"/>
          <w:szCs w:val="20"/>
          <w:lang w:eastAsia="en-GB"/>
        </w:rPr>
        <w:t xml:space="preserve">“So yes we can directly influence what we offer, we don’t have fizzy drinks, they’re banned, we don’t have high energy drinks, they’re banned, chips is only once a week, deep fried foods we don’t serve at all and we encourage the canteen to actually cook food so it tends to be cooked rather than in microwaveable packaging stuff.”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Participant 18</w:t>
      </w:r>
      <w:r w:rsidR="00767418" w:rsidRPr="009B3747">
        <w:rPr>
          <w:rFonts w:eastAsia="Times New Roman" w:cstheme="minorHAnsi"/>
          <w:b/>
          <w:bCs/>
          <w:color w:val="000000"/>
          <w:sz w:val="20"/>
          <w:szCs w:val="20"/>
          <w:lang w:eastAsia="en-GB"/>
        </w:rPr>
        <w:t xml:space="preserve"> (Chair of governors)</w:t>
      </w:r>
    </w:p>
    <w:p w:rsidR="00551065" w:rsidRPr="009B3747" w:rsidRDefault="00551065" w:rsidP="006F36A0">
      <w:pPr>
        <w:ind w:left="720"/>
        <w:rPr>
          <w:rFonts w:eastAsia="Times New Roman" w:cstheme="minorHAnsi"/>
          <w:sz w:val="24"/>
          <w:szCs w:val="24"/>
          <w:lang w:eastAsia="en-GB"/>
        </w:rPr>
      </w:pP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Despite these restrictions, participants highlighted their continuous frustration at adolescents purchasing unhealthy or banned items from nearb</w:t>
      </w:r>
      <w:r w:rsidR="007C6B3D">
        <w:rPr>
          <w:rFonts w:eastAsia="Times New Roman" w:cstheme="minorHAnsi"/>
          <w:color w:val="000000"/>
          <w:lang w:eastAsia="en-GB"/>
        </w:rPr>
        <w:t xml:space="preserve">y shops or fast food outlets, </w:t>
      </w:r>
      <w:r w:rsidRPr="009B3747">
        <w:rPr>
          <w:rFonts w:eastAsia="Times New Roman" w:cstheme="minorHAnsi"/>
          <w:color w:val="000000"/>
          <w:lang w:eastAsia="en-GB"/>
        </w:rPr>
        <w:t xml:space="preserve">before school or during lunch times.  Participants by and large felt unable to address this, given the belief that a school couldn’t override the multiple influences on adolescent dietary preferences from the home, built and social environment.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b/>
          <w:color w:val="000000"/>
          <w:sz w:val="20"/>
          <w:szCs w:val="20"/>
          <w:lang w:eastAsia="en-GB"/>
        </w:rPr>
      </w:pPr>
      <w:r w:rsidRPr="009B3747">
        <w:rPr>
          <w:rFonts w:eastAsia="Times New Roman" w:cstheme="minorHAnsi"/>
          <w:i/>
          <w:iCs/>
          <w:color w:val="000000"/>
          <w:sz w:val="20"/>
          <w:szCs w:val="20"/>
          <w:lang w:eastAsia="en-GB"/>
        </w:rPr>
        <w:t>“We have got some children that do not have a healthier diet that choose to buy, go to the shops in the morning, we’ve got, we’re surrounded by supermarkets and they will fill their pockets with sweets and u</w:t>
      </w:r>
      <w:r w:rsidR="009025E2">
        <w:rPr>
          <w:rFonts w:eastAsia="Times New Roman" w:cstheme="minorHAnsi"/>
          <w:i/>
          <w:iCs/>
          <w:color w:val="000000"/>
          <w:sz w:val="20"/>
          <w:szCs w:val="20"/>
          <w:lang w:eastAsia="en-GB"/>
        </w:rPr>
        <w:t xml:space="preserve">nhealthy snacks, </w:t>
      </w:r>
      <w:r w:rsidRPr="009B3747">
        <w:rPr>
          <w:rFonts w:eastAsia="Times New Roman" w:cstheme="minorHAnsi"/>
          <w:i/>
          <w:iCs/>
          <w:color w:val="000000"/>
          <w:sz w:val="20"/>
          <w:szCs w:val="20"/>
          <w:lang w:eastAsia="en-GB"/>
        </w:rPr>
        <w:t>which we don’t advocate having in school.”  </w:t>
      </w:r>
      <w:r w:rsidRPr="009B3747">
        <w:rPr>
          <w:rFonts w:eastAsia="Times New Roman" w:cstheme="minorHAnsi"/>
          <w:b/>
          <w:bCs/>
          <w:color w:val="000000"/>
          <w:sz w:val="20"/>
          <w:szCs w:val="20"/>
          <w:lang w:eastAsia="en-GB"/>
        </w:rPr>
        <w:t>Participant 8</w:t>
      </w:r>
      <w:r w:rsidRPr="009B3747">
        <w:rPr>
          <w:rFonts w:eastAsia="Times New Roman" w:cstheme="minorHAnsi"/>
          <w:color w:val="000000"/>
          <w:sz w:val="20"/>
          <w:szCs w:val="20"/>
          <w:lang w:eastAsia="en-GB"/>
        </w:rPr>
        <w:t xml:space="preserve"> </w:t>
      </w:r>
      <w:r w:rsidR="00767418" w:rsidRPr="009B3747">
        <w:rPr>
          <w:rFonts w:eastAsia="Times New Roman" w:cstheme="minorHAnsi"/>
          <w:b/>
          <w:color w:val="000000"/>
          <w:sz w:val="20"/>
          <w:szCs w:val="20"/>
          <w:lang w:eastAsia="en-GB"/>
        </w:rPr>
        <w:t>(Headteacher)</w:t>
      </w:r>
    </w:p>
    <w:p w:rsidR="00991D2F" w:rsidRPr="009B3747" w:rsidRDefault="00991D2F" w:rsidP="006F36A0">
      <w:pPr>
        <w:ind w:left="720"/>
        <w:rPr>
          <w:rFonts w:eastAsia="Times New Roman" w:cstheme="minorHAnsi"/>
          <w:sz w:val="24"/>
          <w:szCs w:val="24"/>
          <w:lang w:eastAsia="en-GB"/>
        </w:rPr>
      </w:pP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For a minority of participants, restrictions on food provision or having a ‘locked gate’ policy so that adolescents aren’t able to go out of school during the day to purchase food</w:t>
      </w:r>
      <w:r w:rsidR="007C6B3D">
        <w:rPr>
          <w:rFonts w:eastAsia="Times New Roman" w:cstheme="minorHAnsi"/>
          <w:color w:val="000000"/>
          <w:lang w:eastAsia="en-GB"/>
        </w:rPr>
        <w:t>,</w:t>
      </w:r>
      <w:r w:rsidRPr="009B3747">
        <w:rPr>
          <w:rFonts w:eastAsia="Times New Roman" w:cstheme="minorHAnsi"/>
          <w:color w:val="000000"/>
          <w:lang w:eastAsia="en-GB"/>
        </w:rPr>
        <w:t xml:space="preserve"> was inappropria</w:t>
      </w:r>
      <w:r w:rsidR="007C6B3D">
        <w:rPr>
          <w:rFonts w:eastAsia="Times New Roman" w:cstheme="minorHAnsi"/>
          <w:color w:val="000000"/>
          <w:lang w:eastAsia="en-GB"/>
        </w:rPr>
        <w:t xml:space="preserve">te.  It was suggested that such a restrictive approach, fails to </w:t>
      </w:r>
      <w:r w:rsidRPr="009B3747">
        <w:rPr>
          <w:rFonts w:eastAsia="Times New Roman" w:cstheme="minorHAnsi"/>
          <w:color w:val="000000"/>
          <w:lang w:eastAsia="en-GB"/>
        </w:rPr>
        <w:t>recognise the importance of adolescents being able to make their own informed choices.   </w:t>
      </w:r>
    </w:p>
    <w:p w:rsidR="00991D2F" w:rsidRPr="009B3747" w:rsidRDefault="00991D2F" w:rsidP="006F36A0">
      <w:pPr>
        <w:ind w:left="720"/>
        <w:rPr>
          <w:rFonts w:eastAsia="Times New Roman" w:cstheme="minorHAnsi"/>
          <w:i/>
          <w:iCs/>
          <w:color w:val="000000"/>
          <w:sz w:val="20"/>
          <w:szCs w:val="20"/>
          <w:lang w:eastAsia="en-GB"/>
        </w:rPr>
      </w:pPr>
    </w:p>
    <w:p w:rsidR="006F36A0" w:rsidRPr="009B3747" w:rsidRDefault="006F36A0" w:rsidP="006F36A0">
      <w:pPr>
        <w:ind w:left="720"/>
        <w:rPr>
          <w:rFonts w:eastAsia="Times New Roman" w:cstheme="minorHAnsi"/>
          <w:b/>
          <w:sz w:val="24"/>
          <w:szCs w:val="24"/>
          <w:lang w:eastAsia="en-GB"/>
        </w:rPr>
      </w:pPr>
      <w:r w:rsidRPr="009B3747">
        <w:rPr>
          <w:rFonts w:eastAsia="Times New Roman" w:cstheme="minorHAnsi"/>
          <w:i/>
          <w:iCs/>
          <w:color w:val="000000"/>
          <w:sz w:val="20"/>
          <w:szCs w:val="20"/>
          <w:lang w:eastAsia="en-GB"/>
        </w:rPr>
        <w:t>“Do some of them bring in a snack at break time, yes they do, it would be draconian to stop that, so it’s, it would be trying to encourage, positive encouragement of healthy eating rather than say “you should not eat it”.  </w:t>
      </w:r>
      <w:r w:rsidRPr="009B3747">
        <w:rPr>
          <w:rFonts w:eastAsia="Times New Roman" w:cstheme="minorHAnsi"/>
          <w:b/>
          <w:bCs/>
          <w:color w:val="000000"/>
          <w:sz w:val="20"/>
          <w:szCs w:val="20"/>
          <w:lang w:eastAsia="en-GB"/>
        </w:rPr>
        <w:t>Participant 5</w:t>
      </w:r>
      <w:r w:rsidR="00767418" w:rsidRPr="009B3747">
        <w:rPr>
          <w:rFonts w:eastAsia="Times New Roman" w:cstheme="minorHAnsi"/>
          <w:b/>
          <w:color w:val="000000"/>
          <w:sz w:val="20"/>
          <w:szCs w:val="20"/>
          <w:lang w:eastAsia="en-GB"/>
        </w:rPr>
        <w:t xml:space="preserve"> (Headteacher)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Aside from school catering, headteachers and chairs of governors universally presented their school sport provision</w:t>
      </w:r>
      <w:r w:rsidR="007C6B3D">
        <w:rPr>
          <w:rFonts w:eastAsia="Times New Roman" w:cstheme="minorHAnsi"/>
          <w:color w:val="000000"/>
          <w:lang w:eastAsia="en-GB"/>
        </w:rPr>
        <w:t>,</w:t>
      </w:r>
      <w:r w:rsidRPr="009B3747">
        <w:rPr>
          <w:rFonts w:eastAsia="Times New Roman" w:cstheme="minorHAnsi"/>
          <w:color w:val="000000"/>
          <w:lang w:eastAsia="en-GB"/>
        </w:rPr>
        <w:t xml:space="preserve"> as contributing to the prevention of excess weight gain in adolescence.  In addition, to their school’s mandatory delivery of physical education (two hours per week), participants positively referred to an extensive and diverse range of sporting facilities and extra-curricular activities offered within their setting.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“It’s sort of little bit similar to Tai Chi, all the classes have that once a week at least and that requires physical coordination, concentration and all sorts of things like that.”  </w:t>
      </w:r>
      <w:r w:rsidRPr="009B3747">
        <w:rPr>
          <w:rFonts w:eastAsia="Times New Roman" w:cstheme="minorHAnsi"/>
          <w:b/>
          <w:bCs/>
          <w:color w:val="000000"/>
          <w:sz w:val="20"/>
          <w:szCs w:val="20"/>
          <w:lang w:eastAsia="en-GB"/>
        </w:rPr>
        <w:t>Participant 17</w:t>
      </w:r>
      <w:r w:rsidR="00767418" w:rsidRPr="009B3747">
        <w:rPr>
          <w:rFonts w:eastAsia="Times New Roman" w:cstheme="minorHAnsi"/>
          <w:b/>
          <w:bCs/>
          <w:color w:val="000000"/>
          <w:sz w:val="20"/>
          <w:szCs w:val="20"/>
          <w:lang w:eastAsia="en-GB"/>
        </w:rPr>
        <w:t xml:space="preserve"> (Headteacher)</w:t>
      </w:r>
      <w:r w:rsidRPr="009B3747">
        <w:rPr>
          <w:rFonts w:eastAsia="Times New Roman" w:cstheme="minorHAnsi"/>
          <w:b/>
          <w:bCs/>
          <w:color w:val="000000"/>
          <w:sz w:val="20"/>
          <w:szCs w:val="20"/>
          <w:lang w:eastAsia="en-GB"/>
        </w:rPr>
        <w:t xml:space="preserve">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767418" w:rsidRPr="009B3747" w:rsidRDefault="006F36A0" w:rsidP="006F36A0">
      <w:pPr>
        <w:ind w:left="720"/>
        <w:rPr>
          <w:rFonts w:eastAsia="Times New Roman" w:cstheme="minorHAnsi"/>
          <w:i/>
          <w:iCs/>
          <w:color w:val="000000"/>
          <w:sz w:val="20"/>
          <w:szCs w:val="20"/>
          <w:lang w:eastAsia="en-GB"/>
        </w:rPr>
      </w:pPr>
      <w:r w:rsidRPr="009B3747">
        <w:rPr>
          <w:rFonts w:eastAsia="Times New Roman" w:cstheme="minorHAnsi"/>
          <w:i/>
          <w:iCs/>
          <w:color w:val="000000"/>
          <w:sz w:val="20"/>
          <w:szCs w:val="20"/>
          <w:lang w:eastAsia="en-GB"/>
        </w:rPr>
        <w:t>“The number of after school activities, we support very proactively in relation to making sure that Monday netball, football or whatever so we’ve got a huge range of activities.”  </w:t>
      </w:r>
    </w:p>
    <w:p w:rsidR="006F36A0" w:rsidRPr="009B3747" w:rsidRDefault="006F36A0" w:rsidP="006F36A0">
      <w:pPr>
        <w:ind w:left="720"/>
        <w:rPr>
          <w:rFonts w:eastAsia="Times New Roman" w:cstheme="minorHAnsi"/>
          <w:b/>
          <w:color w:val="000000"/>
          <w:sz w:val="20"/>
          <w:szCs w:val="20"/>
          <w:lang w:eastAsia="en-GB"/>
        </w:rPr>
      </w:pPr>
      <w:r w:rsidRPr="009B3747">
        <w:rPr>
          <w:rFonts w:eastAsia="Times New Roman" w:cstheme="minorHAnsi"/>
          <w:b/>
          <w:bCs/>
          <w:color w:val="000000"/>
          <w:sz w:val="20"/>
          <w:szCs w:val="20"/>
          <w:lang w:eastAsia="en-GB"/>
        </w:rPr>
        <w:t>Participant 22</w:t>
      </w:r>
      <w:r w:rsidRPr="009B3747">
        <w:rPr>
          <w:rFonts w:eastAsia="Times New Roman" w:cstheme="minorHAnsi"/>
          <w:color w:val="000000"/>
          <w:sz w:val="20"/>
          <w:szCs w:val="20"/>
          <w:lang w:eastAsia="en-GB"/>
        </w:rPr>
        <w:t xml:space="preserve"> </w:t>
      </w:r>
      <w:r w:rsidR="00767418" w:rsidRPr="009B3747">
        <w:rPr>
          <w:rFonts w:eastAsia="Times New Roman" w:cstheme="minorHAnsi"/>
          <w:b/>
          <w:color w:val="000000"/>
          <w:sz w:val="20"/>
          <w:szCs w:val="20"/>
          <w:lang w:eastAsia="en-GB"/>
        </w:rPr>
        <w:t>(Headteacher)</w:t>
      </w:r>
    </w:p>
    <w:p w:rsidR="00991D2F" w:rsidRPr="009B3747" w:rsidRDefault="00991D2F" w:rsidP="006F36A0">
      <w:pPr>
        <w:ind w:left="720"/>
        <w:rPr>
          <w:rFonts w:eastAsia="Times New Roman" w:cstheme="minorHAnsi"/>
          <w:sz w:val="24"/>
          <w:szCs w:val="24"/>
          <w:lang w:eastAsia="en-GB"/>
        </w:rPr>
      </w:pPr>
    </w:p>
    <w:p w:rsidR="006F36A0" w:rsidRPr="009B3747" w:rsidRDefault="006F36A0" w:rsidP="006F36A0">
      <w:pPr>
        <w:rPr>
          <w:rFonts w:eastAsia="Times New Roman" w:cstheme="minorHAnsi"/>
          <w:color w:val="000000"/>
          <w:lang w:eastAsia="en-GB"/>
        </w:rPr>
      </w:pPr>
      <w:r w:rsidRPr="009B3747">
        <w:rPr>
          <w:rFonts w:eastAsia="Times New Roman" w:cstheme="minorHAnsi"/>
          <w:color w:val="000000"/>
          <w:lang w:eastAsia="en-GB"/>
        </w:rPr>
        <w:t>Having a high quality physical education department was seen as vital for creating an ‘inc</w:t>
      </w:r>
      <w:r w:rsidR="007C6B3D">
        <w:rPr>
          <w:rFonts w:eastAsia="Times New Roman" w:cstheme="minorHAnsi"/>
          <w:color w:val="000000"/>
          <w:lang w:eastAsia="en-GB"/>
        </w:rPr>
        <w:t xml:space="preserve">lusive’ offer for all students, </w:t>
      </w:r>
      <w:r w:rsidR="009025E2">
        <w:rPr>
          <w:rFonts w:eastAsia="Times New Roman" w:cstheme="minorHAnsi"/>
          <w:color w:val="000000"/>
          <w:lang w:eastAsia="en-GB"/>
        </w:rPr>
        <w:t>in order to</w:t>
      </w:r>
      <w:r w:rsidR="007C6B3D">
        <w:rPr>
          <w:rFonts w:eastAsia="Times New Roman" w:cstheme="minorHAnsi"/>
          <w:color w:val="000000"/>
          <w:lang w:eastAsia="en-GB"/>
        </w:rPr>
        <w:t xml:space="preserve"> accommodate</w:t>
      </w:r>
      <w:r w:rsidRPr="009B3747">
        <w:rPr>
          <w:rFonts w:eastAsia="Times New Roman" w:cstheme="minorHAnsi"/>
          <w:color w:val="000000"/>
          <w:lang w:eastAsia="en-GB"/>
        </w:rPr>
        <w:t xml:space="preserve"> a variety of needs and tastes.  This typically centred on the provision of ‘non-tradit</w:t>
      </w:r>
      <w:r w:rsidR="009025E2">
        <w:rPr>
          <w:rFonts w:eastAsia="Times New Roman" w:cstheme="minorHAnsi"/>
          <w:color w:val="000000"/>
          <w:lang w:eastAsia="en-GB"/>
        </w:rPr>
        <w:t xml:space="preserve">ional sports’, </w:t>
      </w:r>
      <w:r w:rsidRPr="009B3747">
        <w:rPr>
          <w:rFonts w:eastAsia="Times New Roman" w:cstheme="minorHAnsi"/>
          <w:color w:val="000000"/>
          <w:lang w:eastAsia="en-GB"/>
        </w:rPr>
        <w:t>which would engage the ‘non-sporty kids’.</w:t>
      </w:r>
    </w:p>
    <w:p w:rsidR="00991D2F" w:rsidRPr="009B3747" w:rsidRDefault="00991D2F" w:rsidP="006F36A0">
      <w:pPr>
        <w:rPr>
          <w:rFonts w:eastAsia="Times New Roman" w:cstheme="minorHAnsi"/>
          <w:sz w:val="24"/>
          <w:szCs w:val="24"/>
          <w:lang w:eastAsia="en-GB"/>
        </w:rPr>
      </w:pPr>
    </w:p>
    <w:p w:rsidR="006F36A0" w:rsidRPr="009B3747" w:rsidRDefault="006F36A0" w:rsidP="006F36A0">
      <w:pPr>
        <w:ind w:firstLine="720"/>
        <w:rPr>
          <w:rFonts w:eastAsia="Times New Roman" w:cstheme="minorHAnsi"/>
          <w:sz w:val="24"/>
          <w:szCs w:val="24"/>
          <w:lang w:eastAsia="en-GB"/>
        </w:rPr>
      </w:pPr>
      <w:r w:rsidRPr="009B3747">
        <w:rPr>
          <w:rFonts w:eastAsia="Times New Roman" w:cstheme="minorHAnsi"/>
          <w:i/>
          <w:iCs/>
          <w:color w:val="000000"/>
          <w:sz w:val="20"/>
          <w:szCs w:val="20"/>
          <w:lang w:eastAsia="en-GB"/>
        </w:rPr>
        <w:t>“It’s having really good PE facilities, it’s having a really good PE department one that really switches</w:t>
      </w:r>
    </w:p>
    <w:p w:rsidR="006F36A0" w:rsidRPr="009B3747" w:rsidRDefault="006F36A0" w:rsidP="006F36A0">
      <w:pPr>
        <w:ind w:firstLine="720"/>
        <w:rPr>
          <w:rFonts w:eastAsia="Times New Roman" w:cstheme="minorHAnsi"/>
          <w:sz w:val="24"/>
          <w:szCs w:val="24"/>
          <w:lang w:eastAsia="en-GB"/>
        </w:rPr>
      </w:pPr>
      <w:r w:rsidRPr="009B3747">
        <w:rPr>
          <w:rFonts w:eastAsia="Times New Roman" w:cstheme="minorHAnsi"/>
          <w:i/>
          <w:iCs/>
          <w:color w:val="000000"/>
          <w:sz w:val="20"/>
          <w:szCs w:val="20"/>
          <w:lang w:eastAsia="en-GB"/>
        </w:rPr>
        <w:t>kids on that is inclusive, that has an inclusive programme.”  </w:t>
      </w:r>
      <w:r w:rsidRPr="009B3747">
        <w:rPr>
          <w:rFonts w:eastAsia="Times New Roman" w:cstheme="minorHAnsi"/>
          <w:b/>
          <w:bCs/>
          <w:color w:val="000000"/>
          <w:sz w:val="20"/>
          <w:szCs w:val="20"/>
          <w:lang w:eastAsia="en-GB"/>
        </w:rPr>
        <w:t xml:space="preserve">Participant 8 </w:t>
      </w:r>
      <w:r w:rsidR="00767418" w:rsidRPr="009B3747">
        <w:rPr>
          <w:rFonts w:eastAsia="Times New Roman" w:cstheme="minorHAnsi"/>
          <w:b/>
          <w:bCs/>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b/>
          <w:color w:val="000000"/>
          <w:sz w:val="20"/>
          <w:szCs w:val="20"/>
          <w:lang w:eastAsia="en-GB"/>
        </w:rPr>
      </w:pPr>
      <w:r w:rsidRPr="009B3747">
        <w:rPr>
          <w:rFonts w:eastAsia="Times New Roman" w:cstheme="minorHAnsi"/>
          <w:i/>
          <w:iCs/>
          <w:color w:val="000000"/>
          <w:sz w:val="20"/>
          <w:szCs w:val="20"/>
          <w:lang w:eastAsia="en-GB"/>
        </w:rPr>
        <w:t>“So there’s a lot of sport on offer plus we’re looking to encourage, we want to get more dance in the curriculum so for kids who are not sporty</w:t>
      </w:r>
      <w:r w:rsidR="00EB44DD">
        <w:rPr>
          <w:rFonts w:eastAsia="Times New Roman" w:cstheme="minorHAnsi"/>
          <w:i/>
          <w:iCs/>
          <w:color w:val="000000"/>
          <w:sz w:val="20"/>
          <w:szCs w:val="20"/>
          <w:lang w:eastAsia="en-GB"/>
        </w:rPr>
        <w:t>,</w:t>
      </w:r>
      <w:r w:rsidRPr="009B3747">
        <w:rPr>
          <w:rFonts w:eastAsia="Times New Roman" w:cstheme="minorHAnsi"/>
          <w:i/>
          <w:iCs/>
          <w:color w:val="000000"/>
          <w:sz w:val="20"/>
          <w:szCs w:val="20"/>
          <w:lang w:eastAsia="en-GB"/>
        </w:rPr>
        <w:t xml:space="preserve"> but they can get a bit of a glow and a bit of a sweat on.”  </w:t>
      </w:r>
      <w:r w:rsidRPr="009B3747">
        <w:rPr>
          <w:rFonts w:eastAsia="Times New Roman" w:cstheme="minorHAnsi"/>
          <w:b/>
          <w:bCs/>
          <w:color w:val="000000"/>
          <w:sz w:val="20"/>
          <w:szCs w:val="20"/>
          <w:lang w:eastAsia="en-GB"/>
        </w:rPr>
        <w:t>Participant 14</w:t>
      </w:r>
      <w:r w:rsidRPr="009B3747">
        <w:rPr>
          <w:rFonts w:eastAsia="Times New Roman" w:cstheme="minorHAnsi"/>
          <w:color w:val="000000"/>
          <w:sz w:val="20"/>
          <w:szCs w:val="20"/>
          <w:lang w:eastAsia="en-GB"/>
        </w:rPr>
        <w:t xml:space="preserve"> </w:t>
      </w:r>
      <w:r w:rsidR="00767418" w:rsidRPr="009B3747">
        <w:rPr>
          <w:rFonts w:eastAsia="Times New Roman" w:cstheme="minorHAnsi"/>
          <w:b/>
          <w:color w:val="000000"/>
          <w:sz w:val="20"/>
          <w:szCs w:val="20"/>
          <w:lang w:eastAsia="en-GB"/>
        </w:rPr>
        <w:t>(Headteacher)</w:t>
      </w:r>
    </w:p>
    <w:p w:rsidR="00991D2F" w:rsidRPr="009B3747" w:rsidRDefault="00991D2F" w:rsidP="006F36A0">
      <w:pPr>
        <w:ind w:left="720"/>
        <w:rPr>
          <w:rFonts w:eastAsia="Times New Roman" w:cstheme="minorHAnsi"/>
          <w:sz w:val="24"/>
          <w:szCs w:val="24"/>
          <w:lang w:eastAsia="en-GB"/>
        </w:rPr>
      </w:pPr>
    </w:p>
    <w:p w:rsidR="006F36A0" w:rsidRPr="009B3747" w:rsidRDefault="006F36A0" w:rsidP="006F36A0">
      <w:pPr>
        <w:spacing w:after="200"/>
        <w:rPr>
          <w:rFonts w:eastAsia="Times New Roman" w:cstheme="minorHAnsi"/>
          <w:sz w:val="24"/>
          <w:szCs w:val="24"/>
          <w:lang w:eastAsia="en-GB"/>
        </w:rPr>
      </w:pPr>
      <w:r w:rsidRPr="009B3747">
        <w:rPr>
          <w:rFonts w:eastAsia="Times New Roman" w:cstheme="minorHAnsi"/>
          <w:color w:val="000000"/>
          <w:lang w:eastAsia="en-GB"/>
        </w:rPr>
        <w:t>For some participants they acknowledged the crucial role their physical education department plays in supporting those adolescents already above a healthy weight.  Sport or physical activity participation was viewed to be more challenging for overweight or obesity adolescents</w:t>
      </w:r>
      <w:r w:rsidR="002F70C0">
        <w:rPr>
          <w:rFonts w:eastAsia="Times New Roman" w:cstheme="minorHAnsi"/>
          <w:color w:val="000000"/>
          <w:lang w:eastAsia="en-GB"/>
        </w:rPr>
        <w:t>,</w:t>
      </w:r>
      <w:r w:rsidRPr="009B3747">
        <w:rPr>
          <w:rFonts w:eastAsia="Times New Roman" w:cstheme="minorHAnsi"/>
          <w:color w:val="000000"/>
          <w:lang w:eastAsia="en-GB"/>
        </w:rPr>
        <w:t xml:space="preserve"> due to issues with body image and self-esteem.  Consequently, examples were given in particular by headteachers</w:t>
      </w:r>
      <w:r w:rsidR="002F70C0">
        <w:rPr>
          <w:rFonts w:eastAsia="Times New Roman" w:cstheme="minorHAnsi"/>
          <w:color w:val="000000"/>
          <w:lang w:eastAsia="en-GB"/>
        </w:rPr>
        <w:t>,</w:t>
      </w:r>
      <w:r w:rsidRPr="009B3747">
        <w:rPr>
          <w:rFonts w:eastAsia="Times New Roman" w:cstheme="minorHAnsi"/>
          <w:color w:val="000000"/>
          <w:lang w:eastAsia="en-GB"/>
        </w:rPr>
        <w:t xml:space="preserve"> of ‘tailored’ opportunities provided by the school to engage in physical activity.</w:t>
      </w:r>
    </w:p>
    <w:p w:rsidR="00767418" w:rsidRPr="009B3747" w:rsidRDefault="006F36A0" w:rsidP="00767418">
      <w:pPr>
        <w:ind w:left="720"/>
        <w:rPr>
          <w:rFonts w:eastAsia="Times New Roman" w:cstheme="minorHAnsi"/>
          <w:i/>
          <w:iCs/>
          <w:color w:val="000000"/>
          <w:sz w:val="20"/>
          <w:szCs w:val="20"/>
          <w:lang w:eastAsia="en-GB"/>
        </w:rPr>
      </w:pPr>
      <w:r w:rsidRPr="009B3747">
        <w:rPr>
          <w:rFonts w:eastAsia="Times New Roman" w:cstheme="minorHAnsi"/>
          <w:i/>
          <w:iCs/>
          <w:color w:val="000000"/>
          <w:sz w:val="20"/>
          <w:szCs w:val="20"/>
          <w:lang w:eastAsia="en-GB"/>
        </w:rPr>
        <w:lastRenderedPageBreak/>
        <w:t>“Because you know, some of our more overweight children just during PE lesson will go for a walk with the TA and go out, you know, and go shopping with the TA for some fruit.”  </w:t>
      </w:r>
    </w:p>
    <w:p w:rsidR="006F36A0" w:rsidRPr="009B3747" w:rsidRDefault="006F36A0" w:rsidP="00767418">
      <w:pPr>
        <w:ind w:left="720"/>
        <w:rPr>
          <w:rFonts w:eastAsia="Times New Roman" w:cstheme="minorHAnsi"/>
          <w:b/>
          <w:bCs/>
          <w:color w:val="000000"/>
          <w:sz w:val="20"/>
          <w:szCs w:val="20"/>
          <w:lang w:eastAsia="en-GB"/>
        </w:rPr>
      </w:pPr>
      <w:r w:rsidRPr="009B3747">
        <w:rPr>
          <w:rFonts w:eastAsia="Times New Roman" w:cstheme="minorHAnsi"/>
          <w:b/>
          <w:bCs/>
          <w:color w:val="000000"/>
          <w:sz w:val="20"/>
          <w:szCs w:val="20"/>
          <w:lang w:eastAsia="en-GB"/>
        </w:rPr>
        <w:t xml:space="preserve">Participant 1 </w:t>
      </w:r>
      <w:r w:rsidR="00767418" w:rsidRPr="009B3747">
        <w:rPr>
          <w:rFonts w:eastAsia="Times New Roman" w:cstheme="minorHAnsi"/>
          <w:b/>
          <w:bCs/>
          <w:color w:val="000000"/>
          <w:sz w:val="20"/>
          <w:szCs w:val="20"/>
          <w:lang w:eastAsia="en-GB"/>
        </w:rPr>
        <w:t>(Headteacher)</w:t>
      </w:r>
    </w:p>
    <w:p w:rsidR="00767418" w:rsidRPr="009B3747" w:rsidRDefault="00767418" w:rsidP="001D63C6">
      <w:pPr>
        <w:ind w:left="720"/>
        <w:rPr>
          <w:rFonts w:eastAsia="Times New Roman" w:cstheme="minorHAnsi"/>
          <w:i/>
          <w:iCs/>
          <w:color w:val="000000"/>
          <w:sz w:val="20"/>
          <w:szCs w:val="20"/>
          <w:lang w:eastAsia="en-GB"/>
        </w:rPr>
      </w:pPr>
    </w:p>
    <w:p w:rsidR="00767418" w:rsidRPr="009B3747" w:rsidRDefault="006F36A0" w:rsidP="001D63C6">
      <w:pPr>
        <w:ind w:left="720"/>
        <w:rPr>
          <w:rFonts w:eastAsia="Times New Roman" w:cstheme="minorHAnsi"/>
          <w:i/>
          <w:iCs/>
          <w:color w:val="000000"/>
          <w:sz w:val="20"/>
          <w:szCs w:val="20"/>
          <w:lang w:eastAsia="en-GB"/>
        </w:rPr>
      </w:pPr>
      <w:r w:rsidRPr="009B3747">
        <w:rPr>
          <w:rFonts w:eastAsia="Times New Roman" w:cstheme="minorHAnsi"/>
          <w:i/>
          <w:iCs/>
          <w:color w:val="000000"/>
          <w:sz w:val="20"/>
          <w:szCs w:val="20"/>
          <w:lang w:eastAsia="en-GB"/>
        </w:rPr>
        <w:t>“There’s another girl who doesn’t do, who will do anything to avoid PE and she is clearly overweight so what they do with her is they go down to the gym and do som</w:t>
      </w:r>
      <w:r w:rsidR="00991D2F" w:rsidRPr="009B3747">
        <w:rPr>
          <w:rFonts w:eastAsia="Times New Roman" w:cstheme="minorHAnsi"/>
          <w:i/>
          <w:iCs/>
          <w:color w:val="000000"/>
          <w:sz w:val="20"/>
          <w:szCs w:val="20"/>
          <w:lang w:eastAsia="en-GB"/>
        </w:rPr>
        <w:t>e strengthening exercises.”</w:t>
      </w:r>
    </w:p>
    <w:p w:rsidR="006F36A0" w:rsidRPr="009B3747" w:rsidRDefault="00991D2F" w:rsidP="001D63C6">
      <w:pPr>
        <w:ind w:left="720"/>
        <w:rPr>
          <w:rFonts w:eastAsia="Times New Roman" w:cstheme="minorHAnsi"/>
          <w:b/>
          <w:color w:val="000000"/>
          <w:sz w:val="20"/>
          <w:szCs w:val="20"/>
          <w:lang w:eastAsia="en-GB"/>
        </w:rPr>
      </w:pPr>
      <w:r w:rsidRPr="009B3747">
        <w:rPr>
          <w:rFonts w:eastAsia="Times New Roman" w:cstheme="minorHAnsi"/>
          <w:i/>
          <w:iCs/>
          <w:color w:val="000000"/>
          <w:sz w:val="20"/>
          <w:szCs w:val="20"/>
          <w:lang w:eastAsia="en-GB"/>
        </w:rPr>
        <w:t xml:space="preserve"> </w:t>
      </w:r>
      <w:r w:rsidR="006F36A0" w:rsidRPr="009B3747">
        <w:rPr>
          <w:rFonts w:eastAsia="Times New Roman" w:cstheme="minorHAnsi"/>
          <w:b/>
          <w:bCs/>
          <w:color w:val="000000"/>
          <w:sz w:val="20"/>
          <w:szCs w:val="20"/>
          <w:lang w:eastAsia="en-GB"/>
        </w:rPr>
        <w:t>Participant 16</w:t>
      </w:r>
      <w:r w:rsidR="006F36A0" w:rsidRPr="009B3747">
        <w:rPr>
          <w:rFonts w:eastAsia="Times New Roman" w:cstheme="minorHAnsi"/>
          <w:color w:val="000000"/>
          <w:sz w:val="20"/>
          <w:szCs w:val="20"/>
          <w:lang w:eastAsia="en-GB"/>
        </w:rPr>
        <w:t xml:space="preserve"> </w:t>
      </w:r>
      <w:r w:rsidR="001D63C6" w:rsidRPr="009B3747">
        <w:rPr>
          <w:rFonts w:eastAsia="Times New Roman" w:cstheme="minorHAnsi"/>
          <w:b/>
          <w:color w:val="000000"/>
          <w:sz w:val="20"/>
          <w:szCs w:val="20"/>
          <w:lang w:eastAsia="en-GB"/>
        </w:rPr>
        <w:t>(Headteacher)</w:t>
      </w:r>
    </w:p>
    <w:p w:rsidR="001D63C6" w:rsidRPr="009B3747" w:rsidRDefault="001D63C6" w:rsidP="001D63C6">
      <w:pPr>
        <w:ind w:left="720"/>
        <w:rPr>
          <w:rFonts w:eastAsia="Times New Roman" w:cstheme="minorHAnsi"/>
          <w:sz w:val="24"/>
          <w:szCs w:val="24"/>
          <w:lang w:eastAsia="en-GB"/>
        </w:rPr>
      </w:pP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 xml:space="preserve">A small proportion of participants from state funded schools, did </w:t>
      </w:r>
      <w:r w:rsidR="009025E2">
        <w:rPr>
          <w:rFonts w:eastAsia="Times New Roman" w:cstheme="minorHAnsi"/>
          <w:color w:val="000000"/>
          <w:lang w:eastAsia="en-GB"/>
        </w:rPr>
        <w:t xml:space="preserve">reflect on increasing pressures, </w:t>
      </w:r>
      <w:r w:rsidRPr="009B3747">
        <w:rPr>
          <w:rFonts w:eastAsia="Times New Roman" w:cstheme="minorHAnsi"/>
          <w:color w:val="000000"/>
          <w:lang w:eastAsia="en-GB"/>
        </w:rPr>
        <w:t>which restricted their ability to provide opportunities fo</w:t>
      </w:r>
      <w:r w:rsidR="002F70C0">
        <w:rPr>
          <w:rFonts w:eastAsia="Times New Roman" w:cstheme="minorHAnsi"/>
          <w:color w:val="000000"/>
          <w:lang w:eastAsia="en-GB"/>
        </w:rPr>
        <w:t xml:space="preserve">r physical activity or sport in </w:t>
      </w:r>
      <w:r w:rsidRPr="009B3747">
        <w:rPr>
          <w:rFonts w:eastAsia="Times New Roman" w:cstheme="minorHAnsi"/>
          <w:color w:val="000000"/>
          <w:lang w:eastAsia="en-GB"/>
        </w:rPr>
        <w:t>school.  Reductions in teachers’ capacity, increasing accountability for academic results and growing financial pressures meant for some, their school weren’t able to prioritise and promote sport and active recreation in the way they would like.  This was particularly relevant to the reductions in physical education participation by students preparing for or doing their GCSEs.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“Well, physical activity has got to be a big thing. I don’t think schools do enough physical activity and I think that’s partly because the curriculum is so squeezed now and it’s trying to get PE into curriculum time and enough of it as well.”  </w:t>
      </w:r>
      <w:r w:rsidRPr="009B3747">
        <w:rPr>
          <w:rFonts w:eastAsia="Times New Roman" w:cstheme="minorHAnsi"/>
          <w:b/>
          <w:bCs/>
          <w:color w:val="000000"/>
          <w:sz w:val="20"/>
          <w:szCs w:val="20"/>
          <w:lang w:eastAsia="en-GB"/>
        </w:rPr>
        <w:t xml:space="preserve">Participant 11 </w:t>
      </w:r>
      <w:r w:rsidR="001D63C6" w:rsidRPr="009B3747">
        <w:rPr>
          <w:rFonts w:eastAsia="Times New Roman" w:cstheme="minorHAnsi"/>
          <w:b/>
          <w:bCs/>
          <w:color w:val="000000"/>
          <w:sz w:val="20"/>
          <w:szCs w:val="20"/>
          <w:lang w:eastAsia="en-GB"/>
        </w:rPr>
        <w:t>(Chair of governors)</w:t>
      </w:r>
      <w:r w:rsidRPr="009B3747">
        <w:rPr>
          <w:rFonts w:eastAsia="Times New Roman" w:cstheme="minorHAnsi"/>
          <w:color w:val="000000"/>
          <w:sz w:val="20"/>
          <w:szCs w:val="20"/>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As highlighted previously, this view was not shared by t</w:t>
      </w:r>
      <w:r w:rsidR="002F70C0">
        <w:rPr>
          <w:rFonts w:eastAsia="Times New Roman" w:cstheme="minorHAnsi"/>
          <w:color w:val="000000"/>
          <w:lang w:eastAsia="en-GB"/>
        </w:rPr>
        <w:t xml:space="preserve">hose within independent schools.  They </w:t>
      </w:r>
      <w:r w:rsidRPr="009B3747">
        <w:rPr>
          <w:rFonts w:eastAsia="Times New Roman" w:cstheme="minorHAnsi"/>
          <w:color w:val="000000"/>
          <w:lang w:eastAsia="en-GB"/>
        </w:rPr>
        <w:t>strongly championed their school’s commitment to providing opportunities and encou</w:t>
      </w:r>
      <w:r w:rsidR="002F70C0">
        <w:rPr>
          <w:rFonts w:eastAsia="Times New Roman" w:cstheme="minorHAnsi"/>
          <w:color w:val="000000"/>
          <w:lang w:eastAsia="en-GB"/>
        </w:rPr>
        <w:t xml:space="preserve">raging all students </w:t>
      </w:r>
      <w:r w:rsidRPr="009B3747">
        <w:rPr>
          <w:rFonts w:eastAsia="Times New Roman" w:cstheme="minorHAnsi"/>
          <w:color w:val="000000"/>
          <w:lang w:eastAsia="en-GB"/>
        </w:rPr>
        <w:t>to participate in both physical education and extracurricular activities.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 xml:space="preserve">For a minority within the state sector, an additional frustration related to school sport centred on the perception that the government disproportionately focuses resources and funding on primary school sport.  It was therefore </w:t>
      </w:r>
      <w:r w:rsidR="002F70C0">
        <w:rPr>
          <w:rFonts w:eastAsia="Times New Roman" w:cstheme="minorHAnsi"/>
          <w:color w:val="000000"/>
          <w:lang w:eastAsia="en-GB"/>
        </w:rPr>
        <w:t xml:space="preserve">perceived by these participants, </w:t>
      </w:r>
      <w:r w:rsidRPr="009B3747">
        <w:rPr>
          <w:rFonts w:eastAsia="Times New Roman" w:cstheme="minorHAnsi"/>
          <w:color w:val="000000"/>
          <w:lang w:eastAsia="en-GB"/>
        </w:rPr>
        <w:t>that secondary schools frequently ‘missed out’ on being able to comprehensively support adolescents to increase their uptake of physical activity.</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“George Osborne’s [the current chancellor of the exchequer] just said the sugar tax income is going to primary school sport so as a secondary school chair who knows not a lot about these things, actually, so actually “thanks George, I’m less important than a primary school”, so that’s great, so he told me that message is that I’m less key, well I’m thinking isn’t it all the same, why wouldn’t you spread it across?”  </w:t>
      </w:r>
      <w:r w:rsidRPr="009B3747">
        <w:rPr>
          <w:rFonts w:eastAsia="Times New Roman" w:cstheme="minorHAnsi"/>
          <w:b/>
          <w:bCs/>
          <w:color w:val="000000"/>
          <w:sz w:val="20"/>
          <w:szCs w:val="20"/>
          <w:lang w:eastAsia="en-GB"/>
        </w:rPr>
        <w:t>Participant 12</w:t>
      </w:r>
      <w:r w:rsidR="001D63C6" w:rsidRPr="009B3747">
        <w:rPr>
          <w:rFonts w:eastAsia="Times New Roman" w:cstheme="minorHAnsi"/>
          <w:b/>
          <w:bCs/>
          <w:color w:val="000000"/>
          <w:sz w:val="20"/>
          <w:szCs w:val="20"/>
          <w:lang w:eastAsia="en-GB"/>
        </w:rPr>
        <w:t xml:space="preserve"> (Chair of governors)</w:t>
      </w:r>
      <w:r w:rsidRPr="009B3747">
        <w:rPr>
          <w:rFonts w:eastAsia="Times New Roman" w:cstheme="minorHAnsi"/>
          <w:color w:val="000000"/>
          <w:sz w:val="20"/>
          <w:szCs w:val="20"/>
          <w:lang w:eastAsia="en-GB"/>
        </w:rPr>
        <w:t xml:space="preserve">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991D2F" w:rsidP="006F36A0">
      <w:pPr>
        <w:rPr>
          <w:rFonts w:eastAsia="Times New Roman" w:cstheme="minorHAnsi"/>
          <w:sz w:val="24"/>
          <w:szCs w:val="24"/>
          <w:u w:val="single"/>
          <w:lang w:eastAsia="en-GB"/>
        </w:rPr>
      </w:pPr>
      <w:r w:rsidRPr="009B3747">
        <w:rPr>
          <w:rFonts w:eastAsia="Times New Roman" w:cstheme="minorHAnsi"/>
          <w:iCs/>
          <w:color w:val="000000"/>
          <w:u w:val="single"/>
          <w:lang w:eastAsia="en-GB"/>
        </w:rPr>
        <w:lastRenderedPageBreak/>
        <w:t>6</w:t>
      </w:r>
      <w:r w:rsidR="00551065" w:rsidRPr="009B3747">
        <w:rPr>
          <w:rFonts w:eastAsia="Times New Roman" w:cstheme="minorHAnsi"/>
          <w:iCs/>
          <w:color w:val="000000"/>
          <w:u w:val="single"/>
          <w:lang w:eastAsia="en-GB"/>
        </w:rPr>
        <w:t>.7</w:t>
      </w:r>
      <w:r w:rsidR="006F36A0" w:rsidRPr="009B3747">
        <w:rPr>
          <w:rFonts w:eastAsia="Times New Roman" w:cstheme="minorHAnsi"/>
          <w:iCs/>
          <w:color w:val="000000"/>
          <w:u w:val="single"/>
          <w:lang w:eastAsia="en-GB"/>
        </w:rPr>
        <w:t xml:space="preserve">.2 Competing priorities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For participants representing state funded schools a significant and unanimous frustration and tension was reported between schools and the government.  This was attributed to the perception of ‘competing priorities’.  A collective belief shared was that whilst the core purpose of a school is to educate, schools should not simply be ‘exam factories’, merely ‘churning out’ adolescents with the required academic qualifications.  Instead, participants referred to their school's and their own moral obligation as either headteacher or chair of governors to develop the ‘whole child’.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“My moral purpose is that we should be educating the whole child and we should be looking at the those things that are going to affect their life and life expectancy, we’re preparing them for their life beyond school.”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 xml:space="preserve">Participant 19 </w:t>
      </w:r>
      <w:r w:rsidR="001D63C6" w:rsidRPr="009B3747">
        <w:rPr>
          <w:rFonts w:eastAsia="Times New Roman" w:cstheme="minorHAnsi"/>
          <w:b/>
          <w:bCs/>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Default="006F36A0" w:rsidP="002F70C0">
      <w:pPr>
        <w:rPr>
          <w:rFonts w:eastAsia="Times New Roman" w:cstheme="minorHAnsi"/>
          <w:color w:val="000000"/>
          <w:lang w:eastAsia="en-GB"/>
        </w:rPr>
      </w:pPr>
      <w:r w:rsidRPr="009B3747">
        <w:rPr>
          <w:rFonts w:eastAsia="Times New Roman" w:cstheme="minorHAnsi"/>
          <w:color w:val="000000"/>
          <w:lang w:eastAsia="en-GB"/>
        </w:rPr>
        <w:t>Participants deemed their school’s ability and desire to prioritise the whole child</w:t>
      </w:r>
      <w:r w:rsidR="002F70C0">
        <w:rPr>
          <w:rFonts w:eastAsia="Times New Roman" w:cstheme="minorHAnsi"/>
          <w:color w:val="000000"/>
          <w:lang w:eastAsia="en-GB"/>
        </w:rPr>
        <w:t>,</w:t>
      </w:r>
      <w:r w:rsidRPr="009B3747">
        <w:rPr>
          <w:rFonts w:eastAsia="Times New Roman" w:cstheme="minorHAnsi"/>
          <w:color w:val="000000"/>
          <w:lang w:eastAsia="en-GB"/>
        </w:rPr>
        <w:t xml:space="preserve"> including supporting adolescent health and well-being</w:t>
      </w:r>
      <w:r w:rsidR="002F70C0">
        <w:rPr>
          <w:rFonts w:eastAsia="Times New Roman" w:cstheme="minorHAnsi"/>
          <w:color w:val="000000"/>
          <w:lang w:eastAsia="en-GB"/>
        </w:rPr>
        <w:t>,</w:t>
      </w:r>
      <w:r w:rsidRPr="009B3747">
        <w:rPr>
          <w:rFonts w:eastAsia="Times New Roman" w:cstheme="minorHAnsi"/>
          <w:color w:val="000000"/>
          <w:lang w:eastAsia="en-GB"/>
        </w:rPr>
        <w:t xml:space="preserve"> was substantially hindered by a disproportionate governmental focus on academic achievement.  Esc</w:t>
      </w:r>
      <w:r w:rsidR="002F70C0">
        <w:rPr>
          <w:rFonts w:eastAsia="Times New Roman" w:cstheme="minorHAnsi"/>
          <w:color w:val="000000"/>
          <w:lang w:eastAsia="en-GB"/>
        </w:rPr>
        <w:t xml:space="preserve">alating pressure on schools to </w:t>
      </w:r>
      <w:r w:rsidRPr="009B3747">
        <w:rPr>
          <w:rFonts w:eastAsia="Times New Roman" w:cstheme="minorHAnsi"/>
          <w:color w:val="000000"/>
          <w:lang w:eastAsia="en-GB"/>
        </w:rPr>
        <w:t xml:space="preserve">monitor </w:t>
      </w:r>
      <w:r w:rsidR="002F70C0">
        <w:rPr>
          <w:rFonts w:eastAsia="Times New Roman" w:cstheme="minorHAnsi"/>
          <w:color w:val="000000"/>
          <w:lang w:eastAsia="en-GB"/>
        </w:rPr>
        <w:t>and improve educational outcomes,</w:t>
      </w:r>
      <w:r w:rsidRPr="009B3747">
        <w:rPr>
          <w:rFonts w:eastAsia="Times New Roman" w:cstheme="minorHAnsi"/>
          <w:color w:val="000000"/>
          <w:lang w:eastAsia="en-GB"/>
        </w:rPr>
        <w:t xml:space="preserve"> coupled with demanding inspection regimes predominantly focused on academic results</w:t>
      </w:r>
      <w:r w:rsidR="002F70C0">
        <w:rPr>
          <w:rFonts w:eastAsia="Times New Roman" w:cstheme="minorHAnsi"/>
          <w:color w:val="000000"/>
          <w:lang w:eastAsia="en-GB"/>
        </w:rPr>
        <w:t>,</w:t>
      </w:r>
      <w:r w:rsidRPr="009B3747">
        <w:rPr>
          <w:rFonts w:eastAsia="Times New Roman" w:cstheme="minorHAnsi"/>
          <w:color w:val="000000"/>
          <w:lang w:eastAsia="en-GB"/>
        </w:rPr>
        <w:t xml:space="preserve"> meant anything on the ‘fringe’ of a school’s core purpose was not able to prioritised.  This was reported as the most significant barrier to many participants from state funded schools</w:t>
      </w:r>
      <w:r w:rsidR="002F70C0">
        <w:rPr>
          <w:rFonts w:eastAsia="Times New Roman" w:cstheme="minorHAnsi"/>
          <w:color w:val="000000"/>
          <w:lang w:eastAsia="en-GB"/>
        </w:rPr>
        <w:t>,</w:t>
      </w:r>
      <w:r w:rsidRPr="009B3747">
        <w:rPr>
          <w:rFonts w:eastAsia="Times New Roman" w:cstheme="minorHAnsi"/>
          <w:color w:val="000000"/>
          <w:lang w:eastAsia="en-GB"/>
        </w:rPr>
        <w:t xml:space="preserve"> who in general expressed a strong willingness to </w:t>
      </w:r>
      <w:r w:rsidR="002F70C0">
        <w:rPr>
          <w:rFonts w:eastAsia="Times New Roman" w:cstheme="minorHAnsi"/>
          <w:color w:val="000000"/>
          <w:lang w:eastAsia="en-GB"/>
        </w:rPr>
        <w:t xml:space="preserve">positively </w:t>
      </w:r>
      <w:r w:rsidRPr="009B3747">
        <w:rPr>
          <w:rFonts w:eastAsia="Times New Roman" w:cstheme="minorHAnsi"/>
          <w:color w:val="000000"/>
          <w:lang w:eastAsia="en-GB"/>
        </w:rPr>
        <w:t xml:space="preserve">influence adolescent </w:t>
      </w:r>
      <w:r w:rsidR="002F70C0">
        <w:rPr>
          <w:rFonts w:eastAsia="Times New Roman" w:cstheme="minorHAnsi"/>
          <w:color w:val="000000"/>
          <w:lang w:eastAsia="en-GB"/>
        </w:rPr>
        <w:t>lifestyle behaviours.</w:t>
      </w:r>
    </w:p>
    <w:p w:rsidR="002F70C0" w:rsidRPr="009B3747" w:rsidRDefault="002F70C0" w:rsidP="002F70C0">
      <w:pPr>
        <w:rPr>
          <w:rFonts w:eastAsia="Times New Roman" w:cstheme="minorHAnsi"/>
          <w:sz w:val="24"/>
          <w:szCs w:val="24"/>
          <w:lang w:eastAsia="en-GB"/>
        </w:rPr>
      </w:pP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“If you have a look, secondary schools have been forced to focus entirely on results and the results are dictated and clearly laid out. And when you start and try to deliver on those how the heck they manage to do any extracurricular activities I don’t know….Our priorities with a fat kid, get him through his GCSEs and you know, anything else is totally incidental.”  </w:t>
      </w:r>
      <w:r w:rsidRPr="009B3747">
        <w:rPr>
          <w:rFonts w:eastAsia="Times New Roman" w:cstheme="minorHAnsi"/>
          <w:b/>
          <w:bCs/>
          <w:color w:val="000000"/>
          <w:sz w:val="20"/>
          <w:szCs w:val="20"/>
          <w:lang w:eastAsia="en-GB"/>
        </w:rPr>
        <w:t>Participant 13</w:t>
      </w:r>
      <w:r w:rsidR="001D63C6" w:rsidRPr="009B3747">
        <w:rPr>
          <w:rFonts w:eastAsia="Times New Roman" w:cstheme="minorHAnsi"/>
          <w:b/>
          <w:bCs/>
          <w:color w:val="000000"/>
          <w:sz w:val="20"/>
          <w:szCs w:val="20"/>
          <w:lang w:eastAsia="en-GB"/>
        </w:rPr>
        <w:t xml:space="preserve"> (Chair of governors)</w:t>
      </w:r>
      <w:r w:rsidRPr="009B3747">
        <w:rPr>
          <w:rFonts w:eastAsia="Times New Roman" w:cstheme="minorHAnsi"/>
          <w:color w:val="000000"/>
          <w:sz w:val="20"/>
          <w:szCs w:val="20"/>
          <w:lang w:eastAsia="en-GB"/>
        </w:rPr>
        <w:t xml:space="preserve">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b/>
          <w:sz w:val="24"/>
          <w:szCs w:val="24"/>
          <w:lang w:eastAsia="en-GB"/>
        </w:rPr>
      </w:pPr>
      <w:r w:rsidRPr="009B3747">
        <w:rPr>
          <w:rFonts w:eastAsia="Times New Roman" w:cstheme="minorHAnsi"/>
          <w:i/>
          <w:iCs/>
          <w:color w:val="000000"/>
          <w:sz w:val="20"/>
          <w:szCs w:val="20"/>
          <w:lang w:eastAsia="en-GB"/>
        </w:rPr>
        <w:t>“It’s like it’s not my job, everybody is telling me I’ve got to get GCSEs out of the kids, I can’t make them thin and get them GCSEs so I’m going to get them GCSEs.”  </w:t>
      </w:r>
      <w:r w:rsidRPr="009B3747">
        <w:rPr>
          <w:rFonts w:eastAsia="Times New Roman" w:cstheme="minorHAnsi"/>
          <w:b/>
          <w:bCs/>
          <w:color w:val="000000"/>
          <w:sz w:val="20"/>
          <w:szCs w:val="20"/>
          <w:lang w:eastAsia="en-GB"/>
        </w:rPr>
        <w:t>Participant 21</w:t>
      </w:r>
      <w:r w:rsidRPr="009B3747">
        <w:rPr>
          <w:rFonts w:eastAsia="Times New Roman" w:cstheme="minorHAnsi"/>
          <w:color w:val="000000"/>
          <w:sz w:val="20"/>
          <w:szCs w:val="20"/>
          <w:lang w:eastAsia="en-GB"/>
        </w:rPr>
        <w:t xml:space="preserve"> </w:t>
      </w:r>
      <w:r w:rsidR="001D63C6" w:rsidRPr="009B3747">
        <w:rPr>
          <w:rFonts w:eastAsia="Times New Roman" w:cstheme="minorHAnsi"/>
          <w:color w:val="000000"/>
          <w:sz w:val="20"/>
          <w:szCs w:val="20"/>
          <w:lang w:eastAsia="en-GB"/>
        </w:rPr>
        <w:t>(</w:t>
      </w:r>
      <w:r w:rsidR="001D63C6" w:rsidRPr="009B3747">
        <w:rPr>
          <w:rFonts w:eastAsia="Times New Roman" w:cstheme="minorHAnsi"/>
          <w:b/>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For some an irony existed that despite the overwhelming national drive to improve academic results, there was still a government expectation that state funded schools should make a meaningful difference to the ‘whole child’.  Examples of which</w:t>
      </w:r>
      <w:r w:rsidR="002F70C0">
        <w:rPr>
          <w:rFonts w:eastAsia="Times New Roman" w:cstheme="minorHAnsi"/>
          <w:color w:val="000000"/>
          <w:lang w:eastAsia="en-GB"/>
        </w:rPr>
        <w:t>,</w:t>
      </w:r>
      <w:r w:rsidRPr="009B3747">
        <w:rPr>
          <w:rFonts w:eastAsia="Times New Roman" w:cstheme="minorHAnsi"/>
          <w:color w:val="000000"/>
          <w:lang w:eastAsia="en-GB"/>
        </w:rPr>
        <w:t xml:space="preserve"> included government ‘edicts’ or policies on pupil premium, cultural, religious and spiritual development, radicalisation (prevent strategy), healthy eating and school sport.  Meeting government expectations to deliver on such a wide range of </w:t>
      </w:r>
      <w:r w:rsidRPr="009B3747">
        <w:rPr>
          <w:rFonts w:eastAsia="Times New Roman" w:cstheme="minorHAnsi"/>
          <w:color w:val="000000"/>
          <w:lang w:eastAsia="en-GB"/>
        </w:rPr>
        <w:lastRenderedPageBreak/>
        <w:t>priorities was felt by most to</w:t>
      </w:r>
      <w:r w:rsidR="007F3CF4">
        <w:rPr>
          <w:rFonts w:eastAsia="Times New Roman" w:cstheme="minorHAnsi"/>
          <w:color w:val="000000"/>
          <w:lang w:eastAsia="en-GB"/>
        </w:rPr>
        <w:t xml:space="preserve"> be unrealistic and impractical.  This was </w:t>
      </w:r>
      <w:r w:rsidRPr="009B3747">
        <w:rPr>
          <w:rFonts w:eastAsia="Times New Roman" w:cstheme="minorHAnsi"/>
          <w:color w:val="000000"/>
          <w:lang w:eastAsia="en-GB"/>
        </w:rPr>
        <w:t xml:space="preserve">given the necessity to divert the majority of a school's capacity, resources and budget to what </w:t>
      </w:r>
      <w:r w:rsidR="007F3CF4">
        <w:rPr>
          <w:rFonts w:eastAsia="Times New Roman" w:cstheme="minorHAnsi"/>
          <w:color w:val="000000"/>
          <w:lang w:eastAsia="en-GB"/>
        </w:rPr>
        <w:t>schools</w:t>
      </w:r>
      <w:r w:rsidRPr="009B3747">
        <w:rPr>
          <w:rFonts w:eastAsia="Times New Roman" w:cstheme="minorHAnsi"/>
          <w:color w:val="000000"/>
          <w:lang w:eastAsia="en-GB"/>
        </w:rPr>
        <w:t xml:space="preserve"> are actually measured on and accountable for</w:t>
      </w:r>
      <w:r w:rsidR="002F70C0">
        <w:rPr>
          <w:rFonts w:eastAsia="Times New Roman" w:cstheme="minorHAnsi"/>
          <w:color w:val="000000"/>
          <w:lang w:eastAsia="en-GB"/>
        </w:rPr>
        <w:t>,</w:t>
      </w:r>
      <w:r w:rsidRPr="009B3747">
        <w:rPr>
          <w:rFonts w:eastAsia="Times New Roman" w:cstheme="minorHAnsi"/>
          <w:color w:val="000000"/>
          <w:lang w:eastAsia="en-GB"/>
        </w:rPr>
        <w:t xml:space="preserve"> i.e. improving pupil attainment. </w:t>
      </w:r>
    </w:p>
    <w:p w:rsidR="006F36A0" w:rsidRPr="009B3747" w:rsidRDefault="006F36A0" w:rsidP="006F36A0">
      <w:pPr>
        <w:rPr>
          <w:rFonts w:eastAsia="Times New Roman" w:cstheme="minorHAnsi"/>
          <w:sz w:val="24"/>
          <w:szCs w:val="24"/>
          <w:lang w:eastAsia="en-GB"/>
        </w:rPr>
      </w:pPr>
      <w:r w:rsidRPr="009B3747">
        <w:rPr>
          <w:rFonts w:eastAsia="Times New Roman" w:cstheme="minorHAnsi"/>
          <w:i/>
          <w:iCs/>
          <w:color w:val="000000"/>
          <w:sz w:val="20"/>
          <w:szCs w:val="20"/>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“Schools are very much being paired back in my view to an Ofsted schedule and passing exams and that’s fine if that’s what we want</w:t>
      </w:r>
      <w:r w:rsidR="00EB44DD">
        <w:rPr>
          <w:rFonts w:eastAsia="Times New Roman" w:cstheme="minorHAnsi"/>
          <w:i/>
          <w:iCs/>
          <w:color w:val="000000"/>
          <w:sz w:val="20"/>
          <w:szCs w:val="20"/>
          <w:lang w:eastAsia="en-GB"/>
        </w:rPr>
        <w:t xml:space="preserve"> as a country our schools to be, </w:t>
      </w:r>
      <w:r w:rsidRPr="009B3747">
        <w:rPr>
          <w:rFonts w:eastAsia="Times New Roman" w:cstheme="minorHAnsi"/>
          <w:i/>
          <w:iCs/>
          <w:color w:val="000000"/>
          <w:sz w:val="20"/>
          <w:szCs w:val="20"/>
          <w:lang w:eastAsia="en-GB"/>
        </w:rPr>
        <w:t xml:space="preserve">but they can’t expect to have an accountability system one way and then expect schools to do healthy lifestyles, drugs, you know, improve how parents work, you know, everything else. We can only do what we can do you know and my accountability isn’t all that stuff really.”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 xml:space="preserve">Participant 21 </w:t>
      </w:r>
      <w:r w:rsidR="001D63C6" w:rsidRPr="009B3747">
        <w:rPr>
          <w:rFonts w:eastAsia="Times New Roman" w:cstheme="minorHAnsi"/>
          <w:b/>
          <w:bCs/>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 xml:space="preserve">Participants reflected on the fact that despite a government expectation that schools should contribute to improving the lifestyle behaviours of adolescents, from recollection, Ofsted </w:t>
      </w:r>
      <w:r w:rsidR="002F70C0">
        <w:rPr>
          <w:rFonts w:eastAsia="Times New Roman" w:cstheme="minorHAnsi"/>
          <w:color w:val="000000"/>
          <w:lang w:eastAsia="en-GB"/>
        </w:rPr>
        <w:t xml:space="preserve">inspections did not assess resultant action or interventions </w:t>
      </w:r>
      <w:r w:rsidRPr="009B3747">
        <w:rPr>
          <w:rFonts w:eastAsia="Times New Roman" w:cstheme="minorHAnsi"/>
          <w:color w:val="000000"/>
          <w:lang w:eastAsia="en-GB"/>
        </w:rPr>
        <w:t>i.e. school catering, physical activity provision, formal health education.  Significant variation in opinions were evident when discussing whether increased school accountability for reducing excess weight or improving adolescent lifestyle behaviours</w:t>
      </w:r>
      <w:r w:rsidR="002F70C0">
        <w:rPr>
          <w:rFonts w:eastAsia="Times New Roman" w:cstheme="minorHAnsi"/>
          <w:color w:val="000000"/>
          <w:lang w:eastAsia="en-GB"/>
        </w:rPr>
        <w:t>, would</w:t>
      </w:r>
      <w:r w:rsidRPr="009B3747">
        <w:rPr>
          <w:rFonts w:eastAsia="Times New Roman" w:cstheme="minorHAnsi"/>
          <w:color w:val="000000"/>
          <w:lang w:eastAsia="en-GB"/>
        </w:rPr>
        <w:t xml:space="preserve"> be of value.  Most felt targets and performance indicators on the issue would galvanise action, due to ‘what gets measured, gets done’, however others believed it would simply increase their workload.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lang w:eastAsia="en-GB"/>
        </w:rPr>
        <w:t>“</w:t>
      </w:r>
      <w:r w:rsidRPr="009B3747">
        <w:rPr>
          <w:rFonts w:eastAsia="Times New Roman" w:cstheme="minorHAnsi"/>
          <w:i/>
          <w:iCs/>
          <w:color w:val="000000"/>
          <w:sz w:val="20"/>
          <w:szCs w:val="20"/>
          <w:lang w:eastAsia="en-GB"/>
        </w:rPr>
        <w:t>I just think we’ve got enough to do [laughs], in terms of the academics and then it’s so easy to be overwhelmed.”  </w:t>
      </w:r>
      <w:r w:rsidRPr="009B3747">
        <w:rPr>
          <w:rFonts w:eastAsia="Times New Roman" w:cstheme="minorHAnsi"/>
          <w:b/>
          <w:bCs/>
          <w:color w:val="000000"/>
          <w:sz w:val="20"/>
          <w:szCs w:val="20"/>
          <w:lang w:eastAsia="en-GB"/>
        </w:rPr>
        <w:t xml:space="preserve">Participant 7 </w:t>
      </w:r>
      <w:r w:rsidR="001D63C6" w:rsidRPr="009B3747">
        <w:rPr>
          <w:rFonts w:eastAsia="Times New Roman" w:cstheme="minorHAnsi"/>
          <w:b/>
          <w:bCs/>
          <w:color w:val="000000"/>
          <w:sz w:val="20"/>
          <w:szCs w:val="20"/>
          <w:lang w:eastAsia="en-GB"/>
        </w:rPr>
        <w:t>(Headteacher)</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b/>
          <w:bCs/>
          <w:i/>
          <w:iCs/>
          <w:color w:val="000000"/>
          <w:sz w:val="20"/>
          <w:szCs w:val="20"/>
          <w:lang w:eastAsia="en-GB"/>
        </w:rPr>
        <w:t>“</w:t>
      </w:r>
      <w:r w:rsidRPr="009B3747">
        <w:rPr>
          <w:rFonts w:eastAsia="Times New Roman" w:cstheme="minorHAnsi"/>
          <w:i/>
          <w:iCs/>
          <w:color w:val="000000"/>
          <w:sz w:val="20"/>
          <w:szCs w:val="20"/>
          <w:lang w:eastAsia="en-GB"/>
        </w:rPr>
        <w:t>But I think, if the government said every school is going to have an obesity strategy and every school is not going to have soft drinks and Ofsted when they come along will ask you “what’s your eating strategy” and then they actually did it, then it would be rolled out the following week. The week after we thought Ofsted were going to ask us questions, we’d be doing it and really it would be that simple to change.”  </w:t>
      </w:r>
      <w:r w:rsidRPr="009B3747">
        <w:rPr>
          <w:rFonts w:eastAsia="Times New Roman" w:cstheme="minorHAnsi"/>
          <w:b/>
          <w:bCs/>
          <w:color w:val="000000"/>
          <w:sz w:val="20"/>
          <w:szCs w:val="20"/>
          <w:lang w:eastAsia="en-GB"/>
        </w:rPr>
        <w:t>Participant 12</w:t>
      </w:r>
      <w:r w:rsidR="001D63C6" w:rsidRPr="009B3747">
        <w:rPr>
          <w:rFonts w:eastAsia="Times New Roman" w:cstheme="minorHAnsi"/>
          <w:b/>
          <w:bCs/>
          <w:color w:val="000000"/>
          <w:sz w:val="20"/>
          <w:szCs w:val="20"/>
          <w:lang w:eastAsia="en-GB"/>
        </w:rPr>
        <w:t xml:space="preserve"> (Chair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 xml:space="preserve">One chair of governors felt however that an increasing government focus on issues like excess weight would detract from a school's core purpose to educate its pupils.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“E</w:t>
      </w:r>
      <w:r w:rsidR="00EB44DD">
        <w:rPr>
          <w:rFonts w:eastAsia="Times New Roman" w:cstheme="minorHAnsi"/>
          <w:i/>
          <w:iCs/>
          <w:color w:val="000000"/>
          <w:sz w:val="20"/>
          <w:szCs w:val="20"/>
          <w:lang w:eastAsia="en-GB"/>
        </w:rPr>
        <w:t>xcuse me for being old fashioned,</w:t>
      </w:r>
      <w:r w:rsidRPr="009B3747">
        <w:rPr>
          <w:rFonts w:eastAsia="Times New Roman" w:cstheme="minorHAnsi"/>
          <w:i/>
          <w:iCs/>
          <w:color w:val="000000"/>
          <w:sz w:val="20"/>
          <w:szCs w:val="20"/>
          <w:lang w:eastAsia="en-GB"/>
        </w:rPr>
        <w:t xml:space="preserve"> but is primarily [laughs], should be primarily dedicated to the learning of young people and not the health issues…..I think I would be somewhat alarmed if a section five could put a school in a category because of the weight profile of the student population because I think it’s putting an emphasis on a school that’s inappropriate.”  </w:t>
      </w:r>
      <w:r w:rsidRPr="009B3747">
        <w:rPr>
          <w:rFonts w:eastAsia="Times New Roman" w:cstheme="minorHAnsi"/>
          <w:b/>
          <w:bCs/>
          <w:color w:val="000000"/>
          <w:sz w:val="20"/>
          <w:szCs w:val="20"/>
          <w:lang w:eastAsia="en-GB"/>
        </w:rPr>
        <w:t>Participant 20</w:t>
      </w:r>
      <w:r w:rsidRPr="009B3747">
        <w:rPr>
          <w:rFonts w:eastAsia="Times New Roman" w:cstheme="minorHAnsi"/>
          <w:color w:val="000000"/>
          <w:sz w:val="20"/>
          <w:szCs w:val="20"/>
          <w:lang w:eastAsia="en-GB"/>
        </w:rPr>
        <w:t xml:space="preserve"> </w:t>
      </w:r>
      <w:r w:rsidR="001D63C6" w:rsidRPr="009B3747">
        <w:rPr>
          <w:rFonts w:eastAsia="Times New Roman" w:cstheme="minorHAnsi"/>
          <w:b/>
          <w:color w:val="000000"/>
          <w:sz w:val="20"/>
          <w:szCs w:val="20"/>
          <w:lang w:eastAsia="en-GB"/>
        </w:rPr>
        <w:t>(Chair of governors)</w:t>
      </w:r>
      <w:r w:rsidRPr="009B3747">
        <w:rPr>
          <w:rFonts w:eastAsia="Times New Roman" w:cstheme="minorHAnsi"/>
          <w:color w:val="000000"/>
          <w:sz w:val="20"/>
          <w:szCs w:val="20"/>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lastRenderedPageBreak/>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Compounding the problem of competing priorities between a school and government was the perception of reducing school budgets, across both primary and secondary state funded education.  For the majority of headteachers and chairs of governors from state funded schools, less resources and funding led to the nece</w:t>
      </w:r>
      <w:r w:rsidR="002F70C0">
        <w:rPr>
          <w:rFonts w:eastAsia="Times New Roman" w:cstheme="minorHAnsi"/>
          <w:color w:val="000000"/>
          <w:lang w:eastAsia="en-GB"/>
        </w:rPr>
        <w:t xml:space="preserve">ssity to cut back or stop </w:t>
      </w:r>
      <w:r w:rsidRPr="009B3747">
        <w:rPr>
          <w:rFonts w:eastAsia="Times New Roman" w:cstheme="minorHAnsi"/>
          <w:color w:val="000000"/>
          <w:lang w:eastAsia="en-GB"/>
        </w:rPr>
        <w:t>activities</w:t>
      </w:r>
      <w:r w:rsidR="002F70C0">
        <w:rPr>
          <w:rFonts w:eastAsia="Times New Roman" w:cstheme="minorHAnsi"/>
          <w:color w:val="000000"/>
          <w:lang w:eastAsia="en-GB"/>
        </w:rPr>
        <w:t>, which do</w:t>
      </w:r>
      <w:r w:rsidRPr="009B3747">
        <w:rPr>
          <w:rFonts w:eastAsia="Times New Roman" w:cstheme="minorHAnsi"/>
          <w:color w:val="000000"/>
          <w:lang w:eastAsia="en-GB"/>
        </w:rPr>
        <w:t xml:space="preserve"> </w:t>
      </w:r>
      <w:r w:rsidR="002F70C0">
        <w:rPr>
          <w:rFonts w:eastAsia="Times New Roman" w:cstheme="minorHAnsi"/>
          <w:color w:val="000000"/>
          <w:lang w:eastAsia="en-GB"/>
        </w:rPr>
        <w:t xml:space="preserve">not directly contribute to the </w:t>
      </w:r>
      <w:r w:rsidRPr="009B3747">
        <w:rPr>
          <w:rFonts w:eastAsia="Times New Roman" w:cstheme="minorHAnsi"/>
          <w:color w:val="000000"/>
          <w:lang w:eastAsia="en-GB"/>
        </w:rPr>
        <w:t xml:space="preserve">academic success of a secondary school.  Examples of which related to the quality and provision of sport activities and improvements to school catering.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b/>
          <w:sz w:val="24"/>
          <w:szCs w:val="24"/>
          <w:lang w:eastAsia="en-GB"/>
        </w:rPr>
      </w:pPr>
      <w:r w:rsidRPr="009B3747">
        <w:rPr>
          <w:rFonts w:eastAsia="Times New Roman" w:cstheme="minorHAnsi"/>
          <w:i/>
          <w:iCs/>
          <w:color w:val="000000"/>
          <w:sz w:val="20"/>
          <w:szCs w:val="20"/>
          <w:lang w:eastAsia="en-GB"/>
        </w:rPr>
        <w:t xml:space="preserve">“If you don’t get enough money to fund that then you have to draw back and what you tend to draw back to is our teachers, as they’re very expensive, yeah, but that means you haven’t got the same resources to do some of the fringe activities like dealing with obesity, like like exercise, like all those other things, like catering, things you’d like to do.”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 xml:space="preserve">Participant 3 </w:t>
      </w:r>
      <w:r w:rsidR="001D63C6" w:rsidRPr="009B3747">
        <w:rPr>
          <w:rFonts w:eastAsia="Times New Roman" w:cstheme="minorHAnsi"/>
          <w:b/>
          <w:bCs/>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“Why is that, I think that what the government has done is scandalous in terms of taking funding away, taking teachers away and that starts right at primary school. The fact that some primary schools will not have a PE trained, PE teacher is scandalous.”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 xml:space="preserve">Participant 14 </w:t>
      </w:r>
      <w:r w:rsidR="001D63C6" w:rsidRPr="009B3747">
        <w:rPr>
          <w:rFonts w:eastAsia="Times New Roman" w:cstheme="minorHAnsi"/>
          <w:b/>
          <w:bCs/>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Despite the acknowledgement that competing priorities and financial pressures exist within the education system, some headteachers in particular felt resolute that their own values and the ethos, vision or culture of their school could enable the whole child</w:t>
      </w:r>
      <w:r w:rsidR="002F70C0">
        <w:rPr>
          <w:rFonts w:eastAsia="Times New Roman" w:cstheme="minorHAnsi"/>
          <w:color w:val="000000"/>
          <w:lang w:eastAsia="en-GB"/>
        </w:rPr>
        <w:t xml:space="preserve"> to still be prioritised.  This included the</w:t>
      </w:r>
      <w:r w:rsidRPr="009B3747">
        <w:rPr>
          <w:rFonts w:eastAsia="Times New Roman" w:cstheme="minorHAnsi"/>
          <w:color w:val="000000"/>
          <w:lang w:eastAsia="en-GB"/>
        </w:rPr>
        <w:t xml:space="preserve"> promotion of adolescent health and lifestyle behaviours.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b/>
          <w:sz w:val="24"/>
          <w:szCs w:val="24"/>
          <w:lang w:eastAsia="en-GB"/>
        </w:rPr>
      </w:pPr>
      <w:r w:rsidRPr="009B3747">
        <w:rPr>
          <w:rFonts w:eastAsia="Times New Roman" w:cstheme="minorHAnsi"/>
          <w:i/>
          <w:iCs/>
          <w:color w:val="000000"/>
          <w:sz w:val="20"/>
          <w:szCs w:val="20"/>
          <w:lang w:eastAsia="en-GB"/>
        </w:rPr>
        <w:t>“Yeah, I think anything you’re going to be measured on and accountable for is going to be first and foremost in your priorities</w:t>
      </w:r>
      <w:r w:rsidR="00EB44DD">
        <w:rPr>
          <w:rFonts w:eastAsia="Times New Roman" w:cstheme="minorHAnsi"/>
          <w:i/>
          <w:iCs/>
          <w:color w:val="000000"/>
          <w:sz w:val="20"/>
          <w:szCs w:val="20"/>
          <w:lang w:eastAsia="en-GB"/>
        </w:rPr>
        <w:t xml:space="preserve">, </w:t>
      </w:r>
      <w:r w:rsidRPr="009B3747">
        <w:rPr>
          <w:rFonts w:eastAsia="Times New Roman" w:cstheme="minorHAnsi"/>
          <w:i/>
          <w:iCs/>
          <w:color w:val="000000"/>
          <w:sz w:val="20"/>
          <w:szCs w:val="20"/>
          <w:lang w:eastAsia="en-GB"/>
        </w:rPr>
        <w:t>but equally its again the ethos of the school, if you believe as we do that qualifications and character count….within that sphere healthy lifestyle, healthy choices can feature thus it is important for school you know, yes, things that you are acc</w:t>
      </w:r>
      <w:r w:rsidR="00EB44DD">
        <w:rPr>
          <w:rFonts w:eastAsia="Times New Roman" w:cstheme="minorHAnsi"/>
          <w:i/>
          <w:iCs/>
          <w:color w:val="000000"/>
          <w:sz w:val="20"/>
          <w:szCs w:val="20"/>
          <w:lang w:eastAsia="en-GB"/>
        </w:rPr>
        <w:t xml:space="preserve">ountable for are very important, </w:t>
      </w:r>
      <w:r w:rsidRPr="009B3747">
        <w:rPr>
          <w:rFonts w:eastAsia="Times New Roman" w:cstheme="minorHAnsi"/>
          <w:i/>
          <w:iCs/>
          <w:color w:val="000000"/>
          <w:sz w:val="20"/>
          <w:szCs w:val="20"/>
          <w:lang w:eastAsia="en-GB"/>
        </w:rPr>
        <w:t>but so are the soft, softer values, you know, the things that can influence children’s self-esteem and life choices.”  </w:t>
      </w:r>
      <w:r w:rsidRPr="009B3747">
        <w:rPr>
          <w:rFonts w:eastAsia="Times New Roman" w:cstheme="minorHAnsi"/>
          <w:b/>
          <w:bCs/>
          <w:color w:val="000000"/>
          <w:sz w:val="20"/>
          <w:szCs w:val="20"/>
          <w:lang w:eastAsia="en-GB"/>
        </w:rPr>
        <w:t>Participant 10</w:t>
      </w:r>
      <w:r w:rsidRPr="009B3747">
        <w:rPr>
          <w:rFonts w:eastAsia="Times New Roman" w:cstheme="minorHAnsi"/>
          <w:color w:val="000000"/>
          <w:sz w:val="20"/>
          <w:szCs w:val="20"/>
          <w:lang w:eastAsia="en-GB"/>
        </w:rPr>
        <w:t xml:space="preserve"> </w:t>
      </w:r>
      <w:r w:rsidR="001D63C6" w:rsidRPr="009B3747">
        <w:rPr>
          <w:rFonts w:eastAsia="Times New Roman" w:cstheme="minorHAnsi"/>
          <w:b/>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Headteachers of independent schools in particular</w:t>
      </w:r>
      <w:r w:rsidR="002F70C0">
        <w:rPr>
          <w:rFonts w:eastAsia="Times New Roman" w:cstheme="minorHAnsi"/>
          <w:color w:val="000000"/>
          <w:lang w:eastAsia="en-GB"/>
        </w:rPr>
        <w:t>,</w:t>
      </w:r>
      <w:r w:rsidRPr="009B3747">
        <w:rPr>
          <w:rFonts w:eastAsia="Times New Roman" w:cstheme="minorHAnsi"/>
          <w:color w:val="000000"/>
          <w:lang w:eastAsia="en-GB"/>
        </w:rPr>
        <w:t xml:space="preserve"> placed significant emphasis and value in creating a whole school culture that promotes health and well-being.  They perceived the ability to do this was facilitated by the increased autonomy and resources independent schools access</w:t>
      </w:r>
      <w:r w:rsidR="002F70C0">
        <w:rPr>
          <w:rFonts w:eastAsia="Times New Roman" w:cstheme="minorHAnsi"/>
          <w:color w:val="000000"/>
          <w:lang w:eastAsia="en-GB"/>
        </w:rPr>
        <w:t>,</w:t>
      </w:r>
      <w:r w:rsidRPr="009B3747">
        <w:rPr>
          <w:rFonts w:eastAsia="Times New Roman" w:cstheme="minorHAnsi"/>
          <w:color w:val="000000"/>
          <w:lang w:eastAsia="en-GB"/>
        </w:rPr>
        <w:t xml:space="preserve"> in comparison to state funded schools.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lastRenderedPageBreak/>
        <w:t xml:space="preserve">“Because we’re an independent school, we’re not constrained by the national curriculum so we put in some extra modules on </w:t>
      </w:r>
      <w:r w:rsidR="009025E2">
        <w:rPr>
          <w:rFonts w:eastAsia="Times New Roman" w:cstheme="minorHAnsi"/>
          <w:i/>
          <w:iCs/>
          <w:color w:val="000000"/>
          <w:sz w:val="20"/>
          <w:szCs w:val="20"/>
          <w:lang w:eastAsia="en-GB"/>
        </w:rPr>
        <w:t xml:space="preserve">you know, healthy living really, </w:t>
      </w:r>
      <w:r w:rsidRPr="009B3747">
        <w:rPr>
          <w:rFonts w:eastAsia="Times New Roman" w:cstheme="minorHAnsi"/>
          <w:i/>
          <w:iCs/>
          <w:color w:val="000000"/>
          <w:sz w:val="20"/>
          <w:szCs w:val="20"/>
          <w:lang w:eastAsia="en-GB"/>
        </w:rPr>
        <w:t>which as well as covering exercise and diet, also covers dangers of drugs, smoking and alcohol.”  </w:t>
      </w:r>
      <w:r w:rsidRPr="009B3747">
        <w:rPr>
          <w:rFonts w:eastAsia="Times New Roman" w:cstheme="minorHAnsi"/>
          <w:b/>
          <w:bCs/>
          <w:color w:val="000000"/>
          <w:sz w:val="20"/>
          <w:szCs w:val="20"/>
          <w:lang w:eastAsia="en-GB"/>
        </w:rPr>
        <w:t xml:space="preserve">Participant 5 </w:t>
      </w:r>
      <w:r w:rsidR="001D63C6" w:rsidRPr="009B3747">
        <w:rPr>
          <w:rFonts w:eastAsia="Times New Roman" w:cstheme="minorHAnsi"/>
          <w:b/>
          <w:bCs/>
          <w:color w:val="000000"/>
          <w:sz w:val="20"/>
          <w:szCs w:val="20"/>
          <w:lang w:eastAsia="en-GB"/>
        </w:rPr>
        <w:t>(Headteacher)</w:t>
      </w:r>
      <w:r w:rsidRPr="009B3747">
        <w:rPr>
          <w:rFonts w:eastAsia="Times New Roman" w:cstheme="minorHAnsi"/>
          <w:color w:val="000000"/>
          <w:sz w:val="20"/>
          <w:szCs w:val="20"/>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For many across both state funded and independent schools, the desire to create a school culture and ethos that promoted the value of healthy lifestyle behaviours was often driven by the understanding of the reciprocal relationship between health and academic performance.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“I think that government put so much pressure on them to get a good Ofsted I think it takes a very very brave head to break the trend and actually say “this is really important, I actually don’t care what you say Ofsted, I know and believe that if kids are playing sport their academic achievements will improve”, it takes a very brave head to take that step.”</w:t>
      </w:r>
      <w:r w:rsidRPr="009B3747">
        <w:rPr>
          <w:rFonts w:eastAsia="Times New Roman" w:cstheme="minorHAnsi"/>
          <w:color w:val="000000"/>
          <w:sz w:val="20"/>
          <w:szCs w:val="20"/>
          <w:lang w:eastAsia="en-GB"/>
        </w:rPr>
        <w:t xml:space="preserve">  </w:t>
      </w:r>
      <w:r w:rsidRPr="009B3747">
        <w:rPr>
          <w:rFonts w:eastAsia="Times New Roman" w:cstheme="minorHAnsi"/>
          <w:b/>
          <w:bCs/>
          <w:color w:val="000000"/>
          <w:sz w:val="20"/>
          <w:szCs w:val="20"/>
          <w:lang w:eastAsia="en-GB"/>
        </w:rPr>
        <w:t>Participant 14</w:t>
      </w:r>
      <w:r w:rsidR="001D63C6" w:rsidRPr="009B3747">
        <w:rPr>
          <w:rFonts w:eastAsia="Times New Roman" w:cstheme="minorHAnsi"/>
          <w:b/>
          <w:bCs/>
          <w:color w:val="000000"/>
          <w:sz w:val="20"/>
          <w:szCs w:val="20"/>
          <w:lang w:eastAsia="en-GB"/>
        </w:rPr>
        <w:t xml:space="preserve"> (Headteacher)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1D63C6" w:rsidRPr="009B3747" w:rsidRDefault="006F36A0" w:rsidP="006F36A0">
      <w:pPr>
        <w:ind w:left="720"/>
        <w:rPr>
          <w:rFonts w:eastAsia="Times New Roman" w:cstheme="minorHAnsi"/>
          <w:i/>
          <w:iCs/>
          <w:color w:val="000000"/>
          <w:sz w:val="20"/>
          <w:szCs w:val="20"/>
          <w:lang w:eastAsia="en-GB"/>
        </w:rPr>
      </w:pPr>
      <w:r w:rsidRPr="009B3747">
        <w:rPr>
          <w:rFonts w:eastAsia="Times New Roman" w:cstheme="minorHAnsi"/>
          <w:i/>
          <w:iCs/>
          <w:color w:val="000000"/>
          <w:sz w:val="20"/>
          <w:szCs w:val="20"/>
          <w:lang w:eastAsia="en-GB"/>
        </w:rPr>
        <w:t>“I lose £70k a year on catering</w:t>
      </w:r>
      <w:r w:rsidR="00EB44DD">
        <w:rPr>
          <w:rFonts w:eastAsia="Times New Roman" w:cstheme="minorHAnsi"/>
          <w:i/>
          <w:iCs/>
          <w:color w:val="000000"/>
          <w:sz w:val="20"/>
          <w:szCs w:val="20"/>
          <w:lang w:eastAsia="en-GB"/>
        </w:rPr>
        <w:t>,</w:t>
      </w:r>
      <w:r w:rsidRPr="009B3747">
        <w:rPr>
          <w:rFonts w:eastAsia="Times New Roman" w:cstheme="minorHAnsi"/>
          <w:i/>
          <w:iCs/>
          <w:color w:val="000000"/>
          <w:sz w:val="20"/>
          <w:szCs w:val="20"/>
          <w:lang w:eastAsia="en-GB"/>
        </w:rPr>
        <w:t xml:space="preserve"> but if I don’t put that in then I know kids aren’t going to get you know a nutritional meal and I know it will affect their lives and also their education.”  </w:t>
      </w:r>
    </w:p>
    <w:p w:rsidR="006F36A0" w:rsidRPr="009B3747" w:rsidRDefault="006F36A0" w:rsidP="006F36A0">
      <w:pPr>
        <w:ind w:left="720"/>
        <w:rPr>
          <w:rFonts w:eastAsia="Times New Roman" w:cstheme="minorHAnsi"/>
          <w:b/>
          <w:sz w:val="24"/>
          <w:szCs w:val="24"/>
          <w:lang w:eastAsia="en-GB"/>
        </w:rPr>
      </w:pPr>
      <w:r w:rsidRPr="009B3747">
        <w:rPr>
          <w:rFonts w:eastAsia="Times New Roman" w:cstheme="minorHAnsi"/>
          <w:b/>
          <w:bCs/>
          <w:color w:val="000000"/>
          <w:sz w:val="20"/>
          <w:szCs w:val="20"/>
          <w:lang w:eastAsia="en-GB"/>
        </w:rPr>
        <w:t>Participant 21</w:t>
      </w:r>
      <w:r w:rsidRPr="009B3747">
        <w:rPr>
          <w:rFonts w:eastAsia="Times New Roman" w:cstheme="minorHAnsi"/>
          <w:color w:val="000000"/>
          <w:sz w:val="20"/>
          <w:szCs w:val="20"/>
          <w:lang w:eastAsia="en-GB"/>
        </w:rPr>
        <w:t xml:space="preserve"> </w:t>
      </w:r>
      <w:r w:rsidR="001D63C6" w:rsidRPr="009B3747">
        <w:rPr>
          <w:rFonts w:eastAsia="Times New Roman" w:cstheme="minorHAnsi"/>
          <w:b/>
          <w:color w:val="000000"/>
          <w:sz w:val="20"/>
          <w:szCs w:val="20"/>
          <w:lang w:eastAsia="en-GB"/>
        </w:rPr>
        <w:t>(Headteacher)</w:t>
      </w:r>
    </w:p>
    <w:p w:rsidR="005647C8"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551065" w:rsidP="006F36A0">
      <w:pPr>
        <w:rPr>
          <w:rFonts w:eastAsia="Times New Roman" w:cstheme="minorHAnsi"/>
          <w:sz w:val="24"/>
          <w:szCs w:val="24"/>
          <w:u w:val="single"/>
          <w:lang w:eastAsia="en-GB"/>
        </w:rPr>
      </w:pPr>
      <w:r w:rsidRPr="009B3747">
        <w:rPr>
          <w:rFonts w:eastAsia="Times New Roman" w:cstheme="minorHAnsi"/>
          <w:iCs/>
          <w:color w:val="000000"/>
          <w:u w:val="single"/>
          <w:lang w:eastAsia="en-GB"/>
        </w:rPr>
        <w:t>6.7</w:t>
      </w:r>
      <w:r w:rsidR="00991D2F" w:rsidRPr="009B3747">
        <w:rPr>
          <w:rFonts w:eastAsia="Times New Roman" w:cstheme="minorHAnsi"/>
          <w:iCs/>
          <w:color w:val="000000"/>
          <w:u w:val="single"/>
          <w:lang w:eastAsia="en-GB"/>
        </w:rPr>
        <w:t>.3</w:t>
      </w:r>
      <w:r w:rsidR="006F36A0" w:rsidRPr="009B3747">
        <w:rPr>
          <w:rFonts w:eastAsia="Times New Roman" w:cstheme="minorHAnsi"/>
          <w:iCs/>
          <w:color w:val="000000"/>
          <w:u w:val="single"/>
          <w:lang w:eastAsia="en-GB"/>
        </w:rPr>
        <w:t xml:space="preserve"> Role modelling in schools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A topic of consideration and at times concern across participants was the aspect of role modelling in secondary school settings.  Discussions about po</w:t>
      </w:r>
      <w:r w:rsidR="002F70C0">
        <w:rPr>
          <w:rFonts w:eastAsia="Times New Roman" w:cstheme="minorHAnsi"/>
          <w:color w:val="000000"/>
          <w:lang w:eastAsia="en-GB"/>
        </w:rPr>
        <w:t xml:space="preserve">sitive and negative role models, </w:t>
      </w:r>
      <w:r w:rsidRPr="009B3747">
        <w:rPr>
          <w:rFonts w:eastAsia="Times New Roman" w:cstheme="minorHAnsi"/>
          <w:color w:val="000000"/>
          <w:lang w:eastAsia="en-GB"/>
        </w:rPr>
        <w:t>centred on how the weight status, dietary habits and physical a</w:t>
      </w:r>
      <w:r w:rsidR="002F70C0">
        <w:rPr>
          <w:rFonts w:eastAsia="Times New Roman" w:cstheme="minorHAnsi"/>
          <w:color w:val="000000"/>
          <w:lang w:eastAsia="en-GB"/>
        </w:rPr>
        <w:t xml:space="preserve">ctivity behaviours of </w:t>
      </w:r>
      <w:r w:rsidRPr="009B3747">
        <w:rPr>
          <w:rFonts w:eastAsia="Times New Roman" w:cstheme="minorHAnsi"/>
          <w:color w:val="000000"/>
          <w:lang w:eastAsia="en-GB"/>
        </w:rPr>
        <w:t>school</w:t>
      </w:r>
      <w:r w:rsidRPr="009B3747">
        <w:rPr>
          <w:rFonts w:eastAsia="Times New Roman" w:cstheme="minorHAnsi"/>
          <w:i/>
          <w:iCs/>
          <w:color w:val="000000"/>
          <w:lang w:eastAsia="en-GB"/>
        </w:rPr>
        <w:t xml:space="preserve"> </w:t>
      </w:r>
      <w:r w:rsidRPr="009B3747">
        <w:rPr>
          <w:rFonts w:eastAsia="Times New Roman" w:cstheme="minorHAnsi"/>
          <w:color w:val="000000"/>
          <w:lang w:eastAsia="en-GB"/>
        </w:rPr>
        <w:t>staff</w:t>
      </w:r>
      <w:r w:rsidRPr="009B3747">
        <w:rPr>
          <w:rFonts w:eastAsia="Times New Roman" w:cstheme="minorHAnsi"/>
          <w:i/>
          <w:iCs/>
          <w:color w:val="000000"/>
          <w:lang w:eastAsia="en-GB"/>
        </w:rPr>
        <w:t xml:space="preserve"> </w:t>
      </w:r>
      <w:r w:rsidRPr="009B3747">
        <w:rPr>
          <w:rFonts w:eastAsia="Times New Roman" w:cstheme="minorHAnsi"/>
          <w:color w:val="000000"/>
          <w:lang w:eastAsia="en-GB"/>
        </w:rPr>
        <w:t>impacts upon the lifestyle behaviours of pup</w:t>
      </w:r>
      <w:r w:rsidR="00DB655F" w:rsidRPr="009B3747">
        <w:rPr>
          <w:rFonts w:eastAsia="Times New Roman" w:cstheme="minorHAnsi"/>
          <w:color w:val="000000"/>
          <w:lang w:eastAsia="en-GB"/>
        </w:rPr>
        <w:t>ils.   In the main</w:t>
      </w:r>
      <w:r w:rsidR="002F70C0">
        <w:rPr>
          <w:rFonts w:eastAsia="Times New Roman" w:cstheme="minorHAnsi"/>
          <w:color w:val="000000"/>
          <w:lang w:eastAsia="en-GB"/>
        </w:rPr>
        <w:t>,</w:t>
      </w:r>
      <w:r w:rsidR="00DB655F" w:rsidRPr="009B3747">
        <w:rPr>
          <w:rFonts w:eastAsia="Times New Roman" w:cstheme="minorHAnsi"/>
          <w:color w:val="000000"/>
          <w:lang w:eastAsia="en-GB"/>
        </w:rPr>
        <w:t xml:space="preserve"> headteachers</w:t>
      </w:r>
      <w:r w:rsidR="004B590A" w:rsidRPr="009B3747">
        <w:rPr>
          <w:rFonts w:eastAsia="Times New Roman" w:cstheme="minorHAnsi"/>
          <w:color w:val="000000"/>
          <w:lang w:eastAsia="en-GB"/>
        </w:rPr>
        <w:t xml:space="preserve"> </w:t>
      </w:r>
      <w:r w:rsidRPr="009B3747">
        <w:rPr>
          <w:rFonts w:eastAsia="Times New Roman" w:cstheme="minorHAnsi"/>
          <w:color w:val="000000"/>
          <w:lang w:eastAsia="en-GB"/>
        </w:rPr>
        <w:t>and chairs of governors felt that teachers and support staff should model healthy behaviours where possible</w:t>
      </w:r>
      <w:r w:rsidR="002F70C0">
        <w:rPr>
          <w:rFonts w:eastAsia="Times New Roman" w:cstheme="minorHAnsi"/>
          <w:color w:val="000000"/>
          <w:lang w:eastAsia="en-GB"/>
        </w:rPr>
        <w:t>,</w:t>
      </w:r>
      <w:r w:rsidRPr="009B3747">
        <w:rPr>
          <w:rFonts w:eastAsia="Times New Roman" w:cstheme="minorHAnsi"/>
          <w:color w:val="000000"/>
          <w:lang w:eastAsia="en-GB"/>
        </w:rPr>
        <w:t xml:space="preserve"> within a school environment.  This was due to the belief that it would enhance the credibility of healthy lifestyle messages students receive through formal education, extra-curricular activities and the wider school environment (i.e. school catering).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“The receptionist, she ran the marathon last year.  But we made big thing about it, in school about the fundraising and celebrating it.  And it’s this idea of you know, being fit and healthy is beyond children almost so that we role model.”  </w:t>
      </w:r>
      <w:r w:rsidRPr="009B3747">
        <w:rPr>
          <w:rFonts w:eastAsia="Times New Roman" w:cstheme="minorHAnsi"/>
          <w:b/>
          <w:bCs/>
          <w:color w:val="000000"/>
          <w:sz w:val="20"/>
          <w:szCs w:val="20"/>
          <w:lang w:eastAsia="en-GB"/>
        </w:rPr>
        <w:t>Participant 1</w:t>
      </w:r>
      <w:r w:rsidR="001D63C6" w:rsidRPr="009B3747">
        <w:rPr>
          <w:rFonts w:eastAsia="Times New Roman" w:cstheme="minorHAnsi"/>
          <w:b/>
          <w:bCs/>
          <w:color w:val="000000"/>
          <w:sz w:val="20"/>
          <w:szCs w:val="20"/>
          <w:lang w:eastAsia="en-GB"/>
        </w:rPr>
        <w:t xml:space="preserve"> (Headteacher)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For many, reflections from headteachers were presented in regards to how their own lifestyle behaviours</w:t>
      </w:r>
      <w:r w:rsidR="002F70C0">
        <w:rPr>
          <w:rFonts w:eastAsia="Times New Roman" w:cstheme="minorHAnsi"/>
          <w:color w:val="000000"/>
          <w:lang w:eastAsia="en-GB"/>
        </w:rPr>
        <w:t>,</w:t>
      </w:r>
      <w:r w:rsidRPr="009B3747">
        <w:rPr>
          <w:rFonts w:eastAsia="Times New Roman" w:cstheme="minorHAnsi"/>
          <w:color w:val="000000"/>
          <w:lang w:eastAsia="en-GB"/>
        </w:rPr>
        <w:t xml:space="preserve"> demonstrated within the secondary school setting</w:t>
      </w:r>
      <w:r w:rsidR="002F70C0">
        <w:rPr>
          <w:rFonts w:eastAsia="Times New Roman" w:cstheme="minorHAnsi"/>
          <w:color w:val="000000"/>
          <w:lang w:eastAsia="en-GB"/>
        </w:rPr>
        <w:t>,</w:t>
      </w:r>
      <w:r w:rsidRPr="009B3747">
        <w:rPr>
          <w:rFonts w:eastAsia="Times New Roman" w:cstheme="minorHAnsi"/>
          <w:color w:val="000000"/>
          <w:lang w:eastAsia="en-GB"/>
        </w:rPr>
        <w:t xml:space="preserve"> had the potential to set a good or poor example to students.  </w:t>
      </w: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lastRenderedPageBreak/>
        <w:t>“Children see me eating healthily because I do eat healthily in the canteen when we do eat. Things like Comic Relief, Sport Relief, I was out there.”  </w:t>
      </w:r>
      <w:r w:rsidRPr="009B3747">
        <w:rPr>
          <w:rFonts w:eastAsia="Times New Roman" w:cstheme="minorHAnsi"/>
          <w:b/>
          <w:bCs/>
          <w:color w:val="000000"/>
          <w:sz w:val="20"/>
          <w:szCs w:val="20"/>
          <w:lang w:eastAsia="en-GB"/>
        </w:rPr>
        <w:t xml:space="preserve">Participant 19 </w:t>
      </w:r>
      <w:r w:rsidR="001D63C6" w:rsidRPr="009B3747">
        <w:rPr>
          <w:rFonts w:eastAsia="Times New Roman" w:cstheme="minorHAnsi"/>
          <w:b/>
          <w:bCs/>
          <w:color w:val="000000"/>
          <w:sz w:val="20"/>
          <w:szCs w:val="20"/>
          <w:lang w:eastAsia="en-GB"/>
        </w:rPr>
        <w:t>(Headteacher)</w:t>
      </w:r>
      <w:r w:rsidRPr="009B3747">
        <w:rPr>
          <w:rFonts w:eastAsia="Times New Roman" w:cstheme="minorHAnsi"/>
          <w:color w:val="000000"/>
          <w:sz w:val="20"/>
          <w:szCs w:val="20"/>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Headteachers more so than chairs of governors, presented extensive examples of where school staff had engaged in or demonstrated healthy eating and physical activity practices in school.  Frequent reference was made to staff joining students for lunch within the school’s dining facilities, not only to encourage healthy eating practices</w:t>
      </w:r>
      <w:r w:rsidR="00EB44DD">
        <w:rPr>
          <w:rFonts w:eastAsia="Times New Roman" w:cstheme="minorHAnsi"/>
          <w:color w:val="000000"/>
          <w:lang w:eastAsia="en-GB"/>
        </w:rPr>
        <w:t>,</w:t>
      </w:r>
      <w:r w:rsidRPr="009B3747">
        <w:rPr>
          <w:rFonts w:eastAsia="Times New Roman" w:cstheme="minorHAnsi"/>
          <w:color w:val="000000"/>
          <w:lang w:eastAsia="en-GB"/>
        </w:rPr>
        <w:t xml:space="preserve"> but to promote the social value role of food.  In addition, some headteachers reported staff participation in sporting events that were organised for the purpose of fundraising.</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“Also staff modelling healthy eating with them, at lunchtime, staff sitting with students and eating. And chatting, so it’s a social occasion.”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 xml:space="preserve">Participant 22 </w:t>
      </w:r>
      <w:r w:rsidR="001D63C6" w:rsidRPr="009B3747">
        <w:rPr>
          <w:rFonts w:eastAsia="Times New Roman" w:cstheme="minorHAnsi"/>
          <w:b/>
          <w:bCs/>
          <w:color w:val="000000"/>
          <w:sz w:val="20"/>
          <w:szCs w:val="20"/>
          <w:lang w:eastAsia="en-GB"/>
        </w:rPr>
        <w:t>(Headteacher)</w:t>
      </w:r>
      <w:r w:rsidRPr="009B3747">
        <w:rPr>
          <w:rFonts w:eastAsia="Times New Roman" w:cstheme="minorHAnsi"/>
          <w:color w:val="000000"/>
          <w:sz w:val="20"/>
          <w:szCs w:val="20"/>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Role modelling became an extremely contentious and sensitive issue for the participants when exploring the issue of obesity in school staff.  Many participants identified that there were issues with excess weight prevalence</w:t>
      </w:r>
      <w:r w:rsidR="002F70C0">
        <w:rPr>
          <w:rFonts w:eastAsia="Times New Roman" w:cstheme="minorHAnsi"/>
          <w:color w:val="000000"/>
          <w:lang w:eastAsia="en-GB"/>
        </w:rPr>
        <w:t>,</w:t>
      </w:r>
      <w:r w:rsidRPr="009B3747">
        <w:rPr>
          <w:rFonts w:eastAsia="Times New Roman" w:cstheme="minorHAnsi"/>
          <w:color w:val="000000"/>
          <w:lang w:eastAsia="en-GB"/>
        </w:rPr>
        <w:t xml:space="preserve"> both amongst their colleagues within school or within the governing body.</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“And we went through the staff [laughs] and the one who is seriously overweight she left last year, she was still commented on. So other, I don’t, oh yes and there was one teacher who was identified and the reason for that was he likes his beer too much to give up his drinking so that was definitely a beer belly type of scenario.”  </w:t>
      </w:r>
      <w:r w:rsidRPr="009B3747">
        <w:rPr>
          <w:rFonts w:eastAsia="Times New Roman" w:cstheme="minorHAnsi"/>
          <w:b/>
          <w:bCs/>
          <w:color w:val="000000"/>
          <w:sz w:val="20"/>
          <w:szCs w:val="20"/>
          <w:lang w:eastAsia="en-GB"/>
        </w:rPr>
        <w:t xml:space="preserve">Participant 16 </w:t>
      </w:r>
      <w:r w:rsidR="001D63C6" w:rsidRPr="009B3747">
        <w:rPr>
          <w:rFonts w:eastAsia="Times New Roman" w:cstheme="minorHAnsi"/>
          <w:b/>
          <w:bCs/>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 xml:space="preserve">Most identified a potential hypocrisy that could arise from an overweight or obese staff member promoting healthy weight or lifestyle messages, either through the formal </w:t>
      </w:r>
      <w:r w:rsidR="004B590A" w:rsidRPr="009B3747">
        <w:rPr>
          <w:rFonts w:eastAsia="Times New Roman" w:cstheme="minorHAnsi"/>
          <w:color w:val="000000"/>
          <w:lang w:eastAsia="en-GB"/>
        </w:rPr>
        <w:t>curriculum (</w:t>
      </w:r>
      <w:r w:rsidRPr="009B3747">
        <w:rPr>
          <w:rFonts w:eastAsia="Times New Roman" w:cstheme="minorHAnsi"/>
          <w:color w:val="000000"/>
          <w:lang w:eastAsia="en-GB"/>
        </w:rPr>
        <w:t>PSHE, physical education, food technology)</w:t>
      </w:r>
      <w:r w:rsidR="002F70C0">
        <w:rPr>
          <w:rFonts w:eastAsia="Times New Roman" w:cstheme="minorHAnsi"/>
          <w:color w:val="000000"/>
          <w:lang w:eastAsia="en-GB"/>
        </w:rPr>
        <w:t>,</w:t>
      </w:r>
      <w:r w:rsidRPr="009B3747">
        <w:rPr>
          <w:rFonts w:eastAsia="Times New Roman" w:cstheme="minorHAnsi"/>
          <w:color w:val="000000"/>
          <w:lang w:eastAsia="en-GB"/>
        </w:rPr>
        <w:t xml:space="preserve"> or more broadly within a pastoral role.  A commonly shared view was that the credibility of healthy weight or lifestyle messages cascaded to adolescents</w:t>
      </w:r>
      <w:r w:rsidR="002F70C0">
        <w:rPr>
          <w:rFonts w:eastAsia="Times New Roman" w:cstheme="minorHAnsi"/>
          <w:color w:val="000000"/>
          <w:lang w:eastAsia="en-GB"/>
        </w:rPr>
        <w:t>,</w:t>
      </w:r>
      <w:r w:rsidRPr="009B3747">
        <w:rPr>
          <w:rFonts w:eastAsia="Times New Roman" w:cstheme="minorHAnsi"/>
          <w:color w:val="000000"/>
          <w:lang w:eastAsia="en-GB"/>
        </w:rPr>
        <w:t xml:space="preserve"> would be negatively affected if delivered by an overweight or obese teacher.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b/>
          <w:sz w:val="24"/>
          <w:szCs w:val="24"/>
          <w:lang w:eastAsia="en-GB"/>
        </w:rPr>
      </w:pPr>
      <w:r w:rsidRPr="009B3747">
        <w:rPr>
          <w:rFonts w:eastAsia="Times New Roman" w:cstheme="minorHAnsi"/>
          <w:i/>
          <w:iCs/>
          <w:color w:val="000000"/>
          <w:sz w:val="20"/>
          <w:szCs w:val="20"/>
          <w:lang w:eastAsia="en-GB"/>
        </w:rPr>
        <w:t>“I know the SENCO (Special education needs coordinator) has a session with parents</w:t>
      </w:r>
      <w:r w:rsidR="00EB44DD">
        <w:rPr>
          <w:rFonts w:eastAsia="Times New Roman" w:cstheme="minorHAnsi"/>
          <w:i/>
          <w:iCs/>
          <w:color w:val="000000"/>
          <w:sz w:val="20"/>
          <w:szCs w:val="20"/>
          <w:lang w:eastAsia="en-GB"/>
        </w:rPr>
        <w:t>,</w:t>
      </w:r>
      <w:r w:rsidRPr="009B3747">
        <w:rPr>
          <w:rFonts w:eastAsia="Times New Roman" w:cstheme="minorHAnsi"/>
          <w:i/>
          <w:iCs/>
          <w:color w:val="000000"/>
          <w:sz w:val="20"/>
          <w:szCs w:val="20"/>
          <w:lang w:eastAsia="en-GB"/>
        </w:rPr>
        <w:t xml:space="preserve"> but I don’t think she’s the right person to certainly handle obesity.”  </w:t>
      </w:r>
      <w:r w:rsidRPr="009B3747">
        <w:rPr>
          <w:rFonts w:eastAsia="Times New Roman" w:cstheme="minorHAnsi"/>
          <w:b/>
          <w:bCs/>
          <w:color w:val="000000"/>
          <w:sz w:val="20"/>
          <w:szCs w:val="20"/>
          <w:lang w:eastAsia="en-GB"/>
        </w:rPr>
        <w:t>Participant 13</w:t>
      </w:r>
      <w:r w:rsidRPr="009B3747">
        <w:rPr>
          <w:rFonts w:eastAsia="Times New Roman" w:cstheme="minorHAnsi"/>
          <w:color w:val="000000"/>
          <w:sz w:val="20"/>
          <w:szCs w:val="20"/>
          <w:lang w:eastAsia="en-GB"/>
        </w:rPr>
        <w:t xml:space="preserve"> </w:t>
      </w:r>
      <w:r w:rsidR="001D63C6" w:rsidRPr="009B3747">
        <w:rPr>
          <w:rFonts w:eastAsia="Times New Roman" w:cstheme="minorHAnsi"/>
          <w:b/>
          <w:color w:val="000000"/>
          <w:sz w:val="20"/>
          <w:szCs w:val="20"/>
          <w:lang w:eastAsia="en-GB"/>
        </w:rPr>
        <w:t>(Chair of governors)</w:t>
      </w:r>
    </w:p>
    <w:p w:rsidR="006F36A0" w:rsidRPr="009B3747" w:rsidRDefault="006F36A0" w:rsidP="006F36A0">
      <w:pPr>
        <w:ind w:firstLine="720"/>
        <w:rPr>
          <w:rFonts w:eastAsia="Times New Roman" w:cstheme="minorHAnsi"/>
          <w:sz w:val="24"/>
          <w:szCs w:val="24"/>
          <w:lang w:eastAsia="en-GB"/>
        </w:rPr>
      </w:pPr>
      <w:r w:rsidRPr="009B3747">
        <w:rPr>
          <w:rFonts w:eastAsia="Times New Roman" w:cstheme="minorHAnsi"/>
          <w:i/>
          <w:iCs/>
          <w:color w:val="000000"/>
          <w:sz w:val="20"/>
          <w:szCs w:val="20"/>
          <w:lang w:eastAsia="en-GB"/>
        </w:rPr>
        <w:t>“Because?”  </w:t>
      </w:r>
      <w:r w:rsidRPr="009B3747">
        <w:rPr>
          <w:rFonts w:eastAsia="Times New Roman" w:cstheme="minorHAnsi"/>
          <w:b/>
          <w:bCs/>
          <w:color w:val="000000"/>
          <w:sz w:val="20"/>
          <w:szCs w:val="20"/>
          <w:lang w:eastAsia="en-GB"/>
        </w:rPr>
        <w:t>Interviewer</w:t>
      </w:r>
      <w:r w:rsidRPr="009B3747">
        <w:rPr>
          <w:rFonts w:eastAsia="Times New Roman" w:cstheme="minorHAnsi"/>
          <w:i/>
          <w:iCs/>
          <w:color w:val="000000"/>
          <w:sz w:val="20"/>
          <w:szCs w:val="20"/>
          <w:lang w:eastAsia="en-GB"/>
        </w:rPr>
        <w:t xml:space="preserve"> </w:t>
      </w:r>
    </w:p>
    <w:p w:rsidR="006F36A0" w:rsidRPr="009B3747" w:rsidRDefault="006F36A0" w:rsidP="006F36A0">
      <w:pPr>
        <w:ind w:left="720"/>
        <w:rPr>
          <w:rFonts w:eastAsia="Times New Roman" w:cstheme="minorHAnsi"/>
          <w:b/>
          <w:sz w:val="24"/>
          <w:szCs w:val="24"/>
          <w:lang w:eastAsia="en-GB"/>
        </w:rPr>
      </w:pPr>
      <w:r w:rsidRPr="009B3747">
        <w:rPr>
          <w:rFonts w:eastAsia="Times New Roman" w:cstheme="minorHAnsi"/>
          <w:i/>
          <w:iCs/>
          <w:color w:val="000000"/>
          <w:sz w:val="20"/>
          <w:szCs w:val="20"/>
          <w:lang w:eastAsia="en-GB"/>
        </w:rPr>
        <w:t>“Because of her personality, because of her nature and because the fact she’s pretty fat [laughs].”  </w:t>
      </w:r>
      <w:r w:rsidRPr="009B3747">
        <w:rPr>
          <w:rFonts w:eastAsia="Times New Roman" w:cstheme="minorHAnsi"/>
          <w:b/>
          <w:bCs/>
          <w:color w:val="000000"/>
          <w:sz w:val="20"/>
          <w:szCs w:val="20"/>
          <w:lang w:eastAsia="en-GB"/>
        </w:rPr>
        <w:t>Participant 13</w:t>
      </w:r>
      <w:r w:rsidRPr="009B3747">
        <w:rPr>
          <w:rFonts w:eastAsia="Times New Roman" w:cstheme="minorHAnsi"/>
          <w:color w:val="000000"/>
          <w:sz w:val="20"/>
          <w:szCs w:val="20"/>
          <w:lang w:eastAsia="en-GB"/>
        </w:rPr>
        <w:t xml:space="preserve"> </w:t>
      </w:r>
      <w:r w:rsidR="001D63C6" w:rsidRPr="009B3747">
        <w:rPr>
          <w:rFonts w:eastAsia="Times New Roman" w:cstheme="minorHAnsi"/>
          <w:b/>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firstLine="720"/>
        <w:rPr>
          <w:rFonts w:eastAsia="Times New Roman" w:cstheme="minorHAnsi"/>
          <w:sz w:val="24"/>
          <w:szCs w:val="24"/>
          <w:lang w:eastAsia="en-GB"/>
        </w:rPr>
      </w:pPr>
      <w:r w:rsidRPr="009B3747">
        <w:rPr>
          <w:rFonts w:eastAsia="Times New Roman" w:cstheme="minorHAnsi"/>
          <w:i/>
          <w:iCs/>
          <w:color w:val="000000"/>
          <w:sz w:val="20"/>
          <w:szCs w:val="20"/>
          <w:lang w:eastAsia="en-GB"/>
        </w:rPr>
        <w:lastRenderedPageBreak/>
        <w:t>“I don’t think if I was being told by someone very overweight that I need to be less heavy I don’t think I</w:t>
      </w:r>
    </w:p>
    <w:p w:rsidR="006F36A0" w:rsidRPr="009B3747" w:rsidRDefault="006F36A0" w:rsidP="006F36A0">
      <w:pPr>
        <w:ind w:firstLine="720"/>
        <w:rPr>
          <w:rFonts w:eastAsia="Times New Roman" w:cstheme="minorHAnsi"/>
          <w:b/>
          <w:sz w:val="24"/>
          <w:szCs w:val="24"/>
          <w:lang w:eastAsia="en-GB"/>
        </w:rPr>
      </w:pPr>
      <w:r w:rsidRPr="009B3747">
        <w:rPr>
          <w:rFonts w:eastAsia="Times New Roman" w:cstheme="minorHAnsi"/>
          <w:i/>
          <w:iCs/>
          <w:color w:val="000000"/>
          <w:sz w:val="20"/>
          <w:szCs w:val="20"/>
          <w:lang w:eastAsia="en-GB"/>
        </w:rPr>
        <w:t>would be keen to listen to that advice.”  </w:t>
      </w:r>
      <w:r w:rsidRPr="009B3747">
        <w:rPr>
          <w:rFonts w:eastAsia="Times New Roman" w:cstheme="minorHAnsi"/>
          <w:b/>
          <w:bCs/>
          <w:color w:val="000000"/>
          <w:sz w:val="20"/>
          <w:szCs w:val="20"/>
          <w:lang w:eastAsia="en-GB"/>
        </w:rPr>
        <w:t>Participant 16</w:t>
      </w:r>
      <w:r w:rsidRPr="009B3747">
        <w:rPr>
          <w:rFonts w:eastAsia="Times New Roman" w:cstheme="minorHAnsi"/>
          <w:color w:val="000000"/>
          <w:sz w:val="20"/>
          <w:szCs w:val="20"/>
          <w:lang w:eastAsia="en-GB"/>
        </w:rPr>
        <w:t xml:space="preserve"> </w:t>
      </w:r>
      <w:r w:rsidR="001D63C6" w:rsidRPr="009B3747">
        <w:rPr>
          <w:rFonts w:eastAsia="Times New Roman" w:cstheme="minorHAnsi"/>
          <w:b/>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Despite these concerns, it was viewed that addressing or determining an employee's dietary habits, physical activity behaviour and weight status are outside of the remit of the school employer</w:t>
      </w:r>
      <w:r w:rsidR="002F70C0">
        <w:rPr>
          <w:rFonts w:eastAsia="Times New Roman" w:cstheme="minorHAnsi"/>
          <w:color w:val="000000"/>
          <w:lang w:eastAsia="en-GB"/>
        </w:rPr>
        <w:t>.  Headteachrers and chairs of governors therefore felt a</w:t>
      </w:r>
      <w:r w:rsidRPr="009B3747">
        <w:rPr>
          <w:rFonts w:eastAsia="Times New Roman" w:cstheme="minorHAnsi"/>
          <w:color w:val="000000"/>
          <w:lang w:eastAsia="en-GB"/>
        </w:rPr>
        <w:t xml:space="preserve"> school had no right to intervene.  This was especially relevant</w:t>
      </w:r>
      <w:r w:rsidR="002F70C0">
        <w:rPr>
          <w:rFonts w:eastAsia="Times New Roman" w:cstheme="minorHAnsi"/>
          <w:color w:val="000000"/>
          <w:lang w:eastAsia="en-GB"/>
        </w:rPr>
        <w:t>,</w:t>
      </w:r>
      <w:r w:rsidRPr="009B3747">
        <w:rPr>
          <w:rFonts w:eastAsia="Times New Roman" w:cstheme="minorHAnsi"/>
          <w:color w:val="000000"/>
          <w:lang w:eastAsia="en-GB"/>
        </w:rPr>
        <w:t xml:space="preserve"> if it was deemed that a staff members weight status or lifestyle behaviours didn’t actually impact upon their ability to perform their role.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color w:val="000000"/>
          <w:sz w:val="20"/>
          <w:szCs w:val="20"/>
          <w:lang w:eastAsia="en-GB"/>
        </w:rPr>
      </w:pPr>
      <w:r w:rsidRPr="009B3747">
        <w:rPr>
          <w:rFonts w:eastAsia="Times New Roman" w:cstheme="minorHAnsi"/>
          <w:i/>
          <w:iCs/>
          <w:color w:val="000000"/>
          <w:sz w:val="20"/>
          <w:szCs w:val="20"/>
          <w:lang w:eastAsia="en-GB"/>
        </w:rPr>
        <w:t>“I don’t think you can impose it on staff, it’s not part of their job description that they’ve got to be slim and healthy but, but it’s good to set an example.”  </w:t>
      </w:r>
      <w:r w:rsidRPr="009B3747">
        <w:rPr>
          <w:rFonts w:eastAsia="Times New Roman" w:cstheme="minorHAnsi"/>
          <w:b/>
          <w:bCs/>
          <w:color w:val="000000"/>
          <w:sz w:val="20"/>
          <w:szCs w:val="20"/>
          <w:lang w:eastAsia="en-GB"/>
        </w:rPr>
        <w:t>Participant 11</w:t>
      </w:r>
      <w:r w:rsidRPr="009B3747">
        <w:rPr>
          <w:rFonts w:eastAsia="Times New Roman" w:cstheme="minorHAnsi"/>
          <w:color w:val="000000"/>
          <w:sz w:val="20"/>
          <w:szCs w:val="20"/>
          <w:lang w:eastAsia="en-GB"/>
        </w:rPr>
        <w:t xml:space="preserve"> </w:t>
      </w:r>
      <w:r w:rsidR="001D63C6" w:rsidRPr="009B3747">
        <w:rPr>
          <w:rFonts w:eastAsia="Times New Roman" w:cstheme="minorHAnsi"/>
          <w:b/>
          <w:color w:val="000000"/>
          <w:sz w:val="20"/>
          <w:szCs w:val="20"/>
          <w:lang w:eastAsia="en-GB"/>
        </w:rPr>
        <w:t>(Chair of governors)</w:t>
      </w:r>
      <w:r w:rsidRPr="009B3747">
        <w:rPr>
          <w:rFonts w:eastAsia="Times New Roman" w:cstheme="minorHAnsi"/>
          <w:color w:val="000000"/>
          <w:sz w:val="20"/>
          <w:szCs w:val="20"/>
          <w:lang w:eastAsia="en-GB"/>
        </w:rPr>
        <w:t> </w:t>
      </w:r>
    </w:p>
    <w:p w:rsidR="001D63C6" w:rsidRPr="009B3747" w:rsidRDefault="001D63C6" w:rsidP="006F36A0">
      <w:pPr>
        <w:ind w:left="720"/>
        <w:rPr>
          <w:rFonts w:eastAsia="Times New Roman" w:cstheme="minorHAnsi"/>
          <w:sz w:val="24"/>
          <w:szCs w:val="24"/>
          <w:lang w:eastAsia="en-GB"/>
        </w:rPr>
      </w:pPr>
    </w:p>
    <w:p w:rsidR="006F36A0" w:rsidRPr="009B3747" w:rsidRDefault="006F36A0" w:rsidP="006F36A0">
      <w:pPr>
        <w:ind w:left="720"/>
        <w:rPr>
          <w:rFonts w:eastAsia="Times New Roman" w:cstheme="minorHAnsi"/>
          <w:b/>
          <w:sz w:val="24"/>
          <w:szCs w:val="24"/>
          <w:lang w:eastAsia="en-GB"/>
        </w:rPr>
      </w:pPr>
      <w:r w:rsidRPr="009B3747">
        <w:rPr>
          <w:rFonts w:eastAsia="Times New Roman" w:cstheme="minorHAnsi"/>
          <w:i/>
          <w:iCs/>
          <w:color w:val="000000"/>
          <w:sz w:val="20"/>
          <w:szCs w:val="20"/>
          <w:lang w:eastAsia="en-GB"/>
        </w:rPr>
        <w:t>“I think lifestyle and so that children can see that teachers are liv</w:t>
      </w:r>
      <w:r w:rsidR="00EB44DD">
        <w:rPr>
          <w:rFonts w:eastAsia="Times New Roman" w:cstheme="minorHAnsi"/>
          <w:i/>
          <w:iCs/>
          <w:color w:val="000000"/>
          <w:sz w:val="20"/>
          <w:szCs w:val="20"/>
          <w:lang w:eastAsia="en-GB"/>
        </w:rPr>
        <w:t xml:space="preserve">ing a certain lifestyle is good, </w:t>
      </w:r>
      <w:r w:rsidRPr="009B3747">
        <w:rPr>
          <w:rFonts w:eastAsia="Times New Roman" w:cstheme="minorHAnsi"/>
          <w:i/>
          <w:iCs/>
          <w:color w:val="000000"/>
          <w:sz w:val="20"/>
          <w:szCs w:val="20"/>
          <w:lang w:eastAsia="en-GB"/>
        </w:rPr>
        <w:t>but you have to be careful how far you go and I don’t think you could penalise</w:t>
      </w:r>
      <w:r w:rsidR="00EB44DD">
        <w:rPr>
          <w:rFonts w:eastAsia="Times New Roman" w:cstheme="minorHAnsi"/>
          <w:i/>
          <w:iCs/>
          <w:color w:val="000000"/>
          <w:sz w:val="20"/>
          <w:szCs w:val="20"/>
          <w:lang w:eastAsia="en-GB"/>
        </w:rPr>
        <w:t xml:space="preserve"> a teacher for excessive weight, </w:t>
      </w:r>
      <w:r w:rsidRPr="009B3747">
        <w:rPr>
          <w:rFonts w:eastAsia="Times New Roman" w:cstheme="minorHAnsi"/>
          <w:i/>
          <w:iCs/>
          <w:color w:val="000000"/>
          <w:sz w:val="20"/>
          <w:szCs w:val="20"/>
          <w:lang w:eastAsia="en-GB"/>
        </w:rPr>
        <w:t xml:space="preserve">but children do notice.”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Participant 15</w:t>
      </w:r>
      <w:r w:rsidRPr="009B3747">
        <w:rPr>
          <w:rFonts w:eastAsia="Times New Roman" w:cstheme="minorHAnsi"/>
          <w:color w:val="000000"/>
          <w:sz w:val="20"/>
          <w:szCs w:val="20"/>
          <w:lang w:eastAsia="en-GB"/>
        </w:rPr>
        <w:t xml:space="preserve"> </w:t>
      </w:r>
      <w:r w:rsidR="001D63C6" w:rsidRPr="009B3747">
        <w:rPr>
          <w:rFonts w:eastAsia="Times New Roman" w:cstheme="minorHAnsi"/>
          <w:b/>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One chair of governors reflected on whether if someone was applying for a position within a school, whether their weight status would actually affect the recruitment outcome.</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“So you certainly can’t make it a requirement and you certainly in a selection process you know wouldn’t say “well you’ve got to choose only the thin ones”, you choose the best, although if you had two and it were neck and neck you might go for the one who’s had a healthier lifestyle, if you’ve got one who’s morbidly obese and the others got a standard BMI.”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Participant 20</w:t>
      </w:r>
      <w:r w:rsidR="001D63C6" w:rsidRPr="009B3747">
        <w:rPr>
          <w:rFonts w:eastAsia="Times New Roman" w:cstheme="minorHAnsi"/>
          <w:b/>
          <w:bCs/>
          <w:color w:val="000000"/>
          <w:sz w:val="20"/>
          <w:szCs w:val="20"/>
          <w:lang w:eastAsia="en-GB"/>
        </w:rPr>
        <w:t xml:space="preserve"> (Chair of governors)</w:t>
      </w:r>
    </w:p>
    <w:p w:rsidR="005647C8" w:rsidRDefault="005647C8" w:rsidP="006F36A0">
      <w:pPr>
        <w:rPr>
          <w:rFonts w:eastAsia="Times New Roman" w:cstheme="minorHAnsi"/>
          <w:color w:val="000000"/>
          <w:lang w:eastAsia="en-GB"/>
        </w:rPr>
      </w:pP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An additional reason given by participants for not wanting to discuss or address issues of excess weight in staff</w:t>
      </w:r>
      <w:r w:rsidR="002F70C0">
        <w:rPr>
          <w:rFonts w:eastAsia="Times New Roman" w:cstheme="minorHAnsi"/>
          <w:color w:val="000000"/>
          <w:lang w:eastAsia="en-GB"/>
        </w:rPr>
        <w:t>,</w:t>
      </w:r>
      <w:r w:rsidRPr="009B3747">
        <w:rPr>
          <w:rFonts w:eastAsia="Times New Roman" w:cstheme="minorHAnsi"/>
          <w:color w:val="000000"/>
          <w:lang w:eastAsia="en-GB"/>
        </w:rPr>
        <w:t xml:space="preserve"> was the fact that it is too complex and awkward a subject to even raise.  Furthermore headteachers and chairs of governors expressed concern and fears around causing or being perceived to cause discrimin</w:t>
      </w:r>
      <w:r w:rsidR="002F70C0">
        <w:rPr>
          <w:rFonts w:eastAsia="Times New Roman" w:cstheme="minorHAnsi"/>
          <w:color w:val="000000"/>
          <w:lang w:eastAsia="en-GB"/>
        </w:rPr>
        <w:t>ation and stigmatisation</w:t>
      </w:r>
      <w:r w:rsidRPr="009B3747">
        <w:rPr>
          <w:rFonts w:eastAsia="Times New Roman" w:cstheme="minorHAnsi"/>
          <w:color w:val="000000"/>
          <w:lang w:eastAsia="en-GB"/>
        </w:rPr>
        <w:t>.  Subsequently, one headteacher proposed that you ‘tip toe’ around the issue to avoid upsetting people.</w:t>
      </w:r>
    </w:p>
    <w:p w:rsidR="005647C8" w:rsidRDefault="006F36A0" w:rsidP="005647C8">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5647C8">
      <w:pPr>
        <w:rPr>
          <w:rFonts w:eastAsia="Times New Roman" w:cstheme="minorHAnsi"/>
          <w:b/>
          <w:sz w:val="24"/>
          <w:szCs w:val="24"/>
          <w:lang w:eastAsia="en-GB"/>
        </w:rPr>
      </w:pPr>
      <w:r w:rsidRPr="009B3747">
        <w:rPr>
          <w:rFonts w:eastAsia="Times New Roman" w:cstheme="minorHAnsi"/>
          <w:i/>
          <w:iCs/>
          <w:color w:val="000000"/>
          <w:sz w:val="20"/>
          <w:szCs w:val="20"/>
          <w:lang w:eastAsia="en-GB"/>
        </w:rPr>
        <w:t xml:space="preserve">“When you’ve got obese, we’ve got obese people on our governing body, I would guess, so it makes that conversation so much harder.”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Participant 12</w:t>
      </w:r>
      <w:r w:rsidRPr="009B3747">
        <w:rPr>
          <w:rFonts w:eastAsia="Times New Roman" w:cstheme="minorHAnsi"/>
          <w:color w:val="000000"/>
          <w:sz w:val="20"/>
          <w:szCs w:val="20"/>
          <w:lang w:eastAsia="en-GB"/>
        </w:rPr>
        <w:t xml:space="preserve"> </w:t>
      </w:r>
      <w:r w:rsidR="001D63C6" w:rsidRPr="009B3747">
        <w:rPr>
          <w:rFonts w:eastAsia="Times New Roman" w:cstheme="minorHAnsi"/>
          <w:b/>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In stark contrast to the issue of obesity, it appeared other lifestyle issues such as smoking were much more openly discussed in schools, often due to strict rules in place governing employee behaviour</w:t>
      </w:r>
      <w:r w:rsidR="007F3CF4">
        <w:rPr>
          <w:rFonts w:eastAsia="Times New Roman" w:cstheme="minorHAnsi"/>
          <w:color w:val="000000"/>
          <w:lang w:eastAsia="en-GB"/>
        </w:rPr>
        <w:t>,</w:t>
      </w:r>
      <w:r w:rsidRPr="009B3747">
        <w:rPr>
          <w:rFonts w:eastAsia="Times New Roman" w:cstheme="minorHAnsi"/>
          <w:color w:val="000000"/>
          <w:lang w:eastAsia="en-GB"/>
        </w:rPr>
        <w:t xml:space="preserve"> </w:t>
      </w:r>
      <w:r w:rsidRPr="009B3747">
        <w:rPr>
          <w:rFonts w:eastAsia="Times New Roman" w:cstheme="minorHAnsi"/>
          <w:color w:val="000000"/>
          <w:lang w:eastAsia="en-GB"/>
        </w:rPr>
        <w:lastRenderedPageBreak/>
        <w:t>i.e. no smoking on or near to a school site.  It was generally perceived that this regulatory approach was justified given the clear health implications of smoking</w:t>
      </w:r>
      <w:r w:rsidR="002F70C0">
        <w:rPr>
          <w:rFonts w:eastAsia="Times New Roman" w:cstheme="minorHAnsi"/>
          <w:color w:val="000000"/>
          <w:lang w:eastAsia="en-GB"/>
        </w:rPr>
        <w:t>,</w:t>
      </w:r>
      <w:r w:rsidRPr="009B3747">
        <w:rPr>
          <w:rFonts w:eastAsia="Times New Roman" w:cstheme="minorHAnsi"/>
          <w:color w:val="000000"/>
          <w:lang w:eastAsia="en-GB"/>
        </w:rPr>
        <w:t xml:space="preserve"> and the negative example staff it would set to pupils and the wider community.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EB44DD" w:rsidP="006F36A0">
      <w:pPr>
        <w:ind w:left="720"/>
        <w:rPr>
          <w:rFonts w:eastAsia="Times New Roman" w:cstheme="minorHAnsi"/>
          <w:sz w:val="24"/>
          <w:szCs w:val="24"/>
          <w:lang w:eastAsia="en-GB"/>
        </w:rPr>
      </w:pPr>
      <w:r>
        <w:rPr>
          <w:rFonts w:eastAsia="Times New Roman" w:cstheme="minorHAnsi"/>
          <w:i/>
          <w:iCs/>
          <w:color w:val="000000"/>
          <w:sz w:val="20"/>
          <w:szCs w:val="20"/>
          <w:lang w:eastAsia="en-GB"/>
        </w:rPr>
        <w:t xml:space="preserve">“Members of staff that smoke, </w:t>
      </w:r>
      <w:r w:rsidR="006F36A0" w:rsidRPr="009B3747">
        <w:rPr>
          <w:rFonts w:eastAsia="Times New Roman" w:cstheme="minorHAnsi"/>
          <w:i/>
          <w:iCs/>
          <w:color w:val="000000"/>
          <w:sz w:val="20"/>
          <w:szCs w:val="20"/>
          <w:lang w:eastAsia="en-GB"/>
        </w:rPr>
        <w:t>but they go for a cigarette break how they hide that or not is really important I think. I wouldn’t want my staff to be blatantly smoking at the end of the drive for example because that’s sending the wro</w:t>
      </w:r>
      <w:r>
        <w:rPr>
          <w:rFonts w:eastAsia="Times New Roman" w:cstheme="minorHAnsi"/>
          <w:i/>
          <w:iCs/>
          <w:color w:val="000000"/>
          <w:sz w:val="20"/>
          <w:szCs w:val="20"/>
          <w:lang w:eastAsia="en-GB"/>
        </w:rPr>
        <w:t xml:space="preserve">ng message, </w:t>
      </w:r>
      <w:r w:rsidR="006F36A0" w:rsidRPr="009B3747">
        <w:rPr>
          <w:rFonts w:eastAsia="Times New Roman" w:cstheme="minorHAnsi"/>
          <w:i/>
          <w:iCs/>
          <w:color w:val="000000"/>
          <w:sz w:val="20"/>
          <w:szCs w:val="20"/>
          <w:lang w:eastAsia="en-GB"/>
        </w:rPr>
        <w:t>but when you get into excess weight, I don’t know, I don’t know.”  </w:t>
      </w:r>
      <w:r w:rsidR="006F36A0" w:rsidRPr="009B3747">
        <w:rPr>
          <w:rFonts w:eastAsia="Times New Roman" w:cstheme="minorHAnsi"/>
          <w:b/>
          <w:bCs/>
          <w:color w:val="000000"/>
          <w:sz w:val="20"/>
          <w:szCs w:val="20"/>
          <w:lang w:eastAsia="en-GB"/>
        </w:rPr>
        <w:t xml:space="preserve">Participant 21 </w:t>
      </w:r>
      <w:r w:rsidR="001D63C6" w:rsidRPr="009B3747">
        <w:rPr>
          <w:rFonts w:eastAsia="Times New Roman" w:cstheme="minorHAnsi"/>
          <w:b/>
          <w:bCs/>
          <w:color w:val="000000"/>
          <w:sz w:val="20"/>
          <w:szCs w:val="20"/>
          <w:lang w:eastAsia="en-GB"/>
        </w:rPr>
        <w:t>(Headteacher)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Both headteachers and chairs of governors reflected on the fact that school staff and they themselves were not immune to the same societal pressures discussed in relation to adolescent obesity.  One participant identified that if the school’s employees live within the same communities as their student population, then the same influences of place especially in relation to deprivation and the wider food environment would impact upon their the staff weight status</w:t>
      </w:r>
      <w:r w:rsidR="00C22EC4">
        <w:rPr>
          <w:rFonts w:eastAsia="Times New Roman" w:cstheme="minorHAnsi"/>
          <w:color w:val="000000"/>
          <w:lang w:eastAsia="en-GB"/>
        </w:rPr>
        <w:t>.</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1D63C6" w:rsidRPr="009B3747" w:rsidRDefault="006F36A0" w:rsidP="006F36A0">
      <w:pPr>
        <w:ind w:left="720"/>
        <w:rPr>
          <w:rFonts w:eastAsia="Times New Roman" w:cstheme="minorHAnsi"/>
          <w:color w:val="000000"/>
          <w:sz w:val="20"/>
          <w:szCs w:val="20"/>
          <w:lang w:eastAsia="en-GB"/>
        </w:rPr>
      </w:pPr>
      <w:r w:rsidRPr="009B3747">
        <w:rPr>
          <w:rFonts w:eastAsia="Times New Roman" w:cstheme="minorHAnsi"/>
          <w:i/>
          <w:iCs/>
          <w:color w:val="000000"/>
          <w:sz w:val="20"/>
          <w:szCs w:val="20"/>
          <w:lang w:eastAsia="en-GB"/>
        </w:rPr>
        <w:t>“So if you look at the staff of our school you’ll see you know, some peopl</w:t>
      </w:r>
      <w:r w:rsidR="00EB44DD">
        <w:rPr>
          <w:rFonts w:eastAsia="Times New Roman" w:cstheme="minorHAnsi"/>
          <w:i/>
          <w:iCs/>
          <w:color w:val="000000"/>
          <w:sz w:val="20"/>
          <w:szCs w:val="20"/>
          <w:lang w:eastAsia="en-GB"/>
        </w:rPr>
        <w:t xml:space="preserve">e and actually I hate to say it, </w:t>
      </w:r>
      <w:r w:rsidRPr="009B3747">
        <w:rPr>
          <w:rFonts w:eastAsia="Times New Roman" w:cstheme="minorHAnsi"/>
          <w:i/>
          <w:iCs/>
          <w:color w:val="000000"/>
          <w:sz w:val="20"/>
          <w:szCs w:val="20"/>
          <w:lang w:eastAsia="en-GB"/>
        </w:rPr>
        <w:t>but the sort of ones with significant we</w:t>
      </w:r>
      <w:r w:rsidR="00EB44DD">
        <w:rPr>
          <w:rFonts w:eastAsia="Times New Roman" w:cstheme="minorHAnsi"/>
          <w:i/>
          <w:iCs/>
          <w:color w:val="000000"/>
          <w:sz w:val="20"/>
          <w:szCs w:val="20"/>
          <w:lang w:eastAsia="en-GB"/>
        </w:rPr>
        <w:t xml:space="preserve">ight, I’ve got a bit of a tummy, </w:t>
      </w:r>
      <w:r w:rsidRPr="009B3747">
        <w:rPr>
          <w:rFonts w:eastAsia="Times New Roman" w:cstheme="minorHAnsi"/>
          <w:i/>
          <w:iCs/>
          <w:color w:val="000000"/>
          <w:sz w:val="20"/>
          <w:szCs w:val="20"/>
          <w:lang w:eastAsia="en-GB"/>
        </w:rPr>
        <w:t xml:space="preserve">but you know you’ve got people who are morbidly obese and they’re often home bread, not always.” </w:t>
      </w:r>
      <w:r w:rsidRPr="009B3747">
        <w:rPr>
          <w:rFonts w:eastAsia="Times New Roman" w:cstheme="minorHAnsi"/>
          <w:color w:val="000000"/>
          <w:sz w:val="20"/>
          <w:szCs w:val="20"/>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b/>
          <w:bCs/>
          <w:color w:val="000000"/>
          <w:sz w:val="20"/>
          <w:szCs w:val="20"/>
          <w:lang w:eastAsia="en-GB"/>
        </w:rPr>
        <w:t>Participant 20</w:t>
      </w:r>
      <w:r w:rsidR="001D63C6" w:rsidRPr="009B3747">
        <w:rPr>
          <w:rFonts w:eastAsia="Times New Roman" w:cstheme="minorHAnsi"/>
          <w:b/>
          <w:bCs/>
          <w:color w:val="000000"/>
          <w:sz w:val="20"/>
          <w:szCs w:val="20"/>
          <w:lang w:eastAsia="en-GB"/>
        </w:rPr>
        <w:t xml:space="preserve"> (Chair of governors)</w:t>
      </w:r>
      <w:r w:rsidRPr="009B3747">
        <w:rPr>
          <w:rFonts w:eastAsia="Times New Roman" w:cstheme="minorHAnsi"/>
          <w:color w:val="000000"/>
          <w:sz w:val="20"/>
          <w:szCs w:val="20"/>
          <w:lang w:eastAsia="en-GB"/>
        </w:rPr>
        <w:t xml:space="preserve">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Across the board, both headteachers and chairs of governors extensively shared personal experiences of their own experiences of health.  This included frequent reflections on their own weight status and lifestyle behaviours.  Some revealed very personal struggles with obesity and their resultant health issues, reflecting on the influences throughout their lives that led them to be above a healthy weight.</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1D63C6" w:rsidRPr="009B3747" w:rsidRDefault="006F36A0" w:rsidP="006F36A0">
      <w:pPr>
        <w:ind w:left="720"/>
        <w:rPr>
          <w:rFonts w:eastAsia="Times New Roman" w:cstheme="minorHAnsi"/>
          <w:i/>
          <w:iCs/>
          <w:color w:val="000000"/>
          <w:sz w:val="20"/>
          <w:szCs w:val="20"/>
          <w:lang w:eastAsia="en-GB"/>
        </w:rPr>
      </w:pPr>
      <w:r w:rsidRPr="009B3747">
        <w:rPr>
          <w:rFonts w:eastAsia="Times New Roman" w:cstheme="minorHAnsi"/>
          <w:i/>
          <w:iCs/>
          <w:color w:val="000000"/>
          <w:sz w:val="20"/>
          <w:szCs w:val="20"/>
          <w:lang w:eastAsia="en-GB"/>
        </w:rPr>
        <w:t xml:space="preserve">“As a child from the Lake District of parents with little money we ate basic food, we didn’t have the treats </w:t>
      </w:r>
      <w:r w:rsidR="00EB44DD">
        <w:rPr>
          <w:rFonts w:eastAsia="Times New Roman" w:cstheme="minorHAnsi"/>
          <w:i/>
          <w:iCs/>
          <w:color w:val="000000"/>
          <w:sz w:val="20"/>
          <w:szCs w:val="20"/>
          <w:lang w:eastAsia="en-GB"/>
        </w:rPr>
        <w:t xml:space="preserve">etc so we only ever had healthy, </w:t>
      </w:r>
      <w:r w:rsidRPr="009B3747">
        <w:rPr>
          <w:rFonts w:eastAsia="Times New Roman" w:cstheme="minorHAnsi"/>
          <w:i/>
          <w:iCs/>
          <w:color w:val="000000"/>
          <w:sz w:val="20"/>
          <w:szCs w:val="20"/>
          <w:lang w:eastAsia="en-GB"/>
        </w:rPr>
        <w:t>but cheap food. And then when I was in the sixth form, studying for my A-Levels the way my mum would treat me wo</w:t>
      </w:r>
      <w:r w:rsidR="009025E2">
        <w:rPr>
          <w:rFonts w:eastAsia="Times New Roman" w:cstheme="minorHAnsi"/>
          <w:i/>
          <w:iCs/>
          <w:color w:val="000000"/>
          <w:sz w:val="20"/>
          <w:szCs w:val="20"/>
          <w:lang w:eastAsia="en-GB"/>
        </w:rPr>
        <w:t xml:space="preserve">uld be to buy me things to eat, </w:t>
      </w:r>
      <w:r w:rsidRPr="009B3747">
        <w:rPr>
          <w:rFonts w:eastAsia="Times New Roman" w:cstheme="minorHAnsi"/>
          <w:i/>
          <w:iCs/>
          <w:color w:val="000000"/>
          <w:sz w:val="20"/>
          <w:szCs w:val="20"/>
          <w:lang w:eastAsia="en-GB"/>
        </w:rPr>
        <w:t>which would be the wrong things to eat, which would be sweets and so I remember getting quite big.”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b/>
          <w:bCs/>
          <w:color w:val="000000"/>
          <w:sz w:val="20"/>
          <w:szCs w:val="20"/>
          <w:lang w:eastAsia="en-GB"/>
        </w:rPr>
        <w:t>Participant 22</w:t>
      </w:r>
      <w:r w:rsidRPr="009B3747">
        <w:rPr>
          <w:rFonts w:eastAsia="Times New Roman" w:cstheme="minorHAnsi"/>
          <w:color w:val="000000"/>
          <w:sz w:val="20"/>
          <w:szCs w:val="20"/>
          <w:lang w:eastAsia="en-GB"/>
        </w:rPr>
        <w:t xml:space="preserve"> </w:t>
      </w:r>
      <w:r w:rsidR="001D63C6" w:rsidRPr="009B3747">
        <w:rPr>
          <w:rFonts w:eastAsia="Times New Roman" w:cstheme="minorHAnsi"/>
          <w:b/>
          <w:color w:val="000000"/>
          <w:sz w:val="20"/>
          <w:szCs w:val="20"/>
          <w:lang w:eastAsia="en-GB"/>
        </w:rPr>
        <w:t>(Headteacher)</w:t>
      </w:r>
      <w:r w:rsidRPr="009B3747">
        <w:rPr>
          <w:rFonts w:eastAsia="Times New Roman" w:cstheme="minorHAnsi"/>
          <w:color w:val="000000"/>
          <w:sz w:val="20"/>
          <w:szCs w:val="20"/>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 xml:space="preserve">For one headteacher, he decided to share with school staff his own experiences related to excess weight gain and resultant weight management.  By demonstrating understanding through his lived </w:t>
      </w:r>
      <w:r w:rsidRPr="009B3747">
        <w:rPr>
          <w:rFonts w:eastAsia="Times New Roman" w:cstheme="minorHAnsi"/>
          <w:color w:val="000000"/>
          <w:lang w:eastAsia="en-GB"/>
        </w:rPr>
        <w:lastRenderedPageBreak/>
        <w:t>experience and empathy for those in the same position, the perceived social awkwardness of discussing obesity with school staff was deemed to be reduced.</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“I do feel conscious of my own battles with my own weight and what I do with weight and currently losing weight and I do talk about that.”  </w:t>
      </w:r>
      <w:r w:rsidRPr="009B3747">
        <w:rPr>
          <w:rFonts w:eastAsia="Times New Roman" w:cstheme="minorHAnsi"/>
          <w:b/>
          <w:bCs/>
          <w:color w:val="000000"/>
          <w:sz w:val="20"/>
          <w:szCs w:val="20"/>
          <w:lang w:eastAsia="en-GB"/>
        </w:rPr>
        <w:t>Participant 19</w:t>
      </w:r>
      <w:r w:rsidR="001D63C6" w:rsidRPr="009B3747">
        <w:rPr>
          <w:rFonts w:eastAsia="Times New Roman" w:cstheme="minorHAnsi"/>
          <w:b/>
          <w:bCs/>
          <w:color w:val="000000"/>
          <w:sz w:val="20"/>
          <w:szCs w:val="20"/>
          <w:lang w:eastAsia="en-GB"/>
        </w:rPr>
        <w:t xml:space="preserve"> (Headteacher)</w:t>
      </w:r>
      <w:r w:rsidRPr="009B3747">
        <w:rPr>
          <w:rFonts w:eastAsia="Times New Roman" w:cstheme="minorHAnsi"/>
          <w:color w:val="000000"/>
          <w:sz w:val="20"/>
          <w:szCs w:val="20"/>
          <w:lang w:eastAsia="en-GB"/>
        </w:rPr>
        <w:t xml:space="preserve">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Of particular relevance to headteachers were the increasing demands of their jobs and the impact of this on their physical and mental health and well-being.  This was deemed to present significant challenges to being able to make healthy lifestyle choice and consequently maintain a healthy weight.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1D63C6" w:rsidRPr="009B3747" w:rsidRDefault="006F36A0" w:rsidP="006F36A0">
      <w:pPr>
        <w:ind w:left="720"/>
        <w:rPr>
          <w:rFonts w:eastAsia="Times New Roman" w:cstheme="minorHAnsi"/>
          <w:color w:val="000000"/>
          <w:sz w:val="20"/>
          <w:szCs w:val="20"/>
          <w:lang w:eastAsia="en-GB"/>
        </w:rPr>
      </w:pPr>
      <w:r w:rsidRPr="009B3747">
        <w:rPr>
          <w:rFonts w:eastAsia="Times New Roman" w:cstheme="minorHAnsi"/>
          <w:i/>
          <w:iCs/>
          <w:color w:val="000000"/>
          <w:sz w:val="20"/>
          <w:szCs w:val="20"/>
          <w:lang w:eastAsia="en-GB"/>
        </w:rPr>
        <w:t>“My first year here was horrendous cos I don’t normally stop for lunch or anything and PA said to me, since I’ve been here I actually have put on a stone and a half in three years, and I know that is about too long hours, I don’t exercise anymore, cos I don’t have time, well that’s not qu</w:t>
      </w:r>
      <w:r w:rsidR="00EB44DD">
        <w:rPr>
          <w:rFonts w:eastAsia="Times New Roman" w:cstheme="minorHAnsi"/>
          <w:i/>
          <w:iCs/>
          <w:color w:val="000000"/>
          <w:sz w:val="20"/>
          <w:szCs w:val="20"/>
          <w:lang w:eastAsia="en-GB"/>
        </w:rPr>
        <w:t xml:space="preserve">ite true, I could on a Saturday, </w:t>
      </w:r>
      <w:r w:rsidRPr="009B3747">
        <w:rPr>
          <w:rFonts w:eastAsia="Times New Roman" w:cstheme="minorHAnsi"/>
          <w:i/>
          <w:iCs/>
          <w:color w:val="000000"/>
          <w:sz w:val="20"/>
          <w:szCs w:val="20"/>
          <w:lang w:eastAsia="en-GB"/>
        </w:rPr>
        <w:t xml:space="preserve">but I’m a mum as well and I choose to spend time with my son.” </w:t>
      </w:r>
      <w:r w:rsidRPr="009B3747">
        <w:rPr>
          <w:rFonts w:eastAsia="Times New Roman" w:cstheme="minorHAnsi"/>
          <w:color w:val="000000"/>
          <w:sz w:val="20"/>
          <w:szCs w:val="20"/>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b/>
          <w:bCs/>
          <w:color w:val="000000"/>
          <w:sz w:val="20"/>
          <w:szCs w:val="20"/>
          <w:lang w:eastAsia="en-GB"/>
        </w:rPr>
        <w:t>Participant 8</w:t>
      </w:r>
      <w:r w:rsidR="001D63C6" w:rsidRPr="009B3747">
        <w:rPr>
          <w:rFonts w:eastAsia="Times New Roman" w:cstheme="minorHAnsi"/>
          <w:b/>
          <w:bCs/>
          <w:color w:val="000000"/>
          <w:sz w:val="20"/>
          <w:szCs w:val="20"/>
          <w:lang w:eastAsia="en-GB"/>
        </w:rPr>
        <w:t xml:space="preserve"> (Headteacher)</w:t>
      </w:r>
      <w:r w:rsidRPr="009B3747">
        <w:rPr>
          <w:rFonts w:eastAsia="Times New Roman" w:cstheme="minorHAnsi"/>
          <w:color w:val="000000"/>
          <w:sz w:val="20"/>
          <w:szCs w:val="20"/>
          <w:lang w:eastAsia="en-GB"/>
        </w:rPr>
        <w:t xml:space="preserve">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551065" w:rsidP="006F36A0">
      <w:pPr>
        <w:rPr>
          <w:rFonts w:eastAsia="Times New Roman" w:cstheme="minorHAnsi"/>
          <w:sz w:val="24"/>
          <w:szCs w:val="24"/>
          <w:u w:val="single"/>
          <w:lang w:eastAsia="en-GB"/>
        </w:rPr>
      </w:pPr>
      <w:r w:rsidRPr="009B3747">
        <w:rPr>
          <w:rFonts w:eastAsia="Times New Roman" w:cstheme="minorHAnsi"/>
          <w:iCs/>
          <w:color w:val="000000"/>
          <w:u w:val="single"/>
          <w:lang w:eastAsia="en-GB"/>
        </w:rPr>
        <w:t>6.7</w:t>
      </w:r>
      <w:r w:rsidR="00991D2F" w:rsidRPr="009B3747">
        <w:rPr>
          <w:rFonts w:eastAsia="Times New Roman" w:cstheme="minorHAnsi"/>
          <w:iCs/>
          <w:color w:val="000000"/>
          <w:u w:val="single"/>
          <w:lang w:eastAsia="en-GB"/>
        </w:rPr>
        <w:t>.4</w:t>
      </w:r>
      <w:r w:rsidR="006F36A0" w:rsidRPr="009B3747">
        <w:rPr>
          <w:rFonts w:eastAsia="Times New Roman" w:cstheme="minorHAnsi"/>
          <w:iCs/>
          <w:color w:val="000000"/>
          <w:u w:val="single"/>
          <w:lang w:eastAsia="en-GB"/>
        </w:rPr>
        <w:t xml:space="preserve"> Leadership and governance</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C22EC4" w:rsidRDefault="00C22EC4" w:rsidP="006F36A0">
      <w:pPr>
        <w:rPr>
          <w:rFonts w:eastAsia="Times New Roman" w:cstheme="minorHAnsi"/>
          <w:color w:val="000000"/>
          <w:lang w:eastAsia="en-GB"/>
        </w:rPr>
      </w:pPr>
      <w:r>
        <w:rPr>
          <w:rFonts w:eastAsia="Times New Roman" w:cstheme="minorHAnsi"/>
          <w:color w:val="000000"/>
          <w:lang w:eastAsia="en-GB"/>
        </w:rPr>
        <w:t>P</w:t>
      </w:r>
      <w:r w:rsidR="006F36A0" w:rsidRPr="009B3747">
        <w:rPr>
          <w:rFonts w:eastAsia="Times New Roman" w:cstheme="minorHAnsi"/>
          <w:color w:val="000000"/>
          <w:lang w:eastAsia="en-GB"/>
        </w:rPr>
        <w:t>articipants frequently reflected upon the varying decision making processes and levels of accountability within school leadership and governance</w:t>
      </w:r>
      <w:r w:rsidR="009025E2">
        <w:rPr>
          <w:rFonts w:eastAsia="Times New Roman" w:cstheme="minorHAnsi"/>
          <w:color w:val="000000"/>
          <w:lang w:eastAsia="en-GB"/>
        </w:rPr>
        <w:t>.  These processes were deemed to affect what, how, when and why, action contributing to</w:t>
      </w:r>
      <w:r w:rsidR="006F36A0" w:rsidRPr="009B3747">
        <w:rPr>
          <w:rFonts w:eastAsia="Times New Roman" w:cstheme="minorHAnsi"/>
          <w:color w:val="000000"/>
          <w:lang w:eastAsia="en-GB"/>
        </w:rPr>
        <w:t xml:space="preserve"> adolescent obesi</w:t>
      </w:r>
      <w:r>
        <w:rPr>
          <w:rFonts w:eastAsia="Times New Roman" w:cstheme="minorHAnsi"/>
          <w:color w:val="000000"/>
          <w:lang w:eastAsia="en-GB"/>
        </w:rPr>
        <w:t xml:space="preserve">ty prevention </w:t>
      </w:r>
      <w:r w:rsidR="009025E2">
        <w:rPr>
          <w:rFonts w:eastAsia="Times New Roman" w:cstheme="minorHAnsi"/>
          <w:color w:val="000000"/>
          <w:lang w:eastAsia="en-GB"/>
        </w:rPr>
        <w:t>is</w:t>
      </w:r>
      <w:r>
        <w:rPr>
          <w:rFonts w:eastAsia="Times New Roman" w:cstheme="minorHAnsi"/>
          <w:color w:val="000000"/>
          <w:lang w:eastAsia="en-GB"/>
        </w:rPr>
        <w:t xml:space="preserve"> established.  </w:t>
      </w:r>
      <w:r w:rsidR="006F36A0" w:rsidRPr="009B3747">
        <w:rPr>
          <w:rFonts w:eastAsia="Times New Roman" w:cstheme="minorHAnsi"/>
          <w:color w:val="000000"/>
          <w:lang w:eastAsia="en-GB"/>
        </w:rPr>
        <w:t>A broad consensus existed across both participant groups, that whilst not without it challenges and tensions, chairs of governors and headteachers perform distinct and complementary roles within a secondary school setting.  </w:t>
      </w:r>
    </w:p>
    <w:p w:rsidR="00C22EC4" w:rsidRDefault="00C22EC4" w:rsidP="006F36A0">
      <w:pPr>
        <w:rPr>
          <w:rFonts w:eastAsia="Times New Roman" w:cstheme="minorHAnsi"/>
          <w:color w:val="000000"/>
          <w:lang w:eastAsia="en-GB"/>
        </w:rPr>
      </w:pP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Chairs of governors reported the belief that they and their governing body have an overarching strategic responsibility for a school as opposed to performing an operational role within the school setting.  Chairs of governors discussed being a school’s ‘critical friend’, providing support and guidance</w:t>
      </w:r>
      <w:r w:rsidR="00C22EC4">
        <w:rPr>
          <w:rFonts w:eastAsia="Times New Roman" w:cstheme="minorHAnsi"/>
          <w:color w:val="000000"/>
          <w:lang w:eastAsia="en-GB"/>
        </w:rPr>
        <w:t>,</w:t>
      </w:r>
      <w:r w:rsidRPr="009B3747">
        <w:rPr>
          <w:rFonts w:eastAsia="Times New Roman" w:cstheme="minorHAnsi"/>
          <w:color w:val="000000"/>
          <w:lang w:eastAsia="en-GB"/>
        </w:rPr>
        <w:t xml:space="preserve"> whilst at the same time holding the headteacher to account for both academic and financial performance.</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1D63C6" w:rsidRPr="009B3747" w:rsidRDefault="006F36A0" w:rsidP="006F36A0">
      <w:pPr>
        <w:ind w:left="720"/>
        <w:rPr>
          <w:rFonts w:eastAsia="Times New Roman" w:cstheme="minorHAnsi"/>
          <w:i/>
          <w:iCs/>
          <w:color w:val="000000"/>
          <w:sz w:val="20"/>
          <w:szCs w:val="20"/>
          <w:lang w:eastAsia="en-GB"/>
        </w:rPr>
      </w:pPr>
      <w:r w:rsidRPr="009B3747">
        <w:rPr>
          <w:rFonts w:eastAsia="Times New Roman" w:cstheme="minorHAnsi"/>
          <w:i/>
          <w:iCs/>
          <w:color w:val="000000"/>
          <w:sz w:val="20"/>
          <w:szCs w:val="20"/>
          <w:lang w:eastAsia="en-GB"/>
        </w:rPr>
        <w:t>“The governor’s job isn’t day to day, our job is to stand back is to allow our managers to manage and our leaders to lead</w:t>
      </w:r>
      <w:r w:rsidR="00EB44DD">
        <w:rPr>
          <w:rFonts w:eastAsia="Times New Roman" w:cstheme="minorHAnsi"/>
          <w:i/>
          <w:iCs/>
          <w:color w:val="000000"/>
          <w:sz w:val="20"/>
          <w:szCs w:val="20"/>
          <w:lang w:eastAsia="en-GB"/>
        </w:rPr>
        <w:t xml:space="preserve">, </w:t>
      </w:r>
      <w:r w:rsidRPr="009B3747">
        <w:rPr>
          <w:rFonts w:eastAsia="Times New Roman" w:cstheme="minorHAnsi"/>
          <w:i/>
          <w:iCs/>
          <w:color w:val="000000"/>
          <w:sz w:val="20"/>
          <w:szCs w:val="20"/>
          <w:lang w:eastAsia="en-GB"/>
        </w:rPr>
        <w:t xml:space="preserve">but take an overview so I hold the head to account for what he does and so does </w:t>
      </w:r>
      <w:r w:rsidRPr="009B3747">
        <w:rPr>
          <w:rFonts w:eastAsia="Times New Roman" w:cstheme="minorHAnsi"/>
          <w:i/>
          <w:iCs/>
          <w:color w:val="000000"/>
          <w:sz w:val="20"/>
          <w:szCs w:val="20"/>
          <w:lang w:eastAsia="en-GB"/>
        </w:rPr>
        <w:lastRenderedPageBreak/>
        <w:t>the governing body, so we hold him to account, we set the strategic direction, we set the values and aims of the school and then we check, and we challenge and we support.”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b/>
          <w:bCs/>
          <w:color w:val="000000"/>
          <w:sz w:val="20"/>
          <w:szCs w:val="20"/>
          <w:lang w:eastAsia="en-GB"/>
        </w:rPr>
        <w:t>Participant 18</w:t>
      </w:r>
      <w:r w:rsidR="001D63C6" w:rsidRPr="009B3747">
        <w:rPr>
          <w:rFonts w:eastAsia="Times New Roman" w:cstheme="minorHAnsi"/>
          <w:b/>
          <w:bCs/>
          <w:color w:val="000000"/>
          <w:sz w:val="20"/>
          <w:szCs w:val="20"/>
          <w:lang w:eastAsia="en-GB"/>
        </w:rPr>
        <w:t xml:space="preserve"> (Chair of governors)</w:t>
      </w:r>
      <w:r w:rsidRPr="009B3747">
        <w:rPr>
          <w:rFonts w:eastAsia="Times New Roman" w:cstheme="minorHAnsi"/>
          <w:i/>
          <w:iCs/>
          <w:color w:val="000000"/>
          <w:sz w:val="20"/>
          <w:szCs w:val="20"/>
          <w:lang w:eastAsia="en-GB"/>
        </w:rPr>
        <w:t xml:space="preserve">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Headteachers on the other hand, were in the main referenced as undertaking the primary leadership role and having overall operational responsibility for the day to day school management and decision-making.  Headteachers themselves</w:t>
      </w:r>
      <w:r w:rsidR="00C22EC4">
        <w:rPr>
          <w:rFonts w:eastAsia="Times New Roman" w:cstheme="minorHAnsi"/>
          <w:color w:val="000000"/>
          <w:lang w:eastAsia="en-GB"/>
        </w:rPr>
        <w:t>,</w:t>
      </w:r>
      <w:r w:rsidRPr="009B3747">
        <w:rPr>
          <w:rFonts w:eastAsia="Times New Roman" w:cstheme="minorHAnsi"/>
          <w:color w:val="000000"/>
          <w:lang w:eastAsia="en-GB"/>
        </w:rPr>
        <w:t xml:space="preserve"> referred to their role in setting priorities that aim to support the delivery of their school’s vision and ensure their school is academically and financially performing.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“The governors only appoint a head whose vision they buy into and of course they hold you to account regularly don’t they in order to try and find out that you are delivering on the vision that you believe in, it’s a vision that’s true and that it’s fair.”  </w:t>
      </w:r>
      <w:r w:rsidRPr="009B3747">
        <w:rPr>
          <w:rFonts w:eastAsia="Times New Roman" w:cstheme="minorHAnsi"/>
          <w:b/>
          <w:bCs/>
          <w:color w:val="000000"/>
          <w:sz w:val="20"/>
          <w:szCs w:val="20"/>
          <w:lang w:eastAsia="en-GB"/>
        </w:rPr>
        <w:t>Participant 10</w:t>
      </w:r>
      <w:r w:rsidRPr="009B3747">
        <w:rPr>
          <w:rFonts w:eastAsia="Times New Roman" w:cstheme="minorHAnsi"/>
          <w:color w:val="000000"/>
          <w:sz w:val="20"/>
          <w:szCs w:val="20"/>
          <w:lang w:eastAsia="en-GB"/>
        </w:rPr>
        <w:t xml:space="preserve"> </w:t>
      </w:r>
      <w:r w:rsidR="001D63C6" w:rsidRPr="009B3747">
        <w:rPr>
          <w:rFonts w:eastAsia="Times New Roman" w:cstheme="minorHAnsi"/>
          <w:b/>
          <w:color w:val="000000"/>
          <w:sz w:val="20"/>
          <w:szCs w:val="20"/>
          <w:lang w:eastAsia="en-GB"/>
        </w:rPr>
        <w:t>(Headteacher)</w:t>
      </w:r>
      <w:r w:rsidRPr="009B3747">
        <w:rPr>
          <w:rFonts w:eastAsia="Times New Roman" w:cstheme="minorHAnsi"/>
          <w:color w:val="000000"/>
          <w:sz w:val="20"/>
          <w:szCs w:val="20"/>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In relation to a school’s action contributing to obesity prevention and the improvement of adolescent lifestyle behaviours, a clear distinction was made between the roles and responsibilities within leadership an</w:t>
      </w:r>
      <w:r w:rsidR="00D62F95" w:rsidRPr="009B3747">
        <w:rPr>
          <w:rFonts w:eastAsia="Times New Roman" w:cstheme="minorHAnsi"/>
          <w:color w:val="000000"/>
          <w:lang w:eastAsia="en-GB"/>
        </w:rPr>
        <w:t>d governance.  As detailed in 6.6.2</w:t>
      </w:r>
      <w:r w:rsidRPr="009B3747">
        <w:rPr>
          <w:rFonts w:eastAsia="Times New Roman" w:cstheme="minorHAnsi"/>
          <w:color w:val="000000"/>
          <w:lang w:eastAsia="en-GB"/>
        </w:rPr>
        <w:t>, both headteachers and chairs of governors supported the concept that schools sh</w:t>
      </w:r>
      <w:r w:rsidR="00C22EC4">
        <w:rPr>
          <w:rFonts w:eastAsia="Times New Roman" w:cstheme="minorHAnsi"/>
          <w:color w:val="000000"/>
          <w:lang w:eastAsia="en-GB"/>
        </w:rPr>
        <w:t xml:space="preserve">ould and in fact where feasible, </w:t>
      </w:r>
      <w:r w:rsidRPr="009B3747">
        <w:rPr>
          <w:rFonts w:eastAsia="Times New Roman" w:cstheme="minorHAnsi"/>
          <w:color w:val="000000"/>
          <w:lang w:eastAsia="en-GB"/>
        </w:rPr>
        <w:t>do prioritise and take action to improve adolescent lifestyle behaviours.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When reflecting upon their role in this process, chairs of governors from state funded schools reported how two of their key governance functions contribute to improving lifestyle behaviours and therefore the prevention of obesity in adolescents.  The first function centred on ensuring the headteacher and the school meet th</w:t>
      </w:r>
      <w:r w:rsidR="00C22EC4">
        <w:rPr>
          <w:rFonts w:eastAsia="Times New Roman" w:cstheme="minorHAnsi"/>
          <w:color w:val="000000"/>
          <w:lang w:eastAsia="en-GB"/>
        </w:rPr>
        <w:t xml:space="preserve">eir statutory obligations, </w:t>
      </w:r>
      <w:r w:rsidRPr="009B3747">
        <w:rPr>
          <w:rFonts w:eastAsia="Times New Roman" w:cstheme="minorHAnsi"/>
          <w:color w:val="000000"/>
          <w:lang w:eastAsia="en-GB"/>
        </w:rPr>
        <w:t xml:space="preserve">in relation to the provision of education, services and opportunities that </w:t>
      </w:r>
      <w:r w:rsidR="00C22EC4">
        <w:rPr>
          <w:rFonts w:eastAsia="Times New Roman" w:cstheme="minorHAnsi"/>
          <w:color w:val="000000"/>
          <w:lang w:eastAsia="en-GB"/>
        </w:rPr>
        <w:t>could</w:t>
      </w:r>
      <w:r w:rsidRPr="009B3747">
        <w:rPr>
          <w:rFonts w:eastAsia="Times New Roman" w:cstheme="minorHAnsi"/>
          <w:color w:val="000000"/>
          <w:lang w:eastAsia="en-GB"/>
        </w:rPr>
        <w:t xml:space="preserve"> influence dietary and physical activity habits</w:t>
      </w:r>
      <w:r w:rsidR="004862DC">
        <w:rPr>
          <w:rFonts w:eastAsia="Times New Roman" w:cstheme="minorHAnsi"/>
          <w:color w:val="000000"/>
          <w:lang w:eastAsia="en-GB"/>
        </w:rPr>
        <w:t xml:space="preserve">, </w:t>
      </w:r>
      <w:r w:rsidRPr="009B3747">
        <w:rPr>
          <w:rFonts w:eastAsia="Times New Roman" w:cstheme="minorHAnsi"/>
          <w:color w:val="000000"/>
          <w:lang w:eastAsia="en-GB"/>
        </w:rPr>
        <w:t>e.g. curriculum requirements, food standards and catering and access to school nursing services.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b/>
          <w:sz w:val="24"/>
          <w:szCs w:val="24"/>
          <w:lang w:eastAsia="en-GB"/>
        </w:rPr>
      </w:pPr>
      <w:r w:rsidRPr="009B3747">
        <w:rPr>
          <w:rFonts w:eastAsia="Times New Roman" w:cstheme="minorHAnsi"/>
          <w:i/>
          <w:iCs/>
          <w:color w:val="000000"/>
          <w:sz w:val="20"/>
          <w:szCs w:val="20"/>
          <w:lang w:eastAsia="en-GB"/>
        </w:rPr>
        <w:t>“Well, I suppose, our role is to challenge and support schools to provide the best education for children and within that is the best education around healthy eating, food choices, making sure that we’re providing you know, food education for students, making sure we’re providing adequate physical education for students so it’s, our role is more strategic, it’s about challenging schools to make sure they do those things.”  </w:t>
      </w:r>
      <w:r w:rsidRPr="009B3747">
        <w:rPr>
          <w:rFonts w:eastAsia="Times New Roman" w:cstheme="minorHAnsi"/>
          <w:b/>
          <w:bCs/>
          <w:color w:val="000000"/>
          <w:sz w:val="20"/>
          <w:szCs w:val="20"/>
          <w:lang w:eastAsia="en-GB"/>
        </w:rPr>
        <w:t>Participant 11</w:t>
      </w:r>
      <w:r w:rsidRPr="009B3747">
        <w:rPr>
          <w:rFonts w:eastAsia="Times New Roman" w:cstheme="minorHAnsi"/>
          <w:color w:val="000000"/>
          <w:sz w:val="20"/>
          <w:szCs w:val="20"/>
          <w:lang w:eastAsia="en-GB"/>
        </w:rPr>
        <w:t xml:space="preserve"> </w:t>
      </w:r>
      <w:r w:rsidR="001D63C6" w:rsidRPr="009B3747">
        <w:rPr>
          <w:rFonts w:eastAsia="Times New Roman" w:cstheme="minorHAnsi"/>
          <w:b/>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 xml:space="preserve">Secondly and for some more significantly, was the function chairs of governors perform in monitoring how the headteacher manages and allocates financial resources. This was especially </w:t>
      </w:r>
      <w:r w:rsidRPr="009B3747">
        <w:rPr>
          <w:rFonts w:eastAsia="Times New Roman" w:cstheme="minorHAnsi"/>
          <w:color w:val="000000"/>
          <w:lang w:eastAsia="en-GB"/>
        </w:rPr>
        <w:lastRenderedPageBreak/>
        <w:t>pertinent in relation to the procurement of school catering providers and reviewin</w:t>
      </w:r>
      <w:r w:rsidR="005D3459" w:rsidRPr="009B3747">
        <w:rPr>
          <w:rFonts w:eastAsia="Times New Roman" w:cstheme="minorHAnsi"/>
          <w:color w:val="000000"/>
          <w:lang w:eastAsia="en-GB"/>
        </w:rPr>
        <w:t>g school catering budgets.  Due</w:t>
      </w:r>
      <w:r w:rsidRPr="009B3747">
        <w:rPr>
          <w:rFonts w:eastAsia="Times New Roman" w:cstheme="minorHAnsi"/>
          <w:color w:val="000000"/>
          <w:lang w:eastAsia="en-GB"/>
        </w:rPr>
        <w:t> to its financial implications this was deemed a high priority issue for both governance and leadership.</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“We’ve had a lot of conversations about catering and about the quality of catering and </w:t>
      </w:r>
      <w:r w:rsidR="004B590A" w:rsidRPr="009B3747">
        <w:rPr>
          <w:rFonts w:eastAsia="Times New Roman" w:cstheme="minorHAnsi"/>
          <w:i/>
          <w:iCs/>
          <w:color w:val="000000"/>
          <w:sz w:val="20"/>
          <w:szCs w:val="20"/>
          <w:lang w:eastAsia="en-GB"/>
        </w:rPr>
        <w:t>I</w:t>
      </w:r>
      <w:r w:rsidRPr="009B3747">
        <w:rPr>
          <w:rFonts w:eastAsia="Times New Roman" w:cstheme="minorHAnsi"/>
          <w:i/>
          <w:iCs/>
          <w:color w:val="000000"/>
          <w:sz w:val="20"/>
          <w:szCs w:val="20"/>
          <w:lang w:eastAsia="en-GB"/>
        </w:rPr>
        <w:t xml:space="preserve"> think you’ll find, I’ve also been a clerk to the governing bodies, so sat in a lot of other governing bodies, there’s a lot of conversations about the quality of school meals, catering.”  </w:t>
      </w:r>
      <w:r w:rsidRPr="009B3747">
        <w:rPr>
          <w:rFonts w:eastAsia="Times New Roman" w:cstheme="minorHAnsi"/>
          <w:b/>
          <w:bCs/>
          <w:color w:val="000000"/>
          <w:sz w:val="20"/>
          <w:szCs w:val="20"/>
          <w:lang w:eastAsia="en-GB"/>
        </w:rPr>
        <w:t>Participant 3</w:t>
      </w:r>
      <w:r w:rsidR="001D63C6" w:rsidRPr="009B3747">
        <w:rPr>
          <w:rFonts w:eastAsia="Times New Roman" w:cstheme="minorHAnsi"/>
          <w:b/>
          <w:bCs/>
          <w:color w:val="000000"/>
          <w:sz w:val="20"/>
          <w:szCs w:val="20"/>
          <w:lang w:eastAsia="en-GB"/>
        </w:rPr>
        <w:t xml:space="preserve"> (Chair of governors)</w:t>
      </w:r>
      <w:r w:rsidRPr="009B3747">
        <w:rPr>
          <w:rFonts w:eastAsia="Times New Roman" w:cstheme="minorHAnsi"/>
          <w:color w:val="000000"/>
          <w:sz w:val="20"/>
          <w:szCs w:val="20"/>
          <w:lang w:eastAsia="en-GB"/>
        </w:rPr>
        <w:t xml:space="preserve">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Aside from these two functions, most chairs of governors reported minimal direct involvement in whether and how</w:t>
      </w:r>
      <w:r w:rsidR="00C22EC4">
        <w:rPr>
          <w:rFonts w:eastAsia="Times New Roman" w:cstheme="minorHAnsi"/>
          <w:color w:val="000000"/>
          <w:lang w:eastAsia="en-GB"/>
        </w:rPr>
        <w:t>,</w:t>
      </w:r>
      <w:r w:rsidRPr="009B3747">
        <w:rPr>
          <w:rFonts w:eastAsia="Times New Roman" w:cstheme="minorHAnsi"/>
          <w:color w:val="000000"/>
          <w:lang w:eastAsia="en-GB"/>
        </w:rPr>
        <w:t xml:space="preserve"> a school sets priorities or directs action for improving adolescent lifestyle behaviours.  This was attributed by most to three main factors.  Firstly, despite chairs of governors expressing support for action, it was deeme</w:t>
      </w:r>
      <w:r w:rsidR="009025E2">
        <w:rPr>
          <w:rFonts w:eastAsia="Times New Roman" w:cstheme="minorHAnsi"/>
          <w:color w:val="000000"/>
          <w:lang w:eastAsia="en-GB"/>
        </w:rPr>
        <w:t xml:space="preserve">d an operational matter, </w:t>
      </w:r>
      <w:r w:rsidRPr="009B3747">
        <w:rPr>
          <w:rFonts w:eastAsia="Times New Roman" w:cstheme="minorHAnsi"/>
          <w:color w:val="000000"/>
          <w:lang w:eastAsia="en-GB"/>
        </w:rPr>
        <w:t>which shou</w:t>
      </w:r>
      <w:r w:rsidR="005D3459" w:rsidRPr="009B3747">
        <w:rPr>
          <w:rFonts w:eastAsia="Times New Roman" w:cstheme="minorHAnsi"/>
          <w:color w:val="000000"/>
          <w:lang w:eastAsia="en-GB"/>
        </w:rPr>
        <w:t xml:space="preserve">ld be led by the headteacher.  </w:t>
      </w:r>
      <w:r w:rsidRPr="009B3747">
        <w:rPr>
          <w:rFonts w:eastAsia="Times New Roman" w:cstheme="minorHAnsi"/>
          <w:color w:val="000000"/>
          <w:lang w:eastAsia="en-GB"/>
        </w:rPr>
        <w:t>Secondly, given increasing government pressure on governing bodies to focus on a school's academic results and financial management, a lack of capacity was deemed to exist to discuss topics outside or on the fringes of this remit.</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b/>
          <w:sz w:val="24"/>
          <w:szCs w:val="24"/>
          <w:lang w:eastAsia="en-GB"/>
        </w:rPr>
      </w:pPr>
      <w:r w:rsidRPr="009B3747">
        <w:rPr>
          <w:rFonts w:eastAsia="Times New Roman" w:cstheme="minorHAnsi"/>
          <w:i/>
          <w:iCs/>
          <w:color w:val="000000"/>
          <w:sz w:val="20"/>
          <w:szCs w:val="20"/>
          <w:lang w:eastAsia="en-GB"/>
        </w:rPr>
        <w:t>“The demands of Ofsted and attainment and meeting thresholds are just overwhelming really, you know, they, they, they dominate what the governing body talks about and where the heads puts the money.”  </w:t>
      </w:r>
      <w:r w:rsidRPr="009B3747">
        <w:rPr>
          <w:rFonts w:eastAsia="Times New Roman" w:cstheme="minorHAnsi"/>
          <w:b/>
          <w:bCs/>
          <w:color w:val="000000"/>
          <w:sz w:val="20"/>
          <w:szCs w:val="20"/>
          <w:lang w:eastAsia="en-GB"/>
        </w:rPr>
        <w:t>Participant 4</w:t>
      </w:r>
      <w:r w:rsidRPr="009B3747">
        <w:rPr>
          <w:rFonts w:eastAsia="Times New Roman" w:cstheme="minorHAnsi"/>
          <w:color w:val="000000"/>
          <w:sz w:val="20"/>
          <w:szCs w:val="20"/>
          <w:lang w:eastAsia="en-GB"/>
        </w:rPr>
        <w:t xml:space="preserve"> </w:t>
      </w:r>
      <w:r w:rsidR="001D63C6" w:rsidRPr="009B3747">
        <w:rPr>
          <w:rFonts w:eastAsia="Times New Roman" w:cstheme="minorHAnsi"/>
          <w:b/>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“But the issue itself of the effect on children of obesity has never come up and my guess is it’s not seen as, if I were to say, obesity is on the agenda, I think one or two governors would say “well actually haven’t we got more important things to discuss?”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Participant 15</w:t>
      </w:r>
      <w:r w:rsidR="001D63C6" w:rsidRPr="009B3747">
        <w:rPr>
          <w:rFonts w:eastAsia="Times New Roman" w:cstheme="minorHAnsi"/>
          <w:b/>
          <w:bCs/>
          <w:color w:val="000000"/>
          <w:sz w:val="20"/>
          <w:szCs w:val="20"/>
          <w:lang w:eastAsia="en-GB"/>
        </w:rPr>
        <w:t xml:space="preserve"> (Chair of governors)</w:t>
      </w:r>
      <w:r w:rsidRPr="009B3747">
        <w:rPr>
          <w:rFonts w:eastAsia="Times New Roman" w:cstheme="minorHAnsi"/>
          <w:color w:val="000000"/>
          <w:sz w:val="20"/>
          <w:szCs w:val="20"/>
          <w:lang w:eastAsia="en-GB"/>
        </w:rPr>
        <w:t xml:space="preserve">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Thirdly, some chairs of governors reported having a limited awareness about adolescent obesity and preventative action occurring in their school.  A minority raised concern about whether they should know this information and whether they should be asking more ‘searching’ questions of the headteacher.  The majority however felt that given this was is an operational level matter</w:t>
      </w:r>
      <w:r w:rsidR="00C22EC4">
        <w:rPr>
          <w:rFonts w:eastAsia="Times New Roman" w:cstheme="minorHAnsi"/>
          <w:color w:val="000000"/>
          <w:lang w:eastAsia="en-GB"/>
        </w:rPr>
        <w:t>,</w:t>
      </w:r>
      <w:r w:rsidRPr="009B3747">
        <w:rPr>
          <w:rFonts w:eastAsia="Times New Roman" w:cstheme="minorHAnsi"/>
          <w:color w:val="000000"/>
          <w:lang w:eastAsia="en-GB"/>
        </w:rPr>
        <w:t xml:space="preserve"> and the fact that their respective headteachers had never raised </w:t>
      </w:r>
      <w:r w:rsidR="00C22EC4">
        <w:rPr>
          <w:rFonts w:eastAsia="Times New Roman" w:cstheme="minorHAnsi"/>
          <w:color w:val="000000"/>
          <w:lang w:eastAsia="en-GB"/>
        </w:rPr>
        <w:t>the issue,</w:t>
      </w:r>
      <w:r w:rsidRPr="009B3747">
        <w:rPr>
          <w:rFonts w:eastAsia="Times New Roman" w:cstheme="minorHAnsi"/>
          <w:color w:val="000000"/>
          <w:lang w:eastAsia="en-GB"/>
        </w:rPr>
        <w:t xml:space="preserve"> their awareness or direct involvement was therefore deemed to not be required.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C22EC4" w:rsidRDefault="006F36A0" w:rsidP="00C22EC4">
      <w:pPr>
        <w:ind w:left="720"/>
        <w:rPr>
          <w:rFonts w:eastAsia="Times New Roman" w:cstheme="minorHAnsi"/>
          <w:b/>
          <w:sz w:val="24"/>
          <w:szCs w:val="24"/>
          <w:lang w:eastAsia="en-GB"/>
        </w:rPr>
      </w:pPr>
      <w:r w:rsidRPr="009B3747">
        <w:rPr>
          <w:rFonts w:eastAsia="Times New Roman" w:cstheme="minorHAnsi"/>
          <w:i/>
          <w:iCs/>
          <w:color w:val="000000"/>
          <w:sz w:val="20"/>
          <w:szCs w:val="20"/>
          <w:lang w:eastAsia="en-GB"/>
        </w:rPr>
        <w:t>“Now having said that, I have a weekly meeting with the headteacher and it’s never ever ever been raised with us. Ok, having said that, I’m quite sure that were it an issue it would be raised for, with the governors</w:t>
      </w:r>
      <w:r w:rsidR="00EB44DD">
        <w:rPr>
          <w:rFonts w:eastAsia="Times New Roman" w:cstheme="minorHAnsi"/>
          <w:i/>
          <w:iCs/>
          <w:color w:val="000000"/>
          <w:sz w:val="20"/>
          <w:szCs w:val="20"/>
          <w:lang w:eastAsia="en-GB"/>
        </w:rPr>
        <w:t xml:space="preserve">, but it never has been, </w:t>
      </w:r>
      <w:r w:rsidRPr="009B3747">
        <w:rPr>
          <w:rFonts w:eastAsia="Times New Roman" w:cstheme="minorHAnsi"/>
          <w:i/>
          <w:iCs/>
          <w:color w:val="000000"/>
          <w:sz w:val="20"/>
          <w:szCs w:val="20"/>
          <w:lang w:eastAsia="en-GB"/>
        </w:rPr>
        <w:t xml:space="preserve">but if it were, we would take it certainly take it very seriously and tackle it.”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Participant 13</w:t>
      </w:r>
      <w:r w:rsidRPr="009B3747">
        <w:rPr>
          <w:rFonts w:eastAsia="Times New Roman" w:cstheme="minorHAnsi"/>
          <w:color w:val="000000"/>
          <w:sz w:val="20"/>
          <w:szCs w:val="20"/>
          <w:lang w:eastAsia="en-GB"/>
        </w:rPr>
        <w:t xml:space="preserve"> </w:t>
      </w:r>
      <w:r w:rsidR="001D63C6" w:rsidRPr="009B3747">
        <w:rPr>
          <w:rFonts w:eastAsia="Times New Roman" w:cstheme="minorHAnsi"/>
          <w:b/>
          <w:color w:val="000000"/>
          <w:sz w:val="20"/>
          <w:szCs w:val="20"/>
          <w:lang w:eastAsia="en-GB"/>
        </w:rPr>
        <w:t>(Chair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lastRenderedPageBreak/>
        <w:t xml:space="preserve">One chair of governor reported that at times the media have the power to inform discussions within a governance </w:t>
      </w:r>
      <w:r w:rsidR="00C22EC4">
        <w:rPr>
          <w:rFonts w:eastAsia="Times New Roman" w:cstheme="minorHAnsi"/>
          <w:color w:val="000000"/>
          <w:lang w:eastAsia="en-GB"/>
        </w:rPr>
        <w:t>environment,</w:t>
      </w:r>
      <w:r w:rsidRPr="009B3747">
        <w:rPr>
          <w:rFonts w:eastAsia="Times New Roman" w:cstheme="minorHAnsi"/>
          <w:color w:val="000000"/>
          <w:lang w:eastAsia="en-GB"/>
        </w:rPr>
        <w:t xml:space="preserve"> and influence topics for consideration, including those related to adolescent health and well-being.</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“I have to say when certain things become newsworthy beyond the school, like there was an issue of a school where parents were pushing fish and chips through the bar and all of a sudden at a governors meetings, one of the governors said “there’s nobody doing that here is there?” and it became an issue for discussion and it was felt no that wasn’t happening and wouldn’t be allowed to happen.”  </w:t>
      </w:r>
      <w:r w:rsidRPr="009B3747">
        <w:rPr>
          <w:rFonts w:eastAsia="Times New Roman" w:cstheme="minorHAnsi"/>
          <w:b/>
          <w:bCs/>
          <w:color w:val="000000"/>
          <w:sz w:val="20"/>
          <w:szCs w:val="20"/>
          <w:lang w:eastAsia="en-GB"/>
        </w:rPr>
        <w:t>Participant 15</w:t>
      </w:r>
      <w:r w:rsidR="001D63C6" w:rsidRPr="009B3747">
        <w:rPr>
          <w:rFonts w:eastAsia="Times New Roman" w:cstheme="minorHAnsi"/>
          <w:b/>
          <w:bCs/>
          <w:color w:val="000000"/>
          <w:sz w:val="20"/>
          <w:szCs w:val="20"/>
          <w:lang w:eastAsia="en-GB"/>
        </w:rPr>
        <w:t xml:space="preserve"> (Chair of governors)</w:t>
      </w:r>
      <w:r w:rsidRPr="009B3747">
        <w:rPr>
          <w:rFonts w:eastAsia="Times New Roman" w:cstheme="minorHAnsi"/>
          <w:b/>
          <w:bCs/>
          <w:color w:val="000000"/>
          <w:sz w:val="20"/>
          <w:szCs w:val="20"/>
          <w:lang w:eastAsia="en-GB"/>
        </w:rPr>
        <w:t xml:space="preserve">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In spite of the variations in current awareness and direct involvement, some felt that if they or the governing body did identify or perceive a significant health issue to exist within their school population</w:t>
      </w:r>
      <w:r w:rsidR="00C22EC4">
        <w:rPr>
          <w:rFonts w:eastAsia="Times New Roman" w:cstheme="minorHAnsi"/>
          <w:color w:val="000000"/>
          <w:lang w:eastAsia="en-GB"/>
        </w:rPr>
        <w:t xml:space="preserve"> (</w:t>
      </w:r>
      <w:r w:rsidRPr="009B3747">
        <w:rPr>
          <w:rFonts w:eastAsia="Times New Roman" w:cstheme="minorHAnsi"/>
          <w:color w:val="000000"/>
          <w:lang w:eastAsia="en-GB"/>
        </w:rPr>
        <w:t>i.e. obesity or mental health</w:t>
      </w:r>
      <w:r w:rsidR="00C22EC4">
        <w:rPr>
          <w:rFonts w:eastAsia="Times New Roman" w:cstheme="minorHAnsi"/>
          <w:color w:val="000000"/>
          <w:lang w:eastAsia="en-GB"/>
        </w:rPr>
        <w:t>)</w:t>
      </w:r>
      <w:r w:rsidRPr="009B3747">
        <w:rPr>
          <w:rFonts w:eastAsia="Times New Roman" w:cstheme="minorHAnsi"/>
          <w:color w:val="000000"/>
          <w:lang w:eastAsia="en-GB"/>
        </w:rPr>
        <w:t xml:space="preserve">, they would have the ability and authority to influence the headteachers and school's action.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“So if any of the governors or if I wanted to put one the agenda an issue about excess weight, we could, then there would be a discussion and then the senior leadership team would be told to take that away and come up with the policy or whatever.”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Participant 2</w:t>
      </w:r>
      <w:r w:rsidR="001D63C6" w:rsidRPr="009B3747">
        <w:rPr>
          <w:rFonts w:eastAsia="Times New Roman" w:cstheme="minorHAnsi"/>
          <w:b/>
          <w:bCs/>
          <w:color w:val="000000"/>
          <w:sz w:val="20"/>
          <w:szCs w:val="20"/>
          <w:lang w:eastAsia="en-GB"/>
        </w:rPr>
        <w:t xml:space="preserve"> (Chair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It was proposed by some</w:t>
      </w:r>
      <w:r w:rsidR="00C22EC4">
        <w:rPr>
          <w:rFonts w:eastAsia="Times New Roman" w:cstheme="minorHAnsi"/>
          <w:color w:val="000000"/>
          <w:lang w:eastAsia="en-GB"/>
        </w:rPr>
        <w:t>,</w:t>
      </w:r>
      <w:r w:rsidRPr="009B3747">
        <w:rPr>
          <w:rFonts w:eastAsia="Times New Roman" w:cstheme="minorHAnsi"/>
          <w:color w:val="000000"/>
          <w:lang w:eastAsia="en-GB"/>
        </w:rPr>
        <w:t xml:space="preserve"> that having training for governors on obesity and more broadly in relation to adolescent health and well</w:t>
      </w:r>
      <w:r w:rsidR="00C22EC4">
        <w:rPr>
          <w:rFonts w:eastAsia="Times New Roman" w:cstheme="minorHAnsi"/>
          <w:color w:val="000000"/>
          <w:lang w:eastAsia="en-GB"/>
        </w:rPr>
        <w:t>-being could be useful for increasing the</w:t>
      </w:r>
      <w:r w:rsidRPr="009B3747">
        <w:rPr>
          <w:rFonts w:eastAsia="Times New Roman" w:cstheme="minorHAnsi"/>
          <w:color w:val="000000"/>
          <w:lang w:eastAsia="en-GB"/>
        </w:rPr>
        <w:t xml:space="preserve"> perceived value of schools taking a more preventative and proactive approach.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1D63C6" w:rsidRPr="009B3747" w:rsidRDefault="006F36A0" w:rsidP="006F36A0">
      <w:pPr>
        <w:ind w:left="720"/>
        <w:rPr>
          <w:rFonts w:eastAsia="Times New Roman" w:cstheme="minorHAnsi"/>
          <w:i/>
          <w:iCs/>
          <w:color w:val="000000"/>
          <w:sz w:val="20"/>
          <w:szCs w:val="20"/>
          <w:lang w:eastAsia="en-GB"/>
        </w:rPr>
      </w:pPr>
      <w:r w:rsidRPr="009B3747">
        <w:rPr>
          <w:rFonts w:eastAsia="Times New Roman" w:cstheme="minorHAnsi"/>
          <w:i/>
          <w:iCs/>
          <w:color w:val="000000"/>
          <w:sz w:val="20"/>
          <w:szCs w:val="20"/>
          <w:lang w:eastAsia="en-GB"/>
        </w:rPr>
        <w:t xml:space="preserve">“It’s not compulsory for governors to have </w:t>
      </w:r>
      <w:r w:rsidR="00EB44DD">
        <w:rPr>
          <w:rFonts w:eastAsia="Times New Roman" w:cstheme="minorHAnsi"/>
          <w:i/>
          <w:iCs/>
          <w:color w:val="000000"/>
          <w:sz w:val="20"/>
          <w:szCs w:val="20"/>
          <w:lang w:eastAsia="en-GB"/>
        </w:rPr>
        <w:t xml:space="preserve">any training of any description, </w:t>
      </w:r>
      <w:r w:rsidRPr="009B3747">
        <w:rPr>
          <w:rFonts w:eastAsia="Times New Roman" w:cstheme="minorHAnsi"/>
          <w:i/>
          <w:iCs/>
          <w:color w:val="000000"/>
          <w:sz w:val="20"/>
          <w:szCs w:val="20"/>
          <w:lang w:eastAsia="en-GB"/>
        </w:rPr>
        <w:t>but some training on he</w:t>
      </w:r>
      <w:r w:rsidR="009025E2">
        <w:rPr>
          <w:rFonts w:eastAsia="Times New Roman" w:cstheme="minorHAnsi"/>
          <w:i/>
          <w:iCs/>
          <w:color w:val="000000"/>
          <w:sz w:val="20"/>
          <w:szCs w:val="20"/>
          <w:lang w:eastAsia="en-GB"/>
        </w:rPr>
        <w:t xml:space="preserve">alth, obesity, all those issues, </w:t>
      </w:r>
      <w:r w:rsidRPr="009B3747">
        <w:rPr>
          <w:rFonts w:eastAsia="Times New Roman" w:cstheme="minorHAnsi"/>
          <w:i/>
          <w:iCs/>
          <w:color w:val="000000"/>
          <w:sz w:val="20"/>
          <w:szCs w:val="20"/>
          <w:lang w:eastAsia="en-GB"/>
        </w:rPr>
        <w:t>which would provided to governors so they could ask the right questions and see it as a priority within their portfolio of work would be quite helpful.”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b/>
          <w:bCs/>
          <w:color w:val="000000"/>
          <w:sz w:val="20"/>
          <w:szCs w:val="20"/>
          <w:lang w:eastAsia="en-GB"/>
        </w:rPr>
        <w:t>Participant 3</w:t>
      </w:r>
      <w:r w:rsidR="001D63C6" w:rsidRPr="009B3747">
        <w:rPr>
          <w:rFonts w:eastAsia="Times New Roman" w:cstheme="minorHAnsi"/>
          <w:b/>
          <w:bCs/>
          <w:color w:val="000000"/>
          <w:sz w:val="20"/>
          <w:szCs w:val="20"/>
          <w:lang w:eastAsia="en-GB"/>
        </w:rPr>
        <w:t xml:space="preserve"> (Chair of governors)</w:t>
      </w:r>
      <w:r w:rsidRPr="009B3747">
        <w:rPr>
          <w:rFonts w:eastAsia="Times New Roman" w:cstheme="minorHAnsi"/>
          <w:color w:val="000000"/>
          <w:sz w:val="20"/>
          <w:szCs w:val="20"/>
          <w:lang w:eastAsia="en-GB"/>
        </w:rPr>
        <w:t xml:space="preserve">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Supporting chairs of governors</w:t>
      </w:r>
      <w:r w:rsidR="00DB655F" w:rsidRPr="009B3747">
        <w:rPr>
          <w:rFonts w:eastAsia="Times New Roman" w:cstheme="minorHAnsi"/>
          <w:color w:val="000000"/>
          <w:lang w:eastAsia="en-GB"/>
        </w:rPr>
        <w:t>’</w:t>
      </w:r>
      <w:r w:rsidRPr="009B3747">
        <w:rPr>
          <w:rFonts w:eastAsia="Times New Roman" w:cstheme="minorHAnsi"/>
          <w:color w:val="000000"/>
          <w:lang w:eastAsia="en-GB"/>
        </w:rPr>
        <w:t xml:space="preserve"> view, headteachers felt that they have the decision making power at an operational level to decide whether, what, when and how action is directed towards improving adolescent lifestyle behaviours.  This was also discussed more broadly than preventing obesity, with headteachers typically viewing themselves as the most critical factor for determining a school's priorities, ethos and overall culture.</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lastRenderedPageBreak/>
        <w:t xml:space="preserve">“If I decided to make it a priority within the school, one of my vision, one of my whatever else, I think the school would buy into it, the staff would buy into it and we’d get the students to buy in to into. You’d still have issues around it and it’d happen. Simple as that.”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Participant 19</w:t>
      </w:r>
      <w:r w:rsidR="001D63C6" w:rsidRPr="009B3747">
        <w:rPr>
          <w:rFonts w:eastAsia="Times New Roman" w:cstheme="minorHAnsi"/>
          <w:b/>
          <w:bCs/>
          <w:color w:val="000000"/>
          <w:sz w:val="20"/>
          <w:szCs w:val="20"/>
          <w:lang w:eastAsia="en-GB"/>
        </w:rPr>
        <w:t xml:space="preserve"> (Headteacher)</w:t>
      </w:r>
      <w:r w:rsidRPr="009B3747">
        <w:rPr>
          <w:rFonts w:eastAsia="Times New Roman" w:cstheme="minorHAnsi"/>
          <w:color w:val="000000"/>
          <w:sz w:val="20"/>
          <w:szCs w:val="20"/>
          <w:lang w:eastAsia="en-GB"/>
        </w:rPr>
        <w:t xml:space="preserve">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For some, having an overall leadership responsibility was a double edg</w:t>
      </w:r>
      <w:r w:rsidR="00C22EC4">
        <w:rPr>
          <w:rFonts w:eastAsia="Times New Roman" w:cstheme="minorHAnsi"/>
          <w:color w:val="000000"/>
          <w:lang w:eastAsia="en-GB"/>
        </w:rPr>
        <w:t xml:space="preserve">ed sword.  The role of headship, </w:t>
      </w:r>
      <w:r w:rsidRPr="009B3747">
        <w:rPr>
          <w:rFonts w:eastAsia="Times New Roman" w:cstheme="minorHAnsi"/>
          <w:color w:val="000000"/>
          <w:lang w:eastAsia="en-GB"/>
        </w:rPr>
        <w:t xml:space="preserve">was suggested to provide meaningful opportunities to determine how and in what way a school makes a difference to </w:t>
      </w:r>
      <w:r w:rsidR="005D3459" w:rsidRPr="009B3747">
        <w:rPr>
          <w:rFonts w:eastAsia="Times New Roman" w:cstheme="minorHAnsi"/>
          <w:color w:val="000000"/>
          <w:lang w:eastAsia="en-GB"/>
        </w:rPr>
        <w:t>adolescents’</w:t>
      </w:r>
      <w:r w:rsidRPr="009B3747">
        <w:rPr>
          <w:rFonts w:eastAsia="Times New Roman" w:cstheme="minorHAnsi"/>
          <w:color w:val="000000"/>
          <w:lang w:eastAsia="en-GB"/>
        </w:rPr>
        <w:t xml:space="preserve"> lives including around health and well-being.  Despite this, it also led to the suggestion that headteachers and their respective schools are at times inappropriately held accountable for issues within society that</w:t>
      </w:r>
      <w:r w:rsidR="004862DC">
        <w:rPr>
          <w:rFonts w:eastAsia="Times New Roman" w:cstheme="minorHAnsi"/>
          <w:color w:val="000000"/>
          <w:lang w:eastAsia="en-GB"/>
        </w:rPr>
        <w:t xml:space="preserve"> are over and above their remit, </w:t>
      </w:r>
      <w:r w:rsidRPr="009B3747">
        <w:rPr>
          <w:rFonts w:eastAsia="Times New Roman" w:cstheme="minorHAnsi"/>
          <w:color w:val="000000"/>
          <w:lang w:eastAsia="en-GB"/>
        </w:rPr>
        <w:t xml:space="preserve">e.g. health outcomes and social behaviour.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“Well, the first thing I would say, is that everyone blames schools for everything that goes wrong. I don’t think schools can sort out all the ills of society and I think its utterly unreasonable to expect schools to sort out all the ills of society.”  </w:t>
      </w:r>
      <w:r w:rsidRPr="009B3747">
        <w:rPr>
          <w:rFonts w:eastAsia="Times New Roman" w:cstheme="minorHAnsi"/>
          <w:b/>
          <w:bCs/>
          <w:color w:val="000000"/>
          <w:sz w:val="20"/>
          <w:szCs w:val="20"/>
          <w:lang w:eastAsia="en-GB"/>
        </w:rPr>
        <w:t>Participant 3</w:t>
      </w:r>
      <w:r w:rsidR="001D63C6" w:rsidRPr="009B3747">
        <w:rPr>
          <w:rFonts w:eastAsia="Times New Roman" w:cstheme="minorHAnsi"/>
          <w:b/>
          <w:bCs/>
          <w:color w:val="000000"/>
          <w:sz w:val="20"/>
          <w:szCs w:val="20"/>
          <w:lang w:eastAsia="en-GB"/>
        </w:rPr>
        <w:t xml:space="preserve"> (Chair of governors)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firstLine="720"/>
        <w:rPr>
          <w:rFonts w:eastAsia="Times New Roman" w:cstheme="minorHAnsi"/>
          <w:sz w:val="24"/>
          <w:szCs w:val="24"/>
          <w:lang w:eastAsia="en-GB"/>
        </w:rPr>
      </w:pPr>
      <w:r w:rsidRPr="009B3747">
        <w:rPr>
          <w:rFonts w:eastAsia="Times New Roman" w:cstheme="minorHAnsi"/>
          <w:i/>
          <w:iCs/>
          <w:color w:val="000000"/>
          <w:sz w:val="20"/>
          <w:szCs w:val="20"/>
          <w:lang w:eastAsia="en-GB"/>
        </w:rPr>
        <w:t>“Yeah I’m responsible f</w:t>
      </w:r>
      <w:r w:rsidR="004B590A" w:rsidRPr="009B3747">
        <w:rPr>
          <w:rFonts w:eastAsia="Times New Roman" w:cstheme="minorHAnsi"/>
          <w:i/>
          <w:iCs/>
          <w:color w:val="000000"/>
          <w:sz w:val="20"/>
          <w:szCs w:val="20"/>
          <w:lang w:eastAsia="en-GB"/>
        </w:rPr>
        <w:t>or everything, so any fat child</w:t>
      </w:r>
      <w:r w:rsidRPr="009B3747">
        <w:rPr>
          <w:rFonts w:eastAsia="Times New Roman" w:cstheme="minorHAnsi"/>
          <w:i/>
          <w:iCs/>
          <w:color w:val="000000"/>
          <w:sz w:val="20"/>
          <w:szCs w:val="20"/>
          <w:lang w:eastAsia="en-GB"/>
        </w:rPr>
        <w:t xml:space="preserve"> is my fault, that’s the way it goes.”  </w:t>
      </w:r>
    </w:p>
    <w:p w:rsidR="006F36A0" w:rsidRPr="009B3747" w:rsidRDefault="006F36A0" w:rsidP="006F36A0">
      <w:pPr>
        <w:ind w:firstLine="720"/>
        <w:rPr>
          <w:rFonts w:eastAsia="Times New Roman" w:cstheme="minorHAnsi"/>
          <w:sz w:val="24"/>
          <w:szCs w:val="24"/>
          <w:lang w:eastAsia="en-GB"/>
        </w:rPr>
      </w:pPr>
      <w:r w:rsidRPr="009B3747">
        <w:rPr>
          <w:rFonts w:eastAsia="Times New Roman" w:cstheme="minorHAnsi"/>
          <w:b/>
          <w:bCs/>
          <w:color w:val="000000"/>
          <w:sz w:val="20"/>
          <w:szCs w:val="20"/>
          <w:lang w:eastAsia="en-GB"/>
        </w:rPr>
        <w:t>Participant 9</w:t>
      </w:r>
      <w:r w:rsidR="001D63C6" w:rsidRPr="009B3747">
        <w:rPr>
          <w:rFonts w:eastAsia="Times New Roman" w:cstheme="minorHAnsi"/>
          <w:color w:val="000000"/>
          <w:sz w:val="20"/>
          <w:szCs w:val="20"/>
          <w:lang w:eastAsia="en-GB"/>
        </w:rPr>
        <w:t xml:space="preserve"> </w:t>
      </w:r>
      <w:r w:rsidR="001D63C6" w:rsidRPr="009B3747">
        <w:rPr>
          <w:rFonts w:eastAsia="Times New Roman" w:cstheme="minorHAnsi"/>
          <w:b/>
          <w:color w:val="000000"/>
          <w:sz w:val="20"/>
          <w:szCs w:val="20"/>
          <w:lang w:eastAsia="en-GB"/>
        </w:rPr>
        <w:t>(Headteacher)</w:t>
      </w:r>
      <w:r w:rsidRPr="009B3747">
        <w:rPr>
          <w:rFonts w:eastAsia="Times New Roman" w:cstheme="minorHAnsi"/>
          <w:color w:val="000000"/>
          <w:sz w:val="20"/>
          <w:szCs w:val="20"/>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When exploring their role in relation to the prevention of adolescent obesity, headteachers provided extensive examples of where they had utilised their authority and high-level decision making</w:t>
      </w:r>
      <w:r w:rsidR="00C22EC4">
        <w:rPr>
          <w:rFonts w:eastAsia="Times New Roman" w:cstheme="minorHAnsi"/>
          <w:color w:val="000000"/>
          <w:lang w:eastAsia="en-GB"/>
        </w:rPr>
        <w:t>,</w:t>
      </w:r>
      <w:r w:rsidRPr="009B3747">
        <w:rPr>
          <w:rFonts w:eastAsia="Times New Roman" w:cstheme="minorHAnsi"/>
          <w:color w:val="000000"/>
          <w:lang w:eastAsia="en-GB"/>
        </w:rPr>
        <w:t xml:space="preserve"> to direct action related to the curriculum, the provision of school catering and school sport.  This included putting in place school systems, structures and rules, developing and reviewing strategies and policies and allocating funds.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“I see my role really is is, collecting the data and evidence, are the strategies working, if they’re not how can I create capacity in a very stretched system and sometimes </w:t>
      </w:r>
      <w:r w:rsidR="00EB44DD">
        <w:rPr>
          <w:rFonts w:eastAsia="Times New Roman" w:cstheme="minorHAnsi"/>
          <w:i/>
          <w:iCs/>
          <w:color w:val="000000"/>
          <w:sz w:val="20"/>
          <w:szCs w:val="20"/>
          <w:lang w:eastAsia="en-GB"/>
        </w:rPr>
        <w:t xml:space="preserve">it means using surplus of funds, </w:t>
      </w:r>
      <w:r w:rsidRPr="009B3747">
        <w:rPr>
          <w:rFonts w:eastAsia="Times New Roman" w:cstheme="minorHAnsi"/>
          <w:i/>
          <w:iCs/>
          <w:color w:val="000000"/>
          <w:sz w:val="20"/>
          <w:szCs w:val="20"/>
          <w:lang w:eastAsia="en-GB"/>
        </w:rPr>
        <w:t>but very often it means redirecting those funds for greater impact.”  </w:t>
      </w:r>
      <w:r w:rsidRPr="009B3747">
        <w:rPr>
          <w:rFonts w:eastAsia="Times New Roman" w:cstheme="minorHAnsi"/>
          <w:b/>
          <w:bCs/>
          <w:color w:val="000000"/>
          <w:sz w:val="20"/>
          <w:szCs w:val="20"/>
          <w:lang w:eastAsia="en-GB"/>
        </w:rPr>
        <w:t>Participant 8</w:t>
      </w:r>
      <w:r w:rsidR="001D63C6" w:rsidRPr="009B3747">
        <w:rPr>
          <w:rFonts w:eastAsia="Times New Roman" w:cstheme="minorHAnsi"/>
          <w:b/>
          <w:bCs/>
          <w:color w:val="000000"/>
          <w:sz w:val="20"/>
          <w:szCs w:val="20"/>
          <w:lang w:eastAsia="en-GB"/>
        </w:rPr>
        <w:t xml:space="preserve"> (Headteacher)</w:t>
      </w:r>
      <w:r w:rsidRPr="009B3747">
        <w:rPr>
          <w:rFonts w:eastAsia="Times New Roman" w:cstheme="minorHAnsi"/>
          <w:b/>
          <w:bCs/>
          <w:color w:val="000000"/>
          <w:sz w:val="20"/>
          <w:szCs w:val="20"/>
          <w:lang w:eastAsia="en-GB"/>
        </w:rPr>
        <w:t xml:space="preserve"> </w:t>
      </w:r>
      <w:r w:rsidRPr="009B3747">
        <w:rPr>
          <w:rFonts w:eastAsia="Times New Roman" w:cstheme="minorHAnsi"/>
          <w:color w:val="000000"/>
          <w:sz w:val="20"/>
          <w:szCs w:val="20"/>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During discussions about the range of preventative actions within a secondary school, headteachers reflected on how their own interests and experiences shaped their values</w:t>
      </w:r>
      <w:r w:rsidR="00C22EC4">
        <w:rPr>
          <w:rFonts w:eastAsia="Times New Roman" w:cstheme="minorHAnsi"/>
          <w:color w:val="000000"/>
          <w:lang w:eastAsia="en-GB"/>
        </w:rPr>
        <w:t xml:space="preserve">, and the emphasis </w:t>
      </w:r>
      <w:r w:rsidRPr="009B3747">
        <w:rPr>
          <w:rFonts w:eastAsia="Times New Roman" w:cstheme="minorHAnsi"/>
          <w:color w:val="000000"/>
          <w:lang w:eastAsia="en-GB"/>
        </w:rPr>
        <w:t>they therefore placed on improving adolescent lifestyle behaviours in school.  For some this related to their childhood and for others it related to their early career and training.  A minority of headteachers from state-funded schools</w:t>
      </w:r>
      <w:r w:rsidR="00C22EC4">
        <w:rPr>
          <w:rFonts w:eastAsia="Times New Roman" w:cstheme="minorHAnsi"/>
          <w:color w:val="000000"/>
          <w:lang w:eastAsia="en-GB"/>
        </w:rPr>
        <w:t>,</w:t>
      </w:r>
      <w:r w:rsidRPr="009B3747">
        <w:rPr>
          <w:rFonts w:eastAsia="Times New Roman" w:cstheme="minorHAnsi"/>
          <w:color w:val="000000"/>
          <w:lang w:eastAsia="en-GB"/>
        </w:rPr>
        <w:t xml:space="preserve"> reflected on whether their original teaching roles in physical education or food technology developed their values</w:t>
      </w:r>
      <w:r w:rsidR="00C22EC4">
        <w:rPr>
          <w:rFonts w:eastAsia="Times New Roman" w:cstheme="minorHAnsi"/>
          <w:color w:val="000000"/>
          <w:lang w:eastAsia="en-GB"/>
        </w:rPr>
        <w:t>,</w:t>
      </w:r>
      <w:r w:rsidRPr="009B3747">
        <w:rPr>
          <w:rFonts w:eastAsia="Times New Roman" w:cstheme="minorHAnsi"/>
          <w:color w:val="000000"/>
          <w:lang w:eastAsia="en-GB"/>
        </w:rPr>
        <w:t xml:space="preserve"> and the importance they ascribed to these topic areas.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lastRenderedPageBreak/>
        <w:t> </w:t>
      </w:r>
    </w:p>
    <w:p w:rsidR="006F36A0" w:rsidRPr="009B3747" w:rsidRDefault="006F36A0" w:rsidP="006F36A0">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“I was a good, good, PE teacher, good motivator, good coach [...] it’s always been about people taking part and trying to get as much out of it as possible.” </w:t>
      </w:r>
      <w:r w:rsidRPr="009B3747">
        <w:rPr>
          <w:rFonts w:eastAsia="Times New Roman" w:cstheme="minorHAnsi"/>
          <w:color w:val="000000"/>
          <w:sz w:val="20"/>
          <w:szCs w:val="20"/>
          <w:lang w:eastAsia="en-GB"/>
        </w:rPr>
        <w:t> </w:t>
      </w:r>
      <w:r w:rsidRPr="009B3747">
        <w:rPr>
          <w:rFonts w:eastAsia="Times New Roman" w:cstheme="minorHAnsi"/>
          <w:b/>
          <w:bCs/>
          <w:color w:val="000000"/>
          <w:sz w:val="20"/>
          <w:szCs w:val="20"/>
          <w:lang w:eastAsia="en-GB"/>
        </w:rPr>
        <w:t>Participant 6</w:t>
      </w:r>
      <w:r w:rsidR="001D63C6" w:rsidRPr="009B3747">
        <w:rPr>
          <w:rFonts w:eastAsia="Times New Roman" w:cstheme="minorHAnsi"/>
          <w:b/>
          <w:bCs/>
          <w:color w:val="000000"/>
          <w:sz w:val="20"/>
          <w:szCs w:val="20"/>
          <w:lang w:eastAsia="en-GB"/>
        </w:rPr>
        <w:t xml:space="preserve"> (Headteacher)</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5D3459" w:rsidRPr="009B3747" w:rsidRDefault="006F36A0" w:rsidP="005D3459">
      <w:pPr>
        <w:rPr>
          <w:rFonts w:eastAsia="Times New Roman" w:cstheme="minorHAnsi"/>
          <w:color w:val="000000"/>
          <w:lang w:eastAsia="en-GB"/>
        </w:rPr>
      </w:pPr>
      <w:r w:rsidRPr="009B3747">
        <w:rPr>
          <w:rFonts w:eastAsia="Times New Roman" w:cstheme="minorHAnsi"/>
          <w:color w:val="000000"/>
          <w:lang w:eastAsia="en-GB"/>
        </w:rPr>
        <w:t>In addition to discussing their individual roles, participants expressed views regarding the partnership arrangements between headteachers and chairs of governors.  In the main it was perceived that close working relationships existed with clear accountability structures, defined roles and open channels of communications.  A small minority of headteachers and chairs of governors however highlighted challenges in respect to the relationship dynamics between school leadership and governance.  Some attributed this to a perceived variation in knowledge and governance skills within their own governing body and not merely aroun</w:t>
      </w:r>
      <w:r w:rsidR="00EB44DD">
        <w:rPr>
          <w:rFonts w:eastAsia="Times New Roman" w:cstheme="minorHAnsi"/>
          <w:color w:val="000000"/>
          <w:lang w:eastAsia="en-GB"/>
        </w:rPr>
        <w:t xml:space="preserve">d preventing obesity in schools, </w:t>
      </w:r>
      <w:r w:rsidRPr="009B3747">
        <w:rPr>
          <w:rFonts w:eastAsia="Times New Roman" w:cstheme="minorHAnsi"/>
          <w:color w:val="000000"/>
          <w:lang w:eastAsia="en-GB"/>
        </w:rPr>
        <w:t>but more broadly.  </w:t>
      </w:r>
    </w:p>
    <w:p w:rsidR="006F36A0" w:rsidRPr="009B3747" w:rsidRDefault="006F36A0" w:rsidP="005D3459">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5D3459">
      <w:pPr>
        <w:ind w:left="720"/>
        <w:rPr>
          <w:rFonts w:eastAsia="Times New Roman" w:cstheme="minorHAnsi"/>
          <w:sz w:val="24"/>
          <w:szCs w:val="24"/>
          <w:lang w:eastAsia="en-GB"/>
        </w:rPr>
      </w:pPr>
      <w:r w:rsidRPr="009B3747">
        <w:rPr>
          <w:rFonts w:eastAsia="Times New Roman" w:cstheme="minorHAnsi"/>
          <w:i/>
          <w:iCs/>
          <w:color w:val="000000"/>
          <w:sz w:val="20"/>
          <w:szCs w:val="20"/>
          <w:lang w:eastAsia="en-GB"/>
        </w:rPr>
        <w:t>“There are significant challenges to recruiting governors that they are able to fulfil the statutory requirements around governance.”  </w:t>
      </w:r>
      <w:r w:rsidRPr="009B3747">
        <w:rPr>
          <w:rFonts w:eastAsia="Times New Roman" w:cstheme="minorHAnsi"/>
          <w:b/>
          <w:bCs/>
          <w:color w:val="000000"/>
          <w:sz w:val="20"/>
          <w:szCs w:val="20"/>
          <w:lang w:eastAsia="en-GB"/>
        </w:rPr>
        <w:t>Participant 20</w:t>
      </w:r>
      <w:r w:rsidR="001D63C6" w:rsidRPr="009B3747">
        <w:rPr>
          <w:rFonts w:eastAsia="Times New Roman" w:cstheme="minorHAnsi"/>
          <w:b/>
          <w:bCs/>
          <w:color w:val="000000"/>
          <w:sz w:val="20"/>
          <w:szCs w:val="20"/>
          <w:lang w:eastAsia="en-GB"/>
        </w:rPr>
        <w:t xml:space="preserve"> (Chair of governors)</w:t>
      </w:r>
      <w:r w:rsidRPr="009B3747">
        <w:rPr>
          <w:rFonts w:eastAsia="Times New Roman" w:cstheme="minorHAnsi"/>
          <w:color w:val="000000"/>
          <w:sz w:val="20"/>
          <w:szCs w:val="20"/>
          <w:lang w:eastAsia="en-GB"/>
        </w:rPr>
        <w:t xml:space="preserve"> </w:t>
      </w:r>
    </w:p>
    <w:p w:rsidR="006F36A0" w:rsidRPr="009B3747" w:rsidRDefault="006F36A0" w:rsidP="005D3459">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5D3459">
      <w:pPr>
        <w:rPr>
          <w:rFonts w:eastAsia="Times New Roman" w:cstheme="minorHAnsi"/>
          <w:sz w:val="24"/>
          <w:szCs w:val="24"/>
          <w:lang w:eastAsia="en-GB"/>
        </w:rPr>
      </w:pPr>
      <w:r w:rsidRPr="009B3747">
        <w:rPr>
          <w:rFonts w:eastAsia="Times New Roman" w:cstheme="minorHAnsi"/>
          <w:color w:val="000000"/>
          <w:lang w:eastAsia="en-GB"/>
        </w:rPr>
        <w:t>Consequently for one headteacher</w:t>
      </w:r>
      <w:r w:rsidR="00C22EC4">
        <w:rPr>
          <w:rFonts w:eastAsia="Times New Roman" w:cstheme="minorHAnsi"/>
          <w:color w:val="000000"/>
          <w:lang w:eastAsia="en-GB"/>
        </w:rPr>
        <w:t>,</w:t>
      </w:r>
      <w:r w:rsidRPr="009B3747">
        <w:rPr>
          <w:rFonts w:eastAsia="Times New Roman" w:cstheme="minorHAnsi"/>
          <w:color w:val="000000"/>
          <w:lang w:eastAsia="en-GB"/>
        </w:rPr>
        <w:t xml:space="preserve"> it was deemed a necessity to skill up their own governing body</w:t>
      </w:r>
      <w:r w:rsidR="00C22EC4">
        <w:rPr>
          <w:rFonts w:eastAsia="Times New Roman" w:cstheme="minorHAnsi"/>
          <w:color w:val="000000"/>
          <w:lang w:eastAsia="en-GB"/>
        </w:rPr>
        <w:t xml:space="preserve">.  This was so that governors are able to </w:t>
      </w:r>
      <w:r w:rsidRPr="009B3747">
        <w:rPr>
          <w:rFonts w:eastAsia="Times New Roman" w:cstheme="minorHAnsi"/>
          <w:color w:val="000000"/>
          <w:lang w:eastAsia="en-GB"/>
        </w:rPr>
        <w:t xml:space="preserve">ask the right questions </w:t>
      </w:r>
      <w:r w:rsidR="00C22EC4">
        <w:rPr>
          <w:rFonts w:eastAsia="Times New Roman" w:cstheme="minorHAnsi"/>
          <w:color w:val="000000"/>
          <w:lang w:eastAsia="en-GB"/>
        </w:rPr>
        <w:t>and</w:t>
      </w:r>
      <w:r w:rsidRPr="009B3747">
        <w:rPr>
          <w:rFonts w:eastAsia="Times New Roman" w:cstheme="minorHAnsi"/>
          <w:color w:val="000000"/>
          <w:lang w:eastAsia="en-GB"/>
        </w:rPr>
        <w:t xml:space="preserve"> develop a more comprehensive understanding of the needs and experiences of young people outside of a purely academic lens.</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Pr="009B3747" w:rsidRDefault="006F36A0" w:rsidP="006F36A0">
      <w:pPr>
        <w:rPr>
          <w:rFonts w:eastAsia="Times New Roman" w:cstheme="minorHAnsi"/>
          <w:sz w:val="24"/>
          <w:szCs w:val="24"/>
          <w:lang w:eastAsia="en-GB"/>
        </w:rPr>
      </w:pPr>
      <w:r w:rsidRPr="009B3747">
        <w:rPr>
          <w:rFonts w:eastAsia="Times New Roman" w:cstheme="minorHAnsi"/>
          <w:color w:val="000000"/>
          <w:lang w:eastAsia="en-GB"/>
        </w:rPr>
        <w:t>To summarise the final theme, participants clearly identified a secondary school has both a responsibility for and role within excess weight prevention, with a substantial range of action and activity contributing to preventative action.  Despite this, inside their school setting, the complexities of competing priorities, role modelling and leadership and governance affect both their willingness and perceived capability to prevent excess weight gain in adolescence.     </w:t>
      </w:r>
    </w:p>
    <w:p w:rsidR="006F36A0" w:rsidRPr="009B3747"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6F36A0" w:rsidRDefault="006F36A0" w:rsidP="006F36A0">
      <w:pPr>
        <w:rPr>
          <w:rFonts w:eastAsia="Times New Roman" w:cstheme="minorHAnsi"/>
          <w:sz w:val="24"/>
          <w:szCs w:val="24"/>
          <w:lang w:eastAsia="en-GB"/>
        </w:rPr>
      </w:pPr>
      <w:r w:rsidRPr="009B3747">
        <w:rPr>
          <w:rFonts w:eastAsia="Times New Roman" w:cstheme="minorHAnsi"/>
          <w:sz w:val="24"/>
          <w:szCs w:val="24"/>
          <w:lang w:eastAsia="en-GB"/>
        </w:rPr>
        <w:t> </w:t>
      </w:r>
    </w:p>
    <w:p w:rsidR="00C22EC4" w:rsidRDefault="00C22EC4" w:rsidP="006F36A0">
      <w:pPr>
        <w:rPr>
          <w:rFonts w:eastAsia="Times New Roman" w:cstheme="minorHAnsi"/>
          <w:sz w:val="24"/>
          <w:szCs w:val="24"/>
          <w:lang w:eastAsia="en-GB"/>
        </w:rPr>
      </w:pPr>
    </w:p>
    <w:p w:rsidR="00C22EC4" w:rsidRDefault="00C22EC4" w:rsidP="006F36A0">
      <w:pPr>
        <w:rPr>
          <w:rFonts w:eastAsia="Times New Roman" w:cstheme="minorHAnsi"/>
          <w:sz w:val="24"/>
          <w:szCs w:val="24"/>
          <w:lang w:eastAsia="en-GB"/>
        </w:rPr>
      </w:pPr>
    </w:p>
    <w:p w:rsidR="00C22EC4" w:rsidRDefault="00C22EC4" w:rsidP="006F36A0">
      <w:pPr>
        <w:rPr>
          <w:rFonts w:eastAsia="Times New Roman" w:cstheme="minorHAnsi"/>
          <w:sz w:val="24"/>
          <w:szCs w:val="24"/>
          <w:lang w:eastAsia="en-GB"/>
        </w:rPr>
      </w:pPr>
    </w:p>
    <w:p w:rsidR="00C22EC4" w:rsidRDefault="00C22EC4" w:rsidP="006F36A0">
      <w:pPr>
        <w:rPr>
          <w:rFonts w:eastAsia="Times New Roman" w:cstheme="minorHAnsi"/>
          <w:sz w:val="24"/>
          <w:szCs w:val="24"/>
          <w:lang w:eastAsia="en-GB"/>
        </w:rPr>
      </w:pPr>
    </w:p>
    <w:p w:rsidR="00C22EC4" w:rsidRDefault="00C22EC4" w:rsidP="006F36A0">
      <w:pPr>
        <w:rPr>
          <w:rFonts w:eastAsia="Times New Roman" w:cstheme="minorHAnsi"/>
          <w:sz w:val="24"/>
          <w:szCs w:val="24"/>
          <w:lang w:eastAsia="en-GB"/>
        </w:rPr>
      </w:pPr>
    </w:p>
    <w:p w:rsidR="00C22EC4" w:rsidRPr="009B3747" w:rsidRDefault="00C22EC4" w:rsidP="006F36A0">
      <w:pPr>
        <w:rPr>
          <w:rFonts w:eastAsia="Times New Roman" w:cstheme="minorHAnsi"/>
          <w:sz w:val="24"/>
          <w:szCs w:val="24"/>
          <w:lang w:eastAsia="en-GB"/>
        </w:rPr>
      </w:pPr>
    </w:p>
    <w:p w:rsidR="00D62F95" w:rsidRPr="009B3747" w:rsidRDefault="001D63C6" w:rsidP="005647C8">
      <w:pPr>
        <w:jc w:val="center"/>
        <w:rPr>
          <w:rFonts w:eastAsia="Times New Roman" w:cstheme="minorHAnsi"/>
          <w:b/>
          <w:bCs/>
          <w:color w:val="000000"/>
          <w:sz w:val="36"/>
          <w:szCs w:val="36"/>
          <w:u w:val="single"/>
          <w:lang w:eastAsia="en-GB"/>
        </w:rPr>
      </w:pPr>
      <w:r w:rsidRPr="009B3747">
        <w:rPr>
          <w:rFonts w:eastAsia="Times New Roman" w:cstheme="minorHAnsi"/>
          <w:b/>
          <w:bCs/>
          <w:color w:val="000000"/>
          <w:sz w:val="36"/>
          <w:szCs w:val="36"/>
          <w:u w:val="single"/>
          <w:lang w:eastAsia="en-GB"/>
        </w:rPr>
        <w:lastRenderedPageBreak/>
        <w:t>C</w:t>
      </w:r>
      <w:r w:rsidR="00991D2F" w:rsidRPr="009B3747">
        <w:rPr>
          <w:rFonts w:eastAsia="Times New Roman" w:cstheme="minorHAnsi"/>
          <w:b/>
          <w:bCs/>
          <w:color w:val="000000"/>
          <w:sz w:val="36"/>
          <w:szCs w:val="36"/>
          <w:u w:val="single"/>
          <w:lang w:eastAsia="en-GB"/>
        </w:rPr>
        <w:t>hapter 7</w:t>
      </w:r>
    </w:p>
    <w:p w:rsidR="00D62F95" w:rsidRPr="009B3747" w:rsidRDefault="00D62F95" w:rsidP="00991D2F">
      <w:pPr>
        <w:rPr>
          <w:rFonts w:eastAsia="Times New Roman" w:cstheme="minorHAnsi"/>
          <w:b/>
          <w:bCs/>
          <w:color w:val="000000"/>
          <w:sz w:val="32"/>
          <w:szCs w:val="32"/>
          <w:u w:val="single"/>
          <w:lang w:eastAsia="en-GB"/>
        </w:rPr>
      </w:pPr>
    </w:p>
    <w:p w:rsidR="00991D2F" w:rsidRPr="009B3747" w:rsidRDefault="00991D2F" w:rsidP="00991D2F">
      <w:pPr>
        <w:rPr>
          <w:rFonts w:eastAsia="Times New Roman" w:cstheme="minorHAnsi"/>
          <w:b/>
          <w:bCs/>
          <w:color w:val="000000"/>
          <w:sz w:val="32"/>
          <w:szCs w:val="32"/>
          <w:u w:val="single"/>
          <w:lang w:eastAsia="en-GB"/>
        </w:rPr>
      </w:pPr>
      <w:r w:rsidRPr="009B3747">
        <w:rPr>
          <w:rFonts w:eastAsia="Times New Roman" w:cstheme="minorHAnsi"/>
          <w:b/>
          <w:bCs/>
          <w:color w:val="000000"/>
          <w:sz w:val="32"/>
          <w:szCs w:val="32"/>
          <w:u w:val="single"/>
          <w:lang w:eastAsia="en-GB"/>
        </w:rPr>
        <w:t>Resear</w:t>
      </w:r>
      <w:r w:rsidR="00010668" w:rsidRPr="009B3747">
        <w:rPr>
          <w:rFonts w:eastAsia="Times New Roman" w:cstheme="minorHAnsi"/>
          <w:b/>
          <w:bCs/>
          <w:color w:val="000000"/>
          <w:sz w:val="32"/>
          <w:szCs w:val="32"/>
          <w:u w:val="single"/>
          <w:lang w:eastAsia="en-GB"/>
        </w:rPr>
        <w:t>ch metho</w:t>
      </w:r>
      <w:r w:rsidR="00D62F95" w:rsidRPr="009B3747">
        <w:rPr>
          <w:rFonts w:eastAsia="Times New Roman" w:cstheme="minorHAnsi"/>
          <w:b/>
          <w:bCs/>
          <w:color w:val="000000"/>
          <w:sz w:val="32"/>
          <w:szCs w:val="32"/>
          <w:u w:val="single"/>
          <w:lang w:eastAsia="en-GB"/>
        </w:rPr>
        <w:t>ds</w:t>
      </w:r>
      <w:r w:rsidR="00010668" w:rsidRPr="009B3747">
        <w:rPr>
          <w:rFonts w:eastAsia="Times New Roman" w:cstheme="minorHAnsi"/>
          <w:b/>
          <w:bCs/>
          <w:color w:val="000000"/>
          <w:sz w:val="32"/>
          <w:szCs w:val="32"/>
          <w:u w:val="single"/>
          <w:lang w:eastAsia="en-GB"/>
        </w:rPr>
        <w:t xml:space="preserve"> of quantitative p</w:t>
      </w:r>
      <w:r w:rsidRPr="009B3747">
        <w:rPr>
          <w:rFonts w:eastAsia="Times New Roman" w:cstheme="minorHAnsi"/>
          <w:b/>
          <w:bCs/>
          <w:color w:val="000000"/>
          <w:sz w:val="32"/>
          <w:szCs w:val="32"/>
          <w:u w:val="single"/>
          <w:lang w:eastAsia="en-GB"/>
        </w:rPr>
        <w:t>hase</w:t>
      </w:r>
    </w:p>
    <w:p w:rsidR="00CB18A0" w:rsidRPr="009B3747" w:rsidRDefault="00CB18A0" w:rsidP="00991D2F">
      <w:pPr>
        <w:rPr>
          <w:rFonts w:eastAsia="Times New Roman" w:cstheme="minorHAnsi"/>
          <w:b/>
          <w:bCs/>
          <w:color w:val="000000"/>
          <w:sz w:val="28"/>
          <w:szCs w:val="28"/>
          <w:u w:val="single"/>
          <w:lang w:eastAsia="en-GB"/>
        </w:rPr>
      </w:pPr>
    </w:p>
    <w:p w:rsidR="00CB18A0" w:rsidRPr="009B3747" w:rsidRDefault="00CB18A0" w:rsidP="00991D2F">
      <w:pPr>
        <w:rPr>
          <w:rFonts w:eastAsia="Times New Roman" w:cstheme="minorHAnsi"/>
          <w:b/>
          <w:bCs/>
          <w:color w:val="000000"/>
          <w:sz w:val="24"/>
          <w:szCs w:val="24"/>
          <w:u w:val="single"/>
          <w:lang w:eastAsia="en-GB"/>
        </w:rPr>
      </w:pPr>
      <w:r w:rsidRPr="009B3747">
        <w:rPr>
          <w:rFonts w:eastAsia="Times New Roman" w:cstheme="minorHAnsi"/>
          <w:b/>
          <w:bCs/>
          <w:color w:val="000000"/>
          <w:sz w:val="24"/>
          <w:szCs w:val="24"/>
          <w:u w:val="single"/>
          <w:lang w:eastAsia="en-GB"/>
        </w:rPr>
        <w:t>7.1 Introduction</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t xml:space="preserve">This chapter presents an-depth account of </w:t>
      </w:r>
      <w:r w:rsidR="00463B30" w:rsidRPr="009B3747">
        <w:rPr>
          <w:rFonts w:eastAsia="Times New Roman" w:cstheme="minorHAnsi"/>
          <w:color w:val="000000"/>
          <w:lang w:eastAsia="en-GB"/>
        </w:rPr>
        <w:t>the methods</w:t>
      </w:r>
      <w:r w:rsidRPr="009B3747">
        <w:rPr>
          <w:rFonts w:eastAsia="Times New Roman" w:cstheme="minorHAnsi"/>
          <w:color w:val="000000"/>
          <w:lang w:eastAsia="en-GB"/>
        </w:rPr>
        <w:t xml:space="preserve"> employed during the quantitative ph</w:t>
      </w:r>
      <w:r w:rsidR="00371430" w:rsidRPr="009B3747">
        <w:rPr>
          <w:rFonts w:eastAsia="Times New Roman" w:cstheme="minorHAnsi"/>
          <w:color w:val="000000"/>
          <w:lang w:eastAsia="en-GB"/>
        </w:rPr>
        <w:t>ase.  As detailed in chapter four,</w:t>
      </w:r>
      <w:r w:rsidRPr="009B3747">
        <w:rPr>
          <w:rFonts w:eastAsia="Times New Roman" w:cstheme="minorHAnsi"/>
          <w:color w:val="000000"/>
          <w:lang w:eastAsia="en-GB"/>
        </w:rPr>
        <w:t xml:space="preserve"> the chosen research approach (mixed methods) and design (exploratory sequential design), required a two phase approach to collecting, analysing and integrating study data.  Consequently, as a result of completing the core qualitative phase</w:t>
      </w:r>
      <w:r w:rsidR="00DB2C7A">
        <w:rPr>
          <w:rFonts w:eastAsia="Times New Roman" w:cstheme="minorHAnsi"/>
          <w:color w:val="000000"/>
          <w:lang w:eastAsia="en-GB"/>
        </w:rPr>
        <w:t>,</w:t>
      </w:r>
      <w:r w:rsidRPr="009B3747">
        <w:rPr>
          <w:rFonts w:eastAsia="Times New Roman" w:cstheme="minorHAnsi"/>
          <w:color w:val="000000"/>
          <w:lang w:eastAsia="en-GB"/>
        </w:rPr>
        <w:t xml:space="preserve"> the researcher then progressed onto the supp</w:t>
      </w:r>
      <w:r w:rsidR="00371430" w:rsidRPr="009B3747">
        <w:rPr>
          <w:rFonts w:eastAsia="Times New Roman" w:cstheme="minorHAnsi"/>
          <w:color w:val="000000"/>
          <w:lang w:eastAsia="en-GB"/>
        </w:rPr>
        <w:t xml:space="preserve">lementary quantitative phase. </w:t>
      </w:r>
      <w:r w:rsidR="00DB2C7A">
        <w:rPr>
          <w:rFonts w:eastAsia="Times New Roman" w:cstheme="minorHAnsi"/>
          <w:color w:val="000000"/>
          <w:lang w:eastAsia="en-GB"/>
        </w:rPr>
        <w:t xml:space="preserve"> </w:t>
      </w:r>
      <w:r w:rsidR="00371430" w:rsidRPr="009B3747">
        <w:rPr>
          <w:rFonts w:eastAsia="Times New Roman" w:cstheme="minorHAnsi"/>
          <w:color w:val="000000"/>
          <w:lang w:eastAsia="en-GB"/>
        </w:rPr>
        <w:t>F</w:t>
      </w:r>
      <w:r w:rsidRPr="009B3747">
        <w:rPr>
          <w:rFonts w:eastAsia="Times New Roman" w:cstheme="minorHAnsi"/>
          <w:color w:val="000000"/>
          <w:lang w:eastAsia="en-GB"/>
        </w:rPr>
        <w:t>undamental to this progression, was the integration undertaken by the researcher to utilise qualitative findings obtained thr</w:t>
      </w:r>
      <w:r w:rsidR="00DB2C7A">
        <w:rPr>
          <w:rFonts w:eastAsia="Times New Roman" w:cstheme="minorHAnsi"/>
          <w:color w:val="000000"/>
          <w:lang w:eastAsia="en-GB"/>
        </w:rPr>
        <w:t xml:space="preserve">ough semi-structured interviews, </w:t>
      </w:r>
      <w:r w:rsidRPr="009B3747">
        <w:rPr>
          <w:rFonts w:eastAsia="Times New Roman" w:cstheme="minorHAnsi"/>
          <w:color w:val="000000"/>
          <w:lang w:eastAsia="en-GB"/>
        </w:rPr>
        <w:t>to inform the collection and analysis of survey data in the quantitative phase.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t>This chapter begins with a description of how the researcher approached the crucial task of integration</w:t>
      </w:r>
      <w:r w:rsidR="00463B30" w:rsidRPr="009B3747">
        <w:rPr>
          <w:rFonts w:eastAsia="Times New Roman" w:cstheme="minorHAnsi"/>
          <w:color w:val="000000"/>
          <w:lang w:eastAsia="en-GB"/>
        </w:rPr>
        <w:t>,</w:t>
      </w:r>
      <w:r w:rsidRPr="009B3747">
        <w:rPr>
          <w:rFonts w:eastAsia="Times New Roman" w:cstheme="minorHAnsi"/>
          <w:color w:val="000000"/>
          <w:lang w:eastAsia="en-GB"/>
        </w:rPr>
        <w:t xml:space="preserve"> detailing the steps undertaken to ensure a robust approach was employed.  Following this, the chapter then provides a comprehensive explanation of the survey methods employed, including details of which research technique was used to obtain survey data</w:t>
      </w:r>
      <w:r w:rsidR="007F3CF4">
        <w:rPr>
          <w:rFonts w:eastAsia="Times New Roman" w:cstheme="minorHAnsi"/>
          <w:color w:val="000000"/>
          <w:lang w:eastAsia="en-GB"/>
        </w:rPr>
        <w:t>,</w:t>
      </w:r>
      <w:r w:rsidR="00DB2C7A">
        <w:rPr>
          <w:rFonts w:eastAsia="Times New Roman" w:cstheme="minorHAnsi"/>
          <w:color w:val="000000"/>
          <w:lang w:eastAsia="en-GB"/>
        </w:rPr>
        <w:t xml:space="preserve"> i.e.</w:t>
      </w:r>
      <w:r w:rsidRPr="009B3747">
        <w:rPr>
          <w:rFonts w:eastAsia="Times New Roman" w:cstheme="minorHAnsi"/>
          <w:color w:val="000000"/>
          <w:lang w:eastAsia="en-GB"/>
        </w:rPr>
        <w:t xml:space="preserve"> development and subsequent distribution of an online questionnaire.  Having discussed the process and outcomes of developing the content of an online questionnaire from qualitative findings, the procedures followed for pilot testing the data collection instrument are reported.  The approach utilised to sample and recruit participants to this phase of the research</w:t>
      </w:r>
      <w:r w:rsidR="00DB2C7A">
        <w:rPr>
          <w:rFonts w:eastAsia="Times New Roman" w:cstheme="minorHAnsi"/>
          <w:color w:val="000000"/>
          <w:lang w:eastAsia="en-GB"/>
        </w:rPr>
        <w:t>,</w:t>
      </w:r>
      <w:r w:rsidRPr="009B3747">
        <w:rPr>
          <w:rFonts w:eastAsia="Times New Roman" w:cstheme="minorHAnsi"/>
          <w:color w:val="000000"/>
          <w:lang w:eastAsia="en-GB"/>
        </w:rPr>
        <w:t xml:space="preserve"> is then presented in addition to the methods employed for handling and analysing the resultant survey da</w:t>
      </w:r>
      <w:r w:rsidR="00463B30" w:rsidRPr="009B3747">
        <w:rPr>
          <w:rFonts w:eastAsia="Times New Roman" w:cstheme="minorHAnsi"/>
          <w:color w:val="000000"/>
          <w:lang w:eastAsia="en-GB"/>
        </w:rPr>
        <w:t xml:space="preserve">ta.  Similarly to chapter five, </w:t>
      </w:r>
      <w:r w:rsidRPr="009B3747">
        <w:rPr>
          <w:rFonts w:eastAsia="Times New Roman" w:cstheme="minorHAnsi"/>
          <w:color w:val="000000"/>
          <w:lang w:eastAsia="en-GB"/>
        </w:rPr>
        <w:t>this chapter concludes by reflecting on the ethics procedures relevant to the quantitative phase.  </w:t>
      </w:r>
    </w:p>
    <w:p w:rsidR="00991D2F" w:rsidRPr="009B3747" w:rsidRDefault="00991D2F" w:rsidP="00991D2F">
      <w:pPr>
        <w:rPr>
          <w:rFonts w:eastAsia="Times New Roman" w:cstheme="minorHAnsi"/>
          <w:i/>
          <w:iCs/>
          <w:color w:val="000000"/>
          <w:u w:val="single"/>
          <w:lang w:eastAsia="en-GB"/>
        </w:rPr>
      </w:pPr>
    </w:p>
    <w:p w:rsidR="00991D2F" w:rsidRPr="009B3747" w:rsidRDefault="00991D2F" w:rsidP="00991D2F">
      <w:pPr>
        <w:rPr>
          <w:rFonts w:eastAsia="Times New Roman" w:cstheme="minorHAnsi"/>
          <w:sz w:val="24"/>
          <w:szCs w:val="24"/>
          <w:u w:val="single"/>
          <w:lang w:eastAsia="en-GB"/>
        </w:rPr>
      </w:pPr>
      <w:r w:rsidRPr="009B3747">
        <w:rPr>
          <w:rFonts w:eastAsia="Times New Roman" w:cstheme="minorHAnsi"/>
          <w:iCs/>
          <w:color w:val="000000"/>
          <w:u w:val="single"/>
          <w:lang w:eastAsia="en-GB"/>
        </w:rPr>
        <w:t>Aim and objectives (quantitative phase)</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t xml:space="preserve">Prior to the main description of the </w:t>
      </w:r>
      <w:r w:rsidR="00463B30" w:rsidRPr="009B3747">
        <w:rPr>
          <w:rFonts w:eastAsia="Times New Roman" w:cstheme="minorHAnsi"/>
          <w:color w:val="000000"/>
          <w:lang w:eastAsia="en-GB"/>
        </w:rPr>
        <w:t>methods,</w:t>
      </w:r>
      <w:r w:rsidRPr="009B3747">
        <w:rPr>
          <w:rFonts w:eastAsia="Times New Roman" w:cstheme="minorHAnsi"/>
          <w:color w:val="000000"/>
          <w:lang w:eastAsia="en-GB"/>
        </w:rPr>
        <w:t xml:space="preserve"> it is important to restate the research aims and objectives of the quantitative phase.  </w:t>
      </w:r>
    </w:p>
    <w:p w:rsidR="00991D2F" w:rsidRDefault="00991D2F" w:rsidP="00991D2F">
      <w:pPr>
        <w:rPr>
          <w:rFonts w:eastAsia="Times New Roman" w:cstheme="minorHAnsi"/>
          <w:b/>
          <w:bCs/>
          <w:color w:val="000000"/>
          <w:lang w:eastAsia="en-GB"/>
        </w:rPr>
      </w:pPr>
    </w:p>
    <w:p w:rsidR="00DB2C7A" w:rsidRPr="009B3747" w:rsidRDefault="00DB2C7A" w:rsidP="00991D2F">
      <w:pPr>
        <w:rPr>
          <w:rFonts w:eastAsia="Times New Roman" w:cstheme="minorHAnsi"/>
          <w:b/>
          <w:bCs/>
          <w:color w:val="000000"/>
          <w:lang w:eastAsia="en-GB"/>
        </w:rPr>
      </w:pPr>
    </w:p>
    <w:p w:rsidR="00463B30" w:rsidRPr="009B3747" w:rsidRDefault="00463B30" w:rsidP="00463B30">
      <w:pPr>
        <w:rPr>
          <w:rFonts w:eastAsia="Times New Roman" w:cstheme="minorHAnsi"/>
          <w:sz w:val="24"/>
          <w:szCs w:val="24"/>
          <w:lang w:eastAsia="en-GB"/>
        </w:rPr>
      </w:pPr>
      <w:r w:rsidRPr="009B3747">
        <w:rPr>
          <w:rFonts w:eastAsia="Times New Roman" w:cstheme="minorHAnsi"/>
          <w:color w:val="000000"/>
          <w:u w:val="single"/>
          <w:lang w:eastAsia="en-GB"/>
        </w:rPr>
        <w:lastRenderedPageBreak/>
        <w:t>Aim 2</w:t>
      </w:r>
    </w:p>
    <w:p w:rsidR="00463B30" w:rsidRPr="009B3747" w:rsidRDefault="00463B30" w:rsidP="00463B30">
      <w:pPr>
        <w:rPr>
          <w:rFonts w:eastAsia="Times New Roman" w:cstheme="minorHAnsi"/>
          <w:sz w:val="24"/>
          <w:szCs w:val="24"/>
          <w:lang w:eastAsia="en-GB"/>
        </w:rPr>
      </w:pPr>
    </w:p>
    <w:p w:rsidR="00463B30" w:rsidRPr="009B3747" w:rsidRDefault="00463B30" w:rsidP="00463B30">
      <w:pPr>
        <w:rPr>
          <w:rFonts w:eastAsia="Times New Roman" w:cstheme="minorHAnsi"/>
          <w:color w:val="000000"/>
          <w:lang w:eastAsia="en-GB"/>
        </w:rPr>
      </w:pPr>
      <w:r w:rsidRPr="009B3747">
        <w:rPr>
          <w:rFonts w:eastAsia="Times New Roman" w:cstheme="minorHAnsi"/>
          <w:color w:val="000000"/>
          <w:lang w:eastAsia="en-GB"/>
        </w:rPr>
        <w:t>Within the supplementary quantitative phase, determine the relevance of the qualitative findings outside of their original context by conducting a des</w:t>
      </w:r>
      <w:r w:rsidR="009025E2">
        <w:rPr>
          <w:rFonts w:eastAsia="Times New Roman" w:cstheme="minorHAnsi"/>
          <w:color w:val="000000"/>
          <w:lang w:eastAsia="en-GB"/>
        </w:rPr>
        <w:t xml:space="preserve">criptive cross-sectional survey, </w:t>
      </w:r>
      <w:r w:rsidRPr="009B3747">
        <w:rPr>
          <w:rFonts w:eastAsia="Times New Roman" w:cstheme="minorHAnsi"/>
          <w:color w:val="000000"/>
          <w:lang w:eastAsia="en-GB"/>
        </w:rPr>
        <w:t xml:space="preserve">which identifies headteachers’ and chairs of governors’ opinions and attitudes towards adolescent obesity and its prevention in </w:t>
      </w:r>
      <w:r w:rsidR="00787223" w:rsidRPr="009B3747">
        <w:rPr>
          <w:rFonts w:eastAsia="Times New Roman" w:cstheme="minorHAnsi"/>
          <w:color w:val="000000"/>
          <w:lang w:eastAsia="en-GB"/>
        </w:rPr>
        <w:t xml:space="preserve">English </w:t>
      </w:r>
      <w:r w:rsidRPr="009B3747">
        <w:rPr>
          <w:rFonts w:eastAsia="Times New Roman" w:cstheme="minorHAnsi"/>
          <w:color w:val="000000"/>
          <w:lang w:eastAsia="en-GB"/>
        </w:rPr>
        <w:t>secondary school settings.  </w:t>
      </w:r>
    </w:p>
    <w:p w:rsidR="00463B30" w:rsidRPr="009B3747" w:rsidRDefault="00463B30" w:rsidP="00463B30">
      <w:pPr>
        <w:rPr>
          <w:rFonts w:eastAsia="Times New Roman" w:cstheme="minorHAnsi"/>
          <w:sz w:val="24"/>
          <w:szCs w:val="24"/>
          <w:lang w:eastAsia="en-GB"/>
        </w:rPr>
      </w:pPr>
    </w:p>
    <w:p w:rsidR="00463B30" w:rsidRPr="009B3747" w:rsidRDefault="00463B30" w:rsidP="00463B30">
      <w:pPr>
        <w:rPr>
          <w:rFonts w:eastAsia="Times New Roman" w:cstheme="minorHAnsi"/>
          <w:sz w:val="24"/>
          <w:szCs w:val="24"/>
          <w:lang w:eastAsia="en-GB"/>
        </w:rPr>
      </w:pPr>
      <w:r w:rsidRPr="009B3747">
        <w:rPr>
          <w:rFonts w:eastAsia="Times New Roman" w:cstheme="minorHAnsi"/>
          <w:i/>
          <w:iCs/>
          <w:color w:val="000000"/>
          <w:lang w:eastAsia="en-GB"/>
        </w:rPr>
        <w:t xml:space="preserve">Aim 2 Objectives </w:t>
      </w:r>
    </w:p>
    <w:p w:rsidR="00463B30" w:rsidRPr="009B3747" w:rsidRDefault="00463B30" w:rsidP="00463B30">
      <w:pPr>
        <w:rPr>
          <w:rFonts w:eastAsia="Times New Roman" w:cstheme="minorHAnsi"/>
          <w:sz w:val="24"/>
          <w:szCs w:val="24"/>
          <w:lang w:eastAsia="en-GB"/>
        </w:rPr>
      </w:pPr>
    </w:p>
    <w:p w:rsidR="00463B30" w:rsidRPr="009B3747" w:rsidRDefault="00463B30" w:rsidP="00C27072">
      <w:pPr>
        <w:numPr>
          <w:ilvl w:val="0"/>
          <w:numId w:val="115"/>
        </w:numPr>
        <w:textAlignment w:val="baseline"/>
        <w:rPr>
          <w:rFonts w:eastAsia="Times New Roman" w:cstheme="minorHAnsi"/>
          <w:color w:val="000000"/>
          <w:lang w:eastAsia="en-GB"/>
        </w:rPr>
      </w:pPr>
      <w:r w:rsidRPr="009B3747">
        <w:rPr>
          <w:rFonts w:eastAsia="Times New Roman" w:cstheme="minorHAnsi"/>
          <w:color w:val="000000"/>
          <w:lang w:eastAsia="en-GB"/>
        </w:rPr>
        <w:t>Develop and pilot test an appropriate survey data collection tool</w:t>
      </w:r>
      <w:r w:rsidR="007F3CF4">
        <w:rPr>
          <w:rFonts w:eastAsia="Times New Roman" w:cstheme="minorHAnsi"/>
          <w:color w:val="000000"/>
          <w:lang w:eastAsia="en-GB"/>
        </w:rPr>
        <w:t>,</w:t>
      </w:r>
      <w:r w:rsidRPr="009B3747">
        <w:rPr>
          <w:rFonts w:eastAsia="Times New Roman" w:cstheme="minorHAnsi"/>
          <w:color w:val="000000"/>
          <w:lang w:eastAsia="en-GB"/>
        </w:rPr>
        <w:t xml:space="preserve"> i.e. online questionnaire, for use with a larger sample of secondary school headteachers and chairs of governors</w:t>
      </w:r>
    </w:p>
    <w:p w:rsidR="00463B30" w:rsidRPr="009B3747" w:rsidRDefault="00463B30" w:rsidP="00C27072">
      <w:pPr>
        <w:numPr>
          <w:ilvl w:val="0"/>
          <w:numId w:val="115"/>
        </w:numPr>
        <w:textAlignment w:val="baseline"/>
        <w:rPr>
          <w:rFonts w:eastAsia="Times New Roman" w:cstheme="minorHAnsi"/>
          <w:color w:val="000000"/>
          <w:lang w:eastAsia="en-GB"/>
        </w:rPr>
      </w:pPr>
      <w:r w:rsidRPr="009B3747">
        <w:rPr>
          <w:rFonts w:eastAsia="Times New Roman" w:cstheme="minorHAnsi"/>
          <w:color w:val="000000"/>
          <w:lang w:eastAsia="en-GB"/>
        </w:rPr>
        <w:t>Design the structure and the content of the online questionnaire around the analysed qualitative findings and resultant themes</w:t>
      </w:r>
    </w:p>
    <w:p w:rsidR="00463B30" w:rsidRPr="009B3747" w:rsidRDefault="00463B30" w:rsidP="00C27072">
      <w:pPr>
        <w:numPr>
          <w:ilvl w:val="0"/>
          <w:numId w:val="116"/>
        </w:numPr>
        <w:textAlignment w:val="baseline"/>
        <w:rPr>
          <w:rFonts w:eastAsia="Times New Roman" w:cstheme="minorHAnsi"/>
          <w:color w:val="000000"/>
          <w:lang w:eastAsia="en-GB"/>
        </w:rPr>
      </w:pPr>
      <w:r w:rsidRPr="009B3747">
        <w:rPr>
          <w:rFonts w:eastAsia="Times New Roman" w:cstheme="minorHAnsi"/>
          <w:color w:val="000000"/>
          <w:lang w:eastAsia="en-GB"/>
        </w:rPr>
        <w:t xml:space="preserve">Distribute the pilot tested online questionnaire to the census of secondary school headteachers and chairs of governors in England </w:t>
      </w:r>
    </w:p>
    <w:p w:rsidR="00463B30" w:rsidRPr="009B3747" w:rsidRDefault="00463B30" w:rsidP="00C27072">
      <w:pPr>
        <w:numPr>
          <w:ilvl w:val="0"/>
          <w:numId w:val="117"/>
        </w:numPr>
        <w:textAlignment w:val="baseline"/>
        <w:rPr>
          <w:rFonts w:eastAsia="Times New Roman" w:cstheme="minorHAnsi"/>
          <w:color w:val="000000"/>
          <w:lang w:eastAsia="en-GB"/>
        </w:rPr>
      </w:pPr>
      <w:r w:rsidRPr="009B3747">
        <w:rPr>
          <w:rFonts w:eastAsia="Times New Roman" w:cstheme="minorHAnsi"/>
          <w:color w:val="000000"/>
          <w:lang w:eastAsia="en-GB"/>
        </w:rPr>
        <w:t xml:space="preserve">Utilise descriptive and inferential statistics to analyse survey data and examine relationship between demographics and identified attitudes and opinions </w:t>
      </w:r>
    </w:p>
    <w:p w:rsidR="00463B30" w:rsidRPr="009B3747" w:rsidRDefault="00463B30" w:rsidP="00991D2F">
      <w:pPr>
        <w:rPr>
          <w:rFonts w:eastAsia="Times New Roman" w:cstheme="minorHAnsi"/>
          <w:b/>
          <w:bCs/>
          <w:color w:val="000000"/>
          <w:lang w:eastAsia="en-GB"/>
        </w:rPr>
      </w:pPr>
    </w:p>
    <w:p w:rsidR="00991D2F" w:rsidRPr="009B3747" w:rsidRDefault="00CB18A0" w:rsidP="00991D2F">
      <w:pPr>
        <w:rPr>
          <w:rFonts w:eastAsia="Times New Roman" w:cstheme="minorHAnsi"/>
          <w:b/>
          <w:color w:val="000000"/>
          <w:sz w:val="24"/>
          <w:szCs w:val="24"/>
          <w:u w:val="single"/>
          <w:lang w:eastAsia="en-GB"/>
        </w:rPr>
      </w:pPr>
      <w:r w:rsidRPr="009B3747">
        <w:rPr>
          <w:rFonts w:eastAsia="Times New Roman" w:cstheme="minorHAnsi"/>
          <w:b/>
          <w:color w:val="000000"/>
          <w:sz w:val="24"/>
          <w:szCs w:val="24"/>
          <w:u w:val="single"/>
          <w:lang w:eastAsia="en-GB"/>
        </w:rPr>
        <w:t>7.2</w:t>
      </w:r>
      <w:r w:rsidR="005D3459" w:rsidRPr="009B3747">
        <w:rPr>
          <w:rFonts w:eastAsia="Times New Roman" w:cstheme="minorHAnsi"/>
          <w:b/>
          <w:color w:val="000000"/>
          <w:sz w:val="24"/>
          <w:szCs w:val="24"/>
          <w:u w:val="single"/>
          <w:lang w:eastAsia="en-GB"/>
        </w:rPr>
        <w:t xml:space="preserve"> </w:t>
      </w:r>
      <w:r w:rsidR="00991D2F" w:rsidRPr="009B3747">
        <w:rPr>
          <w:rFonts w:eastAsia="Times New Roman" w:cstheme="minorHAnsi"/>
          <w:b/>
          <w:color w:val="000000"/>
          <w:sz w:val="24"/>
          <w:szCs w:val="24"/>
          <w:u w:val="single"/>
          <w:lang w:eastAsia="en-GB"/>
        </w:rPr>
        <w:t>Approaching the task of integration</w:t>
      </w:r>
    </w:p>
    <w:p w:rsidR="00991D2F" w:rsidRPr="009B3747" w:rsidRDefault="00991D2F" w:rsidP="00991D2F">
      <w:pPr>
        <w:rPr>
          <w:rFonts w:eastAsia="Times New Roman" w:cstheme="minorHAnsi"/>
          <w:sz w:val="24"/>
          <w:szCs w:val="24"/>
          <w:lang w:eastAsia="en-GB"/>
        </w:rPr>
      </w:pPr>
    </w:p>
    <w:p w:rsidR="00991D2F" w:rsidRPr="009B3747" w:rsidRDefault="00991D2F" w:rsidP="00991D2F">
      <w:pPr>
        <w:rPr>
          <w:rFonts w:eastAsia="Times New Roman" w:cstheme="minorHAnsi"/>
          <w:color w:val="000000"/>
          <w:lang w:eastAsia="en-GB"/>
        </w:rPr>
      </w:pPr>
      <w:r w:rsidRPr="009B3747">
        <w:rPr>
          <w:rFonts w:eastAsia="Times New Roman" w:cstheme="minorHAnsi"/>
          <w:color w:val="000000"/>
          <w:lang w:eastAsia="en-GB"/>
        </w:rPr>
        <w:t>As extensi</w:t>
      </w:r>
      <w:r w:rsidR="00371430" w:rsidRPr="009B3747">
        <w:rPr>
          <w:rFonts w:eastAsia="Times New Roman" w:cstheme="minorHAnsi"/>
          <w:color w:val="000000"/>
          <w:lang w:eastAsia="en-GB"/>
        </w:rPr>
        <w:t>vely discussed within chapter four</w:t>
      </w:r>
      <w:r w:rsidRPr="009B3747">
        <w:rPr>
          <w:rFonts w:eastAsia="Times New Roman" w:cstheme="minorHAnsi"/>
          <w:color w:val="000000"/>
          <w:lang w:eastAsia="en-GB"/>
        </w:rPr>
        <w:t xml:space="preserve">, a mixed methods exploratory </w:t>
      </w:r>
      <w:r w:rsidR="00B415B3" w:rsidRPr="009B3747">
        <w:rPr>
          <w:rFonts w:eastAsia="Times New Roman" w:cstheme="minorHAnsi"/>
          <w:color w:val="000000"/>
          <w:lang w:eastAsia="en-GB"/>
        </w:rPr>
        <w:t>sequential design begins with a</w:t>
      </w:r>
      <w:r w:rsidRPr="009B3747">
        <w:rPr>
          <w:rFonts w:eastAsia="Times New Roman" w:cstheme="minorHAnsi"/>
          <w:color w:val="000000"/>
          <w:lang w:eastAsia="en-GB"/>
        </w:rPr>
        <w:t xml:space="preserve"> priority explorative qualitative phase and is followed by a supplementary follow-up quantitative phase.  The exploratory sequential design is useful for assessing the generality and relevance of the core qualitative findings across a wider sample of the population under study.  In addition, a key feature and further advantage of this design</w:t>
      </w:r>
      <w:r w:rsidR="00DB2C7A">
        <w:rPr>
          <w:rFonts w:eastAsia="Times New Roman" w:cstheme="minorHAnsi"/>
          <w:color w:val="000000"/>
          <w:lang w:eastAsia="en-GB"/>
        </w:rPr>
        <w:t>,</w:t>
      </w:r>
      <w:r w:rsidRPr="009B3747">
        <w:rPr>
          <w:rFonts w:eastAsia="Times New Roman" w:cstheme="minorHAnsi"/>
          <w:color w:val="000000"/>
          <w:lang w:eastAsia="en-GB"/>
        </w:rPr>
        <w:t xml:space="preserve"> is the ability for qualitative findings obtained in the first phase to be utilis</w:t>
      </w:r>
      <w:r w:rsidR="00DB2C7A">
        <w:rPr>
          <w:rFonts w:eastAsia="Times New Roman" w:cstheme="minorHAnsi"/>
          <w:color w:val="000000"/>
          <w:lang w:eastAsia="en-GB"/>
        </w:rPr>
        <w:t>ed to inform the survey method</w:t>
      </w:r>
      <w:r w:rsidRPr="009B3747">
        <w:rPr>
          <w:rFonts w:eastAsia="Times New Roman" w:cstheme="minorHAnsi"/>
          <w:color w:val="000000"/>
          <w:lang w:eastAsia="en-GB"/>
        </w:rPr>
        <w:t xml:space="preserve"> for use in the quantitative phase</w:t>
      </w:r>
      <w:r w:rsidR="007F3CF4">
        <w:rPr>
          <w:rFonts w:eastAsia="Times New Roman" w:cstheme="minorHAnsi"/>
          <w:color w:val="000000"/>
          <w:lang w:eastAsia="en-GB"/>
        </w:rPr>
        <w:t xml:space="preserve">, </w:t>
      </w:r>
      <w:r w:rsidRPr="009B3747">
        <w:rPr>
          <w:rFonts w:eastAsia="Times New Roman" w:cstheme="minorHAnsi"/>
          <w:color w:val="000000"/>
          <w:lang w:eastAsia="en-GB"/>
        </w:rPr>
        <w:t>i.e. a questionnaire.   This ability was deemed a necessity for the given research, as a pre-existing quantitative instrument that could address the overarching research aims and objectives was not available.</w:t>
      </w:r>
    </w:p>
    <w:p w:rsidR="00991D2F" w:rsidRPr="009B3747" w:rsidRDefault="00991D2F" w:rsidP="00991D2F">
      <w:pPr>
        <w:rPr>
          <w:rFonts w:eastAsia="Times New Roman" w:cstheme="minorHAnsi"/>
          <w:sz w:val="24"/>
          <w:szCs w:val="24"/>
          <w:lang w:eastAsia="en-GB"/>
        </w:rPr>
      </w:pPr>
    </w:p>
    <w:p w:rsidR="00991D2F" w:rsidRPr="009B3747" w:rsidRDefault="00991D2F" w:rsidP="00991D2F">
      <w:pPr>
        <w:rPr>
          <w:rFonts w:eastAsia="Times New Roman" w:cstheme="minorHAnsi"/>
          <w:color w:val="000000"/>
          <w:lang w:eastAsia="en-GB"/>
        </w:rPr>
      </w:pPr>
      <w:r w:rsidRPr="009B3747">
        <w:rPr>
          <w:rFonts w:eastAsia="Times New Roman" w:cstheme="minorHAnsi"/>
          <w:color w:val="000000"/>
          <w:lang w:eastAsia="en-GB"/>
        </w:rPr>
        <w:t>At the point of selecting the exploratory sequential design, it was decided that the most appropriate data collection method for the explorative core qualitative phase</w:t>
      </w:r>
      <w:r w:rsidR="00DB2C7A">
        <w:rPr>
          <w:rFonts w:eastAsia="Times New Roman" w:cstheme="minorHAnsi"/>
          <w:color w:val="000000"/>
          <w:lang w:eastAsia="en-GB"/>
        </w:rPr>
        <w:t>,</w:t>
      </w:r>
      <w:r w:rsidRPr="009B3747">
        <w:rPr>
          <w:rFonts w:eastAsia="Times New Roman" w:cstheme="minorHAnsi"/>
          <w:color w:val="000000"/>
          <w:lang w:eastAsia="en-GB"/>
        </w:rPr>
        <w:t xml:space="preserve"> would be semi-structured interv</w:t>
      </w:r>
      <w:r w:rsidR="00371430" w:rsidRPr="009B3747">
        <w:rPr>
          <w:rFonts w:eastAsia="Times New Roman" w:cstheme="minorHAnsi"/>
          <w:color w:val="000000"/>
          <w:lang w:eastAsia="en-GB"/>
        </w:rPr>
        <w:t>iews (as discussed in chapter five</w:t>
      </w:r>
      <w:r w:rsidRPr="009B3747">
        <w:rPr>
          <w:rFonts w:eastAsia="Times New Roman" w:cstheme="minorHAnsi"/>
          <w:color w:val="000000"/>
          <w:lang w:eastAsia="en-GB"/>
        </w:rPr>
        <w:t>).  In order to meet the pro</w:t>
      </w:r>
      <w:r w:rsidR="00AB5B41">
        <w:rPr>
          <w:rFonts w:eastAsia="Times New Roman" w:cstheme="minorHAnsi"/>
          <w:color w:val="000000"/>
          <w:lang w:eastAsia="en-GB"/>
        </w:rPr>
        <w:t xml:space="preserve">posed aim and objectives in the </w:t>
      </w:r>
      <w:r w:rsidRPr="009B3747">
        <w:rPr>
          <w:rFonts w:eastAsia="Times New Roman" w:cstheme="minorHAnsi"/>
          <w:color w:val="000000"/>
          <w:lang w:eastAsia="en-GB"/>
        </w:rPr>
        <w:t>quantitative phase</w:t>
      </w:r>
      <w:r w:rsidR="00DB2C7A">
        <w:rPr>
          <w:rFonts w:eastAsia="Times New Roman" w:cstheme="minorHAnsi"/>
          <w:color w:val="000000"/>
          <w:lang w:eastAsia="en-GB"/>
        </w:rPr>
        <w:t>,</w:t>
      </w:r>
      <w:r w:rsidRPr="009B3747">
        <w:rPr>
          <w:rFonts w:eastAsia="Times New Roman" w:cstheme="minorHAnsi"/>
          <w:color w:val="000000"/>
          <w:lang w:eastAsia="en-GB"/>
        </w:rPr>
        <w:t xml:space="preserve"> a survey method employing an online questionnaire to obtain research data was </w:t>
      </w:r>
      <w:r w:rsidRPr="009B3747">
        <w:rPr>
          <w:rFonts w:eastAsia="Times New Roman" w:cstheme="minorHAnsi"/>
          <w:color w:val="000000"/>
          <w:lang w:eastAsia="en-GB"/>
        </w:rPr>
        <w:lastRenderedPageBreak/>
        <w:t>deemed the most appropriate.  Critical to this research design was carefully establishing a robust approach to how integration between the two phases</w:t>
      </w:r>
      <w:r w:rsidR="00DB2C7A">
        <w:rPr>
          <w:rFonts w:eastAsia="Times New Roman" w:cstheme="minorHAnsi"/>
          <w:color w:val="000000"/>
          <w:lang w:eastAsia="en-GB"/>
        </w:rPr>
        <w:t>,</w:t>
      </w:r>
      <w:r w:rsidRPr="009B3747">
        <w:rPr>
          <w:rFonts w:eastAsia="Times New Roman" w:cstheme="minorHAnsi"/>
          <w:color w:val="000000"/>
          <w:lang w:eastAsia="en-GB"/>
        </w:rPr>
        <w:t xml:space="preserve"> and their respective methods could be effectively achieved</w:t>
      </w:r>
      <w:r w:rsidR="007F3CF4">
        <w:rPr>
          <w:rFonts w:eastAsia="Times New Roman" w:cstheme="minorHAnsi"/>
          <w:color w:val="000000"/>
          <w:lang w:eastAsia="en-GB"/>
        </w:rPr>
        <w:t xml:space="preserve">.  More specifically, </w:t>
      </w:r>
      <w:r w:rsidRPr="009B3747">
        <w:rPr>
          <w:rFonts w:eastAsia="Times New Roman" w:cstheme="minorHAnsi"/>
          <w:color w:val="000000"/>
          <w:lang w:eastAsia="en-GB"/>
        </w:rPr>
        <w:t>how the qualitative semi-structured interview findings would be utilised</w:t>
      </w:r>
      <w:r w:rsidR="00DB2C7A">
        <w:rPr>
          <w:rFonts w:eastAsia="Times New Roman" w:cstheme="minorHAnsi"/>
          <w:color w:val="000000"/>
          <w:lang w:eastAsia="en-GB"/>
        </w:rPr>
        <w:t>,</w:t>
      </w:r>
      <w:r w:rsidRPr="009B3747">
        <w:rPr>
          <w:rFonts w:eastAsia="Times New Roman" w:cstheme="minorHAnsi"/>
          <w:color w:val="000000"/>
          <w:lang w:eastAsia="en-GB"/>
        </w:rPr>
        <w:t xml:space="preserve"> to develop the structure and content of the data collection technique within the survey method (i.e. an online questionnaire).  </w:t>
      </w:r>
    </w:p>
    <w:p w:rsidR="00991D2F" w:rsidRPr="009B3747" w:rsidRDefault="00991D2F" w:rsidP="00991D2F">
      <w:pPr>
        <w:rPr>
          <w:rFonts w:eastAsia="Times New Roman" w:cstheme="minorHAnsi"/>
          <w:sz w:val="24"/>
          <w:szCs w:val="24"/>
          <w:lang w:eastAsia="en-GB"/>
        </w:rPr>
      </w:pPr>
    </w:p>
    <w:p w:rsidR="00827CCD" w:rsidRPr="009B3747" w:rsidRDefault="00991D2F" w:rsidP="00991D2F">
      <w:pPr>
        <w:rPr>
          <w:rFonts w:eastAsia="Times New Roman" w:cstheme="minorHAnsi"/>
          <w:color w:val="000000"/>
          <w:lang w:eastAsia="en-GB"/>
        </w:rPr>
      </w:pPr>
      <w:r w:rsidRPr="009B3747">
        <w:rPr>
          <w:rFonts w:eastAsia="Times New Roman" w:cstheme="minorHAnsi"/>
          <w:color w:val="000000"/>
          <w:lang w:eastAsia="en-GB"/>
        </w:rPr>
        <w:t>To establish and employ a robust approach to integration, the researcher began by reviewing the research text that had informed this study’s adoption of mixed</w:t>
      </w:r>
      <w:r w:rsidR="00B415B3" w:rsidRPr="009B3747">
        <w:rPr>
          <w:rFonts w:eastAsia="Times New Roman" w:cstheme="minorHAnsi"/>
          <w:color w:val="000000"/>
          <w:lang w:eastAsia="en-GB"/>
        </w:rPr>
        <w:t xml:space="preserve"> methods typology and design in</w:t>
      </w:r>
      <w:r w:rsidRPr="009B3747">
        <w:rPr>
          <w:rFonts w:eastAsia="Times New Roman" w:cstheme="minorHAnsi"/>
          <w:color w:val="000000"/>
          <w:lang w:eastAsia="en-GB"/>
        </w:rPr>
        <w:t xml:space="preserve"> Creswell and Plano Clark (2011).  The theoretical and methodological considerations relating to the development of a quantitative instrument through qualitative interview findings</w:t>
      </w:r>
      <w:r w:rsidR="00DB2C7A">
        <w:rPr>
          <w:rFonts w:eastAsia="Times New Roman" w:cstheme="minorHAnsi"/>
          <w:color w:val="000000"/>
          <w:lang w:eastAsia="en-GB"/>
        </w:rPr>
        <w:t>,</w:t>
      </w:r>
      <w:r w:rsidRPr="009B3747">
        <w:rPr>
          <w:rFonts w:eastAsia="Times New Roman" w:cstheme="minorHAnsi"/>
          <w:color w:val="000000"/>
          <w:lang w:eastAsia="en-GB"/>
        </w:rPr>
        <w:t xml:space="preserve"> were reflected upon.  As a result of a perceived lack of specific direction for undertaking the task within this text, a wider reflection on other mixed method typologies and associated ‘instrument development’ type designs was undertaken (Greene et al</w:t>
      </w:r>
      <w:r w:rsidR="00B415B3" w:rsidRPr="009B3747">
        <w:rPr>
          <w:rFonts w:eastAsia="Times New Roman" w:cstheme="minorHAnsi"/>
          <w:color w:val="000000"/>
          <w:lang w:eastAsia="en-GB"/>
        </w:rPr>
        <w:t>.</w:t>
      </w:r>
      <w:r w:rsidRPr="009B3747">
        <w:rPr>
          <w:rFonts w:eastAsia="Times New Roman" w:cstheme="minorHAnsi"/>
          <w:color w:val="000000"/>
          <w:lang w:eastAsia="en-GB"/>
        </w:rPr>
        <w:t>, 1989; Creswell, 2003; Tashakkori and Teddlie, 2009; Morgan, 2014).  Furthermore, a broad scoping search of the literature was conducted to obtain research papers where the adoption of an exploratory sequential design or similar (within alternative mixed methods typologies) was reported.  </w:t>
      </w:r>
    </w:p>
    <w:p w:rsidR="00827CCD" w:rsidRPr="009B3747" w:rsidRDefault="00827CCD" w:rsidP="00991D2F">
      <w:pPr>
        <w:rPr>
          <w:rFonts w:eastAsia="Times New Roman" w:cstheme="minorHAnsi"/>
          <w:color w:val="000000"/>
          <w:lang w:eastAsia="en-GB"/>
        </w:rPr>
      </w:pPr>
    </w:p>
    <w:p w:rsidR="00991D2F" w:rsidRPr="009B3747" w:rsidRDefault="00991D2F" w:rsidP="00991D2F">
      <w:pPr>
        <w:rPr>
          <w:rFonts w:eastAsia="Times New Roman" w:cstheme="minorHAnsi"/>
          <w:color w:val="000000"/>
          <w:lang w:eastAsia="en-GB"/>
        </w:rPr>
      </w:pPr>
      <w:r w:rsidRPr="009B3747">
        <w:rPr>
          <w:rFonts w:eastAsia="Times New Roman" w:cstheme="minorHAnsi"/>
          <w:color w:val="000000"/>
          <w:lang w:eastAsia="en-GB"/>
        </w:rPr>
        <w:t>Whilst identifying and reviewing relevant literature was useful in providing an overview of the overarching processes involved in developing a quantitative instrument from qualitative findings, there remained a paucity of clear and descriptive methodological guidance.  For example, it was broadly suggested that themes, codes and quotes resulting from analysed qualitative data</w:t>
      </w:r>
      <w:r w:rsidR="00DB2C7A">
        <w:rPr>
          <w:rFonts w:eastAsia="Times New Roman" w:cstheme="minorHAnsi"/>
          <w:color w:val="000000"/>
          <w:lang w:eastAsia="en-GB"/>
        </w:rPr>
        <w:t xml:space="preserve">, could </w:t>
      </w:r>
      <w:r w:rsidRPr="009B3747">
        <w:rPr>
          <w:rFonts w:eastAsia="Times New Roman" w:cstheme="minorHAnsi"/>
          <w:color w:val="000000"/>
          <w:lang w:eastAsia="en-GB"/>
        </w:rPr>
        <w:t>play a role in developing survey content.  However, specific guidance on how this task was methodologically achieved was not reported or discussed.    </w:t>
      </w:r>
    </w:p>
    <w:p w:rsidR="00991D2F" w:rsidRPr="009B3747" w:rsidRDefault="00991D2F" w:rsidP="00991D2F">
      <w:pPr>
        <w:rPr>
          <w:rFonts w:eastAsia="Times New Roman" w:cstheme="minorHAnsi"/>
          <w:sz w:val="24"/>
          <w:szCs w:val="24"/>
          <w:lang w:eastAsia="en-GB"/>
        </w:rPr>
      </w:pPr>
    </w:p>
    <w:p w:rsidR="00991D2F" w:rsidRPr="009B3747" w:rsidRDefault="00991D2F" w:rsidP="00991D2F">
      <w:pPr>
        <w:rPr>
          <w:rFonts w:eastAsia="Times New Roman" w:cstheme="minorHAnsi"/>
          <w:color w:val="000000"/>
          <w:lang w:eastAsia="en-GB"/>
        </w:rPr>
      </w:pPr>
      <w:r w:rsidRPr="009B3747">
        <w:rPr>
          <w:rFonts w:eastAsia="Times New Roman" w:cstheme="minorHAnsi"/>
          <w:color w:val="000000"/>
          <w:lang w:eastAsia="en-GB"/>
        </w:rPr>
        <w:t>As a result, prior to the completion of the qualitative data analysis, the r</w:t>
      </w:r>
      <w:r w:rsidR="00787223" w:rsidRPr="009B3747">
        <w:rPr>
          <w:rFonts w:eastAsia="Times New Roman" w:cstheme="minorHAnsi"/>
          <w:color w:val="000000"/>
          <w:lang w:eastAsia="en-GB"/>
        </w:rPr>
        <w:t xml:space="preserve">esearcher spent approximately 6 to </w:t>
      </w:r>
      <w:r w:rsidRPr="009B3747">
        <w:rPr>
          <w:rFonts w:eastAsia="Times New Roman" w:cstheme="minorHAnsi"/>
          <w:color w:val="000000"/>
          <w:lang w:eastAsia="en-GB"/>
        </w:rPr>
        <w:t xml:space="preserve">8 weeks engaging with researchers from across the world.  This engagement was undertaken </w:t>
      </w:r>
      <w:r w:rsidR="00DB2C7A">
        <w:rPr>
          <w:rFonts w:eastAsia="Times New Roman" w:cstheme="minorHAnsi"/>
          <w:color w:val="000000"/>
          <w:lang w:eastAsia="en-GB"/>
        </w:rPr>
        <w:t>to</w:t>
      </w:r>
      <w:r w:rsidRPr="009B3747">
        <w:rPr>
          <w:rFonts w:eastAsia="Times New Roman" w:cstheme="minorHAnsi"/>
          <w:color w:val="000000"/>
          <w:lang w:eastAsia="en-GB"/>
        </w:rPr>
        <w:t xml:space="preserve"> obtain greater clarification on </w:t>
      </w:r>
      <w:r w:rsidR="00DB2C7A">
        <w:rPr>
          <w:rFonts w:eastAsia="Times New Roman" w:cstheme="minorHAnsi"/>
          <w:color w:val="000000"/>
          <w:lang w:eastAsia="en-GB"/>
        </w:rPr>
        <w:t>how to</w:t>
      </w:r>
      <w:r w:rsidRPr="009B3747">
        <w:rPr>
          <w:rFonts w:eastAsia="Times New Roman" w:cstheme="minorHAnsi"/>
          <w:color w:val="000000"/>
          <w:lang w:eastAsia="en-GB"/>
        </w:rPr>
        <w:t xml:space="preserve"> robustly develop a quantitative instrument from analysed qualitative findings</w:t>
      </w:r>
      <w:r w:rsidR="00DB2C7A">
        <w:rPr>
          <w:rFonts w:eastAsia="Times New Roman" w:cstheme="minorHAnsi"/>
          <w:color w:val="000000"/>
          <w:lang w:eastAsia="en-GB"/>
        </w:rPr>
        <w:t>,</w:t>
      </w:r>
      <w:r w:rsidRPr="009B3747">
        <w:rPr>
          <w:rFonts w:eastAsia="Times New Roman" w:cstheme="minorHAnsi"/>
          <w:color w:val="000000"/>
          <w:lang w:eastAsia="en-GB"/>
        </w:rPr>
        <w:t xml:space="preserve"> and ensure effective integration of the distinct research phases.  This process of engagement included the researcher emailing all PhD students in three faculties and staff in one faculty (</w:t>
      </w:r>
      <w:r w:rsidR="00DB2C7A">
        <w:rPr>
          <w:rFonts w:eastAsia="Times New Roman" w:cstheme="minorHAnsi"/>
          <w:color w:val="000000"/>
          <w:lang w:eastAsia="en-GB"/>
        </w:rPr>
        <w:t xml:space="preserve">at The University of Sheffield), </w:t>
      </w:r>
      <w:r w:rsidRPr="009B3747">
        <w:rPr>
          <w:rFonts w:eastAsia="Times New Roman" w:cstheme="minorHAnsi"/>
          <w:color w:val="000000"/>
          <w:lang w:eastAsia="en-GB"/>
        </w:rPr>
        <w:t>and asking those with relevant experience of the chosen design to share the practical steps they employed.  In addition, the researcher asked for the same guidance from international a</w:t>
      </w:r>
      <w:r w:rsidR="00787223" w:rsidRPr="009B3747">
        <w:rPr>
          <w:rFonts w:eastAsia="Times New Roman" w:cstheme="minorHAnsi"/>
          <w:color w:val="000000"/>
          <w:lang w:eastAsia="en-GB"/>
        </w:rPr>
        <w:t xml:space="preserve">cademics through ResearchGate – </w:t>
      </w:r>
      <w:r w:rsidRPr="009B3747">
        <w:rPr>
          <w:rFonts w:eastAsia="Times New Roman" w:cstheme="minorHAnsi"/>
          <w:color w:val="000000"/>
          <w:lang w:eastAsia="en-GB"/>
        </w:rPr>
        <w:t>an international academic networking website.  </w:t>
      </w:r>
    </w:p>
    <w:p w:rsidR="00991D2F" w:rsidRPr="009B3747" w:rsidRDefault="00991D2F" w:rsidP="00991D2F">
      <w:pPr>
        <w:rPr>
          <w:rFonts w:eastAsia="Times New Roman" w:cstheme="minorHAnsi"/>
          <w:color w:val="000000"/>
          <w:lang w:eastAsia="en-GB"/>
        </w:rPr>
      </w:pPr>
      <w:r w:rsidRPr="009B3747">
        <w:rPr>
          <w:rFonts w:eastAsia="Times New Roman" w:cstheme="minorHAnsi"/>
          <w:color w:val="000000"/>
          <w:lang w:eastAsia="en-GB"/>
        </w:rPr>
        <w:lastRenderedPageBreak/>
        <w:t xml:space="preserve">Over 50 responses from PhD students and academics were obtained, with the researcher communicating through email, via telephone and face to face to </w:t>
      </w:r>
      <w:r w:rsidR="00DB2C7A">
        <w:rPr>
          <w:rFonts w:eastAsia="Times New Roman" w:cstheme="minorHAnsi"/>
          <w:color w:val="000000"/>
          <w:lang w:eastAsia="en-GB"/>
        </w:rPr>
        <w:t>discuss</w:t>
      </w:r>
      <w:r w:rsidRPr="009B3747">
        <w:rPr>
          <w:rFonts w:eastAsia="Times New Roman" w:cstheme="minorHAnsi"/>
          <w:color w:val="000000"/>
          <w:lang w:eastAsia="en-GB"/>
        </w:rPr>
        <w:t xml:space="preserve"> their extensive yet significantly different experiences.  For many</w:t>
      </w:r>
      <w:r w:rsidR="00B415B3" w:rsidRPr="009B3747">
        <w:rPr>
          <w:rFonts w:eastAsia="Times New Roman" w:cstheme="minorHAnsi"/>
          <w:color w:val="000000"/>
          <w:lang w:eastAsia="en-GB"/>
        </w:rPr>
        <w:t>,</w:t>
      </w:r>
      <w:r w:rsidRPr="009B3747">
        <w:rPr>
          <w:rFonts w:eastAsia="Times New Roman" w:cstheme="minorHAnsi"/>
          <w:color w:val="000000"/>
          <w:lang w:eastAsia="en-GB"/>
        </w:rPr>
        <w:t xml:space="preserve"> </w:t>
      </w:r>
      <w:r w:rsidR="00DB2C7A">
        <w:rPr>
          <w:rFonts w:eastAsia="Times New Roman" w:cstheme="minorHAnsi"/>
          <w:color w:val="000000"/>
          <w:lang w:eastAsia="en-GB"/>
        </w:rPr>
        <w:t>they had employed the exploratory sequential design for a variety of uses</w:t>
      </w:r>
      <w:r w:rsidR="004862DC">
        <w:rPr>
          <w:rFonts w:eastAsia="Times New Roman" w:cstheme="minorHAnsi"/>
          <w:color w:val="000000"/>
          <w:lang w:eastAsia="en-GB"/>
        </w:rPr>
        <w:t xml:space="preserve">, </w:t>
      </w:r>
      <w:r w:rsidRPr="009B3747">
        <w:rPr>
          <w:rFonts w:eastAsia="Times New Roman" w:cstheme="minorHAnsi"/>
          <w:color w:val="000000"/>
          <w:lang w:eastAsia="en-GB"/>
        </w:rPr>
        <w:t>e.g. for developing surveys, creating health measurement instruments and testing specific psychological constructs.  Regardless of the designs use, having reviewed the feedback obtained, it was apparent that a standard approach or framework for building quantitative instruments from qualitative findings did not appear to exist.  Valuable personal dialogue with Professor David Morgan (Portland State University), a world leading expert on mixed me</w:t>
      </w:r>
      <w:r w:rsidR="00DB2C7A">
        <w:rPr>
          <w:rFonts w:eastAsia="Times New Roman" w:cstheme="minorHAnsi"/>
          <w:color w:val="000000"/>
          <w:lang w:eastAsia="en-GB"/>
        </w:rPr>
        <w:t>thods and multi-method research, confirmed this position.  In addition he stated</w:t>
      </w:r>
      <w:r w:rsidRPr="009B3747">
        <w:rPr>
          <w:rFonts w:eastAsia="Times New Roman" w:cstheme="minorHAnsi"/>
          <w:color w:val="000000"/>
          <w:lang w:eastAsia="en-GB"/>
        </w:rPr>
        <w:t xml:space="preserve"> that the specific process or steps for developing surveys from qualitative findings are ‘seldom reported’ in academic literature (Personal communication, Professor David Morgan, 2016).  Consequently, the overarching guidance received regarding integrating the qualitative and quantitative phases of this design, primarily centred on the need to adopt a tailored approach, choo</w:t>
      </w:r>
      <w:r w:rsidR="009025E2">
        <w:rPr>
          <w:rFonts w:eastAsia="Times New Roman" w:cstheme="minorHAnsi"/>
          <w:color w:val="000000"/>
          <w:lang w:eastAsia="en-GB"/>
        </w:rPr>
        <w:t xml:space="preserve">sing methods or practical steps, </w:t>
      </w:r>
      <w:r w:rsidRPr="009B3747">
        <w:rPr>
          <w:rFonts w:eastAsia="Times New Roman" w:cstheme="minorHAnsi"/>
          <w:color w:val="000000"/>
          <w:lang w:eastAsia="en-GB"/>
        </w:rPr>
        <w:t>which best suited specific research aims and objectives.  </w:t>
      </w:r>
    </w:p>
    <w:p w:rsidR="00827CCD" w:rsidRPr="009B3747" w:rsidRDefault="00827CCD" w:rsidP="00991D2F">
      <w:pPr>
        <w:rPr>
          <w:rFonts w:eastAsia="Times New Roman" w:cstheme="minorHAnsi"/>
          <w:sz w:val="24"/>
          <w:szCs w:val="24"/>
          <w:lang w:eastAsia="en-GB"/>
        </w:rPr>
      </w:pP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t>As a result of reviewing aforementioned mixed methods research texts (Greene et al, 1989; Creswell, 2003; Tashakkori and Teddlie, 2009; Creswell and Plano Clark, 2011; Morgan, 2014) and undert</w:t>
      </w:r>
      <w:r w:rsidR="00DB2C7A">
        <w:rPr>
          <w:rFonts w:eastAsia="Times New Roman" w:cstheme="minorHAnsi"/>
          <w:color w:val="000000"/>
          <w:lang w:eastAsia="en-GB"/>
        </w:rPr>
        <w:t xml:space="preserve">aking this extensive engagement, the researcher </w:t>
      </w:r>
      <w:r w:rsidRPr="009B3747">
        <w:rPr>
          <w:rFonts w:eastAsia="Times New Roman" w:cstheme="minorHAnsi"/>
          <w:color w:val="000000"/>
          <w:lang w:eastAsia="en-GB"/>
        </w:rPr>
        <w:t xml:space="preserve">reflected on which elements of the obtained guidance would be </w:t>
      </w:r>
      <w:r w:rsidR="00DB2C7A">
        <w:rPr>
          <w:rFonts w:eastAsia="Times New Roman" w:cstheme="minorHAnsi"/>
          <w:color w:val="000000"/>
          <w:lang w:eastAsia="en-GB"/>
        </w:rPr>
        <w:t>most relevant for this doctoral study.  T</w:t>
      </w:r>
      <w:r w:rsidRPr="009B3747">
        <w:rPr>
          <w:rFonts w:eastAsia="Times New Roman" w:cstheme="minorHAnsi"/>
          <w:color w:val="000000"/>
          <w:lang w:eastAsia="en-GB"/>
        </w:rPr>
        <w:t>he following sections therefore present a detailed account of the approach for integrating the two study phases and the methodology employed for collecting and analysing survey data.</w:t>
      </w:r>
    </w:p>
    <w:p w:rsidR="00827CCD" w:rsidRPr="009B3747" w:rsidRDefault="00827CCD" w:rsidP="00991D2F">
      <w:pPr>
        <w:rPr>
          <w:rFonts w:eastAsia="Times New Roman" w:cstheme="minorHAnsi"/>
          <w:color w:val="000000"/>
          <w:u w:val="single"/>
          <w:lang w:eastAsia="en-GB"/>
        </w:rPr>
      </w:pPr>
    </w:p>
    <w:p w:rsidR="00991D2F" w:rsidRPr="009B3747" w:rsidRDefault="00CB18A0" w:rsidP="00991D2F">
      <w:pPr>
        <w:rPr>
          <w:rFonts w:eastAsia="Times New Roman" w:cstheme="minorHAnsi"/>
          <w:b/>
          <w:color w:val="000000"/>
          <w:sz w:val="24"/>
          <w:szCs w:val="24"/>
          <w:u w:val="single"/>
          <w:lang w:eastAsia="en-GB"/>
        </w:rPr>
      </w:pPr>
      <w:r w:rsidRPr="009B3747">
        <w:rPr>
          <w:rFonts w:eastAsia="Times New Roman" w:cstheme="minorHAnsi"/>
          <w:b/>
          <w:color w:val="000000"/>
          <w:sz w:val="24"/>
          <w:szCs w:val="24"/>
          <w:u w:val="single"/>
          <w:lang w:eastAsia="en-GB"/>
        </w:rPr>
        <w:t>7.3</w:t>
      </w:r>
      <w:r w:rsidR="00991D2F" w:rsidRPr="009B3747">
        <w:rPr>
          <w:rFonts w:eastAsia="Times New Roman" w:cstheme="minorHAnsi"/>
          <w:b/>
          <w:color w:val="000000"/>
          <w:sz w:val="24"/>
          <w:szCs w:val="24"/>
          <w:u w:val="single"/>
          <w:lang w:eastAsia="en-GB"/>
        </w:rPr>
        <w:t xml:space="preserve"> Survey research</w:t>
      </w:r>
    </w:p>
    <w:p w:rsidR="00827CCD" w:rsidRPr="009B3747" w:rsidRDefault="00827CCD" w:rsidP="00991D2F">
      <w:pPr>
        <w:rPr>
          <w:rFonts w:eastAsia="Times New Roman" w:cstheme="minorHAnsi"/>
          <w:b/>
          <w:sz w:val="24"/>
          <w:szCs w:val="24"/>
          <w:lang w:eastAsia="en-GB"/>
        </w:rPr>
      </w:pP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t>The term ‘survey’ in resea</w:t>
      </w:r>
      <w:r w:rsidR="00371430" w:rsidRPr="009B3747">
        <w:rPr>
          <w:rFonts w:eastAsia="Times New Roman" w:cstheme="minorHAnsi"/>
          <w:color w:val="000000"/>
          <w:lang w:eastAsia="en-GB"/>
        </w:rPr>
        <w:t>rch is applied in various ways</w:t>
      </w:r>
      <w:r w:rsidR="00B415B3" w:rsidRPr="009B3747">
        <w:rPr>
          <w:rFonts w:eastAsia="Times New Roman" w:cstheme="minorHAnsi"/>
          <w:color w:val="000000"/>
          <w:lang w:eastAsia="en-GB"/>
        </w:rPr>
        <w:t xml:space="preserve"> </w:t>
      </w:r>
      <w:r w:rsidR="00B415B3" w:rsidRPr="009B3747">
        <w:rPr>
          <w:rFonts w:eastAsia="Times New Roman" w:cstheme="minorHAnsi"/>
          <w:color w:val="000000"/>
          <w:lang w:eastAsia="en-GB"/>
        </w:rPr>
        <w:fldChar w:fldCharType="begin" w:fldLock="1"/>
      </w:r>
      <w:r w:rsidR="00B415B3" w:rsidRPr="009B3747">
        <w:rPr>
          <w:rFonts w:eastAsia="Times New Roman" w:cstheme="minorHAnsi"/>
          <w:color w:val="000000"/>
          <w:lang w:eastAsia="en-GB"/>
        </w:rPr>
        <w:instrText>ADDIN CSL_CITATION { "citationItems" : [ { "id" : "ITEM-1", "itemData" : { "ISSN" : "1353-4505", "PMID" : "12803354", "abstract" : "Survey research is sometimes regarded as an easy research approach. However, as with any other research approach and method, it is easy to conduct a survey of poor quality rather than one of high quality and real value. This paper provides a checklist of good practice in the conduct and reporting of survey research. Its purpose is to assist the novice researcher to produce survey work to a high standard, meaning a standard at which the results will be regarded as credible. The paper first provides an overview of the approach and then guides the reader step-by-step through the processes of data collection, data analysis, and reporting. It is not intended to provide a manual of how to conduct a survey, but rather to identify common pitfalls and oversights to be avoided by researchers if their work is to be valid and credible.", "author" : [ { "dropping-particle" : "", "family" : "Kelley", "given" : "Kate", "non-dropping-particle" : "", "parse-names" : false, "suffix" : "" }, { "dropping-particle" : "", "family" : "Clark", "given" : "Belinda", "non-dropping-particle" : "", "parse-names" : false, "suffix" : "" }, { "dropping-particle" : "", "family" : "Brown", "given" : "Vivienne", "non-dropping-particle" : "", "parse-names" : false, "suffix" : "" }, { "dropping-particle" : "", "family" : "Sitzia", "given" : "John", "non-dropping-particle" : "", "parse-names" : false, "suffix" : "" } ], "container-title" : "International journal for quality in health care : journal of the International Society for Quality in Health Care", "id" : "ITEM-1", "issue" : "3", "issued" : { "date-parts" : [ [ "2003", "6" ] ] }, "page" : "261-6", "title" : "Good practice in the conduct and reporting of survey research.", "type" : "article-journal", "volume" : "15" }, "uris" : [ "http://www.mendeley.com/documents/?uuid=00cf6e1b-c685-3ed5-92e3-866710b855c7" ] } ], "mendeley" : { "formattedCitation" : "(Kelley et al., 2003)", "plainTextFormattedCitation" : "(Kelley et al., 2003)", "previouslyFormattedCitation" : "(Kelley et al., 2003)" }, "properties" : { "noteIndex" : 0 }, "schema" : "https://github.com/citation-style-language/schema/raw/master/csl-citation.json" }</w:instrText>
      </w:r>
      <w:r w:rsidR="00B415B3" w:rsidRPr="009B3747">
        <w:rPr>
          <w:rFonts w:eastAsia="Times New Roman" w:cstheme="minorHAnsi"/>
          <w:color w:val="000000"/>
          <w:lang w:eastAsia="en-GB"/>
        </w:rPr>
        <w:fldChar w:fldCharType="separate"/>
      </w:r>
      <w:r w:rsidR="00B415B3" w:rsidRPr="009B3747">
        <w:rPr>
          <w:rFonts w:eastAsia="Times New Roman" w:cstheme="minorHAnsi"/>
          <w:noProof/>
          <w:color w:val="000000"/>
          <w:lang w:eastAsia="en-GB"/>
        </w:rPr>
        <w:t>(Kelley et al., 2003)</w:t>
      </w:r>
      <w:r w:rsidR="00B415B3" w:rsidRPr="009B3747">
        <w:rPr>
          <w:rFonts w:eastAsia="Times New Roman" w:cstheme="minorHAnsi"/>
          <w:color w:val="000000"/>
          <w:lang w:eastAsia="en-GB"/>
        </w:rPr>
        <w:fldChar w:fldCharType="end"/>
      </w:r>
      <w:r w:rsidR="00DB2C7A">
        <w:rPr>
          <w:rFonts w:eastAsia="Times New Roman" w:cstheme="minorHAnsi"/>
          <w:color w:val="000000"/>
          <w:lang w:eastAsia="en-GB"/>
        </w:rPr>
        <w:t xml:space="preserve">, </w:t>
      </w:r>
      <w:r w:rsidRPr="009B3747">
        <w:rPr>
          <w:rFonts w:eastAsia="Times New Roman" w:cstheme="minorHAnsi"/>
          <w:color w:val="000000"/>
          <w:lang w:eastAsia="en-GB"/>
        </w:rPr>
        <w:t>although survey res</w:t>
      </w:r>
      <w:r w:rsidR="00B415B3" w:rsidRPr="009B3747">
        <w:rPr>
          <w:rFonts w:eastAsia="Times New Roman" w:cstheme="minorHAnsi"/>
          <w:color w:val="000000"/>
          <w:lang w:eastAsia="en-GB"/>
        </w:rPr>
        <w:t xml:space="preserve">earch is broadly proposed as a </w:t>
      </w:r>
      <w:r w:rsidR="00B415B3" w:rsidRPr="009B3747">
        <w:rPr>
          <w:rFonts w:eastAsia="Times New Roman" w:cstheme="minorHAnsi"/>
          <w:i/>
          <w:color w:val="000000"/>
          <w:lang w:eastAsia="en-GB"/>
        </w:rPr>
        <w:t>“</w:t>
      </w:r>
      <w:r w:rsidRPr="009B3747">
        <w:rPr>
          <w:rFonts w:eastAsia="Times New Roman" w:cstheme="minorHAnsi"/>
          <w:i/>
          <w:color w:val="000000"/>
          <w:lang w:eastAsia="en-GB"/>
        </w:rPr>
        <w:t>method of collecting</w:t>
      </w:r>
      <w:r w:rsidR="00B415B3" w:rsidRPr="009B3747">
        <w:rPr>
          <w:rFonts w:eastAsia="Times New Roman" w:cstheme="minorHAnsi"/>
          <w:i/>
          <w:color w:val="000000"/>
          <w:lang w:eastAsia="en-GB"/>
        </w:rPr>
        <w:t xml:space="preserve">, organising and analysing data” </w:t>
      </w:r>
      <w:r w:rsidR="00B415B3" w:rsidRPr="009B3747">
        <w:rPr>
          <w:rFonts w:eastAsia="Times New Roman" w:cstheme="minorHAnsi"/>
          <w:color w:val="000000"/>
          <w:lang w:eastAsia="en-GB"/>
        </w:rPr>
        <w:fldChar w:fldCharType="begin" w:fldLock="1"/>
      </w:r>
      <w:r w:rsidR="00A84723" w:rsidRPr="009B3747">
        <w:rPr>
          <w:rFonts w:eastAsia="Times New Roman" w:cstheme="minorHAnsi"/>
          <w:color w:val="000000"/>
          <w:lang w:eastAsia="en-GB"/>
        </w:rPr>
        <w:instrText>ADDIN CSL_CITATION { "citationItems" : [ { "id" : "ITEM-1", "itemData" : { "ISBN" : "0415268575", "abstract" : "5th ed. Previous edition: London: UCL, 1996. Scope of survey research -- Nature of surveys -- Theory and social research -- Formulating and clarifying research questions -- Collecting survey data -- Developing indicators for concepts -- Ethics and data collection -- Finding a sample -- Constructing and administering questionnaires -- Setting up the data for analysis -- Coding -- Preparing variables for analysis -- Building scales -- Analyzing survey data -- Overview of analysis -- Univariate analysis -- Bivariate analysis: nominal and ordinal variables -- Biavariate analysis for interval-level variables -- Elaborating bivariate relationships -- Multivariate analysis -- Putting it into practices: a research example.", "author" : [ { "dropping-particle" : "", "family" : "Vaus", "given" : "D.A", "non-dropping-particle" : "de", "parse-names" : false, "suffix" : "" } ], "edition" : "5th", "id" : "ITEM-1", "issued" : { "date-parts" : [ [ "2002" ] ] }, "number-of-pages" : "379", "publisher" : "Allen &amp; Unwin", "publisher-place" : "Sydney", "title" : "Surveys in social research", "type" : "book" }, "uris" : [ "http://www.mendeley.com/documents/?uuid=50279df5-627e-30cb-9dd0-d663677204bb" ] } ], "mendeley" : { "formattedCitation" : "(de Vaus, 2002)", "manualFormatting" : "(De Vaus, 2002, p.5)", "plainTextFormattedCitation" : "(de Vaus, 2002)", "previouslyFormattedCitation" : "(de Vaus, 2002)" }, "properties" : { "noteIndex" : 0 }, "schema" : "https://github.com/citation-style-language/schema/raw/master/csl-citation.json" }</w:instrText>
      </w:r>
      <w:r w:rsidR="00B415B3" w:rsidRPr="009B3747">
        <w:rPr>
          <w:rFonts w:eastAsia="Times New Roman" w:cstheme="minorHAnsi"/>
          <w:color w:val="000000"/>
          <w:lang w:eastAsia="en-GB"/>
        </w:rPr>
        <w:fldChar w:fldCharType="separate"/>
      </w:r>
      <w:r w:rsidR="00B415B3" w:rsidRPr="009B3747">
        <w:rPr>
          <w:rFonts w:eastAsia="Times New Roman" w:cstheme="minorHAnsi"/>
          <w:noProof/>
          <w:color w:val="000000"/>
          <w:lang w:eastAsia="en-GB"/>
        </w:rPr>
        <w:t>(De Vaus, 2002</w:t>
      </w:r>
      <w:r w:rsidR="00E3179E" w:rsidRPr="009B3747">
        <w:rPr>
          <w:rFonts w:eastAsia="Times New Roman" w:cstheme="minorHAnsi"/>
          <w:noProof/>
          <w:color w:val="000000"/>
          <w:lang w:eastAsia="en-GB"/>
        </w:rPr>
        <w:t>, p.</w:t>
      </w:r>
      <w:r w:rsidR="00B415B3" w:rsidRPr="009B3747">
        <w:rPr>
          <w:rFonts w:eastAsia="Times New Roman" w:cstheme="minorHAnsi"/>
          <w:noProof/>
          <w:color w:val="000000"/>
          <w:lang w:eastAsia="en-GB"/>
        </w:rPr>
        <w:t>5)</w:t>
      </w:r>
      <w:r w:rsidR="00B415B3" w:rsidRPr="009B3747">
        <w:rPr>
          <w:rFonts w:eastAsia="Times New Roman" w:cstheme="minorHAnsi"/>
          <w:color w:val="000000"/>
          <w:lang w:eastAsia="en-GB"/>
        </w:rPr>
        <w:fldChar w:fldCharType="end"/>
      </w:r>
      <w:r w:rsidR="00B415B3" w:rsidRPr="009B3747">
        <w:rPr>
          <w:rFonts w:eastAsia="Times New Roman" w:cstheme="minorHAnsi"/>
          <w:color w:val="000000"/>
          <w:lang w:eastAsia="en-GB"/>
        </w:rPr>
        <w:t xml:space="preserve">.  </w:t>
      </w:r>
      <w:r w:rsidRPr="009B3747">
        <w:rPr>
          <w:rFonts w:eastAsia="Times New Roman" w:cstheme="minorHAnsi"/>
          <w:color w:val="000000"/>
          <w:lang w:eastAsia="en-GB"/>
        </w:rPr>
        <w:t>Although often interchangeably and mistakenly referred to as questionnaires, the term survey does not simply relate to a data collection tool or technique (as with the term questionnaires),</w:t>
      </w:r>
      <w:r w:rsidR="00A35E45" w:rsidRPr="009B3747">
        <w:rPr>
          <w:rFonts w:eastAsia="Times New Roman" w:cstheme="minorHAnsi"/>
          <w:color w:val="000000"/>
          <w:lang w:eastAsia="en-GB"/>
        </w:rPr>
        <w:t xml:space="preserve"> </w:t>
      </w:r>
      <w:r w:rsidR="00A35E45"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"ISBN" : "1412992257", "abstract" : "\"Online surveys provide promising opportunities in today s technological world. Conducting Online Surveys is a comprehensive guide to the creation, implementation, and analysis of e-mail and Web-based surveys. Authors Valerie M. Sue and Lois A. Ritter specifically address issues unique to online survey research such as selecting software, designing Web-based questionnaires, and sampling from online populations.\" \"This is an excellent supplemental text for advanced undergraduate and graduate courses on survey research methods across the Social, Behavioral, and Health Sciences, in particular Sociology, Marketing, Education, Public Health, Political Science, Education, and Mass Communication.\"--Jacket. List of tables &amp; figures -- Preface -- Acknowledgments -- Introduction -- What is a survey? -- Why is a book specific to online survey research needed? -- When should an online survey be used? -- Online survey studies -- Summary -- Planning the online survey -- E-mail surveys -- Internet/Intranet (Web page) surveys -- What to consider when buying survey software and selecting a Web survey host -- Survey objectives -- Survey timelines -- Survey research ethics -- Summary -- Sampling -- Populations and samples -- Sampling techniques for Internet surveys -- Sources of error in online surveys -- Summary -- Writing survey questions -- General considerations -- Validity of measurement -- Respondent-centered threats to validity -- Question format and wording -- Level of measurement -- Demographic questions -- Pretesting -- Summary -- Designing and developing the survey instrument -- Questionnaire design -- Making your survey accessible to everyone -- Ensuring that participants respond only once -- Summary -- Conducting the survey -- Methods of recruitment -- Increasing the response rate -- Thank-you notes -- Summary -- Processing and analyzing the survey data -- Planning for data analysis -- Tracking the surveys -- Creating a codebook for e-mail surveys -- Data cleaning -- Data transformation -- Descriptive statistics -- Inferential statistics -- Summary -- Reporting the survey results -- Preliminary considerations -- Format of a survey report -- Oral presentations -- Poster session presentations -- Visual aids -- Matching survey results to type of display -- Distributing results using a Web-based survey development tool -- Summary -- Concluding comments -- Opportunities and challenges in online survey research -- Benefits of online surveys -- The future of online \u2026", "author" : [ { "dropping-particle" : "", "family" : "Sue", "given" : "Valerie M.", "non-dropping-particle" : "", "parse-names" : false, "suffix" : "" }, { "dropping-particle" : "", "family" : "Ritter", "given" : "Lois A.", "non-dropping-particle" : "", "parse-names" : false, "suffix" : "" } ], "id" : "ITEM-1", "issued" : { "date-parts" : [ [ "2007" ] ] }, "number-of-pages" : "194", "publisher" : "SAGE Publications Inc.", "title" : "Conducting online surveys", "type" : "book" }, "uris" : [ "http://www.mendeley.com/documents/?uuid=8d983fdb-6384-3fa1-8b21-ee696ceac3aa" ] } ], "mendeley" : { "formattedCitation" : "(Sue and Ritter, 2007)", "plainTextFormattedCitation" : "(Sue and Ritter, 2007)", "previouslyFormattedCitation" : "(Sue and Ritter, 2007)" }, "properties" : { "noteIndex" : 0 }, "schema" : "https://github.com/citation-style-language/schema/raw/master/csl-citation.json" }</w:instrText>
      </w:r>
      <w:r w:rsidR="00A35E45" w:rsidRPr="009B3747">
        <w:rPr>
          <w:rFonts w:eastAsia="Times New Roman" w:cstheme="minorHAnsi"/>
          <w:color w:val="000000"/>
          <w:lang w:eastAsia="en-GB"/>
        </w:rPr>
        <w:fldChar w:fldCharType="separate"/>
      </w:r>
      <w:r w:rsidR="00A35E45" w:rsidRPr="009B3747">
        <w:rPr>
          <w:rFonts w:eastAsia="Times New Roman" w:cstheme="minorHAnsi"/>
          <w:noProof/>
          <w:color w:val="000000"/>
          <w:lang w:eastAsia="en-GB"/>
        </w:rPr>
        <w:t>(Sue and Ritter, 2007)</w:t>
      </w:r>
      <w:r w:rsidR="00A35E45"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A survey is in fact a system comprised </w:t>
      </w:r>
      <w:r w:rsidR="00DB2C7A">
        <w:rPr>
          <w:rFonts w:eastAsia="Times New Roman" w:cstheme="minorHAnsi"/>
          <w:color w:val="000000"/>
          <w:lang w:eastAsia="en-GB"/>
        </w:rPr>
        <w:t xml:space="preserve">of several different activities, </w:t>
      </w:r>
      <w:r w:rsidRPr="009B3747">
        <w:rPr>
          <w:rFonts w:eastAsia="Times New Roman" w:cstheme="minorHAnsi"/>
          <w:color w:val="000000"/>
          <w:lang w:eastAsia="en-GB"/>
        </w:rPr>
        <w:t>which include establishing the study objectives and design, preparing and administering a reliable and valid instrument, and analysing and reporting results</w:t>
      </w:r>
      <w:r w:rsidR="00A35E45" w:rsidRPr="009B3747">
        <w:rPr>
          <w:rFonts w:eastAsia="Times New Roman" w:cstheme="minorHAnsi"/>
          <w:color w:val="000000"/>
          <w:lang w:eastAsia="en-GB"/>
        </w:rPr>
        <w:t xml:space="preserve"> </w:t>
      </w:r>
      <w:r w:rsidR="00A35E45"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"ISBN" : "9780761925804", "abstract" : "2nd ed. Vol. 1. The survey handbook / Arlene Fink -- v. 2. How to ask survey questions / Arlene Fink -- v. 3. How to conduct self-administered and mail surveys / Linda B. Bourque, Eve P. Fielder -- v. 4. How to conduct telephone surveys / Linda Bourque, Eve P. Fielder -- v. 5. How to conduct in-person interviews for surveys / Sabrine Mertens Oishi -- v. 6. How to design survey studies / Arlene Fink -- v. 7. How to sample in surveys / Arlene Fink -- v. 8. How to assess and interpret survey psychometrics / Mark S. Litwin -- v. 9. How to manage, analyze, and interpret survey data / Arlene Fink -- v. 10. How to report on surveys / Arlene Fink.", "author" : [ { "dropping-particle" : "", "family" : "Fink", "given" : "Arlene.", "non-dropping-particle" : "", "parse-names" : false, "suffix" : "" } ], "edition" : "2nd", "id" : "ITEM-1", "issued" : { "date-parts" : [ [ "2003" ] ] }, "number-of-pages" : "434", "publisher" : "SAGE Publications Inc.", "publisher-place" : "Thousand Oaks", "title" : "The survey kit.", "type" : "book" }, "uris" : [ "http://www.mendeley.com/documents/?uuid=87799052-24ba-3c00-b768-67f8f9460313" ] }, { "id" : "ITEM-2", "itemData" : { "ISBN" : "047003856X", "abstract" : "2nd ed., 2007 update with new internet, visual, and mixed-mode guide. For students, researchers and professionals in all fields who need to effectively plan and conduct surveys, this classic text has been updated to include guidelines on electronic survey methods. I. Elements of the tailored design method -- 1. Introduction to tailored design -- 2. Writing questions -- 3. Constructing the questionnaire -- 4. Survey implementation -- 5. Reduction of coverage and sampling errors -- II. Tailoring to the survey situation -- 6. Mixed-mode surveys -- 7. Alternative questionnaire delivery: in person, to groups, and through publications -- 8. When timing is critical: diary, customer satisfaction, and election forecast surveys -- 9. Household and individual person surveys by government -- 10. Surveys of businesses and other organizations -- 11. Internet and interactive voice response surveys -- 12. Optical scanning and imaging, and the future of self-administered surveys.", "author" : [ { "dropping-particle" : "", "family" : "Dillman", "given" : "Don A.", "non-dropping-particle" : "", "parse-names" : false, "suffix" : "" } ], "edition" : "2nd", "id" : "ITEM-2", "issued" : { "date-parts" : [ [ "2007" ] ] }, "number-of-pages" : "523", "publisher" : "Wiley", "publisher-place" : "New York", "title" : "Mail and internet surveys : the tailored design method", "type" : "book" }, "uris" : [ "http://www.mendeley.com/documents/?uuid=d55f8374-e8a7-359a-b70d-f28bb4aa74a4" ] } ], "mendeley" : { "formattedCitation" : "(Fink, 2003; Dillman, 2007)", "plainTextFormattedCitation" : "(Fink, 2003; Dillman, 2007)", "previouslyFormattedCitation" : "(Fink, 2003; Dillman, 2007)" }, "properties" : { "noteIndex" : 0 }, "schema" : "https://github.com/citation-style-language/schema/raw/master/csl-citation.json" }</w:instrText>
      </w:r>
      <w:r w:rsidR="00A35E45" w:rsidRPr="009B3747">
        <w:rPr>
          <w:rFonts w:eastAsia="Times New Roman" w:cstheme="minorHAnsi"/>
          <w:color w:val="000000"/>
          <w:lang w:eastAsia="en-GB"/>
        </w:rPr>
        <w:fldChar w:fldCharType="separate"/>
      </w:r>
      <w:r w:rsidR="00A35E45" w:rsidRPr="009B3747">
        <w:rPr>
          <w:rFonts w:eastAsia="Times New Roman" w:cstheme="minorHAnsi"/>
          <w:noProof/>
          <w:color w:val="000000"/>
          <w:lang w:eastAsia="en-GB"/>
        </w:rPr>
        <w:t>(Fink, 2003; Dillman, 2007)</w:t>
      </w:r>
      <w:r w:rsidR="00A35E45" w:rsidRPr="009B3747">
        <w:rPr>
          <w:rFonts w:eastAsia="Times New Roman" w:cstheme="minorHAnsi"/>
          <w:color w:val="000000"/>
          <w:lang w:eastAsia="en-GB"/>
        </w:rPr>
        <w:fldChar w:fldCharType="end"/>
      </w:r>
      <w:r w:rsidR="00743B46" w:rsidRPr="009B3747">
        <w:rPr>
          <w:rFonts w:eastAsia="Times New Roman" w:cstheme="minorHAnsi"/>
          <w:color w:val="000000"/>
          <w:lang w:eastAsia="en-GB"/>
        </w:rPr>
        <w:t xml:space="preserve">.  </w:t>
      </w:r>
      <w:r w:rsidRPr="009B3747">
        <w:rPr>
          <w:rFonts w:eastAsia="Times New Roman" w:cstheme="minorHAnsi"/>
          <w:color w:val="000000"/>
          <w:lang w:eastAsia="en-GB"/>
        </w:rPr>
        <w:t>Consequently, it is argued that researchers should take a holistic view of a whole survey process in order to ensure that data obtained will address the overarching aims and objectives of the study</w:t>
      </w:r>
      <w:r w:rsidR="00743B46" w:rsidRPr="009B3747">
        <w:rPr>
          <w:rFonts w:eastAsia="Times New Roman" w:cstheme="minorHAnsi"/>
          <w:color w:val="000000"/>
          <w:lang w:eastAsia="en-GB"/>
        </w:rPr>
        <w:t xml:space="preserve"> </w:t>
      </w:r>
      <w:r w:rsidR="00743B46"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"Sue", "given" : "Valerie M.", "non-dropping-particle" : "", "parse-names" : false, "suffix" : "" }, { "dropping-particle" : "", "family" : "Ritter", "given" : "Lois A.", "non-dropping-particle" : "", "parse-names" : false, "suffix" : "" } ], "edition" : "2nd", "id" : "ITEM-1", "issued" : { "date-parts" : [ [ "2012" ] ] }, "publisher" : "SAGE Publications, Inc.", "publisher-place" : "Thousand Oaks", "title" : "Conducting Online Surveys", "type" : "book" }, "uris" : [ "http://www.mendeley.com/documents/?uuid=c3d2431d-95f6-4429-af31-06bf78ed7dbf" ] } ], "mendeley" : { "formattedCitation" : "(Sue and Ritter, 2012)", "plainTextFormattedCitation" : "(Sue and Ritter, 2012)", "previouslyFormattedCitation" : "(Sue and Ritter, 2012)" }, "properties" : { "noteIndex" : 0 }, "schema" : "https://github.com/citation-style-language/schema/raw/master/csl-citation.json" }</w:instrText>
      </w:r>
      <w:r w:rsidR="00743B46" w:rsidRPr="009B3747">
        <w:rPr>
          <w:rFonts w:eastAsia="Times New Roman" w:cstheme="minorHAnsi"/>
          <w:color w:val="000000"/>
          <w:lang w:eastAsia="en-GB"/>
        </w:rPr>
        <w:fldChar w:fldCharType="separate"/>
      </w:r>
      <w:r w:rsidR="00743B46" w:rsidRPr="009B3747">
        <w:rPr>
          <w:rFonts w:eastAsia="Times New Roman" w:cstheme="minorHAnsi"/>
          <w:noProof/>
          <w:color w:val="000000"/>
          <w:lang w:eastAsia="en-GB"/>
        </w:rPr>
        <w:t>(Sue and Ritter, 2012)</w:t>
      </w:r>
      <w:r w:rsidR="00743B46" w:rsidRPr="009B3747">
        <w:rPr>
          <w:rFonts w:eastAsia="Times New Roman" w:cstheme="minorHAnsi"/>
          <w:color w:val="000000"/>
          <w:lang w:eastAsia="en-GB"/>
        </w:rPr>
        <w:fldChar w:fldCharType="end"/>
      </w:r>
      <w:r w:rsidR="00743B46" w:rsidRPr="009B3747">
        <w:rPr>
          <w:rFonts w:eastAsia="Times New Roman" w:cstheme="minorHAnsi"/>
          <w:color w:val="000000"/>
          <w:lang w:eastAsia="en-GB"/>
        </w:rPr>
        <w:t>.</w:t>
      </w: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lastRenderedPageBreak/>
        <w:t>Surveys are generally regar</w:t>
      </w:r>
      <w:r w:rsidR="00E3179E" w:rsidRPr="009B3747">
        <w:rPr>
          <w:rFonts w:eastAsia="Times New Roman" w:cstheme="minorHAnsi"/>
          <w:color w:val="000000"/>
          <w:lang w:eastAsia="en-GB"/>
        </w:rPr>
        <w:t xml:space="preserve">ded as being </w:t>
      </w:r>
      <w:r w:rsidR="00E3179E" w:rsidRPr="009B3747">
        <w:rPr>
          <w:rFonts w:eastAsia="Times New Roman" w:cstheme="minorHAnsi"/>
          <w:i/>
          <w:color w:val="000000"/>
          <w:lang w:eastAsia="en-GB"/>
        </w:rPr>
        <w:t>“</w:t>
      </w:r>
      <w:r w:rsidRPr="009B3747">
        <w:rPr>
          <w:rFonts w:eastAsia="Times New Roman" w:cstheme="minorHAnsi"/>
          <w:i/>
          <w:color w:val="000000"/>
          <w:lang w:eastAsia="en-GB"/>
        </w:rPr>
        <w:t>inherentl</w:t>
      </w:r>
      <w:r w:rsidR="00E3179E" w:rsidRPr="009B3747">
        <w:rPr>
          <w:rFonts w:eastAsia="Times New Roman" w:cstheme="minorHAnsi"/>
          <w:i/>
          <w:color w:val="000000"/>
          <w:lang w:eastAsia="en-GB"/>
        </w:rPr>
        <w:t>y quantitative and positivistic”</w:t>
      </w:r>
      <w:r w:rsidRPr="009B3747">
        <w:rPr>
          <w:rFonts w:eastAsia="Times New Roman" w:cstheme="minorHAnsi"/>
          <w:color w:val="000000"/>
          <w:lang w:eastAsia="en-GB"/>
        </w:rPr>
        <w:t xml:space="preserve"> in nature (DeVaus, 2002, p</w:t>
      </w:r>
      <w:r w:rsidR="00E3179E" w:rsidRPr="009B3747">
        <w:rPr>
          <w:rFonts w:eastAsia="Times New Roman" w:cstheme="minorHAnsi"/>
          <w:color w:val="000000"/>
          <w:lang w:eastAsia="en-GB"/>
        </w:rPr>
        <w:t>.</w:t>
      </w:r>
      <w:r w:rsidRPr="009B3747">
        <w:rPr>
          <w:rFonts w:eastAsia="Times New Roman" w:cstheme="minorHAnsi"/>
          <w:color w:val="000000"/>
          <w:lang w:eastAsia="en-GB"/>
        </w:rPr>
        <w:t>5)</w:t>
      </w:r>
      <w:r w:rsidR="00DB2C7A">
        <w:rPr>
          <w:rFonts w:eastAsia="Times New Roman" w:cstheme="minorHAnsi"/>
          <w:color w:val="000000"/>
          <w:lang w:eastAsia="en-GB"/>
        </w:rPr>
        <w:t>,</w:t>
      </w:r>
      <w:r w:rsidRPr="009B3747">
        <w:rPr>
          <w:rFonts w:eastAsia="Times New Roman" w:cstheme="minorHAnsi"/>
          <w:color w:val="000000"/>
          <w:lang w:eastAsia="en-GB"/>
        </w:rPr>
        <w:t xml:space="preserve"> and their purpose can be broadly characterised as either ‘descriptive’ or ‘analytical’ (Bowling, 2014).  Descriptive surveys are typically designed to describe and measure certain phenomena (i.e. knowledge, attitudes, behaviour, beliefs), whilst analytical surveys aim to investigate causal assoc</w:t>
      </w:r>
      <w:r w:rsidR="000E6978">
        <w:rPr>
          <w:rFonts w:eastAsia="Times New Roman" w:cstheme="minorHAnsi"/>
          <w:color w:val="000000"/>
          <w:lang w:eastAsia="en-GB"/>
        </w:rPr>
        <w:t xml:space="preserve">iations between variables, </w:t>
      </w:r>
      <w:r w:rsidRPr="009B3747">
        <w:rPr>
          <w:rFonts w:eastAsia="Times New Roman" w:cstheme="minorHAnsi"/>
          <w:color w:val="000000"/>
          <w:lang w:eastAsia="en-GB"/>
        </w:rPr>
        <w:t>within a population of interest</w:t>
      </w:r>
      <w:r w:rsidR="00743B46" w:rsidRPr="009B3747">
        <w:rPr>
          <w:rFonts w:eastAsia="Times New Roman" w:cstheme="minorHAnsi"/>
          <w:color w:val="000000"/>
          <w:lang w:eastAsia="en-GB"/>
        </w:rPr>
        <w:t xml:space="preserve"> </w:t>
      </w:r>
      <w:r w:rsidR="00743B46"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"ISBN" : "0826451764", "abstract" : "New ed. Revised edition of: Questionnaire design and attitude measurement. [1966]. Introduction to survey design -- Analytic survey designs -- Descriptive survey designs -- Pilot work -- The exploratory interview -- Standardized interviews -- Questionnaire planning -- Question wording -- Some basic measurement theory -- Designing attitude statements -- Attitude scaling -- Projective techniques in attitude study -- Varieties and applications -- Data processing -- Statistical analysis.", "author" : [ { "dropping-particle" : "", "family" : "Oppenheim", "given" : "A.N", "non-dropping-particle" : "", "parse-names" : false, "suffix" : "" } ], "edition" : "2nd", "id" : "ITEM-1", "issued" : { "date-parts" : [ [ "1992" ] ] }, "number-of-pages" : "303", "publisher" : "Bloomsbury Publishing", "publisher-place" : "London", "title" : "Questionnaire design, interviewing, and attitude measurement", "type" : "book" }, "uris" : [ "http://www.mendeley.com/documents/?uuid=bc77daf9-c89b-3fbd-a84d-75df654379f8" ] }, { "id" : "ITEM-2", "itemData" : { "ISBN" : "0335218350", "abstract" : "Public health problems are increasingly those of human behaviour: encouraging healthier lifestyles, understanding social determinants of health, and barriers to effective public policies, including health care policies. This book introduces some of the principles of social research as applied to public health. It is aimed at those with some understanding of health and health care but little exposure to social research. It introduces some of the social science disciplines that have turned their attention to health and health care such as medical sociology, psychology and anthropology.", "author" : [ { "dropping-particle" : "", "family" : "Green", "given" : "Judith", "non-dropping-particle" : "", "parse-names" : false, "suffix" : "" }, { "dropping-particle" : "", "family" : "Browne", "given" : "John", "non-dropping-particle" : "", "parse-names" : false, "suffix" : "" } ], "id" : "ITEM-2", "issued" : { "date-parts" : [ [ "2005" ] ] }, "number-of-pages" : "172", "publisher" : "Open University Press/McGraw-Hill", "publisher-place" : "Maidenhead", "title" : "Principles of social research", "type" : "book" }, "uris" : [ "http://www.mendeley.com/documents/?uuid=61660c2e-9149-3081-bc1a-7c52aa698852" ] }, { "id" : "ITEM-3", "itemData" : { "author" : [ { "dropping-particle" : "", "family" : "Bowling", "given" : "A", "non-dropping-particle" : "", "parse-names" : false, "suffix" : "" } ], "edition" : "4th", "id" : "ITEM-3", "issued" : { "date-parts" : [ [ "2014" ] ] }, "publisher" : "Open University Press", "publisher-place" : "Maidenhead, UK", "title" : "Research methods in health: investigating health and health services", "type" : "book" }, "uris" : [ "http://www.mendeley.com/documents/?uuid=50092966-af1d-4766-bf38-8a55db776f74" ] } ], "mendeley" : { "formattedCitation" : "(Oppenheim, 1992; Green and Browne, 2005; Bowling, 2014)", "plainTextFormattedCitation" : "(Oppenheim, 1992; Green and Browne, 2005; Bowling, 2014)", "previouslyFormattedCitation" : "(Oppenheim, 1992; Green and Browne, 2005; Bowling, 2014)" }, "properties" : { "noteIndex" : 0 }, "schema" : "https://github.com/citation-style-language/schema/raw/master/csl-citation.json" }</w:instrText>
      </w:r>
      <w:r w:rsidR="00743B46" w:rsidRPr="009B3747">
        <w:rPr>
          <w:rFonts w:eastAsia="Times New Roman" w:cstheme="minorHAnsi"/>
          <w:color w:val="000000"/>
          <w:lang w:eastAsia="en-GB"/>
        </w:rPr>
        <w:fldChar w:fldCharType="separate"/>
      </w:r>
      <w:r w:rsidR="003D3987" w:rsidRPr="009B3747">
        <w:rPr>
          <w:rFonts w:eastAsia="Times New Roman" w:cstheme="minorHAnsi"/>
          <w:noProof/>
          <w:color w:val="000000"/>
          <w:lang w:eastAsia="en-GB"/>
        </w:rPr>
        <w:t>(Oppenheim, 1992; Green and Browne, 2005; Bowling, 2014)</w:t>
      </w:r>
      <w:r w:rsidR="00743B46" w:rsidRPr="009B3747">
        <w:rPr>
          <w:rFonts w:eastAsia="Times New Roman" w:cstheme="minorHAnsi"/>
          <w:color w:val="000000"/>
          <w:lang w:eastAsia="en-GB"/>
        </w:rPr>
        <w:fldChar w:fldCharType="end"/>
      </w:r>
      <w:r w:rsidR="00743B46" w:rsidRPr="009B3747">
        <w:rPr>
          <w:rFonts w:eastAsia="Times New Roman" w:cstheme="minorHAnsi"/>
          <w:color w:val="000000"/>
          <w:lang w:eastAsia="en-GB"/>
        </w:rPr>
        <w:t xml:space="preserve">.  </w:t>
      </w:r>
      <w:r w:rsidRPr="009B3747">
        <w:rPr>
          <w:rFonts w:eastAsia="Times New Roman" w:cstheme="minorHAnsi"/>
          <w:color w:val="000000"/>
          <w:lang w:eastAsia="en-GB"/>
        </w:rPr>
        <w:t>Furthermore, surveys can be defined as cross-sectional (a type of descriptive survey), in which data is collected at one point in time</w:t>
      </w:r>
      <w:r w:rsidR="003D3987" w:rsidRPr="009B3747">
        <w:rPr>
          <w:rFonts w:eastAsia="Times New Roman" w:cstheme="minorHAnsi"/>
          <w:color w:val="000000"/>
          <w:lang w:eastAsia="en-GB"/>
        </w:rPr>
        <w:t xml:space="preserve"> </w:t>
      </w:r>
      <w:r w:rsidR="003D3987"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"ISBN" : "1412965578", "abstract" : "3rd ed. The third edition of the bestselling text Research Design by John W. Creswell enables readers to compare three approaches to research-qualitative, quantitative, and mixed methods-in a single research methods text. The book presents these three approaches side by side within the context of the process of research from the beginning steps of philosophical assumptions to the writing and presenting of research. Written in a user-friendly manner, Creswell's text does not rely on technical jargon. He cuts to the core of what a reader needs to know to read and design research in part by showcasing ideas in a scaffold approach so that the reader understands ideas from the simple to the complex. Key updates to the Third Edition: Presents the preliminary steps of using philosophical assumptions in the beginning of the book; Provides an expanded discussion on ethical issues; Emphasizes new Web-based technologies for literature searches; Offers updated information about mixed methods research procedures; Contains a glossary of terms; Highlights \"research tips\" throughout the chapters incorporating the author's experiences over the last 35 years. pt. 1. Preliminary considerations -- The selection of a research design -- Review of the literature -- The use of theory -- Writing strategies and ethical considerations -- pt. 2. Designing research -- The introduction -- The purpose statement -- Research questions and hypotheses -- Quantitative methods -- Qualitative procedures -- Mixed methods procedures.", "author" : [ { "dropping-particle" : "", "family" : "Creswell", "given" : "John W.", "non-dropping-particle" : "", "parse-names" : false, "suffix" : "" } ], "edition" : "3rd", "id" : "ITEM-1", "issued" : { "date-parts" : [ [ "2009" ] ] }, "number-of-pages" : "260", "publisher" : "SAGE Publications, Inc.", "publisher-place" : "Thousand Oaks", "title" : "Research design : qualitative, quantitative, and mixed methods approaches", "type" : "book" }, "uris" : [ "http://www.mendeley.com/documents/?uuid=ab4352f9-1c08-3048-970e-bce182205efc" ] } ], "mendeley" : { "formattedCitation" : "(Creswell, 2009b)", "plainTextFormattedCitation" : "(Creswell, 2009b)", "previouslyFormattedCitation" : "(Creswell, 2009b)" }, "properties" : { "noteIndex" : 0 }, "schema" : "https://github.com/citation-style-language/schema/raw/master/csl-citation.json" }</w:instrText>
      </w:r>
      <w:r w:rsidR="003D3987" w:rsidRPr="009B3747">
        <w:rPr>
          <w:rFonts w:eastAsia="Times New Roman" w:cstheme="minorHAnsi"/>
          <w:color w:val="000000"/>
          <w:lang w:eastAsia="en-GB"/>
        </w:rPr>
        <w:fldChar w:fldCharType="separate"/>
      </w:r>
      <w:r w:rsidR="0047189B" w:rsidRPr="009B3747">
        <w:rPr>
          <w:rFonts w:eastAsia="Times New Roman" w:cstheme="minorHAnsi"/>
          <w:noProof/>
          <w:color w:val="000000"/>
          <w:lang w:eastAsia="en-GB"/>
        </w:rPr>
        <w:t>(Creswell, 2009b)</w:t>
      </w:r>
      <w:r w:rsidR="003D3987" w:rsidRPr="009B3747">
        <w:rPr>
          <w:rFonts w:eastAsia="Times New Roman" w:cstheme="minorHAnsi"/>
          <w:color w:val="000000"/>
          <w:lang w:eastAsia="en-GB"/>
        </w:rPr>
        <w:fldChar w:fldCharType="end"/>
      </w:r>
      <w:r w:rsidRPr="009B3747">
        <w:rPr>
          <w:rFonts w:eastAsia="Times New Roman" w:cstheme="minorHAnsi"/>
          <w:color w:val="000000"/>
          <w:lang w:eastAsia="en-GB"/>
        </w:rPr>
        <w:t>, or longitudina</w:t>
      </w:r>
      <w:r w:rsidR="000E6978">
        <w:rPr>
          <w:rFonts w:eastAsia="Times New Roman" w:cstheme="minorHAnsi"/>
          <w:color w:val="000000"/>
          <w:lang w:eastAsia="en-GB"/>
        </w:rPr>
        <w:t xml:space="preserve">l (a type of analytical survey), </w:t>
      </w:r>
      <w:r w:rsidRPr="009B3747">
        <w:rPr>
          <w:rFonts w:eastAsia="Times New Roman" w:cstheme="minorHAnsi"/>
          <w:color w:val="000000"/>
          <w:lang w:eastAsia="en-GB"/>
        </w:rPr>
        <w:t>in which research data is collected over a period of time on multiple occasions from the same sample in a population of interest</w:t>
      </w:r>
      <w:r w:rsidR="003D3987" w:rsidRPr="009B3747">
        <w:rPr>
          <w:rFonts w:eastAsia="Times New Roman" w:cstheme="minorHAnsi"/>
          <w:color w:val="000000"/>
          <w:lang w:eastAsia="en-GB"/>
        </w:rPr>
        <w:t xml:space="preserve"> </w:t>
      </w:r>
      <w:r w:rsidR="003D3987" w:rsidRPr="009B3747">
        <w:rPr>
          <w:rFonts w:eastAsia="Times New Roman" w:cstheme="minorHAnsi"/>
          <w:color w:val="000000"/>
          <w:lang w:eastAsia="en-GB"/>
        </w:rPr>
        <w:fldChar w:fldCharType="begin" w:fldLock="1"/>
      </w:r>
      <w:r w:rsidR="007A1555" w:rsidRPr="009B3747">
        <w:rPr>
          <w:rFonts w:eastAsia="Times New Roman" w:cstheme="minorHAnsi"/>
          <w:color w:val="000000"/>
          <w:lang w:eastAsia="en-GB"/>
        </w:rPr>
        <w:instrText>ADDIN CSL_CITATION { "citationItems" : [ { "id" : "ITEM-1", "itemData" : { "author" : [ { "dropping-particle" : "", "family" : "Bowling", "given" : "A", "non-dropping-particle" : "", "parse-names" : false, "suffix" : "" } ], "edition" : "4th", "id" : "ITEM-1", "issued" : { "date-parts" : [ [ "2014" ] ] }, "publisher" : "Open University Press", "publisher-place" : "Maidenhead, UK", "title" : "Research methods in health: investigating health and health services", "type" : "book" }, "uris" : [ "http://www.mendeley.com/documents/?uuid=50092966-af1d-4766-bf38-8a55db776f74" ] } ], "mendeley" : { "formattedCitation" : "(Bowling, 2014)", "plainTextFormattedCitation" : "(Bowling, 2014)", "previouslyFormattedCitation" : "(Bowling, 2014)" }, "properties" : { "noteIndex" : 0 }, "schema" : "https://github.com/citation-style-language/schema/raw/master/csl-citation.json" }</w:instrText>
      </w:r>
      <w:r w:rsidR="003D3987" w:rsidRPr="009B3747">
        <w:rPr>
          <w:rFonts w:eastAsia="Times New Roman" w:cstheme="minorHAnsi"/>
          <w:color w:val="000000"/>
          <w:lang w:eastAsia="en-GB"/>
        </w:rPr>
        <w:fldChar w:fldCharType="separate"/>
      </w:r>
      <w:r w:rsidR="009C2ECF" w:rsidRPr="009B3747">
        <w:rPr>
          <w:rFonts w:eastAsia="Times New Roman" w:cstheme="minorHAnsi"/>
          <w:noProof/>
          <w:color w:val="000000"/>
          <w:lang w:eastAsia="en-GB"/>
        </w:rPr>
        <w:t>(Bowling, 2014)</w:t>
      </w:r>
      <w:r w:rsidR="003D3987" w:rsidRPr="009B3747">
        <w:rPr>
          <w:rFonts w:eastAsia="Times New Roman" w:cstheme="minorHAnsi"/>
          <w:color w:val="000000"/>
          <w:lang w:eastAsia="en-GB"/>
        </w:rPr>
        <w:fldChar w:fldCharType="end"/>
      </w:r>
      <w:r w:rsidR="003D3987" w:rsidRPr="009B3747">
        <w:rPr>
          <w:rFonts w:eastAsia="Times New Roman" w:cstheme="minorHAnsi"/>
          <w:color w:val="000000"/>
          <w:lang w:eastAsia="en-GB"/>
        </w:rPr>
        <w:t>.</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t xml:space="preserve">Having reflected upon the previously stated aim and objectives for this phase of the research, the decision was made to undertake a descriptive </w:t>
      </w:r>
      <w:r w:rsidR="000E6978">
        <w:rPr>
          <w:rFonts w:eastAsia="Times New Roman" w:cstheme="minorHAnsi"/>
          <w:color w:val="000000"/>
          <w:lang w:eastAsia="en-GB"/>
        </w:rPr>
        <w:t>cross-sectional survey</w:t>
      </w:r>
      <w:r w:rsidRPr="009B3747">
        <w:rPr>
          <w:rFonts w:eastAsia="Times New Roman" w:cstheme="minorHAnsi"/>
          <w:color w:val="000000"/>
          <w:lang w:eastAsia="en-GB"/>
        </w:rPr>
        <w:t>.  The use of an analytical survey including longitudinal</w:t>
      </w:r>
      <w:r w:rsidR="000E6978">
        <w:rPr>
          <w:rFonts w:eastAsia="Times New Roman" w:cstheme="minorHAnsi"/>
          <w:color w:val="000000"/>
          <w:lang w:eastAsia="en-GB"/>
        </w:rPr>
        <w:t>,</w:t>
      </w:r>
      <w:r w:rsidRPr="009B3747">
        <w:rPr>
          <w:rFonts w:eastAsia="Times New Roman" w:cstheme="minorHAnsi"/>
          <w:color w:val="000000"/>
          <w:lang w:eastAsia="en-GB"/>
        </w:rPr>
        <w:t xml:space="preserve"> was discounted on the basis that the researcher was not aiming to investigate cause and effect relationships between variables under study or measure trends in attitudes or opinions over time.  The aim of the survey was to provide additional evidence within a mixed method study</w:t>
      </w:r>
      <w:r w:rsidR="000E6978">
        <w:rPr>
          <w:rFonts w:eastAsia="Times New Roman" w:cstheme="minorHAnsi"/>
          <w:color w:val="000000"/>
          <w:lang w:eastAsia="en-GB"/>
        </w:rPr>
        <w:t>,</w:t>
      </w:r>
      <w:r w:rsidRPr="009B3747">
        <w:rPr>
          <w:rFonts w:eastAsia="Times New Roman" w:cstheme="minorHAnsi"/>
          <w:color w:val="000000"/>
          <w:lang w:eastAsia="en-GB"/>
        </w:rPr>
        <w:t xml:space="preserve"> which could support the generality of the core qualitative findings obtained in the first phase.  Consequently, the researcher was interested in investigating and describing the phenomenon of interest (headteacher</w:t>
      </w:r>
      <w:r w:rsidR="003D3987" w:rsidRPr="009B3747">
        <w:rPr>
          <w:rFonts w:eastAsia="Times New Roman" w:cstheme="minorHAnsi"/>
          <w:color w:val="000000"/>
          <w:lang w:eastAsia="en-GB"/>
        </w:rPr>
        <w:t>s’</w:t>
      </w:r>
      <w:r w:rsidRPr="009B3747">
        <w:rPr>
          <w:rFonts w:eastAsia="Times New Roman" w:cstheme="minorHAnsi"/>
          <w:color w:val="000000"/>
          <w:lang w:eastAsia="en-GB"/>
        </w:rPr>
        <w:t xml:space="preserve"> and chair of governors</w:t>
      </w:r>
      <w:r w:rsidR="003D3987" w:rsidRPr="009B3747">
        <w:rPr>
          <w:rFonts w:eastAsia="Times New Roman" w:cstheme="minorHAnsi"/>
          <w:color w:val="000000"/>
          <w:lang w:eastAsia="en-GB"/>
        </w:rPr>
        <w:t>’</w:t>
      </w:r>
      <w:r w:rsidRPr="009B3747">
        <w:rPr>
          <w:rFonts w:eastAsia="Times New Roman" w:cstheme="minorHAnsi"/>
          <w:color w:val="000000"/>
          <w:lang w:eastAsia="en-GB"/>
        </w:rPr>
        <w:t xml:space="preserve"> attitudes related to adolescent obesity and its prevention in </w:t>
      </w:r>
      <w:r w:rsidR="00371430" w:rsidRPr="009B3747">
        <w:rPr>
          <w:rFonts w:eastAsia="Times New Roman" w:cstheme="minorHAnsi"/>
          <w:color w:val="000000"/>
          <w:lang w:eastAsia="en-GB"/>
        </w:rPr>
        <w:t xml:space="preserve">English </w:t>
      </w:r>
      <w:r w:rsidRPr="009B3747">
        <w:rPr>
          <w:rFonts w:eastAsia="Times New Roman" w:cstheme="minorHAnsi"/>
          <w:color w:val="000000"/>
          <w:lang w:eastAsia="en-GB"/>
        </w:rPr>
        <w:t>secondary schools) at one point in time.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CB18A0" w:rsidP="00991D2F">
      <w:pPr>
        <w:rPr>
          <w:rFonts w:eastAsia="Times New Roman" w:cstheme="minorHAnsi"/>
          <w:sz w:val="24"/>
          <w:szCs w:val="24"/>
          <w:lang w:eastAsia="en-GB"/>
        </w:rPr>
      </w:pPr>
      <w:r w:rsidRPr="009B3747">
        <w:rPr>
          <w:rFonts w:eastAsia="Times New Roman" w:cstheme="minorHAnsi"/>
          <w:color w:val="000000"/>
          <w:u w:val="single"/>
          <w:lang w:eastAsia="en-GB"/>
        </w:rPr>
        <w:t>7.3</w:t>
      </w:r>
      <w:r w:rsidR="00827CCD" w:rsidRPr="009B3747">
        <w:rPr>
          <w:rFonts w:eastAsia="Times New Roman" w:cstheme="minorHAnsi"/>
          <w:color w:val="000000"/>
          <w:u w:val="single"/>
          <w:lang w:eastAsia="en-GB"/>
        </w:rPr>
        <w:t xml:space="preserve">.1 </w:t>
      </w:r>
      <w:r w:rsidR="00991D2F" w:rsidRPr="009B3747">
        <w:rPr>
          <w:rFonts w:eastAsia="Times New Roman" w:cstheme="minorHAnsi"/>
          <w:color w:val="000000"/>
          <w:u w:val="single"/>
          <w:lang w:eastAsia="en-GB"/>
        </w:rPr>
        <w:t>Techniques to collect survey data</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rPr>
          <w:rFonts w:eastAsia="Times New Roman" w:cstheme="minorHAnsi"/>
          <w:color w:val="000000"/>
          <w:lang w:eastAsia="en-GB"/>
        </w:rPr>
      </w:pPr>
      <w:r w:rsidRPr="009B3747">
        <w:rPr>
          <w:rFonts w:eastAsia="Times New Roman" w:cstheme="minorHAnsi"/>
          <w:color w:val="000000"/>
          <w:lang w:eastAsia="en-GB"/>
        </w:rPr>
        <w:t>An essential activity when co</w:t>
      </w:r>
      <w:r w:rsidR="000E6978">
        <w:rPr>
          <w:rFonts w:eastAsia="Times New Roman" w:cstheme="minorHAnsi"/>
          <w:color w:val="000000"/>
          <w:lang w:eastAsia="en-GB"/>
        </w:rPr>
        <w:t xml:space="preserve">nducting surveys is determining, </w:t>
      </w:r>
      <w:r w:rsidRPr="009B3747">
        <w:rPr>
          <w:rFonts w:eastAsia="Times New Roman" w:cstheme="minorHAnsi"/>
          <w:color w:val="000000"/>
          <w:lang w:eastAsia="en-GB"/>
        </w:rPr>
        <w:t>which research technique or instrument will be utilised to obtain survey data (Oppenheim, 1992).  </w:t>
      </w:r>
      <w:r w:rsidR="003D3987"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"ISBN" : "9780761925804", "abstract" : "2nd ed. Vol. 1. The survey handbook / Arlene Fink -- v. 2. How to ask survey questions / Arlene Fink -- v. 3. How to conduct self-administered and mail surveys / Linda B. Bourque, Eve P. Fielder -- v. 4. How to conduct telephone surveys / Linda Bourque, Eve P. Fielder -- v. 5. How to conduct in-person interviews for surveys / Sabrine Mertens Oishi -- v. 6. How to design survey studies / Arlene Fink -- v. 7. How to sample in surveys / Arlene Fink -- v. 8. How to assess and interpret survey psychometrics / Mark S. Litwin -- v. 9. How to manage, analyze, and interpret survey data / Arlene Fink -- v. 10. How to report on surveys / Arlene Fink.", "author" : [ { "dropping-particle" : "", "family" : "Fink", "given" : "Arlene.", "non-dropping-particle" : "", "parse-names" : false, "suffix" : "" } ], "edition" : "2nd", "id" : "ITEM-1", "issued" : { "date-parts" : [ [ "2003" ] ] }, "number-of-pages" : "434", "publisher" : "SAGE Publications Inc.", "publisher-place" : "Thousand Oaks", "title" : "The survey kit.", "type" : "book" }, "uris" : [ "http://www.mendeley.com/documents/?uuid=87799052-24ba-3c00-b768-67f8f9460313" ] } ], "mendeley" : { "formattedCitation" : "(Fink, 2003)", "manualFormatting" : "Fink, (2003)", "plainTextFormattedCitation" : "(Fink, 2003)", "previouslyFormattedCitation" : "(Fink, 2003)" }, "properties" : { "noteIndex" : 0 }, "schema" : "https://github.com/citation-style-language/schema/raw/master/csl-citation.json" }</w:instrText>
      </w:r>
      <w:r w:rsidR="003D3987" w:rsidRPr="009B3747">
        <w:rPr>
          <w:rFonts w:eastAsia="Times New Roman" w:cstheme="minorHAnsi"/>
          <w:color w:val="000000"/>
          <w:lang w:eastAsia="en-GB"/>
        </w:rPr>
        <w:fldChar w:fldCharType="separate"/>
      </w:r>
      <w:r w:rsidR="003D3987" w:rsidRPr="009B3747">
        <w:rPr>
          <w:rFonts w:eastAsia="Times New Roman" w:cstheme="minorHAnsi"/>
          <w:noProof/>
          <w:color w:val="000000"/>
          <w:lang w:eastAsia="en-GB"/>
        </w:rPr>
        <w:t>Fink, (2003)</w:t>
      </w:r>
      <w:r w:rsidR="003D3987"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proposed that there are four types of survey instrument</w:t>
      </w:r>
      <w:r w:rsidR="009025E2">
        <w:rPr>
          <w:rFonts w:eastAsia="Times New Roman" w:cstheme="minorHAnsi"/>
          <w:color w:val="000000"/>
          <w:lang w:eastAsia="en-GB"/>
        </w:rPr>
        <w:t>,</w:t>
      </w:r>
      <w:r w:rsidRPr="009B3747">
        <w:rPr>
          <w:rFonts w:eastAsia="Times New Roman" w:cstheme="minorHAnsi"/>
          <w:color w:val="000000"/>
          <w:lang w:eastAsia="en-GB"/>
        </w:rPr>
        <w:t xml:space="preserve"> which can be</w:t>
      </w:r>
      <w:r w:rsidR="00787223" w:rsidRPr="009B3747">
        <w:rPr>
          <w:rFonts w:eastAsia="Times New Roman" w:cstheme="minorHAnsi"/>
          <w:color w:val="000000"/>
          <w:lang w:eastAsia="en-GB"/>
        </w:rPr>
        <w:t xml:space="preserve"> employed for data collection: </w:t>
      </w:r>
      <w:r w:rsidRPr="009B3747">
        <w:rPr>
          <w:rFonts w:eastAsia="Times New Roman" w:cstheme="minorHAnsi"/>
          <w:color w:val="000000"/>
          <w:lang w:eastAsia="en-GB"/>
        </w:rPr>
        <w:t>self-administered questionnaire, interview, structured record review and structured observation, with questionnaires argued to be most common research technique (DeVaus, 2002).  The term questionnaire relates specifically to a highly structured set of questions</w:t>
      </w:r>
      <w:r w:rsidR="000E6978">
        <w:rPr>
          <w:rFonts w:eastAsia="Times New Roman" w:cstheme="minorHAnsi"/>
          <w:color w:val="000000"/>
          <w:lang w:eastAsia="en-GB"/>
        </w:rPr>
        <w:t>,</w:t>
      </w:r>
      <w:r w:rsidRPr="009B3747">
        <w:rPr>
          <w:rFonts w:eastAsia="Times New Roman" w:cstheme="minorHAnsi"/>
          <w:color w:val="000000"/>
          <w:lang w:eastAsia="en-GB"/>
        </w:rPr>
        <w:t xml:space="preserve"> utilised to obtain informat</w:t>
      </w:r>
      <w:r w:rsidR="003D3987" w:rsidRPr="009B3747">
        <w:rPr>
          <w:rFonts w:eastAsia="Times New Roman" w:cstheme="minorHAnsi"/>
          <w:color w:val="000000"/>
          <w:lang w:eastAsia="en-GB"/>
        </w:rPr>
        <w:t xml:space="preserve">ion </w:t>
      </w:r>
      <w:r w:rsidR="003D3987"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"ISBN" : "1858890330", "abstract" : "At head of title page : ITTI.", "author" : [ { "dropping-particle" : "", "family" : "Wilson", "given" : "Noel.", "non-dropping-particle" : "", "parse-names" : false, "suffix" : "" }, { "dropping-particle" : "", "family" : "McClean", "given" : "S. I. (Sally I.)", "non-dropping-particle" : "", "parse-names" : false, "suffix" : "" }, { "dropping-particle" : "", "family" : "Information Technology Training Initiative.", "given" : "", "non-dropping-particle" : "", "parse-names" : false, "suffix" : "" } ], "id" : "ITEM-1", "issued" : { "date-parts" : [ [ "1994" ] ] }, "number-of-pages" : "87", "publisher" : "University of Ulster", "publisher-place" : "Newtown Abbey", "title" : "Questionnaire design : a practical introduction", "type" : "book" }, "uris" : [ "http://www.mendeley.com/documents/?uuid=8226c415-c281-32b4-b6f1-e96d0a84ff7a" ] } ], "mendeley" : { "formattedCitation" : "(Wilson et al., 1994)", "plainTextFormattedCitation" : "(Wilson et al., 1994)", "previouslyFormattedCitation" : "(Wilson et al., 1994)" }, "properties" : { "noteIndex" : 0 }, "schema" : "https://github.com/citation-style-language/schema/raw/master/csl-citation.json" }</w:instrText>
      </w:r>
      <w:r w:rsidR="003D3987" w:rsidRPr="009B3747">
        <w:rPr>
          <w:rFonts w:eastAsia="Times New Roman" w:cstheme="minorHAnsi"/>
          <w:color w:val="000000"/>
          <w:lang w:eastAsia="en-GB"/>
        </w:rPr>
        <w:fldChar w:fldCharType="separate"/>
      </w:r>
      <w:r w:rsidR="003D3987" w:rsidRPr="009B3747">
        <w:rPr>
          <w:rFonts w:eastAsia="Times New Roman" w:cstheme="minorHAnsi"/>
          <w:noProof/>
          <w:color w:val="000000"/>
          <w:lang w:eastAsia="en-GB"/>
        </w:rPr>
        <w:t>(Wilson et al., 1994)</w:t>
      </w:r>
      <w:r w:rsidR="003D3987" w:rsidRPr="009B3747">
        <w:rPr>
          <w:rFonts w:eastAsia="Times New Roman" w:cstheme="minorHAnsi"/>
          <w:color w:val="000000"/>
          <w:lang w:eastAsia="en-GB"/>
        </w:rPr>
        <w:fldChar w:fldCharType="end"/>
      </w:r>
      <w:r w:rsidR="000E6978">
        <w:rPr>
          <w:rFonts w:eastAsia="Times New Roman" w:cstheme="minorHAnsi"/>
          <w:color w:val="000000"/>
          <w:lang w:eastAsia="en-GB"/>
        </w:rPr>
        <w:t>.  Wh</w:t>
      </w:r>
      <w:r w:rsidRPr="009B3747">
        <w:rPr>
          <w:rFonts w:eastAsia="Times New Roman" w:cstheme="minorHAnsi"/>
          <w:color w:val="000000"/>
          <w:lang w:eastAsia="en-GB"/>
        </w:rPr>
        <w:t xml:space="preserve">ereas other types of survey instrument </w:t>
      </w:r>
      <w:r w:rsidR="007F3CF4">
        <w:rPr>
          <w:rFonts w:eastAsia="Times New Roman" w:cstheme="minorHAnsi"/>
          <w:color w:val="000000"/>
          <w:lang w:eastAsia="en-GB"/>
        </w:rPr>
        <w:t>(</w:t>
      </w:r>
      <w:r w:rsidRPr="009B3747">
        <w:rPr>
          <w:rFonts w:eastAsia="Times New Roman" w:cstheme="minorHAnsi"/>
          <w:color w:val="000000"/>
          <w:lang w:eastAsia="en-GB"/>
        </w:rPr>
        <w:t>i.e. interview or observation</w:t>
      </w:r>
      <w:r w:rsidR="007F3CF4">
        <w:rPr>
          <w:rFonts w:eastAsia="Times New Roman" w:cstheme="minorHAnsi"/>
          <w:color w:val="000000"/>
          <w:lang w:eastAsia="en-GB"/>
        </w:rPr>
        <w:t>)</w:t>
      </w:r>
      <w:r w:rsidRPr="009B3747">
        <w:rPr>
          <w:rFonts w:eastAsia="Times New Roman" w:cstheme="minorHAnsi"/>
          <w:color w:val="000000"/>
          <w:lang w:eastAsia="en-GB"/>
        </w:rPr>
        <w:t xml:space="preserve"> require the presence of a researcher, self-administered questionnaires enable respondents to</w:t>
      </w:r>
      <w:r w:rsidR="00787223" w:rsidRPr="009B3747">
        <w:rPr>
          <w:rFonts w:eastAsia="Times New Roman" w:cstheme="minorHAnsi"/>
          <w:color w:val="000000"/>
          <w:lang w:eastAsia="en-GB"/>
        </w:rPr>
        <w:t xml:space="preserve"> answer questions themselves.  </w:t>
      </w:r>
      <w:r w:rsidRPr="009B3747">
        <w:rPr>
          <w:rFonts w:eastAsia="Times New Roman" w:cstheme="minorHAnsi"/>
          <w:color w:val="000000"/>
          <w:lang w:eastAsia="en-GB"/>
        </w:rPr>
        <w:t>Self-administered questionnaires take a variety of forms most typically postal and online (Bryman, 2016), with new technological advances resulting in substantial growth of the latter i.e. through web, email and mobile formats (Sue and Ritter, 2007).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lastRenderedPageBreak/>
        <w:t>Despite the argument that online questionnaires result in lower response rates than postal questionnaires, they are deemed to be less resource intensive, provide better data accuracy and can be presented in attractive stylistic formats (Bryman, 2016).  In order to yield as many responses as possible, the intention was to distribute the data collection tool to the entire population under study</w:t>
      </w:r>
      <w:r w:rsidR="00B46C02">
        <w:rPr>
          <w:rFonts w:eastAsia="Times New Roman" w:cstheme="minorHAnsi"/>
          <w:color w:val="000000"/>
          <w:lang w:eastAsia="en-GB"/>
        </w:rPr>
        <w:t>,</w:t>
      </w:r>
      <w:r w:rsidRPr="009B3747">
        <w:rPr>
          <w:rFonts w:eastAsia="Times New Roman" w:cstheme="minorHAnsi"/>
          <w:color w:val="000000"/>
          <w:lang w:eastAsia="en-GB"/>
        </w:rPr>
        <w:t xml:space="preserve"> i.e. the census of approximately 4,650 secondary sc</w:t>
      </w:r>
      <w:r w:rsidR="003470FB" w:rsidRPr="009B3747">
        <w:rPr>
          <w:rFonts w:eastAsia="Times New Roman" w:cstheme="minorHAnsi"/>
          <w:color w:val="000000"/>
          <w:lang w:eastAsia="en-GB"/>
        </w:rPr>
        <w:t>h</w:t>
      </w:r>
      <w:r w:rsidR="00862852" w:rsidRPr="009B3747">
        <w:rPr>
          <w:rFonts w:eastAsia="Times New Roman" w:cstheme="minorHAnsi"/>
          <w:color w:val="000000"/>
          <w:lang w:eastAsia="en-GB"/>
        </w:rPr>
        <w:t>ools in England (see section 7.7</w:t>
      </w:r>
      <w:r w:rsidRPr="009B3747">
        <w:rPr>
          <w:rFonts w:eastAsia="Times New Roman" w:cstheme="minorHAnsi"/>
          <w:color w:val="000000"/>
          <w:lang w:eastAsia="en-GB"/>
        </w:rPr>
        <w:t xml:space="preserve">).  The researcher did explore the use </w:t>
      </w:r>
      <w:r w:rsidR="003470FB" w:rsidRPr="009B3747">
        <w:rPr>
          <w:rFonts w:eastAsia="Times New Roman" w:cstheme="minorHAnsi"/>
          <w:color w:val="000000"/>
          <w:lang w:eastAsia="en-GB"/>
        </w:rPr>
        <w:t xml:space="preserve">of </w:t>
      </w:r>
      <w:r w:rsidRPr="009B3747">
        <w:rPr>
          <w:rFonts w:eastAsia="Times New Roman" w:cstheme="minorHAnsi"/>
          <w:color w:val="000000"/>
          <w:lang w:eastAsia="en-GB"/>
        </w:rPr>
        <w:t>dis</w:t>
      </w:r>
      <w:r w:rsidR="00EB44DD">
        <w:rPr>
          <w:rFonts w:eastAsia="Times New Roman" w:cstheme="minorHAnsi"/>
          <w:color w:val="000000"/>
          <w:lang w:eastAsia="en-GB"/>
        </w:rPr>
        <w:t xml:space="preserve">tributing postal questionnaires, </w:t>
      </w:r>
      <w:r w:rsidRPr="009B3747">
        <w:rPr>
          <w:rFonts w:eastAsia="Times New Roman" w:cstheme="minorHAnsi"/>
          <w:color w:val="000000"/>
          <w:lang w:eastAsia="en-GB"/>
        </w:rPr>
        <w:t>but this was discounted due to the substantial cost implications (over £2500).   Consequently due to resource constraints an online (web-based) ques</w:t>
      </w:r>
      <w:r w:rsidR="000E6978">
        <w:rPr>
          <w:rFonts w:eastAsia="Times New Roman" w:cstheme="minorHAnsi"/>
          <w:color w:val="000000"/>
          <w:lang w:eastAsia="en-GB"/>
        </w:rPr>
        <w:t xml:space="preserve">tionnaire distributed via email, </w:t>
      </w:r>
      <w:r w:rsidRPr="009B3747">
        <w:rPr>
          <w:rFonts w:eastAsia="Times New Roman" w:cstheme="minorHAnsi"/>
          <w:color w:val="000000"/>
          <w:lang w:eastAsia="en-GB"/>
        </w:rPr>
        <w:t>was deemed to be the most pragmatic choi</w:t>
      </w:r>
      <w:r w:rsidR="003470FB" w:rsidRPr="009B3747">
        <w:rPr>
          <w:rFonts w:eastAsia="Times New Roman" w:cstheme="minorHAnsi"/>
          <w:color w:val="000000"/>
          <w:lang w:eastAsia="en-GB"/>
        </w:rPr>
        <w:t xml:space="preserve">ce.  The following sections </w:t>
      </w:r>
      <w:r w:rsidRPr="009B3747">
        <w:rPr>
          <w:rFonts w:eastAsia="Times New Roman" w:cstheme="minorHAnsi"/>
          <w:color w:val="000000"/>
          <w:lang w:eastAsia="en-GB"/>
        </w:rPr>
        <w:t>detail the specific methods employed to develop and distribute the online questionnaire.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CB18A0" w:rsidP="00991D2F">
      <w:pPr>
        <w:rPr>
          <w:rFonts w:eastAsia="Times New Roman" w:cstheme="minorHAnsi"/>
          <w:sz w:val="24"/>
          <w:szCs w:val="24"/>
          <w:lang w:eastAsia="en-GB"/>
        </w:rPr>
      </w:pPr>
      <w:r w:rsidRPr="009B3747">
        <w:rPr>
          <w:rFonts w:eastAsia="Times New Roman" w:cstheme="minorHAnsi"/>
          <w:color w:val="000000"/>
          <w:u w:val="single"/>
          <w:lang w:eastAsia="en-GB"/>
        </w:rPr>
        <w:t>7.3</w:t>
      </w:r>
      <w:r w:rsidR="00827CCD" w:rsidRPr="009B3747">
        <w:rPr>
          <w:rFonts w:eastAsia="Times New Roman" w:cstheme="minorHAnsi"/>
          <w:color w:val="000000"/>
          <w:u w:val="single"/>
          <w:lang w:eastAsia="en-GB"/>
        </w:rPr>
        <w:t xml:space="preserve">.2 </w:t>
      </w:r>
      <w:r w:rsidR="00991D2F" w:rsidRPr="009B3747">
        <w:rPr>
          <w:rFonts w:eastAsia="Times New Roman" w:cstheme="minorHAnsi"/>
          <w:color w:val="000000"/>
          <w:u w:val="single"/>
          <w:lang w:eastAsia="en-GB"/>
        </w:rPr>
        <w:t>Development of questionnaire content</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t>Op</w:t>
      </w:r>
      <w:r w:rsidR="00E3179E" w:rsidRPr="009B3747">
        <w:rPr>
          <w:rFonts w:eastAsia="Times New Roman" w:cstheme="minorHAnsi"/>
          <w:color w:val="000000"/>
          <w:lang w:eastAsia="en-GB"/>
        </w:rPr>
        <w:t>penheim (1992</w:t>
      </w:r>
      <w:r w:rsidR="003470FB" w:rsidRPr="009B3747">
        <w:rPr>
          <w:rFonts w:eastAsia="Times New Roman" w:cstheme="minorHAnsi"/>
          <w:color w:val="000000"/>
          <w:lang w:eastAsia="en-GB"/>
        </w:rPr>
        <w:t xml:space="preserve">) argues that the </w:t>
      </w:r>
      <w:r w:rsidR="003470FB" w:rsidRPr="009B3747">
        <w:rPr>
          <w:rFonts w:eastAsia="Times New Roman" w:cstheme="minorHAnsi"/>
          <w:i/>
          <w:color w:val="000000"/>
          <w:lang w:eastAsia="en-GB"/>
        </w:rPr>
        <w:t>“</w:t>
      </w:r>
      <w:r w:rsidRPr="009B3747">
        <w:rPr>
          <w:rFonts w:eastAsia="Times New Roman" w:cstheme="minorHAnsi"/>
          <w:i/>
          <w:color w:val="000000"/>
          <w:lang w:eastAsia="en-GB"/>
        </w:rPr>
        <w:t>formulation of any questionnaire to be used in a survey must be an integral pa</w:t>
      </w:r>
      <w:r w:rsidR="003470FB" w:rsidRPr="009B3747">
        <w:rPr>
          <w:rFonts w:eastAsia="Times New Roman" w:cstheme="minorHAnsi"/>
          <w:i/>
          <w:color w:val="000000"/>
          <w:lang w:eastAsia="en-GB"/>
        </w:rPr>
        <w:t>rt of the research design stage”</w:t>
      </w:r>
      <w:r w:rsidR="00E3179E" w:rsidRPr="009B3747">
        <w:rPr>
          <w:rFonts w:eastAsia="Times New Roman" w:cstheme="minorHAnsi"/>
          <w:color w:val="000000"/>
          <w:lang w:eastAsia="en-GB"/>
        </w:rPr>
        <w:t xml:space="preserve"> (p.10)</w:t>
      </w:r>
      <w:r w:rsidR="003470FB"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In regards to the formulation of </w:t>
      </w:r>
      <w:r w:rsidR="00371430" w:rsidRPr="009B3747">
        <w:rPr>
          <w:rFonts w:eastAsia="Times New Roman" w:cstheme="minorHAnsi"/>
          <w:color w:val="000000"/>
          <w:lang w:eastAsia="en-GB"/>
        </w:rPr>
        <w:t>its</w:t>
      </w:r>
      <w:r w:rsidRPr="009B3747">
        <w:rPr>
          <w:rFonts w:eastAsia="Times New Roman" w:cstheme="minorHAnsi"/>
          <w:color w:val="000000"/>
          <w:lang w:eastAsia="en-GB"/>
        </w:rPr>
        <w:t xml:space="preserve"> content,</w:t>
      </w:r>
      <w:r w:rsidR="003470FB" w:rsidRPr="009B3747">
        <w:rPr>
          <w:rFonts w:eastAsia="Times New Roman" w:cstheme="minorHAnsi"/>
          <w:color w:val="000000"/>
          <w:lang w:eastAsia="en-GB"/>
        </w:rPr>
        <w:t xml:space="preserve"> </w:t>
      </w:r>
      <w:r w:rsidR="003470FB"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"ISBN" : "0826447953", "abstract" : "The pros and cons of questionnaires -- Preparation -- Drafting the questions (and answers) -- Designing the questionnaire -- Getting them out and getting them back -- Displaying the results for analysis -- Content analysis of open questions -- Statistical analysis of closed questions -- Questionnaires as part of a multi-method approach -- Presenting your findings.", "author" : [ { "dropping-particle" : "", "family" : "Gillham", "given" : "Bill.", "non-dropping-particle" : "", "parse-names" : false, "suffix" : "" } ], "id" : "ITEM-1", "issued" : { "date-parts" : [ [ "2000" ] ] }, "number-of-pages" : "93", "publisher" : "Continuum", "publisher-place" : "London", "title" : "Developing a questionnaire", "type" : "book" }, "uris" : [ "http://www.mendeley.com/documents/?uuid=c6481a62-25f8-3992-87b7-b9b8c94a57a2" ] } ], "mendeley" : { "formattedCitation" : "(Gillham, 2000)", "manualFormatting" : "Gillham (2000)", "plainTextFormattedCitation" : "(Gillham, 2000)", "previouslyFormattedCitation" : "(Gillham, 2000)" }, "properties" : { "noteIndex" : 0 }, "schema" : "https://github.com/citation-style-language/schema/raw/master/csl-citation.json" }</w:instrText>
      </w:r>
      <w:r w:rsidR="003470FB" w:rsidRPr="009B3747">
        <w:rPr>
          <w:rFonts w:eastAsia="Times New Roman" w:cstheme="minorHAnsi"/>
          <w:color w:val="000000"/>
          <w:lang w:eastAsia="en-GB"/>
        </w:rPr>
        <w:fldChar w:fldCharType="separate"/>
      </w:r>
      <w:r w:rsidR="003470FB" w:rsidRPr="009B3747">
        <w:rPr>
          <w:rFonts w:eastAsia="Times New Roman" w:cstheme="minorHAnsi"/>
          <w:noProof/>
          <w:color w:val="000000"/>
          <w:lang w:eastAsia="en-GB"/>
        </w:rPr>
        <w:t>Gillham (2000)</w:t>
      </w:r>
      <w:r w:rsidR="003470FB" w:rsidRPr="009B3747">
        <w:rPr>
          <w:rFonts w:eastAsia="Times New Roman" w:cstheme="minorHAnsi"/>
          <w:color w:val="000000"/>
          <w:lang w:eastAsia="en-GB"/>
        </w:rPr>
        <w:fldChar w:fldCharType="end"/>
      </w:r>
      <w:r w:rsidR="003470FB" w:rsidRPr="009B3747">
        <w:rPr>
          <w:rFonts w:eastAsia="Times New Roman" w:cstheme="minorHAnsi"/>
          <w:color w:val="000000"/>
          <w:lang w:eastAsia="en-GB"/>
        </w:rPr>
        <w:t xml:space="preserve"> </w:t>
      </w:r>
      <w:r w:rsidRPr="009B3747">
        <w:rPr>
          <w:rFonts w:eastAsia="Times New Roman" w:cstheme="minorHAnsi"/>
          <w:color w:val="000000"/>
          <w:lang w:eastAsia="en-GB"/>
        </w:rPr>
        <w:t>proposes that topics or questions used within a questionnaire typica</w:t>
      </w:r>
      <w:r w:rsidR="00787223" w:rsidRPr="009B3747">
        <w:rPr>
          <w:rFonts w:eastAsia="Times New Roman" w:cstheme="minorHAnsi"/>
          <w:color w:val="000000"/>
          <w:lang w:eastAsia="en-GB"/>
        </w:rPr>
        <w:t>lly fall into three categories:</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C27072">
      <w:pPr>
        <w:numPr>
          <w:ilvl w:val="0"/>
          <w:numId w:val="42"/>
        </w:numPr>
        <w:textAlignment w:val="baseline"/>
        <w:rPr>
          <w:rFonts w:eastAsia="Times New Roman" w:cstheme="minorHAnsi"/>
          <w:color w:val="000000"/>
          <w:lang w:eastAsia="en-GB"/>
        </w:rPr>
      </w:pPr>
      <w:r w:rsidRPr="009B3747">
        <w:rPr>
          <w:rFonts w:eastAsia="Times New Roman" w:cstheme="minorHAnsi"/>
          <w:color w:val="000000"/>
          <w:lang w:eastAsia="en-GB"/>
        </w:rPr>
        <w:t>Questions of fact (i.e. demographics)</w:t>
      </w:r>
    </w:p>
    <w:p w:rsidR="00991D2F" w:rsidRPr="009B3747" w:rsidRDefault="00991D2F" w:rsidP="00C27072">
      <w:pPr>
        <w:numPr>
          <w:ilvl w:val="0"/>
          <w:numId w:val="42"/>
        </w:numPr>
        <w:textAlignment w:val="baseline"/>
        <w:rPr>
          <w:rFonts w:eastAsia="Times New Roman" w:cstheme="minorHAnsi"/>
          <w:color w:val="000000"/>
          <w:lang w:eastAsia="en-GB"/>
        </w:rPr>
      </w:pPr>
      <w:r w:rsidRPr="009B3747">
        <w:rPr>
          <w:rFonts w:eastAsia="Times New Roman" w:cstheme="minorHAnsi"/>
          <w:color w:val="000000"/>
          <w:lang w:eastAsia="en-GB"/>
        </w:rPr>
        <w:t>Questions about perspectives (i.e. opinions, beliefs, judgements or attitudes)</w:t>
      </w:r>
    </w:p>
    <w:p w:rsidR="00991D2F" w:rsidRPr="009B3747" w:rsidRDefault="00991D2F" w:rsidP="00C27072">
      <w:pPr>
        <w:numPr>
          <w:ilvl w:val="0"/>
          <w:numId w:val="42"/>
        </w:numPr>
        <w:textAlignment w:val="baseline"/>
        <w:rPr>
          <w:rFonts w:eastAsia="Times New Roman" w:cstheme="minorHAnsi"/>
          <w:color w:val="000000"/>
          <w:lang w:eastAsia="en-GB"/>
        </w:rPr>
      </w:pPr>
      <w:r w:rsidRPr="009B3747">
        <w:rPr>
          <w:rFonts w:eastAsia="Times New Roman" w:cstheme="minorHAnsi"/>
          <w:color w:val="000000"/>
          <w:lang w:eastAsia="en-GB"/>
        </w:rPr>
        <w:t>Questions about behaviour (i.e. what people do)</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t>Resulting from the reflective proc</w:t>
      </w:r>
      <w:r w:rsidR="000E6978">
        <w:rPr>
          <w:rFonts w:eastAsia="Times New Roman" w:cstheme="minorHAnsi"/>
          <w:color w:val="000000"/>
          <w:lang w:eastAsia="en-GB"/>
        </w:rPr>
        <w:t xml:space="preserve">ess, was the decision that the </w:t>
      </w:r>
      <w:r w:rsidRPr="009B3747">
        <w:rPr>
          <w:rFonts w:eastAsia="Times New Roman" w:cstheme="minorHAnsi"/>
          <w:color w:val="000000"/>
          <w:lang w:eastAsia="en-GB"/>
        </w:rPr>
        <w:t>data collection instrument would include questions of fact and questions about perspectives (i.e. opinions, beliefs, judgements or attitudes).  In relation to the former, it was deemed necessary for the questionnaire to include factual demographic questions (regarding both the participant and the school they were representing)</w:t>
      </w:r>
      <w:r w:rsidR="000E6978">
        <w:rPr>
          <w:rFonts w:eastAsia="Times New Roman" w:cstheme="minorHAnsi"/>
          <w:color w:val="000000"/>
          <w:lang w:eastAsia="en-GB"/>
        </w:rPr>
        <w:t>,</w:t>
      </w:r>
      <w:r w:rsidRPr="009B3747">
        <w:rPr>
          <w:rFonts w:eastAsia="Times New Roman" w:cstheme="minorHAnsi"/>
          <w:color w:val="000000"/>
          <w:lang w:eastAsia="en-GB"/>
        </w:rPr>
        <w:t xml:space="preserve"> in order to identify potential similarities or differences in perspectives based on specific variables of interest</w:t>
      </w:r>
      <w:r w:rsidR="004862DC">
        <w:rPr>
          <w:rFonts w:eastAsia="Times New Roman" w:cstheme="minorHAnsi"/>
          <w:color w:val="000000"/>
          <w:lang w:eastAsia="en-GB"/>
        </w:rPr>
        <w:t xml:space="preserve">, </w:t>
      </w:r>
      <w:r w:rsidRPr="009B3747">
        <w:rPr>
          <w:rFonts w:eastAsia="Times New Roman" w:cstheme="minorHAnsi"/>
          <w:color w:val="000000"/>
          <w:lang w:eastAsia="en-GB"/>
        </w:rPr>
        <w:t>e.g. participant role, gender, school type, free school meal percentage.  For the remainder</w:t>
      </w:r>
      <w:r w:rsidR="003470FB" w:rsidRPr="009B3747">
        <w:rPr>
          <w:rFonts w:eastAsia="Times New Roman" w:cstheme="minorHAnsi"/>
          <w:color w:val="000000"/>
          <w:lang w:eastAsia="en-GB"/>
        </w:rPr>
        <w:t>,</w:t>
      </w:r>
      <w:r w:rsidRPr="009B3747">
        <w:rPr>
          <w:rFonts w:eastAsia="Times New Roman" w:cstheme="minorHAnsi"/>
          <w:color w:val="000000"/>
          <w:lang w:eastAsia="en-GB"/>
        </w:rPr>
        <w:t xml:space="preserve"> and indeed majority of the questionnaire, it was decided that the focus would be on presenting an item pool of questions and statements about perspectives of the topic under study (i.e. adolescent obesity and its prevention in secondary school settings).  As previously and extensively discussed, the analysed qualitative findings would provide the basis for generating the pool of items for inclusion in the questionnaire.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CB18A0" w:rsidP="00991D2F">
      <w:pPr>
        <w:rPr>
          <w:rFonts w:eastAsia="Times New Roman" w:cstheme="minorHAnsi"/>
          <w:sz w:val="24"/>
          <w:szCs w:val="24"/>
          <w:lang w:eastAsia="en-GB"/>
        </w:rPr>
      </w:pPr>
      <w:r w:rsidRPr="009B3747">
        <w:rPr>
          <w:rFonts w:eastAsia="Times New Roman" w:cstheme="minorHAnsi"/>
          <w:color w:val="000000"/>
          <w:u w:val="single"/>
          <w:lang w:eastAsia="en-GB"/>
        </w:rPr>
        <w:lastRenderedPageBreak/>
        <w:t>7.3</w:t>
      </w:r>
      <w:r w:rsidR="00827CCD" w:rsidRPr="009B3747">
        <w:rPr>
          <w:rFonts w:eastAsia="Times New Roman" w:cstheme="minorHAnsi"/>
          <w:color w:val="000000"/>
          <w:u w:val="single"/>
          <w:lang w:eastAsia="en-GB"/>
        </w:rPr>
        <w:t xml:space="preserve">.3 </w:t>
      </w:r>
      <w:r w:rsidR="00991D2F" w:rsidRPr="009B3747">
        <w:rPr>
          <w:rFonts w:eastAsia="Times New Roman" w:cstheme="minorHAnsi"/>
          <w:color w:val="000000"/>
          <w:u w:val="single"/>
          <w:lang w:eastAsia="en-GB"/>
        </w:rPr>
        <w:t>Generating the item pool</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t xml:space="preserve">Fundamental to achieving effective integration between the two study phases was the researcher’s ability to transform the qualitative findings into meaningful items </w:t>
      </w:r>
      <w:r w:rsidR="000E6978">
        <w:rPr>
          <w:rFonts w:eastAsia="Times New Roman" w:cstheme="minorHAnsi"/>
          <w:color w:val="000000"/>
          <w:lang w:eastAsia="en-GB"/>
        </w:rPr>
        <w:t xml:space="preserve">(i.e. questions and statements), </w:t>
      </w:r>
      <w:r w:rsidRPr="009B3747">
        <w:rPr>
          <w:rFonts w:eastAsia="Times New Roman" w:cstheme="minorHAnsi"/>
          <w:color w:val="000000"/>
          <w:lang w:eastAsia="en-GB"/>
        </w:rPr>
        <w:t>which would allow participants perspectives to be identified.  This process was crucial in order to determine whether the perspectives obtained in the first phase</w:t>
      </w:r>
      <w:r w:rsidR="000E6978">
        <w:rPr>
          <w:rFonts w:eastAsia="Times New Roman" w:cstheme="minorHAnsi"/>
          <w:color w:val="000000"/>
          <w:lang w:eastAsia="en-GB"/>
        </w:rPr>
        <w:t>,</w:t>
      </w:r>
      <w:r w:rsidRPr="009B3747">
        <w:rPr>
          <w:rFonts w:eastAsia="Times New Roman" w:cstheme="minorHAnsi"/>
          <w:color w:val="000000"/>
          <w:lang w:eastAsia="en-GB"/>
        </w:rPr>
        <w:t xml:space="preserve"> were indeed applicable and shared amongst a wider pool of the target study population in the second phase. Consequently, to inform the process of generating the item pool</w:t>
      </w:r>
      <w:r w:rsidR="00A87600">
        <w:rPr>
          <w:rFonts w:eastAsia="Times New Roman" w:cstheme="minorHAnsi"/>
          <w:color w:val="000000"/>
          <w:lang w:eastAsia="en-GB"/>
        </w:rPr>
        <w:t>,</w:t>
      </w:r>
      <w:r w:rsidRPr="009B3747">
        <w:rPr>
          <w:rFonts w:eastAsia="Times New Roman" w:cstheme="minorHAnsi"/>
          <w:color w:val="000000"/>
          <w:lang w:eastAsia="en-GB"/>
        </w:rPr>
        <w:t xml:space="preserve"> the researcher spent an extensive period of time reflecting on the completed thematic analysis and resultant qualitative findings report.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t>As per guidance provided by PhD students and academics</w:t>
      </w:r>
      <w:r w:rsidR="00A87600">
        <w:rPr>
          <w:rFonts w:eastAsia="Times New Roman" w:cstheme="minorHAnsi"/>
          <w:color w:val="000000"/>
          <w:lang w:eastAsia="en-GB"/>
        </w:rPr>
        <w:t>,</w:t>
      </w:r>
      <w:r w:rsidRPr="009B3747">
        <w:rPr>
          <w:rFonts w:eastAsia="Times New Roman" w:cstheme="minorHAnsi"/>
          <w:color w:val="000000"/>
          <w:lang w:eastAsia="en-GB"/>
        </w:rPr>
        <w:t xml:space="preserve"> and in support of Creswell and Plano Clark (2007) and</w:t>
      </w:r>
      <w:r w:rsidR="003470FB" w:rsidRPr="009B3747">
        <w:rPr>
          <w:rFonts w:eastAsia="Times New Roman" w:cstheme="minorHAnsi"/>
          <w:color w:val="000000"/>
          <w:lang w:eastAsia="en-GB"/>
        </w:rPr>
        <w:t xml:space="preserve"> </w:t>
      </w:r>
      <w:r w:rsidR="003470FB"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"ISBN" : "1598742981", "abstract" : "Preface: Roadmap: Before You Read This Book -- Mixed Method Design: Who Needs It? -- Nuts and Bolts of Mixed Method Design -- Theoretical Drive -- Pacing the Components -- Point of Interface -- Sampling for Mixed Method Designs -- Planning a Mixed Method Project -- Qualitatively-Driven Mixed Method Designs -- Quantitatively-Driven Mixed Method Designs -- Complex Mixed and Multiple Method Designs -- Glossary for Mixed Method Designs -- Dissecting Mixed Method Publications -- Search Filters for Retrieving Mixed Method Studies from Bibliographic Databases.", "author" : [ { "dropping-particle" : "", "family" : "Morse", "given" : "Janice M.", "non-dropping-particle" : "", "parse-names" : false, "suffix" : "" }, { "dropping-particle" : "", "family" : "Niehaus", "given" : "Linda.", "non-dropping-particle" : "", "parse-names" : false, "suffix" : "" } ], "id" : "ITEM-1", "issued" : { "date-parts" : [ [ "2009" ] ] }, "number-of-pages" : "194", "publisher" : "Routledge", "publisher-place" : "Abingdon", "title" : "Mixed method design : principles and procedures", "type" : "book" }, "uris" : [ "http://www.mendeley.com/documents/?uuid=138274e2-4147-38a7-83de-3251873a6f0c" ] } ], "mendeley" : { "formattedCitation" : "(Morse and Niehaus, 2009)", "manualFormatting" : "Morse and Niehaus (2009)", "plainTextFormattedCitation" : "(Morse and Niehaus, 2009)", "previouslyFormattedCitation" : "(Morse and Niehaus, 2009)" }, "properties" : { "noteIndex" : 0 }, "schema" : "https://github.com/citation-style-language/schema/raw/master/csl-citation.json" }</w:instrText>
      </w:r>
      <w:r w:rsidR="003470FB" w:rsidRPr="009B3747">
        <w:rPr>
          <w:rFonts w:eastAsia="Times New Roman" w:cstheme="minorHAnsi"/>
          <w:color w:val="000000"/>
          <w:lang w:eastAsia="en-GB"/>
        </w:rPr>
        <w:fldChar w:fldCharType="separate"/>
      </w:r>
      <w:r w:rsidR="003470FB" w:rsidRPr="009B3747">
        <w:rPr>
          <w:rFonts w:eastAsia="Times New Roman" w:cstheme="minorHAnsi"/>
          <w:noProof/>
          <w:color w:val="000000"/>
          <w:lang w:eastAsia="en-GB"/>
        </w:rPr>
        <w:t>Morse and Niehaus (2009)</w:t>
      </w:r>
      <w:r w:rsidR="003470FB" w:rsidRPr="009B3747">
        <w:rPr>
          <w:rFonts w:eastAsia="Times New Roman" w:cstheme="minorHAnsi"/>
          <w:color w:val="000000"/>
          <w:lang w:eastAsia="en-GB"/>
        </w:rPr>
        <w:fldChar w:fldCharType="end"/>
      </w:r>
      <w:r w:rsidRPr="009B3747">
        <w:rPr>
          <w:rFonts w:eastAsia="Times New Roman" w:cstheme="minorHAnsi"/>
          <w:color w:val="000000"/>
          <w:lang w:eastAsia="en-GB"/>
        </w:rPr>
        <w:t>, this period of reflection included a thorough review of all aspects of the analysed qualitative findings</w:t>
      </w:r>
      <w:r w:rsidR="00B46C02">
        <w:rPr>
          <w:rFonts w:eastAsia="Times New Roman" w:cstheme="minorHAnsi"/>
          <w:color w:val="000000"/>
          <w:lang w:eastAsia="en-GB"/>
        </w:rPr>
        <w:t>,</w:t>
      </w:r>
      <w:r w:rsidRPr="009B3747">
        <w:rPr>
          <w:rFonts w:eastAsia="Times New Roman" w:cstheme="minorHAnsi"/>
          <w:color w:val="000000"/>
          <w:lang w:eastAsia="en-GB"/>
        </w:rPr>
        <w:t xml:space="preserve"> i.e. themes, sub-themes and quotations presented within the qualitative findings report.  This was undertaken in order to carefully identify and assess which elements of the qu</w:t>
      </w:r>
      <w:r w:rsidR="00A87600">
        <w:rPr>
          <w:rFonts w:eastAsia="Times New Roman" w:cstheme="minorHAnsi"/>
          <w:color w:val="000000"/>
          <w:lang w:eastAsia="en-GB"/>
        </w:rPr>
        <w:t xml:space="preserve">alitative findings report could, </w:t>
      </w:r>
      <w:r w:rsidRPr="009B3747">
        <w:rPr>
          <w:rFonts w:eastAsia="Times New Roman" w:cstheme="minorHAnsi"/>
          <w:color w:val="000000"/>
          <w:lang w:eastAsia="en-GB"/>
        </w:rPr>
        <w:t>or should</w:t>
      </w:r>
      <w:r w:rsidR="00A87600">
        <w:rPr>
          <w:rFonts w:eastAsia="Times New Roman" w:cstheme="minorHAnsi"/>
          <w:color w:val="000000"/>
          <w:lang w:eastAsia="en-GB"/>
        </w:rPr>
        <w:t>,</w:t>
      </w:r>
      <w:r w:rsidRPr="009B3747">
        <w:rPr>
          <w:rFonts w:eastAsia="Times New Roman" w:cstheme="minorHAnsi"/>
          <w:color w:val="000000"/>
          <w:lang w:eastAsia="en-GB"/>
        </w:rPr>
        <w:t xml:space="preserve"> form the basis of content for the questionnaire</w:t>
      </w:r>
      <w:r w:rsidR="00B46C02">
        <w:rPr>
          <w:rFonts w:eastAsia="Times New Roman" w:cstheme="minorHAnsi"/>
          <w:color w:val="000000"/>
          <w:lang w:eastAsia="en-GB"/>
        </w:rPr>
        <w:t>,</w:t>
      </w:r>
      <w:r w:rsidRPr="009B3747">
        <w:rPr>
          <w:rFonts w:eastAsia="Times New Roman" w:cstheme="minorHAnsi"/>
          <w:color w:val="000000"/>
          <w:lang w:eastAsia="en-GB"/>
        </w:rPr>
        <w:t xml:space="preserve"> i.e. within the item pool (Creswell and Plano Clark, 2011).  Whilst significantly time consuming, it was deemed necessary to u</w:t>
      </w:r>
      <w:r w:rsidR="00A87600">
        <w:rPr>
          <w:rFonts w:eastAsia="Times New Roman" w:cstheme="minorHAnsi"/>
          <w:color w:val="000000"/>
          <w:lang w:eastAsia="en-GB"/>
        </w:rPr>
        <w:t xml:space="preserve">ndertake this reflective period.  This was </w:t>
      </w:r>
      <w:r w:rsidRPr="009B3747">
        <w:rPr>
          <w:rFonts w:eastAsia="Times New Roman" w:cstheme="minorHAnsi"/>
          <w:color w:val="000000"/>
          <w:lang w:eastAsia="en-GB"/>
        </w:rPr>
        <w:t>so that the researcher was being both robust and systematic</w:t>
      </w:r>
      <w:r w:rsidR="00A87600">
        <w:rPr>
          <w:rFonts w:eastAsia="Times New Roman" w:cstheme="minorHAnsi"/>
          <w:color w:val="000000"/>
          <w:lang w:eastAsia="en-GB"/>
        </w:rPr>
        <w:t>,</w:t>
      </w:r>
      <w:r w:rsidRPr="009B3747">
        <w:rPr>
          <w:rFonts w:eastAsia="Times New Roman" w:cstheme="minorHAnsi"/>
          <w:color w:val="000000"/>
          <w:lang w:eastAsia="en-GB"/>
        </w:rPr>
        <w:t xml:space="preserve"> when determining potential areas of interest within the qualitative findings for inclusion in the finalised questionnaire.</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85424B">
      <w:pPr>
        <w:rPr>
          <w:rFonts w:eastAsia="Times New Roman" w:cstheme="minorHAnsi"/>
          <w:color w:val="000000"/>
          <w:lang w:eastAsia="en-GB"/>
        </w:rPr>
      </w:pPr>
      <w:r w:rsidRPr="009B3747">
        <w:rPr>
          <w:rFonts w:eastAsia="Times New Roman" w:cstheme="minorHAnsi"/>
          <w:color w:val="000000"/>
          <w:lang w:eastAsia="en-GB"/>
        </w:rPr>
        <w:t>Given that the qualitative</w:t>
      </w:r>
      <w:r w:rsidR="000A09B8" w:rsidRPr="009B3747">
        <w:rPr>
          <w:rFonts w:eastAsia="Times New Roman" w:cstheme="minorHAnsi"/>
          <w:color w:val="000000"/>
          <w:lang w:eastAsia="en-GB"/>
        </w:rPr>
        <w:t xml:space="preserve"> findings report</w:t>
      </w:r>
      <w:r w:rsidRPr="009B3747">
        <w:rPr>
          <w:rFonts w:eastAsia="Times New Roman" w:cstheme="minorHAnsi"/>
          <w:color w:val="000000"/>
          <w:lang w:eastAsia="en-GB"/>
        </w:rPr>
        <w:t xml:space="preserve"> was substantial in both its scope and size, the potential for developing questions and statements became substantial.  It was important for the researcher to achieve a balance between ensuring the questionnaire was an appropriate length (i.e. for maximising the response rate)</w:t>
      </w:r>
      <w:r w:rsidR="00A87600">
        <w:rPr>
          <w:rFonts w:eastAsia="Times New Roman" w:cstheme="minorHAnsi"/>
          <w:color w:val="000000"/>
          <w:lang w:eastAsia="en-GB"/>
        </w:rPr>
        <w:t>,</w:t>
      </w:r>
      <w:r w:rsidRPr="009B3747">
        <w:rPr>
          <w:rFonts w:eastAsia="Times New Roman" w:cstheme="minorHAnsi"/>
          <w:color w:val="000000"/>
          <w:lang w:eastAsia="en-GB"/>
        </w:rPr>
        <w:t xml:space="preserve"> and developing content that reflected the breadth of issues within the qualitative findings.  Therefore, the researcher went through a series</w:t>
      </w:r>
      <w:r w:rsidR="000A09B8" w:rsidRPr="009B3747">
        <w:rPr>
          <w:rFonts w:eastAsia="Times New Roman" w:cstheme="minorHAnsi"/>
          <w:color w:val="000000"/>
          <w:lang w:eastAsia="en-GB"/>
        </w:rPr>
        <w:t xml:space="preserve"> of defined steps (</w:t>
      </w:r>
      <w:r w:rsidR="003470FB" w:rsidRPr="009B3747">
        <w:rPr>
          <w:rFonts w:eastAsia="Times New Roman" w:cstheme="minorHAnsi"/>
          <w:color w:val="000000"/>
          <w:lang w:eastAsia="en-GB"/>
        </w:rPr>
        <w:t>figure 7.1</w:t>
      </w:r>
      <w:r w:rsidRPr="009B3747">
        <w:rPr>
          <w:rFonts w:eastAsia="Times New Roman" w:cstheme="minorHAnsi"/>
          <w:color w:val="000000"/>
          <w:lang w:eastAsia="en-GB"/>
        </w:rPr>
        <w:t>) to effectively manage the process.  </w:t>
      </w:r>
    </w:p>
    <w:p w:rsidR="00991D2F" w:rsidRPr="009B3747" w:rsidRDefault="001A382F" w:rsidP="00991D2F">
      <w:pPr>
        <w:rPr>
          <w:rFonts w:eastAsia="Times New Roman" w:cstheme="minorHAnsi"/>
          <w:sz w:val="24"/>
          <w:szCs w:val="24"/>
          <w:lang w:eastAsia="en-GB"/>
        </w:rPr>
      </w:pPr>
      <w:r>
        <w:rPr>
          <w:rFonts w:eastAsia="Times New Roman" w:cstheme="minorHAnsi"/>
          <w:noProof/>
          <w:color w:val="000000"/>
          <w:lang w:eastAsia="en-GB"/>
        </w:rPr>
        <w:lastRenderedPageBreak/>
        <mc:AlternateContent>
          <mc:Choice Requires="wps">
            <w:drawing>
              <wp:anchor distT="0" distB="0" distL="114300" distR="114300" simplePos="0" relativeHeight="251689984" behindDoc="0" locked="0" layoutInCell="1" allowOverlap="1">
                <wp:simplePos x="0" y="0"/>
                <wp:positionH relativeFrom="column">
                  <wp:posOffset>1905000</wp:posOffset>
                </wp:positionH>
                <wp:positionV relativeFrom="paragraph">
                  <wp:posOffset>647700</wp:posOffset>
                </wp:positionV>
                <wp:extent cx="276225" cy="219075"/>
                <wp:effectExtent l="0" t="0" r="9525" b="9525"/>
                <wp:wrapNone/>
                <wp:docPr id="8" name="Rectangle 8"/>
                <wp:cNvGraphicFramePr/>
                <a:graphic xmlns:a="http://schemas.openxmlformats.org/drawingml/2006/main">
                  <a:graphicData uri="http://schemas.microsoft.com/office/word/2010/wordprocessingShape">
                    <wps:wsp>
                      <wps:cNvSpPr/>
                      <wps:spPr>
                        <a:xfrm>
                          <a:off x="0" y="0"/>
                          <a:ext cx="27622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39908C" id="Rectangle 8" o:spid="_x0000_s1026" style="position:absolute;margin-left:150pt;margin-top:51pt;width:21.75pt;height:17.2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" fillcolor="white [3212]" stroked="f" strokeweight="1pt"/>
            </w:pict>
          </mc:Fallback>
        </mc:AlternateContent>
      </w:r>
      <w:r w:rsidR="00991D2F" w:rsidRPr="009B3747">
        <w:rPr>
          <w:rFonts w:eastAsia="Times New Roman" w:cstheme="minorHAnsi"/>
          <w:noProof/>
          <w:color w:val="000000"/>
          <w:lang w:eastAsia="en-GB"/>
        </w:rPr>
        <w:drawing>
          <wp:inline distT="0" distB="0" distL="0" distR="0">
            <wp:extent cx="5606410" cy="5438775"/>
            <wp:effectExtent l="0" t="0" r="0" b="0"/>
            <wp:docPr id="33" name="Picture 33" descr="https://lh6.googleusercontent.com/XSYYz388Vp15Bd_L1lDr88Ksk3H6_vQLu5M3NcMMFT8TaFqfGbX0uQJWhDj7dNofGHelTg6n-kuBeBYYSAMM3TI0tEeHB9rG614vtDiSc5qKsFcFNfTvhxwzrDwjo9SZJAEwCr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XSYYz388Vp15Bd_L1lDr88Ksk3H6_vQLu5M3NcMMFT8TaFqfGbX0uQJWhDj7dNofGHelTg6n-kuBeBYYSAMM3TI0tEeHB9rG614vtDiSc5qKsFcFNfTvhxwzrDwjo9SZJAEwCr6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1598" cy="5453509"/>
                    </a:xfrm>
                    <a:prstGeom prst="rect">
                      <a:avLst/>
                    </a:prstGeom>
                    <a:noFill/>
                    <a:ln>
                      <a:noFill/>
                    </a:ln>
                  </pic:spPr>
                </pic:pic>
              </a:graphicData>
            </a:graphic>
          </wp:inline>
        </w:drawing>
      </w:r>
    </w:p>
    <w:p w:rsidR="005C0E7B" w:rsidRPr="009B3747" w:rsidRDefault="005C0E7B" w:rsidP="005C0E7B">
      <w:pPr>
        <w:rPr>
          <w:rFonts w:eastAsia="Times New Roman" w:cstheme="minorHAnsi"/>
          <w:sz w:val="20"/>
          <w:szCs w:val="20"/>
          <w:u w:val="single"/>
          <w:lang w:eastAsia="en-GB"/>
        </w:rPr>
      </w:pPr>
      <w:r w:rsidRPr="009B3747">
        <w:rPr>
          <w:rFonts w:eastAsia="Times New Roman" w:cstheme="minorHAnsi"/>
          <w:color w:val="000000"/>
          <w:sz w:val="20"/>
          <w:szCs w:val="20"/>
          <w:u w:val="single"/>
          <w:lang w:eastAsia="en-GB"/>
        </w:rPr>
        <w:t xml:space="preserve">Figure 7.1 - Eight steps performed to generate, pilot test and finalise the item pool from qualitative findings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85424B" w:rsidRPr="009B3747" w:rsidRDefault="0085424B" w:rsidP="0085424B">
      <w:pPr>
        <w:rPr>
          <w:rFonts w:eastAsia="Times New Roman" w:cstheme="minorHAnsi"/>
          <w:color w:val="000000"/>
          <w:lang w:eastAsia="en-GB"/>
        </w:rPr>
      </w:pPr>
      <w:r w:rsidRPr="009B3747">
        <w:rPr>
          <w:rFonts w:eastAsia="Times New Roman" w:cstheme="minorHAnsi"/>
          <w:color w:val="000000"/>
          <w:lang w:eastAsia="en-GB"/>
        </w:rPr>
        <w:t>Whilst presented as a cycle of steps, the process was in fact iterative in nature and particular steps took considerably longer to complete.  For example steps two, three and four where questionnaire statements and questions were initiall</w:t>
      </w:r>
      <w:r w:rsidR="004237AA">
        <w:rPr>
          <w:rFonts w:eastAsia="Times New Roman" w:cstheme="minorHAnsi"/>
          <w:color w:val="000000"/>
          <w:lang w:eastAsia="en-GB"/>
        </w:rPr>
        <w:t xml:space="preserve">y drafted, reviewed and refined, </w:t>
      </w:r>
      <w:r w:rsidRPr="009B3747">
        <w:rPr>
          <w:rFonts w:eastAsia="Times New Roman" w:cstheme="minorHAnsi"/>
          <w:color w:val="000000"/>
          <w:lang w:eastAsia="en-GB"/>
        </w:rPr>
        <w:t>required a significant time commitment.  This iterative approach to the content development process was crucial</w:t>
      </w:r>
      <w:r w:rsidR="004237AA">
        <w:rPr>
          <w:rFonts w:eastAsia="Times New Roman" w:cstheme="minorHAnsi"/>
          <w:color w:val="000000"/>
          <w:lang w:eastAsia="en-GB"/>
        </w:rPr>
        <w:t>,</w:t>
      </w:r>
      <w:r w:rsidRPr="009B3747">
        <w:rPr>
          <w:rFonts w:eastAsia="Times New Roman" w:cstheme="minorHAnsi"/>
          <w:color w:val="000000"/>
          <w:lang w:eastAsia="en-GB"/>
        </w:rPr>
        <w:t xml:space="preserve"> in order to ensure fidelity of the questionnaire as a data collection tool</w:t>
      </w:r>
      <w:r w:rsidR="00B46C02">
        <w:rPr>
          <w:rFonts w:eastAsia="Times New Roman" w:cstheme="minorHAnsi"/>
          <w:color w:val="000000"/>
          <w:lang w:eastAsia="en-GB"/>
        </w:rPr>
        <w:t>,</w:t>
      </w:r>
      <w:r w:rsidRPr="009B3747">
        <w:rPr>
          <w:rFonts w:eastAsia="Times New Roman" w:cstheme="minorHAnsi"/>
          <w:color w:val="000000"/>
          <w:lang w:eastAsia="en-GB"/>
        </w:rPr>
        <w:t xml:space="preserve"> i.e. its usefulness, appropriateness and utility </w:t>
      </w:r>
      <w:r w:rsidRPr="009B3747">
        <w:rPr>
          <w:rFonts w:eastAsia="Times New Roman" w:cstheme="minorHAnsi"/>
          <w:color w:val="000000"/>
          <w:lang w:eastAsia="en-GB"/>
        </w:rPr>
        <w:fldChar w:fldCharType="begin" w:fldLock="1"/>
      </w:r>
      <w:r w:rsidRPr="009B3747">
        <w:rPr>
          <w:rFonts w:eastAsia="Times New Roman" w:cstheme="minorHAnsi"/>
          <w:color w:val="000000"/>
          <w:lang w:eastAsia="en-GB"/>
        </w:rPr>
        <w:instrText>ADDIN CSL_CITATION { "citationItems" : [ { "id" : "ITEM-1", "itemData" : { "DOI" : "10.1177/1558689809355805", "ISSN" : "1558-6898", "abstract" : "In this methodological article, the authors present a meta-framework\u2014comprising several frameworks and models, as well as multiple research approaches\u2014that they call an Instrument Development and Construct Validation (IDCV) process for optimizing the development of quantitative instruments. Using mixed research techniques, the IDCV contains 10 phases that detail the progression from an interdisciplinary review of the literature to the development of the instrument to the evaluation of the instrument development and construct validation process and product(s). Crossover analyses represent a key mechanism in the IDCV, wherein analysis types from one tradition (e.g., quantitative analysis) are used to analyze data from a different tradition (e.g., qualitative data). Finally, the authors provide a heuristic example of a rigorous way to develop a Likert-format scale.", "author" : [ { "dropping-particle" : "", "family" : "Onwuegbuzie", "given" : "Anthony J.", "non-dropping-particle" : "", "parse-names" : false, "suffix" : "" }, { "dropping-particle" : "", "family" : "Bustamante", "given" : "Rebecca M.", "non-dropping-particle" : "", "parse-names" : false, "suffix" : "" }, { "dropping-particle" : "", "family" : "Nelson", "given" : "Judith A.", "non-dropping-particle" : "", "parse-names" : false, "suffix" : "" } ], "container-title" : "Journal of Mixed Methods Research", "id" : "ITEM-1", "issue" : "1", "issued" : { "date-parts" : [ [ "2010", "1", "29" ] ] }, "page" : "56-78", "publisher" : "SAGE PublicationsSage CA: Los Angeles, CA", "title" : "Mixed Research as a Tool for Developing Quantitative Instruments", "type" : "article-journal", "volume" : "4" }, "uris" : [ "http://www.mendeley.com/documents/?uuid=ada00d17-5190-31c2-adec-b0f915a04d94" ] } ], "mendeley" : { "formattedCitation" : "(Onwuegbuzie et al., 2010)", "plainTextFormattedCitation" : "(Onwuegbuzie et al., 2010)", "previouslyFormattedCitation" : "(Onwuegbuzie et al., 2010)" }, "properties" : { "noteIndex" : 0 }, "schema" : "https://github.com/citation-style-language/schema/raw/master/csl-citation.json" }</w:instrText>
      </w:r>
      <w:r w:rsidRPr="009B3747">
        <w:rPr>
          <w:rFonts w:eastAsia="Times New Roman" w:cstheme="minorHAnsi"/>
          <w:color w:val="000000"/>
          <w:lang w:eastAsia="en-GB"/>
        </w:rPr>
        <w:fldChar w:fldCharType="separate"/>
      </w:r>
      <w:r w:rsidRPr="009B3747">
        <w:rPr>
          <w:rFonts w:eastAsia="Times New Roman" w:cstheme="minorHAnsi"/>
          <w:noProof/>
          <w:color w:val="000000"/>
          <w:lang w:eastAsia="en-GB"/>
        </w:rPr>
        <w:t>(Onwuegbuzie et al., 2010)</w:t>
      </w:r>
      <w:r w:rsidRPr="009B3747">
        <w:rPr>
          <w:rFonts w:eastAsia="Times New Roman" w:cstheme="minorHAnsi"/>
          <w:color w:val="000000"/>
          <w:lang w:eastAsia="en-GB"/>
        </w:rPr>
        <w:fldChar w:fldCharType="end"/>
      </w:r>
      <w:r w:rsidRPr="009B3747">
        <w:rPr>
          <w:rFonts w:eastAsia="Times New Roman" w:cstheme="minorHAnsi"/>
          <w:color w:val="000000"/>
          <w:lang w:eastAsia="en-GB"/>
        </w:rPr>
        <w:t>.</w:t>
      </w:r>
    </w:p>
    <w:p w:rsidR="0085424B" w:rsidRPr="009B3747" w:rsidRDefault="0085424B" w:rsidP="0085424B">
      <w:pPr>
        <w:rPr>
          <w:rFonts w:eastAsia="Times New Roman" w:cstheme="minorHAnsi"/>
          <w:sz w:val="24"/>
          <w:szCs w:val="24"/>
          <w:lang w:eastAsia="en-GB"/>
        </w:rPr>
      </w:pPr>
    </w:p>
    <w:p w:rsidR="0085424B" w:rsidRPr="009B3747" w:rsidRDefault="0085424B" w:rsidP="0085424B">
      <w:pPr>
        <w:rPr>
          <w:rFonts w:eastAsia="Times New Roman" w:cstheme="minorHAnsi"/>
          <w:sz w:val="24"/>
          <w:szCs w:val="24"/>
          <w:lang w:eastAsia="en-GB"/>
        </w:rPr>
      </w:pPr>
      <w:r w:rsidRPr="009B3747">
        <w:rPr>
          <w:rFonts w:eastAsia="Times New Roman" w:cstheme="minorHAnsi"/>
          <w:color w:val="000000"/>
          <w:lang w:eastAsia="en-GB"/>
        </w:rPr>
        <w:t>In addition to being iterative and collective, the process of generating the item pool was underpinned by</w:t>
      </w:r>
      <w:r w:rsidR="004237AA">
        <w:rPr>
          <w:rFonts w:eastAsia="Times New Roman" w:cstheme="minorHAnsi"/>
          <w:color w:val="000000"/>
          <w:lang w:eastAsia="en-GB"/>
        </w:rPr>
        <w:t xml:space="preserve"> a number of key considerations, which had </w:t>
      </w:r>
      <w:r w:rsidRPr="009B3747">
        <w:rPr>
          <w:rFonts w:eastAsia="Times New Roman" w:cstheme="minorHAnsi"/>
          <w:color w:val="000000"/>
          <w:lang w:eastAsia="en-GB"/>
        </w:rPr>
        <w:t xml:space="preserve">been identified from both research texts </w:t>
      </w:r>
      <w:r w:rsidRPr="009B3747">
        <w:rPr>
          <w:rFonts w:eastAsia="Times New Roman" w:cstheme="minorHAnsi"/>
          <w:color w:val="000000"/>
          <w:lang w:eastAsia="en-GB"/>
        </w:rPr>
        <w:fldChar w:fldCharType="begin" w:fldLock="1"/>
      </w:r>
      <w:r w:rsidRPr="009B3747">
        <w:rPr>
          <w:rFonts w:eastAsia="Times New Roman" w:cstheme="minorHAnsi"/>
          <w:color w:val="000000"/>
          <w:lang w:eastAsia="en-GB"/>
        </w:rPr>
        <w:instrText>ADDIN CSL_CITATION { "citationItems" : [ { "id" : "ITEM-1", "itemData" : { "ISBN" : "0826451764", "abstract" : "New ed. Revised edition of: Questionnaire design and attitude measurement. [1966]. Introduction to survey design -- Analytic survey designs -- Descriptive survey designs -- Pilot work -- The exploratory interview -- Standardized interviews -- Questionnaire planning -- Question wording -- Some basic measurement theory -- Designing attitude statements -- Attitude scaling -- Projective techniques in attitude study -- Varieties and applications -- Data processing -- Statistical analysis.", "author" : [ { "dropping-particle" : "", "family" : "Oppenheim", "given" : "A.N", "non-dropping-particle" : "", "parse-names" : false, "suffix" : "" } ], "edition" : "2nd", "id" : "ITEM-1", "issued" : { "date-parts" : [ [ "1992" ] ] }, "number-of-pages" : "303", "publisher" : "Bloomsbury Publishing", "publisher-place" : "London", "title" : "Questionnaire design, interviewing, and attitude measurement", "type" : "book" }, "uris" : [ "http://www.mendeley.com/documents/?uuid=bc77daf9-c89b-3fbd-a84d-75df654379f8" ] }, { "id" : "ITEM-2", "itemData" : { "ISBN" : "0826447953", "abstract" : "The pros and cons of questionnaires -- Preparation -- Drafting the questions (and answers) -- Designing the questionnaire -- Getting them out and getting them back -- Displaying the results for analysis -- Content analysis of open questions -- Statistical analysis of closed questions -- Questionnaires as part of a multi-method approach -- Presenting your findings.", "author" : [ { "dropping-particle" : "", "family" : "Gillham", "given" : "Bill.", "non-dropping-particle" : "", "parse-names" : false, "suffix" : "" } ], "id" : "ITEM-2", "issued" : { "date-parts" : [ [ "2000" ] ] }, "number-of-pages" : "93", "publisher" : "Continuum", "publisher-place" : "London", "title" : "Developing a questionnaire", "type" : "book" }, "uris" : [ "http://www.mendeley.com/documents/?uuid=c6481a62-25f8-3992-87b7-b9b8c94a57a2" ] }, { "id" : "ITEM-3", "itemData" : { "ISBN" : "0415268575", "abstract" : "5th ed. Previous edition: London: UCL, 1996. Scope of survey research -- Nature of surveys -- Theory and social research -- Formulating and clarifying research questions -- Collecting survey data -- Developing indicators for concepts -- Ethics and data collection -- Finding a sample -- Constructing and administering questionnaires -- Setting up the data for analysis -- Coding -- Preparing variables for analysis -- Building scales -- Analyzing survey data -- Overview of analysis -- Univariate analysis -- Bivariate analysis: nominal and ordinal variables -- Biavariate analysis for interval-level variables -- Elaborating bivariate relationships -- Multivariate analysis -- Putting it into practices: a research example.", "author" : [ { "dropping-particle" : "", "family" : "Vaus", "given" : "D.A", "non-dropping-particle" : "de", "parse-names" : false, "suffix" : "" } ], "edition" : "5th", "id" : "ITEM-3", "issued" : { "date-parts" : [ [ "2002" ] ] }, "number-of-pages" : "379", "publisher" : "Allen &amp; Unwin", "publisher-place" : "Sydney", "title" : "Surveys in social research", "type" : "book" }, "uris" : [ "http://www.mendeley.com/documents/?uuid=50279df5-627e-30cb-9dd0-d663677204bb" ] }, { "id" : "ITEM-4", "itemData" : { "ISSN" : "1756-1833", "PMID" : "12016181", "abstract" : "OBJECTIVE To identify methods to increase response to postal questionnaires. DESIGN Systematic review of randomised controlled trials of any method to influence response to postal questionnaires. STUDIES REVIEWED 292 randomised controlled trials including 258 315 participants INTERVENTION REVIEWED: 75 strategies for influencing response to postal questionnaires. MAIN OUTCOME MEASURE The proportion of completed or partially completed questionnaires returned. RESULTS The odds of response were more than doubled when a monetary incentive was used (odds ratio 2.02; 95% confidence interval 1.79 to 2.27) and almost doubled when incentives were not conditional on response (1.71; 1.29 to 2.26). Response was more likely when short questionnaires were used (1.86; 1.55 to 2.24). Personalised questionnaires and letters increased response (1.16; 1.06 to 1.28), as did the use of coloured ink (1.39; 1.16 to 1.67). The odds of response were more than doubled when the questionnaires were sent by recorded delivery (2.21; 1.51 to 3.25) and increased when stamped return envelopes were used (1.26; 1.13 to 1.41) and questionnaires were sent by first class post (1.12; 1.02 to 1.23). Contacting participants before sending questionnaires increased response (1.54; 1.24 to 1.92), as did follow up contact (1.44; 1.22 to 1.70) and providing non-respondents with a second copy of the questionnaire (1.41; 1.02 to 1.94). Questionnaires designed to be of more interest to participants were more likely to be returned (2.44; 1.99 to 3.01), but questionnaires containing questions of a sensitive nature were less likely to be returned (0.92; 0.87 to 0.98). Questionnaires originating from universities were more likely to be returned than were questionnaires from other sources, such as commercial organisations (1.31; 1.11 to 1.54). CONCLUSIONS Health researchers using postal questionnaires can improve the quality of their research by using the strategies shown to be effective in this systematic review.", "author" : [ { "dropping-particle" : "", "family" : "Edwards", "given" : "Phil", "non-dropping-particle" : "", "parse-names" : false, "suffix" : "" }, { "dropping-particle" : "", "family" : "Roberts", "given" : "Ian", "non-dropping-particle" : "", "parse-names" : false, "suffix" : "" }, { "dropping-particle" : "", "family" : "Clarke", "given" : "Mike", "non-dropping-particle" : "", "parse-names" : false, "suffix" : "" }, { "dropping-particle" : "", "family" : "DiGuiseppi", "given" : "Carolyn", "non-dropping-particle" : "", "parse-names" : false, "suffix" : "" }, { "dropping-particle" : "", "family" : "Pratap", "given" : "Sarah", "non-dropping-particle" : "", "parse-names" : false, "suffix" : "" }, { "dropping-particle" : "", "family" : "Wentz", "given" : "Reinhard", "non-dropping-particle" : "", "parse-names" : false, "suffix" : "" }, { "dropping-particle" : "", "family" : "Kwan", "given" : "Irene", "non-dropping-particle" : "", "parse-names" : false, "suffix" : "" } ], "container-title" : "BMJ (Clinical research ed.)", "id" : "ITEM-4", "issue" : "7347", "issued" : { "date-parts" : [ [ "2002", "5", "18" ] ] }, "page" : "1183", "title" : "Increasing response rates to postal questionnaires: systematic review.", "type" : "article-journal", "volume" : "324" }, "uris" : [ "http://www.mendeley.com/documents/?uuid=3cb7b1e8-7b81-328a-bb55-179bb366a254" ] }, { "id" : "ITEM-5", "itemData" : { "DOI" : "10.1177/1558689809355805", "ISSN" : "1558-6898", "abstract" : "In this methodological article, the authors present a meta-framework\u2014comprising several frameworks and models, as well as multiple research approaches\u2014that they call an Instrument Development and Construct Validation (IDCV) process for optimizing the development of quantitative instruments. Using mixed research techniques, the IDCV contains 10 phases that detail the progression from an interdisciplinary review of the literature to the development of the instrument to the evaluation of the instrument development and construct validation process and product(s). Crossover analyses represent a key mechanism in the IDCV, wherein analysis types from one tradition (e.g., quantitative analysis) are used to analyze data from a different tradition (e.g., qualitative data). Finally, the authors provide a heuristic example of a rigorous way to develop a Likert-format scale.", "author" : [ { "dropping-particle" : "", "family" : "Onwuegbuzie", "given" : "Anthony J.", "non-dropping-particle" : "", "parse-names" : false, "suffix" : "" }, { "dropping-particle" : "", "family" : "Bustamante", "given" : "Rebecca M.", "non-dropping-particle" : "", "parse-names" : false, "suffix" : "" }, { "dropping-particle" : "", "family" : "Nelson", "given" : "Judith A.", "non-dropping-particle" : "", "parse-names" : false, "suffix" : "" } ], "container-title" : "Journal of Mixed Methods Research", "id" : "ITEM-5", "issue" : "1", "issued" : { "date-parts" : [ [ "2010", "1", "29" ] ] }, "page" : "56-78", "publisher" : "SAGE PublicationsSage CA: Los Angeles, CA", "title" : "Mixed Research as a Tool for Developing Quantitative Instruments", "type" : "article-journal", "volume" : "4" }, "uris" : [ "http://www.mendeley.com/documents/?uuid=ada00d17-5190-31c2-adec-b0f915a04d94" ] }, { "id" : "ITEM-6", "itemData" : { "DOI" : "10.1007/s13398-014-0173-7.2", "ISBN" : "9781452274614", "ISSN" : "13514180", "PMID" : "15991970", "author" : [ { "dropping-particle" : "", "family" : "Creswell", "given" : "J W", "non-dropping-particle" : "", "parse-names" : false, "suffix" : "" } ], "container-title" : "SAGE Publications", "edition" : "4th", "id" : "ITEM-6", "issued" : { "date-parts" : [ [ "2014" ] ] }, "number-of-pages" : "398", "publisher" : "SAGE Publications Inc.", "publisher-place" : "Los Angeles", "title" : "Research Design: Qualitative, Quantitative, and Mixed Methods Approaches", "type" : "book" }, "uris" : [ "http://www.mendeley.com/documents/?uuid=e78417b4-b5b5-4ebf-9e1d-3894864dbccd" ] }, { "id" : "ITEM-7",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"Bryman", "given" : "Alan", "non-dropping-particle" : "", "parse-names" : false, "suffix" : "" } ], "edition" : "5th", "id" : "ITEM-7", "issued" : { "date-parts" : [ [ "2016" ] ] }, "publisher" : "Open University Press", "publisher-place" : "Oxford", "title" : "Social research methods Bryman", "type" : "book" }, "uris" : [ "http://www.mendeley.com/documents/?uuid=0692fe00-046b-4dd5-8926-ccb7f7ef6057" ] } ], "mendeley" : { "formattedCitation" : "(Oppenheim, 1992; Gillham, 2000; de Vaus, 2002; Edwards et al., 2002; Onwuegbuzie et al., 2010; Creswell, 2014; Bryman, 2016)", "plainTextFormattedCitation" : "(Oppenheim, 1992; Gillham, 2000; de Vaus, 2002; Edwards et al., 2002; Onwuegbuzie et al., 2010; Creswell, 2014; Bryman, 2016)", "previouslyFormattedCitation" : "(Oppenheim, 1992; Gillham, 2000; de Vaus, 2002; Edwards et al., 2002; Onwuegbuzie et al., 2010; Creswell, 2014; Bryman, 2016)" }, "properties" : { "noteIndex" : 0 }, "schema" : "https://github.com/citation-style-language/schema/raw/master/csl-citation.json" }</w:instrText>
      </w:r>
      <w:r w:rsidRPr="009B3747">
        <w:rPr>
          <w:rFonts w:eastAsia="Times New Roman" w:cstheme="minorHAnsi"/>
          <w:color w:val="000000"/>
          <w:lang w:eastAsia="en-GB"/>
        </w:rPr>
        <w:fldChar w:fldCharType="separate"/>
      </w:r>
      <w:r w:rsidRPr="009B3747">
        <w:rPr>
          <w:rFonts w:eastAsia="Times New Roman" w:cstheme="minorHAnsi"/>
          <w:noProof/>
          <w:color w:val="000000"/>
          <w:lang w:eastAsia="en-GB"/>
        </w:rPr>
        <w:t>(Oppenheim, 1992; Gillham, 2000; de Vaus, 2002; Edwards et al., 2002; Onwuegbuzie et al., 2010; Creswell, 2014; Bryman, 2016)</w:t>
      </w:r>
      <w:r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and the previous </w:t>
      </w:r>
      <w:r w:rsidR="00787223" w:rsidRPr="009B3747">
        <w:rPr>
          <w:rFonts w:eastAsia="Times New Roman" w:cstheme="minorHAnsi"/>
          <w:color w:val="000000"/>
          <w:lang w:eastAsia="en-GB"/>
        </w:rPr>
        <w:t>engagement process undertaken:</w:t>
      </w:r>
    </w:p>
    <w:p w:rsidR="0085424B" w:rsidRPr="009B3747" w:rsidRDefault="0085424B" w:rsidP="0085424B">
      <w:pPr>
        <w:rPr>
          <w:rFonts w:eastAsia="Times New Roman" w:cstheme="minorHAnsi"/>
          <w:sz w:val="24"/>
          <w:szCs w:val="24"/>
          <w:lang w:eastAsia="en-GB"/>
        </w:rPr>
      </w:pPr>
      <w:r w:rsidRPr="009B3747">
        <w:rPr>
          <w:rFonts w:eastAsia="Times New Roman" w:cstheme="minorHAnsi"/>
          <w:sz w:val="24"/>
          <w:szCs w:val="24"/>
          <w:lang w:eastAsia="en-GB"/>
        </w:rPr>
        <w:lastRenderedPageBreak/>
        <w:t> </w:t>
      </w:r>
    </w:p>
    <w:p w:rsidR="0085424B" w:rsidRPr="009B3747" w:rsidRDefault="0085424B" w:rsidP="0085424B">
      <w:pPr>
        <w:numPr>
          <w:ilvl w:val="0"/>
          <w:numId w:val="43"/>
        </w:numPr>
        <w:textAlignment w:val="baseline"/>
        <w:rPr>
          <w:rFonts w:eastAsia="Times New Roman" w:cstheme="minorHAnsi"/>
          <w:color w:val="000000"/>
          <w:lang w:eastAsia="en-GB"/>
        </w:rPr>
      </w:pPr>
      <w:r w:rsidRPr="009B3747">
        <w:rPr>
          <w:rFonts w:eastAsia="Times New Roman" w:cstheme="minorHAnsi"/>
          <w:color w:val="000000"/>
          <w:lang w:eastAsia="en-GB"/>
        </w:rPr>
        <w:t>Questionnaire content</w:t>
      </w:r>
      <w:r w:rsidR="00B46C02">
        <w:rPr>
          <w:rFonts w:eastAsia="Times New Roman" w:cstheme="minorHAnsi"/>
          <w:color w:val="000000"/>
          <w:lang w:eastAsia="en-GB"/>
        </w:rPr>
        <w:t>,</w:t>
      </w:r>
      <w:r w:rsidRPr="009B3747">
        <w:rPr>
          <w:rFonts w:eastAsia="Times New Roman" w:cstheme="minorHAnsi"/>
          <w:color w:val="000000"/>
          <w:lang w:eastAsia="en-GB"/>
        </w:rPr>
        <w:t xml:space="preserve"> i.e. questions and statements were written in a manner which accurately portrayed the meaning of the reported qualitative data</w:t>
      </w:r>
    </w:p>
    <w:p w:rsidR="0085424B" w:rsidRPr="009B3747" w:rsidRDefault="0085424B" w:rsidP="0085424B">
      <w:pPr>
        <w:numPr>
          <w:ilvl w:val="0"/>
          <w:numId w:val="43"/>
        </w:numPr>
        <w:textAlignment w:val="baseline"/>
        <w:rPr>
          <w:rFonts w:eastAsia="Times New Roman" w:cstheme="minorHAnsi"/>
          <w:color w:val="000000"/>
          <w:lang w:eastAsia="en-GB"/>
        </w:rPr>
      </w:pPr>
      <w:r w:rsidRPr="009B3747">
        <w:rPr>
          <w:rFonts w:eastAsia="Times New Roman" w:cstheme="minorHAnsi"/>
          <w:color w:val="000000"/>
          <w:lang w:eastAsia="en-GB"/>
        </w:rPr>
        <w:t>Language used centred on being clear, concise and unambiguous with multi-faceted and double-negative questions avoided</w:t>
      </w:r>
    </w:p>
    <w:p w:rsidR="0085424B" w:rsidRPr="009B3747" w:rsidRDefault="0085424B" w:rsidP="0085424B">
      <w:pPr>
        <w:numPr>
          <w:ilvl w:val="0"/>
          <w:numId w:val="43"/>
        </w:numPr>
        <w:textAlignment w:val="baseline"/>
        <w:rPr>
          <w:rFonts w:eastAsia="Times New Roman" w:cstheme="minorHAnsi"/>
          <w:color w:val="000000"/>
          <w:lang w:eastAsia="en-GB"/>
        </w:rPr>
      </w:pPr>
      <w:r w:rsidRPr="009B3747">
        <w:rPr>
          <w:rFonts w:eastAsia="Times New Roman" w:cstheme="minorHAnsi"/>
          <w:color w:val="000000"/>
          <w:lang w:eastAsia="en-GB"/>
        </w:rPr>
        <w:t>Words and phrasing aimed to be reflective of the language used by participants (including keeping statements in positive or negative form as per participant's original perceptions)</w:t>
      </w:r>
    </w:p>
    <w:p w:rsidR="0085424B" w:rsidRPr="009B3747" w:rsidRDefault="0085424B" w:rsidP="0085424B">
      <w:pPr>
        <w:numPr>
          <w:ilvl w:val="0"/>
          <w:numId w:val="43"/>
        </w:numPr>
        <w:textAlignment w:val="baseline"/>
        <w:rPr>
          <w:rFonts w:eastAsia="Times New Roman" w:cstheme="minorHAnsi"/>
          <w:color w:val="000000"/>
          <w:lang w:eastAsia="en-GB"/>
        </w:rPr>
      </w:pPr>
      <w:r w:rsidRPr="009B3747">
        <w:rPr>
          <w:rFonts w:eastAsia="Times New Roman" w:cstheme="minorHAnsi"/>
          <w:color w:val="000000"/>
          <w:lang w:eastAsia="en-GB"/>
        </w:rPr>
        <w:t xml:space="preserve">Length of the questionnaire was carefully managed so that meaningful information could be obtained at the same time as maximising the response rate </w:t>
      </w:r>
    </w:p>
    <w:p w:rsidR="0085424B" w:rsidRPr="009B3747" w:rsidRDefault="0085424B" w:rsidP="0085424B">
      <w:pPr>
        <w:numPr>
          <w:ilvl w:val="0"/>
          <w:numId w:val="43"/>
        </w:numPr>
        <w:textAlignment w:val="baseline"/>
        <w:rPr>
          <w:rFonts w:eastAsia="Times New Roman" w:cstheme="minorHAnsi"/>
          <w:color w:val="000000"/>
          <w:lang w:eastAsia="en-GB"/>
        </w:rPr>
      </w:pPr>
      <w:r w:rsidRPr="009B3747">
        <w:rPr>
          <w:rFonts w:eastAsia="Times New Roman" w:cstheme="minorHAnsi"/>
          <w:color w:val="000000"/>
          <w:lang w:eastAsia="en-GB"/>
        </w:rPr>
        <w:t>Content was presented in a logical manner and adopted a user friendly format with clear instructions</w:t>
      </w:r>
    </w:p>
    <w:p w:rsidR="0085424B" w:rsidRPr="009B3747" w:rsidRDefault="0085424B" w:rsidP="00991D2F">
      <w:pPr>
        <w:rPr>
          <w:rFonts w:eastAsia="Times New Roman" w:cstheme="minorHAnsi"/>
          <w:color w:val="000000"/>
          <w:lang w:eastAsia="en-GB"/>
        </w:rPr>
      </w:pP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t xml:space="preserve">Resulting from the completion of steps one through to six of the above process (i.e. prior to pilot testing the questionnaire), was a final draft item pool or list of questions and statements.  Aside from a small number of open questions included to allow discovery of perspectives not previously obtained in the qualitative interviews (Gillham, 2000), the resultant item pool was predominantly made up of closed opinion statements derived directly from the content of each theme and sub-theme (as detailed in the </w:t>
      </w:r>
      <w:r w:rsidR="004237AA">
        <w:rPr>
          <w:rFonts w:eastAsia="Times New Roman" w:cstheme="minorHAnsi"/>
          <w:color w:val="000000"/>
          <w:lang w:eastAsia="en-GB"/>
        </w:rPr>
        <w:t xml:space="preserve">qualitative findings).  </w:t>
      </w:r>
      <w:r w:rsidR="00827CCD" w:rsidRPr="009B3747">
        <w:rPr>
          <w:rFonts w:eastAsia="Times New Roman" w:cstheme="minorHAnsi"/>
          <w:color w:val="000000"/>
          <w:lang w:eastAsia="en-GB"/>
        </w:rPr>
        <w:t>Ta</w:t>
      </w:r>
      <w:r w:rsidR="005C0E7B" w:rsidRPr="009B3747">
        <w:rPr>
          <w:rFonts w:eastAsia="Times New Roman" w:cstheme="minorHAnsi"/>
          <w:color w:val="000000"/>
          <w:lang w:eastAsia="en-GB"/>
        </w:rPr>
        <w:t>ble 7.1</w:t>
      </w:r>
      <w:r w:rsidR="00827CCD" w:rsidRPr="009B3747">
        <w:rPr>
          <w:rFonts w:eastAsia="Times New Roman" w:cstheme="minorHAnsi"/>
          <w:color w:val="000000"/>
          <w:lang w:eastAsia="en-GB"/>
        </w:rPr>
        <w:t xml:space="preserve"> </w:t>
      </w:r>
      <w:r w:rsidRPr="009B3747">
        <w:rPr>
          <w:rFonts w:eastAsia="Times New Roman" w:cstheme="minorHAnsi"/>
          <w:color w:val="000000"/>
          <w:lang w:eastAsia="en-GB"/>
        </w:rPr>
        <w:t>provides examples of the relationship between themes and sub-themes and the resultant opinion statements.</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85424B">
      <w:pPr>
        <w:rPr>
          <w:rFonts w:eastAsia="Times New Roman" w:cstheme="minorHAnsi"/>
          <w:sz w:val="24"/>
          <w:szCs w:val="24"/>
          <w:u w:val="single"/>
          <w:lang w:eastAsia="en-GB"/>
        </w:rPr>
      </w:pPr>
      <w:r w:rsidRPr="009B3747">
        <w:rPr>
          <w:rFonts w:eastAsia="Times New Roman" w:cstheme="minorHAnsi"/>
          <w:color w:val="000000"/>
          <w:u w:val="single"/>
          <w:lang w:eastAsia="en-GB"/>
        </w:rPr>
        <w:t>Table</w:t>
      </w:r>
      <w:r w:rsidR="005C0E7B" w:rsidRPr="009B3747">
        <w:rPr>
          <w:rFonts w:eastAsia="Times New Roman" w:cstheme="minorHAnsi"/>
          <w:color w:val="000000"/>
          <w:u w:val="single"/>
          <w:lang w:eastAsia="en-GB"/>
        </w:rPr>
        <w:t xml:space="preserve"> 7.1</w:t>
      </w:r>
      <w:r w:rsidRPr="009B3747">
        <w:rPr>
          <w:rFonts w:eastAsia="Times New Roman" w:cstheme="minorHAnsi"/>
          <w:color w:val="000000"/>
          <w:u w:val="single"/>
          <w:lang w:eastAsia="en-GB"/>
        </w:rPr>
        <w:t xml:space="preserve"> - Transforming themes and sub-themes to opinion statements</w:t>
      </w:r>
    </w:p>
    <w:p w:rsidR="0085424B" w:rsidRPr="009B3747" w:rsidRDefault="0085424B" w:rsidP="0085424B">
      <w:pPr>
        <w:rPr>
          <w:rFonts w:eastAsia="Times New Roman" w:cstheme="minorHAnsi"/>
          <w:sz w:val="24"/>
          <w:szCs w:val="24"/>
          <w:u w:val="single"/>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374"/>
        <w:gridCol w:w="1946"/>
        <w:gridCol w:w="4686"/>
      </w:tblGrid>
      <w:tr w:rsidR="00991D2F" w:rsidRPr="009B3747" w:rsidTr="00991D2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1D2F" w:rsidRPr="009B3747" w:rsidRDefault="00991D2F" w:rsidP="00827CCD">
            <w:pPr>
              <w:spacing w:line="240" w:lineRule="auto"/>
              <w:rPr>
                <w:rFonts w:eastAsia="Times New Roman" w:cstheme="minorHAnsi"/>
                <w:sz w:val="24"/>
                <w:szCs w:val="24"/>
                <w:lang w:eastAsia="en-GB"/>
              </w:rPr>
            </w:pPr>
            <w:r w:rsidRPr="009B3747">
              <w:rPr>
                <w:rFonts w:eastAsia="Times New Roman" w:cstheme="minorHAnsi"/>
                <w:b/>
                <w:bCs/>
                <w:color w:val="000000"/>
                <w:lang w:eastAsia="en-GB"/>
              </w:rPr>
              <w:t xml:space="preserve">Theme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1D2F" w:rsidRPr="009B3747" w:rsidRDefault="00991D2F" w:rsidP="00827CCD">
            <w:pPr>
              <w:spacing w:line="240" w:lineRule="auto"/>
              <w:rPr>
                <w:rFonts w:eastAsia="Times New Roman" w:cstheme="minorHAnsi"/>
                <w:sz w:val="24"/>
                <w:szCs w:val="24"/>
                <w:lang w:eastAsia="en-GB"/>
              </w:rPr>
            </w:pPr>
            <w:r w:rsidRPr="009B3747">
              <w:rPr>
                <w:rFonts w:eastAsia="Times New Roman" w:cstheme="minorHAnsi"/>
                <w:b/>
                <w:bCs/>
                <w:color w:val="000000"/>
                <w:lang w:eastAsia="en-GB"/>
              </w:rPr>
              <w:t>Sub-theme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1D2F" w:rsidRPr="009B3747" w:rsidRDefault="00991D2F" w:rsidP="00827CCD">
            <w:pPr>
              <w:spacing w:line="240" w:lineRule="auto"/>
              <w:rPr>
                <w:rFonts w:eastAsia="Times New Roman" w:cstheme="minorHAnsi"/>
                <w:sz w:val="24"/>
                <w:szCs w:val="24"/>
                <w:lang w:eastAsia="en-GB"/>
              </w:rPr>
            </w:pPr>
            <w:r w:rsidRPr="009B3747">
              <w:rPr>
                <w:rFonts w:eastAsia="Times New Roman" w:cstheme="minorHAnsi"/>
                <w:b/>
                <w:bCs/>
                <w:color w:val="000000"/>
                <w:lang w:eastAsia="en-GB"/>
              </w:rPr>
              <w:t>Related statements in the questionnaire</w:t>
            </w:r>
          </w:p>
          <w:p w:rsidR="00991D2F" w:rsidRPr="009B3747" w:rsidRDefault="00991D2F" w:rsidP="00787223">
            <w:pPr>
              <w:spacing w:line="240" w:lineRule="auto"/>
              <w:rPr>
                <w:rFonts w:eastAsia="Times New Roman" w:cstheme="minorHAnsi"/>
                <w:sz w:val="24"/>
                <w:szCs w:val="24"/>
                <w:lang w:eastAsia="en-GB"/>
              </w:rPr>
            </w:pPr>
            <w:r w:rsidRPr="009B3747">
              <w:rPr>
                <w:rFonts w:eastAsia="Times New Roman" w:cstheme="minorHAnsi"/>
                <w:i/>
                <w:iCs/>
                <w:color w:val="000000"/>
                <w:sz w:val="20"/>
                <w:szCs w:val="20"/>
                <w:lang w:eastAsia="en-GB"/>
              </w:rPr>
              <w:t>(Participants were asked to respond by indicating their level of agr</w:t>
            </w:r>
            <w:r w:rsidR="00787223" w:rsidRPr="009B3747">
              <w:rPr>
                <w:rFonts w:eastAsia="Times New Roman" w:cstheme="minorHAnsi"/>
                <w:i/>
                <w:iCs/>
                <w:color w:val="000000"/>
                <w:sz w:val="20"/>
                <w:szCs w:val="20"/>
                <w:lang w:eastAsia="en-GB"/>
              </w:rPr>
              <w:t>eement with the following – Appendix K</w:t>
            </w:r>
            <w:r w:rsidRPr="009B3747">
              <w:rPr>
                <w:rFonts w:eastAsia="Times New Roman" w:cstheme="minorHAnsi"/>
                <w:i/>
                <w:iCs/>
                <w:color w:val="000000"/>
                <w:sz w:val="20"/>
                <w:szCs w:val="20"/>
                <w:lang w:eastAsia="en-GB"/>
              </w:rPr>
              <w:t>)</w:t>
            </w:r>
          </w:p>
        </w:tc>
      </w:tr>
      <w:tr w:rsidR="00991D2F" w:rsidRPr="009B3747" w:rsidTr="00991D2F">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1D2F" w:rsidRPr="009B3747" w:rsidRDefault="00991D2F" w:rsidP="00827CCD">
            <w:pPr>
              <w:spacing w:line="240" w:lineRule="auto"/>
              <w:rPr>
                <w:rFonts w:eastAsia="Times New Roman" w:cstheme="minorHAnsi"/>
                <w:sz w:val="24"/>
                <w:szCs w:val="24"/>
                <w:lang w:eastAsia="en-GB"/>
              </w:rPr>
            </w:pPr>
            <w:r w:rsidRPr="009B3747">
              <w:rPr>
                <w:rFonts w:eastAsia="Times New Roman" w:cstheme="minorHAnsi"/>
                <w:i/>
                <w:iCs/>
                <w:color w:val="000000"/>
                <w:sz w:val="20"/>
                <w:szCs w:val="20"/>
                <w:lang w:eastAsia="en-GB"/>
              </w:rPr>
              <w:t>Theme 1</w:t>
            </w:r>
            <w:r w:rsidRPr="009B3747">
              <w:rPr>
                <w:rFonts w:eastAsia="Times New Roman" w:cstheme="minorHAnsi"/>
                <w:color w:val="000000"/>
                <w:sz w:val="20"/>
                <w:szCs w:val="20"/>
                <w:lang w:eastAsia="en-GB"/>
              </w:rPr>
              <w:t xml:space="preserve"> </w:t>
            </w:r>
          </w:p>
          <w:p w:rsidR="00991D2F" w:rsidRPr="009B3747" w:rsidRDefault="00991D2F" w:rsidP="00827CC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Perceptions of adolescent obesity and lifestyle behaviours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1D2F" w:rsidRPr="009B3747" w:rsidRDefault="00991D2F" w:rsidP="00827CCD">
            <w:pPr>
              <w:spacing w:line="240" w:lineRule="auto"/>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Sub-theme 1 </w:t>
            </w:r>
          </w:p>
          <w:p w:rsidR="00991D2F" w:rsidRPr="009B3747" w:rsidRDefault="00991D2F" w:rsidP="00827CC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Issue of obesity prevalence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1D2F" w:rsidRPr="009B3747" w:rsidRDefault="00991D2F" w:rsidP="00827CCD">
            <w:pPr>
              <w:spacing w:line="24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 xml:space="preserve">Section 3 (Q1.1) </w:t>
            </w:r>
            <w:r w:rsidR="00787223" w:rsidRPr="009B3747">
              <w:rPr>
                <w:rFonts w:eastAsia="Times New Roman" w:cstheme="minorHAnsi"/>
                <w:color w:val="000000"/>
                <w:sz w:val="20"/>
                <w:szCs w:val="20"/>
                <w:lang w:eastAsia="en-GB"/>
              </w:rPr>
              <w:t>–</w:t>
            </w:r>
            <w:r w:rsidRPr="009B3747">
              <w:rPr>
                <w:rFonts w:eastAsia="Times New Roman" w:cstheme="minorHAnsi"/>
                <w:color w:val="000000"/>
                <w:sz w:val="20"/>
                <w:szCs w:val="20"/>
                <w:lang w:eastAsia="en-GB"/>
              </w:rPr>
              <w:t xml:space="preserve"> I am concerned about levels of excess weight</w:t>
            </w:r>
          </w:p>
        </w:tc>
      </w:tr>
      <w:tr w:rsidR="00991D2F" w:rsidRPr="009B3747" w:rsidTr="00991D2F">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91D2F" w:rsidRPr="009B3747" w:rsidRDefault="00991D2F" w:rsidP="00827CCD">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1D2F" w:rsidRPr="009B3747" w:rsidRDefault="00991D2F" w:rsidP="00827CCD">
            <w:pPr>
              <w:spacing w:line="240" w:lineRule="auto"/>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Sub-theme 3 </w:t>
            </w:r>
          </w:p>
          <w:p w:rsidR="00991D2F" w:rsidRPr="009B3747" w:rsidRDefault="00991D2F" w:rsidP="00827CC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Physical activity and sedentary behaviour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1D2F" w:rsidRPr="009B3747" w:rsidRDefault="00991D2F" w:rsidP="00827CCD">
            <w:pPr>
              <w:spacing w:line="24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 xml:space="preserve">Section 3 (Q4.5) </w:t>
            </w:r>
            <w:r w:rsidR="00787223" w:rsidRPr="009B3747">
              <w:rPr>
                <w:rFonts w:eastAsia="Times New Roman" w:cstheme="minorHAnsi"/>
                <w:color w:val="000000"/>
                <w:sz w:val="20"/>
                <w:szCs w:val="20"/>
                <w:lang w:eastAsia="en-GB"/>
              </w:rPr>
              <w:t>–</w:t>
            </w:r>
            <w:r w:rsidRPr="009B3747">
              <w:rPr>
                <w:rFonts w:eastAsia="Times New Roman" w:cstheme="minorHAnsi"/>
                <w:color w:val="000000"/>
                <w:sz w:val="20"/>
                <w:szCs w:val="20"/>
                <w:lang w:eastAsia="en-GB"/>
              </w:rPr>
              <w:t xml:space="preserve"> I believe that secondary school pupils from my school in general - Spend too long being sedentary</w:t>
            </w:r>
          </w:p>
        </w:tc>
      </w:tr>
      <w:tr w:rsidR="00991D2F" w:rsidRPr="009B3747" w:rsidTr="00991D2F">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1D2F" w:rsidRPr="009B3747" w:rsidRDefault="00991D2F" w:rsidP="00827CCD">
            <w:pPr>
              <w:spacing w:line="240" w:lineRule="auto"/>
              <w:rPr>
                <w:rFonts w:eastAsia="Times New Roman" w:cstheme="minorHAnsi"/>
                <w:sz w:val="24"/>
                <w:szCs w:val="24"/>
                <w:lang w:eastAsia="en-GB"/>
              </w:rPr>
            </w:pPr>
            <w:r w:rsidRPr="009B3747">
              <w:rPr>
                <w:rFonts w:eastAsia="Times New Roman" w:cstheme="minorHAnsi"/>
                <w:i/>
                <w:iCs/>
                <w:color w:val="000000"/>
                <w:sz w:val="20"/>
                <w:szCs w:val="20"/>
                <w:lang w:eastAsia="en-GB"/>
              </w:rPr>
              <w:t>Theme 2</w:t>
            </w:r>
            <w:r w:rsidRPr="009B3747">
              <w:rPr>
                <w:rFonts w:eastAsia="Times New Roman" w:cstheme="minorHAnsi"/>
                <w:color w:val="000000"/>
                <w:sz w:val="20"/>
                <w:szCs w:val="20"/>
                <w:lang w:eastAsia="en-GB"/>
              </w:rPr>
              <w:t xml:space="preserve"> </w:t>
            </w:r>
          </w:p>
          <w:p w:rsidR="00991D2F" w:rsidRPr="009B3747" w:rsidRDefault="00991D2F" w:rsidP="00827CC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Influence of place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1D2F" w:rsidRPr="009B3747" w:rsidRDefault="00991D2F" w:rsidP="00827CCD">
            <w:pPr>
              <w:spacing w:line="240" w:lineRule="auto"/>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Sub-theme 1 </w:t>
            </w:r>
          </w:p>
          <w:p w:rsidR="00991D2F" w:rsidRPr="009B3747" w:rsidRDefault="00991D2F" w:rsidP="00827CC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Home environment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1D2F" w:rsidRPr="009B3747" w:rsidRDefault="00991D2F" w:rsidP="00827CCD">
            <w:pPr>
              <w:spacing w:line="24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 xml:space="preserve">Section 5 (Q1.1) </w:t>
            </w:r>
            <w:r w:rsidR="00787223" w:rsidRPr="009B3747">
              <w:rPr>
                <w:rFonts w:eastAsia="Times New Roman" w:cstheme="minorHAnsi"/>
                <w:color w:val="000000"/>
                <w:sz w:val="20"/>
                <w:szCs w:val="20"/>
                <w:lang w:eastAsia="en-GB"/>
              </w:rPr>
              <w:t>–</w:t>
            </w:r>
            <w:r w:rsidRPr="009B3747">
              <w:rPr>
                <w:rFonts w:eastAsia="Times New Roman" w:cstheme="minorHAnsi"/>
                <w:color w:val="000000"/>
                <w:sz w:val="20"/>
                <w:szCs w:val="20"/>
                <w:lang w:eastAsia="en-GB"/>
              </w:rPr>
              <w:t xml:space="preserve"> A secondary school pupil’s home environment is more influential in the prevention of excess weight gain than the school environment</w:t>
            </w:r>
          </w:p>
        </w:tc>
      </w:tr>
      <w:tr w:rsidR="00991D2F" w:rsidRPr="009B3747" w:rsidTr="00991D2F">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91D2F" w:rsidRPr="009B3747" w:rsidRDefault="00991D2F" w:rsidP="00827CCD">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1D2F" w:rsidRPr="009B3747" w:rsidRDefault="00991D2F" w:rsidP="00827CCD">
            <w:pPr>
              <w:spacing w:line="240" w:lineRule="auto"/>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Sub-theme 2 </w:t>
            </w:r>
          </w:p>
          <w:p w:rsidR="00991D2F" w:rsidRPr="009B3747" w:rsidRDefault="00991D2F" w:rsidP="00827CC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Wider food environment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1D2F" w:rsidRPr="009B3747" w:rsidRDefault="00991D2F" w:rsidP="00827CCD">
            <w:pPr>
              <w:spacing w:line="24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 xml:space="preserve">Section 5 (Q2.1) </w:t>
            </w:r>
            <w:r w:rsidR="00787223" w:rsidRPr="009B3747">
              <w:rPr>
                <w:rFonts w:eastAsia="Times New Roman" w:cstheme="minorHAnsi"/>
                <w:color w:val="000000"/>
                <w:sz w:val="20"/>
                <w:szCs w:val="20"/>
                <w:lang w:eastAsia="en-GB"/>
              </w:rPr>
              <w:t>–</w:t>
            </w:r>
            <w:r w:rsidRPr="009B3747">
              <w:rPr>
                <w:rFonts w:eastAsia="Times New Roman" w:cstheme="minorHAnsi"/>
                <w:color w:val="000000"/>
                <w:sz w:val="20"/>
                <w:szCs w:val="20"/>
                <w:lang w:eastAsia="en-GB"/>
              </w:rPr>
              <w:t xml:space="preserve"> I am concerned about the availability of junk near to my secondary school</w:t>
            </w:r>
          </w:p>
        </w:tc>
      </w:tr>
      <w:tr w:rsidR="00991D2F" w:rsidRPr="009B3747" w:rsidTr="00991D2F">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1D2F" w:rsidRPr="009B3747" w:rsidRDefault="00991D2F" w:rsidP="00827CCD">
            <w:pPr>
              <w:spacing w:line="240" w:lineRule="auto"/>
              <w:rPr>
                <w:rFonts w:eastAsia="Times New Roman" w:cstheme="minorHAnsi"/>
                <w:sz w:val="24"/>
                <w:szCs w:val="24"/>
                <w:lang w:eastAsia="en-GB"/>
              </w:rPr>
            </w:pPr>
            <w:r w:rsidRPr="009B3747">
              <w:rPr>
                <w:rFonts w:eastAsia="Times New Roman" w:cstheme="minorHAnsi"/>
                <w:i/>
                <w:iCs/>
                <w:color w:val="000000"/>
                <w:sz w:val="20"/>
                <w:szCs w:val="20"/>
                <w:lang w:eastAsia="en-GB"/>
              </w:rPr>
              <w:lastRenderedPageBreak/>
              <w:t>Theme 3</w:t>
            </w:r>
          </w:p>
          <w:p w:rsidR="00991D2F" w:rsidRPr="009B3747" w:rsidRDefault="00991D2F" w:rsidP="00827CC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Shared responsibility, collective solutions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1D2F" w:rsidRPr="009B3747" w:rsidRDefault="00991D2F" w:rsidP="00827CCD">
            <w:pPr>
              <w:spacing w:line="240" w:lineRule="auto"/>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Sub-theme 1 </w:t>
            </w:r>
          </w:p>
          <w:p w:rsidR="00991D2F" w:rsidRPr="009B3747" w:rsidRDefault="00991D2F" w:rsidP="00827CC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Continuum of responsibility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1D2F" w:rsidRPr="009B3747" w:rsidRDefault="00787223" w:rsidP="00827CCD">
            <w:pPr>
              <w:spacing w:line="24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 xml:space="preserve">Section 5 (Q3.4) – </w:t>
            </w:r>
            <w:r w:rsidR="00991D2F" w:rsidRPr="009B3747">
              <w:rPr>
                <w:rFonts w:eastAsia="Times New Roman" w:cstheme="minorHAnsi"/>
                <w:color w:val="000000"/>
                <w:sz w:val="20"/>
                <w:szCs w:val="20"/>
                <w:lang w:eastAsia="en-GB"/>
              </w:rPr>
              <w:t xml:space="preserve">The following have a responsibility for preventing excess weight gain in secondary school pupils? - Government </w:t>
            </w:r>
          </w:p>
        </w:tc>
      </w:tr>
      <w:tr w:rsidR="00991D2F" w:rsidRPr="009B3747" w:rsidTr="00991D2F">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91D2F" w:rsidRPr="009B3747" w:rsidRDefault="00991D2F" w:rsidP="00827CCD">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1D2F" w:rsidRPr="009B3747" w:rsidRDefault="00991D2F" w:rsidP="00827CCD">
            <w:pPr>
              <w:spacing w:line="240" w:lineRule="auto"/>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Sub-theme 2 </w:t>
            </w:r>
          </w:p>
          <w:p w:rsidR="00991D2F" w:rsidRPr="009B3747" w:rsidRDefault="00991D2F" w:rsidP="00827CC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Approaches to behaviour change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1D2F" w:rsidRPr="009B3747" w:rsidRDefault="00991D2F" w:rsidP="004862DC">
            <w:pPr>
              <w:spacing w:line="24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 xml:space="preserve">Section 5 (4.7) </w:t>
            </w:r>
            <w:r w:rsidR="00787223" w:rsidRPr="009B3747">
              <w:rPr>
                <w:rFonts w:eastAsia="Times New Roman" w:cstheme="minorHAnsi"/>
                <w:color w:val="000000"/>
                <w:sz w:val="20"/>
                <w:szCs w:val="20"/>
                <w:lang w:eastAsia="en-GB"/>
              </w:rPr>
              <w:t>–</w:t>
            </w:r>
            <w:r w:rsidRPr="009B3747">
              <w:rPr>
                <w:rFonts w:eastAsia="Times New Roman" w:cstheme="minorHAnsi"/>
                <w:color w:val="000000"/>
                <w:sz w:val="20"/>
                <w:szCs w:val="20"/>
                <w:lang w:eastAsia="en-GB"/>
              </w:rPr>
              <w:t xml:space="preserve"> The following are effective for preventing excess weight gain in se</w:t>
            </w:r>
            <w:r w:rsidR="004862DC">
              <w:rPr>
                <w:rFonts w:eastAsia="Times New Roman" w:cstheme="minorHAnsi"/>
                <w:color w:val="000000"/>
                <w:sz w:val="20"/>
                <w:szCs w:val="20"/>
                <w:lang w:eastAsia="en-GB"/>
              </w:rPr>
              <w:t xml:space="preserve">condary school pupils – Taxation, </w:t>
            </w:r>
            <w:r w:rsidRPr="009B3747">
              <w:rPr>
                <w:rFonts w:eastAsia="Times New Roman" w:cstheme="minorHAnsi"/>
                <w:color w:val="000000"/>
                <w:sz w:val="20"/>
                <w:szCs w:val="20"/>
                <w:lang w:eastAsia="en-GB"/>
              </w:rPr>
              <w:t>e.g. sugar tax on sugary drinks</w:t>
            </w:r>
          </w:p>
        </w:tc>
      </w:tr>
      <w:tr w:rsidR="00991D2F" w:rsidRPr="009B3747" w:rsidTr="00991D2F">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1D2F" w:rsidRPr="009B3747" w:rsidRDefault="00991D2F" w:rsidP="00827CCD">
            <w:pPr>
              <w:spacing w:line="240" w:lineRule="auto"/>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Theme 4 </w:t>
            </w:r>
          </w:p>
          <w:p w:rsidR="00991D2F" w:rsidRPr="009B3747" w:rsidRDefault="00991D2F" w:rsidP="00827CC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Secondary school setting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1D2F" w:rsidRPr="009B3747" w:rsidRDefault="00991D2F" w:rsidP="00827CCD">
            <w:pPr>
              <w:spacing w:line="240" w:lineRule="auto"/>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Sub-theme 1 </w:t>
            </w:r>
          </w:p>
          <w:p w:rsidR="00991D2F" w:rsidRPr="009B3747" w:rsidRDefault="00991D2F" w:rsidP="00827CC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Action contributing to obesity prevention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1D2F" w:rsidRPr="009B3747" w:rsidRDefault="00991D2F" w:rsidP="00827CCD">
            <w:pPr>
              <w:spacing w:line="24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 xml:space="preserve">Section 4 (Q4) </w:t>
            </w:r>
            <w:r w:rsidR="00787223" w:rsidRPr="009B3747">
              <w:rPr>
                <w:rFonts w:eastAsia="Times New Roman" w:cstheme="minorHAnsi"/>
                <w:color w:val="000000"/>
                <w:sz w:val="20"/>
                <w:szCs w:val="20"/>
                <w:lang w:eastAsia="en-GB"/>
              </w:rPr>
              <w:t>–</w:t>
            </w:r>
            <w:r w:rsidRPr="009B3747">
              <w:rPr>
                <w:rFonts w:eastAsia="Times New Roman" w:cstheme="minorHAnsi"/>
                <w:color w:val="000000"/>
                <w:sz w:val="20"/>
                <w:szCs w:val="20"/>
                <w:lang w:eastAsia="en-GB"/>
              </w:rPr>
              <w:t xml:space="preserve"> Within my secondary school setting - We meet the requirements of the school food plan</w:t>
            </w:r>
          </w:p>
        </w:tc>
      </w:tr>
      <w:tr w:rsidR="00991D2F" w:rsidRPr="009B3747" w:rsidTr="00991D2F">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91D2F" w:rsidRPr="009B3747" w:rsidRDefault="00991D2F" w:rsidP="00827CCD">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1D2F" w:rsidRPr="009B3747" w:rsidRDefault="00991D2F" w:rsidP="00827CCD">
            <w:pPr>
              <w:spacing w:line="240" w:lineRule="auto"/>
              <w:rPr>
                <w:rFonts w:eastAsia="Times New Roman" w:cstheme="minorHAnsi"/>
                <w:sz w:val="24"/>
                <w:szCs w:val="24"/>
                <w:lang w:eastAsia="en-GB"/>
              </w:rPr>
            </w:pPr>
            <w:r w:rsidRPr="009B3747">
              <w:rPr>
                <w:rFonts w:eastAsia="Times New Roman" w:cstheme="minorHAnsi"/>
                <w:i/>
                <w:iCs/>
                <w:color w:val="000000"/>
                <w:sz w:val="20"/>
                <w:szCs w:val="20"/>
                <w:lang w:eastAsia="en-GB"/>
              </w:rPr>
              <w:t xml:space="preserve">Sub-theme 3 </w:t>
            </w:r>
          </w:p>
          <w:p w:rsidR="00991D2F" w:rsidRPr="009B3747" w:rsidRDefault="00991D2F" w:rsidP="00827CCD">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Role modelling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1D2F" w:rsidRPr="009B3747" w:rsidRDefault="00991D2F" w:rsidP="00827CCD">
            <w:pPr>
              <w:spacing w:line="240" w:lineRule="auto"/>
              <w:rPr>
                <w:rFonts w:eastAsia="Times New Roman" w:cstheme="minorHAnsi"/>
                <w:color w:val="000000"/>
                <w:sz w:val="20"/>
                <w:szCs w:val="20"/>
                <w:lang w:eastAsia="en-GB"/>
              </w:rPr>
            </w:pPr>
            <w:r w:rsidRPr="009B3747">
              <w:rPr>
                <w:rFonts w:eastAsia="Times New Roman" w:cstheme="minorHAnsi"/>
                <w:color w:val="000000"/>
                <w:sz w:val="20"/>
                <w:szCs w:val="20"/>
                <w:lang w:eastAsia="en-GB"/>
              </w:rPr>
              <w:t xml:space="preserve">Section 4 (Q1.5) </w:t>
            </w:r>
            <w:r w:rsidR="00787223" w:rsidRPr="009B3747">
              <w:rPr>
                <w:rFonts w:eastAsia="Times New Roman" w:cstheme="minorHAnsi"/>
                <w:color w:val="000000"/>
                <w:sz w:val="20"/>
                <w:szCs w:val="20"/>
                <w:lang w:eastAsia="en-GB"/>
              </w:rPr>
              <w:t>–</w:t>
            </w:r>
            <w:r w:rsidRPr="009B3747">
              <w:rPr>
                <w:rFonts w:eastAsia="Times New Roman" w:cstheme="minorHAnsi"/>
                <w:color w:val="000000"/>
                <w:sz w:val="20"/>
                <w:szCs w:val="20"/>
                <w:lang w:eastAsia="en-GB"/>
              </w:rPr>
              <w:t xml:space="preserve"> Within my secondary school - School staff should role model healthy lifestyles to secondary school pupils</w:t>
            </w:r>
          </w:p>
        </w:tc>
      </w:tr>
    </w:tbl>
    <w:p w:rsidR="00991D2F" w:rsidRPr="009B3747" w:rsidRDefault="00991D2F"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022E3D" w:rsidRPr="009B3747" w:rsidRDefault="00022E3D" w:rsidP="0085424B">
      <w:pPr>
        <w:rPr>
          <w:rFonts w:eastAsia="Times New Roman" w:cstheme="minorHAnsi"/>
          <w:color w:val="000000"/>
          <w:lang w:eastAsia="en-GB"/>
        </w:rPr>
      </w:pPr>
    </w:p>
    <w:p w:rsidR="00991D2F" w:rsidRPr="009B3747" w:rsidRDefault="00991D2F" w:rsidP="0085424B">
      <w:pPr>
        <w:rPr>
          <w:rFonts w:eastAsia="Times New Roman" w:cstheme="minorHAnsi"/>
          <w:color w:val="000000"/>
          <w:lang w:eastAsia="en-GB"/>
        </w:rPr>
      </w:pPr>
      <w:r w:rsidRPr="009B3747">
        <w:rPr>
          <w:rFonts w:eastAsia="Times New Roman" w:cstheme="minorHAnsi"/>
          <w:color w:val="000000"/>
          <w:lang w:eastAsia="en-GB"/>
        </w:rPr>
        <w:t>The researcher attempted to write each opinion statements as close as possible in meaning and sentiment to the perspectives expressed by participants in the first phase of the study.  For example within the qualitative findings report, in the main headteachers and chairs of governors perceived pupils who are in receipt of free school meals are more likely to be overweight or obese, have unhealthier diets and do less phys</w:t>
      </w:r>
      <w:r w:rsidR="005C0E7B" w:rsidRPr="009B3747">
        <w:rPr>
          <w:rFonts w:eastAsia="Times New Roman" w:cstheme="minorHAnsi"/>
          <w:color w:val="000000"/>
          <w:lang w:eastAsia="en-GB"/>
        </w:rPr>
        <w:t>ical activity</w:t>
      </w:r>
      <w:r w:rsidRPr="009B3747">
        <w:rPr>
          <w:rFonts w:eastAsia="Times New Roman" w:cstheme="minorHAnsi"/>
          <w:color w:val="000000"/>
          <w:lang w:eastAsia="en-GB"/>
        </w:rPr>
        <w:t>.  Consequently, corresponding statements were written so that they clearly and concisely encapsulated these opinions.  The level of agreement for each statement and therefore the opinions obtained within the qualitative phase we</w:t>
      </w:r>
      <w:r w:rsidR="00DB655F" w:rsidRPr="009B3747">
        <w:rPr>
          <w:rFonts w:eastAsia="Times New Roman" w:cstheme="minorHAnsi"/>
          <w:color w:val="000000"/>
          <w:lang w:eastAsia="en-GB"/>
        </w:rPr>
        <w:t>re measured through the use of L</w:t>
      </w:r>
      <w:r w:rsidRPr="009B3747">
        <w:rPr>
          <w:rFonts w:eastAsia="Times New Roman" w:cstheme="minorHAnsi"/>
          <w:color w:val="000000"/>
          <w:lang w:eastAsia="en-GB"/>
        </w:rPr>
        <w:t>ikert scales, a re</w:t>
      </w:r>
      <w:r w:rsidR="005C0E7B" w:rsidRPr="009B3747">
        <w:rPr>
          <w:rFonts w:eastAsia="Times New Roman" w:cstheme="minorHAnsi"/>
          <w:color w:val="000000"/>
          <w:lang w:eastAsia="en-GB"/>
        </w:rPr>
        <w:t xml:space="preserve">sponse scale used for </w:t>
      </w:r>
      <w:r w:rsidR="005C0E7B" w:rsidRPr="009B3747">
        <w:rPr>
          <w:rFonts w:eastAsia="Times New Roman" w:cstheme="minorHAnsi"/>
          <w:i/>
          <w:color w:val="000000"/>
          <w:lang w:eastAsia="en-GB"/>
        </w:rPr>
        <w:t>“</w:t>
      </w:r>
      <w:r w:rsidRPr="009B3747">
        <w:rPr>
          <w:rFonts w:eastAsia="Times New Roman" w:cstheme="minorHAnsi"/>
          <w:i/>
          <w:color w:val="000000"/>
          <w:lang w:eastAsia="en-GB"/>
        </w:rPr>
        <w:t>measuring opinions,</w:t>
      </w:r>
      <w:r w:rsidR="005C0E7B" w:rsidRPr="009B3747">
        <w:rPr>
          <w:rFonts w:eastAsia="Times New Roman" w:cstheme="minorHAnsi"/>
          <w:i/>
          <w:color w:val="000000"/>
          <w:lang w:eastAsia="en-GB"/>
        </w:rPr>
        <w:t xml:space="preserve"> beliefs and attitudes” </w:t>
      </w:r>
      <w:r w:rsidR="005C0E7B"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"ISBN" : "0761926054", "abstract" : "2nd ed. 'Scale Development' guides the reader toward the identification of the latent variable, the generation of an item pool, the format for measurement &amp; the optimization of the scale length. Using exercises to illustrate the concepts, the text also includes advice about factor analytic strategies. Understanding the Latent Variable -- Reliability -- Validity -- Guidelines in Scale Development -- Factor Analysis -- An Overview of Item Response Theory -- Measurement in the Broader Research Context.", "author" : [ { "dropping-particle" : "", "family" : "DeVellis", "given" : "Robert F.", "non-dropping-particle" : "", "parse-names" : false, "suffix" : "" } ], "edition" : "2nd", "id" : "ITEM-1", "issued" : { "date-parts" : [ [ "2003" ] ] }, "number-of-pages" : "171", "publisher" : "Sage Publications", "publisher-place" : "Los Angeles", "title" : "Scale development : theory and applications", "type" : "book" }, "uris" : [ "http://www.mendeley.com/documents/?uuid=8d51d02e-abea-3ce7-83be-a755a565a84e" ] } ], "mendeley" : { "formattedCitation" : "(DeVellis, 2003)", "manualFormatting" : "(DeVellis, 2003, p.79)", "plainTextFormattedCitation" : "(DeVellis, 2003)", "previouslyFormattedCitation" : "(DeVellis, 2003)" }, "properties" : { "noteIndex" : 0 }, "schema" : "https://github.com/citation-style-language/schema/raw/master/csl-citation.json" }</w:instrText>
      </w:r>
      <w:r w:rsidR="005C0E7B" w:rsidRPr="009B3747">
        <w:rPr>
          <w:rFonts w:eastAsia="Times New Roman" w:cstheme="minorHAnsi"/>
          <w:color w:val="000000"/>
          <w:lang w:eastAsia="en-GB"/>
        </w:rPr>
        <w:fldChar w:fldCharType="separate"/>
      </w:r>
      <w:r w:rsidR="005C0E7B" w:rsidRPr="009B3747">
        <w:rPr>
          <w:rFonts w:eastAsia="Times New Roman" w:cstheme="minorHAnsi"/>
          <w:noProof/>
          <w:color w:val="000000"/>
          <w:lang w:eastAsia="en-GB"/>
        </w:rPr>
        <w:t>(DeVellis, 2003</w:t>
      </w:r>
      <w:r w:rsidR="00E3179E" w:rsidRPr="009B3747">
        <w:rPr>
          <w:rFonts w:eastAsia="Times New Roman" w:cstheme="minorHAnsi"/>
          <w:noProof/>
          <w:color w:val="000000"/>
          <w:lang w:eastAsia="en-GB"/>
        </w:rPr>
        <w:t>, p.</w:t>
      </w:r>
      <w:r w:rsidR="005C0E7B" w:rsidRPr="009B3747">
        <w:rPr>
          <w:rFonts w:eastAsia="Times New Roman" w:cstheme="minorHAnsi"/>
          <w:noProof/>
          <w:color w:val="000000"/>
          <w:lang w:eastAsia="en-GB"/>
        </w:rPr>
        <w:t>79)</w:t>
      </w:r>
      <w:r w:rsidR="005C0E7B"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w:t>
      </w:r>
    </w:p>
    <w:p w:rsidR="0085424B" w:rsidRPr="009B3747" w:rsidRDefault="0085424B" w:rsidP="0085424B">
      <w:pPr>
        <w:rPr>
          <w:rFonts w:eastAsia="Times New Roman" w:cstheme="minorHAnsi"/>
          <w:sz w:val="24"/>
          <w:szCs w:val="24"/>
          <w:lang w:eastAsia="en-GB"/>
        </w:rPr>
      </w:pPr>
    </w:p>
    <w:p w:rsidR="00991D2F" w:rsidRPr="009B3747" w:rsidRDefault="00CB18A0" w:rsidP="0085424B">
      <w:pPr>
        <w:rPr>
          <w:rFonts w:eastAsia="Times New Roman" w:cstheme="minorHAnsi"/>
          <w:sz w:val="24"/>
          <w:szCs w:val="24"/>
          <w:lang w:eastAsia="en-GB"/>
        </w:rPr>
      </w:pPr>
      <w:r w:rsidRPr="009B3747">
        <w:rPr>
          <w:rFonts w:eastAsia="Times New Roman" w:cstheme="minorHAnsi"/>
          <w:color w:val="000000"/>
          <w:u w:val="single"/>
          <w:lang w:eastAsia="en-GB"/>
        </w:rPr>
        <w:t>7.3</w:t>
      </w:r>
      <w:r w:rsidR="00827CCD" w:rsidRPr="009B3747">
        <w:rPr>
          <w:rFonts w:eastAsia="Times New Roman" w:cstheme="minorHAnsi"/>
          <w:color w:val="000000"/>
          <w:u w:val="single"/>
          <w:lang w:eastAsia="en-GB"/>
        </w:rPr>
        <w:t xml:space="preserve">.4 </w:t>
      </w:r>
      <w:r w:rsidR="00991D2F" w:rsidRPr="009B3747">
        <w:rPr>
          <w:rFonts w:eastAsia="Times New Roman" w:cstheme="minorHAnsi"/>
          <w:color w:val="000000"/>
          <w:u w:val="single"/>
          <w:lang w:eastAsia="en-GB"/>
        </w:rPr>
        <w:t>Measuring the item pool</w:t>
      </w:r>
    </w:p>
    <w:p w:rsidR="00991D2F" w:rsidRPr="009B3747" w:rsidRDefault="00991D2F" w:rsidP="0085424B">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85424B">
      <w:pPr>
        <w:rPr>
          <w:rFonts w:eastAsia="Times New Roman" w:cstheme="minorHAnsi"/>
          <w:sz w:val="24"/>
          <w:szCs w:val="24"/>
          <w:lang w:eastAsia="en-GB"/>
        </w:rPr>
      </w:pPr>
      <w:r w:rsidRPr="009B3747">
        <w:rPr>
          <w:rFonts w:eastAsia="Times New Roman" w:cstheme="minorHAnsi"/>
          <w:color w:val="000000"/>
          <w:lang w:eastAsia="en-GB"/>
        </w:rPr>
        <w:t>Aside from demographic questions, four open questions and a single question asking participants to estimate excess weight prevalence, the item pool consisted of a series of closed opinion statements.  These were used as single indicators to measure a broad range of concepts related to adolescent obesity and its prevention in secondary school settings.  It was deemed impractical to utilise multiple indicators to measure each</w:t>
      </w:r>
      <w:r w:rsidR="004862DC">
        <w:rPr>
          <w:rFonts w:eastAsia="Times New Roman" w:cstheme="minorHAnsi"/>
          <w:color w:val="000000"/>
          <w:lang w:eastAsia="en-GB"/>
        </w:rPr>
        <w:t xml:space="preserve"> individual concept under study, </w:t>
      </w:r>
      <w:r w:rsidRPr="009B3747">
        <w:rPr>
          <w:rFonts w:eastAsia="Times New Roman" w:cstheme="minorHAnsi"/>
          <w:color w:val="000000"/>
          <w:lang w:eastAsia="en-GB"/>
        </w:rPr>
        <w:t>e.g. responsibility for obesity, given the researcher wanted to incorporate the breadth of concepts or topics arising from the qualitative interviews.  Consequently each single indicato</w:t>
      </w:r>
      <w:r w:rsidR="00B46C02">
        <w:rPr>
          <w:rFonts w:eastAsia="Times New Roman" w:cstheme="minorHAnsi"/>
          <w:color w:val="000000"/>
          <w:lang w:eastAsia="en-GB"/>
        </w:rPr>
        <w:t xml:space="preserve">r, </w:t>
      </w:r>
      <w:r w:rsidRPr="009B3747">
        <w:rPr>
          <w:rFonts w:eastAsia="Times New Roman" w:cstheme="minorHAnsi"/>
          <w:color w:val="000000"/>
          <w:lang w:eastAsia="en-GB"/>
        </w:rPr>
        <w:t>i.e. closed opinion statement, was measure</w:t>
      </w:r>
      <w:r w:rsidR="009025E2">
        <w:rPr>
          <w:rFonts w:eastAsia="Times New Roman" w:cstheme="minorHAnsi"/>
          <w:color w:val="000000"/>
          <w:lang w:eastAsia="en-GB"/>
        </w:rPr>
        <w:t>d against a Likert rating scale, which allowed</w:t>
      </w:r>
      <w:r w:rsidRPr="009B3747">
        <w:rPr>
          <w:rFonts w:eastAsia="Times New Roman" w:cstheme="minorHAnsi"/>
          <w:color w:val="000000"/>
          <w:lang w:eastAsia="en-GB"/>
        </w:rPr>
        <w:t xml:space="preserve"> participants to indicate their level of agreement.</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lastRenderedPageBreak/>
        <w:t>Developed in 1932 by Rensis Lik</w:t>
      </w:r>
      <w:r w:rsidR="002E55FF" w:rsidRPr="009B3747">
        <w:rPr>
          <w:rFonts w:eastAsia="Times New Roman" w:cstheme="minorHAnsi"/>
          <w:color w:val="000000"/>
          <w:lang w:eastAsia="en-GB"/>
        </w:rPr>
        <w:t xml:space="preserve">ert, the Likert scale has been </w:t>
      </w:r>
      <w:r w:rsidR="002E55FF" w:rsidRPr="009B3747">
        <w:rPr>
          <w:rFonts w:eastAsia="Times New Roman" w:cstheme="minorHAnsi"/>
          <w:i/>
          <w:color w:val="000000"/>
          <w:lang w:eastAsia="en-GB"/>
        </w:rPr>
        <w:t>“</w:t>
      </w:r>
      <w:r w:rsidRPr="009B3747">
        <w:rPr>
          <w:rFonts w:eastAsia="Times New Roman" w:cstheme="minorHAnsi"/>
          <w:i/>
          <w:color w:val="000000"/>
          <w:lang w:eastAsia="en-GB"/>
        </w:rPr>
        <w:t>used more often than any other ratin</w:t>
      </w:r>
      <w:r w:rsidR="002E55FF" w:rsidRPr="009B3747">
        <w:rPr>
          <w:rFonts w:eastAsia="Times New Roman" w:cstheme="minorHAnsi"/>
          <w:i/>
          <w:color w:val="000000"/>
          <w:lang w:eastAsia="en-GB"/>
        </w:rPr>
        <w:t xml:space="preserve">g device for measuring attitude” </w:t>
      </w:r>
      <w:r w:rsidR="002E55FF" w:rsidRPr="009B3747">
        <w:rPr>
          <w:rFonts w:eastAsia="Times New Roman" w:cstheme="minorHAnsi"/>
          <w:color w:val="000000"/>
          <w:lang w:eastAsia="en-GB"/>
        </w:rPr>
        <w:fldChar w:fldCharType="begin" w:fldLock="1"/>
      </w:r>
      <w:r w:rsidR="00224C9C" w:rsidRPr="009B3747">
        <w:rPr>
          <w:rFonts w:eastAsia="Times New Roman" w:cstheme="minorHAnsi"/>
          <w:color w:val="000000"/>
          <w:lang w:eastAsia="en-GB"/>
        </w:rPr>
        <w:instrText>ADDIN CSL_CITATION { "citationItems" : [ { "id" : "ITEM-1", "itemData" : { "DOI" : "10.1016/S0031-9406(10)61110-8", "ISSN" : "00319406", "author" : [ { "dropping-particle" : "", "family" : "Foddy", "given" : "William", "non-dropping-particle" : "", "parse-names" : false, "suffix" : "" }, { "dropping-particle" : "", "family" : "Mantle", "given" : "Jill", "non-dropping-particle" : "", "parse-names" : false, "suffix" : "" } ], "container-title" : "Physiotherapy", "id" : "ITEM-1", "issue" : "6", "issued" : { "date-parts" : [ [ "1994", "6", "10" ] ] }, "page" : "382", "publisher" : "Elsevier", "title" : "Constructing Questions for Interviews and Questionnaires ? Theory and practice in social research", "type" : "article-journal", "volume" : "80" }, "uris" : [ "http://www.mendeley.com/documents/?uuid=5d20a47d-d11f-3a02-8c2f-6d7a4c8b2c0f" ] } ], "mendeley" : { "formattedCitation" : "(Foddy and Mantle, 1994)", "manualFormatting" : "(Foddy and Mantle, 1994, p.180)", "plainTextFormattedCitation" : "(Foddy and Mantle, 1994)", "previouslyFormattedCitation" : "(Foddy and Mantle, 1994)" }, "properties" : { "noteIndex" : 0 }, "schema" : "https://github.com/citation-style-language/schema/raw/master/csl-citation.json" }</w:instrText>
      </w:r>
      <w:r w:rsidR="002E55FF" w:rsidRPr="009B3747">
        <w:rPr>
          <w:rFonts w:eastAsia="Times New Roman" w:cstheme="minorHAnsi"/>
          <w:color w:val="000000"/>
          <w:lang w:eastAsia="en-GB"/>
        </w:rPr>
        <w:fldChar w:fldCharType="separate"/>
      </w:r>
      <w:r w:rsidR="002E55FF" w:rsidRPr="009B3747">
        <w:rPr>
          <w:rFonts w:eastAsia="Times New Roman" w:cstheme="minorHAnsi"/>
          <w:noProof/>
          <w:color w:val="000000"/>
          <w:lang w:eastAsia="en-GB"/>
        </w:rPr>
        <w:t>(Foddy and Mantle, 1994</w:t>
      </w:r>
      <w:r w:rsidR="00E3179E" w:rsidRPr="009B3747">
        <w:rPr>
          <w:rFonts w:eastAsia="Times New Roman" w:cstheme="minorHAnsi"/>
          <w:noProof/>
          <w:color w:val="000000"/>
          <w:lang w:eastAsia="en-GB"/>
        </w:rPr>
        <w:t>, p.</w:t>
      </w:r>
      <w:r w:rsidR="002E55FF" w:rsidRPr="009B3747">
        <w:rPr>
          <w:rFonts w:eastAsia="Times New Roman" w:cstheme="minorHAnsi"/>
          <w:noProof/>
          <w:color w:val="000000"/>
          <w:lang w:eastAsia="en-GB"/>
        </w:rPr>
        <w:t>180)</w:t>
      </w:r>
      <w:r w:rsidR="002E55FF" w:rsidRPr="009B3747">
        <w:rPr>
          <w:rFonts w:eastAsia="Times New Roman" w:cstheme="minorHAnsi"/>
          <w:color w:val="000000"/>
          <w:lang w:eastAsia="en-GB"/>
        </w:rPr>
        <w:fldChar w:fldCharType="end"/>
      </w:r>
      <w:r w:rsidR="002E55FF" w:rsidRPr="009B3747">
        <w:rPr>
          <w:rFonts w:eastAsia="Times New Roman" w:cstheme="minorHAnsi"/>
          <w:color w:val="000000"/>
          <w:lang w:eastAsia="en-GB"/>
        </w:rPr>
        <w:t xml:space="preserve">.  Argued to </w:t>
      </w:r>
      <w:r w:rsidR="002E55FF" w:rsidRPr="009B3747">
        <w:rPr>
          <w:rFonts w:eastAsia="Times New Roman" w:cstheme="minorHAnsi"/>
          <w:i/>
          <w:color w:val="000000"/>
          <w:lang w:eastAsia="en-GB"/>
        </w:rPr>
        <w:t>“</w:t>
      </w:r>
      <w:r w:rsidRPr="009B3747">
        <w:rPr>
          <w:rFonts w:eastAsia="Times New Roman" w:cstheme="minorHAnsi"/>
          <w:i/>
          <w:color w:val="000000"/>
          <w:lang w:eastAsia="en-GB"/>
        </w:rPr>
        <w:t>combine the opportunity for a flexible response with the ability to determine frequencies, correlations and other forms of quantitative analysis</w:t>
      </w:r>
      <w:r w:rsidR="002E55FF" w:rsidRPr="009B3747">
        <w:rPr>
          <w:rFonts w:eastAsia="Times New Roman" w:cstheme="minorHAnsi"/>
          <w:i/>
          <w:color w:val="000000"/>
          <w:lang w:eastAsia="en-GB"/>
        </w:rPr>
        <w:t>”</w:t>
      </w:r>
      <w:r w:rsidR="002E55FF" w:rsidRPr="009B3747">
        <w:rPr>
          <w:rFonts w:eastAsia="Times New Roman" w:cstheme="minorHAnsi"/>
          <w:color w:val="000000"/>
          <w:lang w:eastAsia="en-GB"/>
        </w:rPr>
        <w:t xml:space="preserve"> </w:t>
      </w:r>
      <w:r w:rsidR="002E55FF"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"ISBN" : "0415368782", "abstract" : "6th ed. This edition covers the whole range of methods currently employed by educational research at all stages. It includes new material on complexity theory, ethics, sampling, and sensitive educational research. Part 1. The context of educational research. 1. The nature of inquiry -- setting the field -- pt. 2. Planning educatinal research. 2. The ethics of educational and social research ; 3. Planning educational research ; 4. Sampling ; 5. Sensitive educational research ; 6. Validity and reliability -- pt. 3. Styles of educational research. 7. Naturalistic and ethnographic research ; 8. Historical and documentary research ; 9. Surveys, longitudinal, cross-sectional and trend studies ; 10. Internet-based research and computer usage ; 11. Case studies ; 12. Ex post facto research ; 13. Experiments, quasi-experiments, single-case research and meta-analysis ; 14. Action research -- pt. 4. Strategies ofr data collection and researching. 15. Questionnaires ; 16. Interviews ; 17. Accounts ; 18. Observation ; 19. Tests ; 20. Personal constructs ; 21. Role-playing -- pt. 5. Approaches to quantitative data analysis. 22. Approaches to qualitative data analysis ; 23. Content analysis and grounded theory ; 24. Quantitative data analysis ; 25. Multidimensional measurement and factor analysis ; 26. Choosing a statistical test.", "author" : [ { "dropping-particle" : "", "family" : "Cohen", "given" : "Louis", "non-dropping-particle" : "", "parse-names" : false, "suffix" : "" }, { "dropping-particle" : "", "family" : "Manion", "given" : "Lawrence.", "non-dropping-particle" : "", "parse-names" : false, "suffix" : "" }, { "dropping-particle" : "", "family" : "Morrison", "given" : "Keith (Keith R. B.)", "non-dropping-particle" : "", "parse-names" : false, "suffix" : "" } ], "edition" : "6th", "id" : "ITEM-1", "issued" : { "date-parts" : [ [ "2007" ] ] }, "number-of-pages" : "638", "publisher" : "Routledge", "publisher-place" : "Abingdon", "title" : "Research methods in education", "type" : "book" }, "uris" : [ "http://www.mendeley.com/documents/?uuid=1cb9ef10-7017-3fac-aaa7-02c594655852" ] } ], "mendeley" : { "formattedCitation" : "(Cohen et al., 2007)", "manualFormatting" : "(Cohen et al., 2007, p.253)", "plainTextFormattedCitation" : "(Cohen et al., 2007)", "previouslyFormattedCitation" : "(Cohen et al., 2007)" }, "properties" : { "noteIndex" : 0 }, "schema" : "https://github.com/citation-style-language/schema/raw/master/csl-citation.json" }</w:instrText>
      </w:r>
      <w:r w:rsidR="002E55FF" w:rsidRPr="009B3747">
        <w:rPr>
          <w:rFonts w:eastAsia="Times New Roman" w:cstheme="minorHAnsi"/>
          <w:color w:val="000000"/>
          <w:lang w:eastAsia="en-GB"/>
        </w:rPr>
        <w:fldChar w:fldCharType="separate"/>
      </w:r>
      <w:r w:rsidR="002E55FF" w:rsidRPr="009B3747">
        <w:rPr>
          <w:rFonts w:eastAsia="Times New Roman" w:cstheme="minorHAnsi"/>
          <w:noProof/>
          <w:color w:val="000000"/>
          <w:lang w:eastAsia="en-GB"/>
        </w:rPr>
        <w:t>(Cohen et al., 2007</w:t>
      </w:r>
      <w:r w:rsidR="00E3179E" w:rsidRPr="009B3747">
        <w:rPr>
          <w:rFonts w:eastAsia="Times New Roman" w:cstheme="minorHAnsi"/>
          <w:noProof/>
          <w:color w:val="000000"/>
          <w:lang w:eastAsia="en-GB"/>
        </w:rPr>
        <w:t>, p.</w:t>
      </w:r>
      <w:r w:rsidR="002E55FF" w:rsidRPr="009B3747">
        <w:rPr>
          <w:rFonts w:eastAsia="Times New Roman" w:cstheme="minorHAnsi"/>
          <w:noProof/>
          <w:color w:val="000000"/>
          <w:lang w:eastAsia="en-GB"/>
        </w:rPr>
        <w:t>253)</w:t>
      </w:r>
      <w:r w:rsidR="002E55FF" w:rsidRPr="009B3747">
        <w:rPr>
          <w:rFonts w:eastAsia="Times New Roman" w:cstheme="minorHAnsi"/>
          <w:color w:val="000000"/>
          <w:lang w:eastAsia="en-GB"/>
        </w:rPr>
        <w:fldChar w:fldCharType="end"/>
      </w:r>
      <w:r w:rsidRPr="009B3747">
        <w:rPr>
          <w:rFonts w:eastAsia="Times New Roman" w:cstheme="minorHAnsi"/>
          <w:color w:val="000000"/>
          <w:lang w:eastAsia="en-GB"/>
        </w:rPr>
        <w:t>, Likert scales are widely recognised for their usability and reliability (Oppenheim, 1992).  In general Likert scales are employed to investi</w:t>
      </w:r>
      <w:r w:rsidR="002E55FF" w:rsidRPr="009B3747">
        <w:rPr>
          <w:rFonts w:eastAsia="Times New Roman" w:cstheme="minorHAnsi"/>
          <w:color w:val="000000"/>
          <w:lang w:eastAsia="en-GB"/>
        </w:rPr>
        <w:t xml:space="preserve">gate attitudes and measure the </w:t>
      </w:r>
      <w:r w:rsidR="002E55FF" w:rsidRPr="009B3747">
        <w:rPr>
          <w:rFonts w:eastAsia="Times New Roman" w:cstheme="minorHAnsi"/>
          <w:i/>
          <w:color w:val="000000"/>
          <w:lang w:eastAsia="en-GB"/>
        </w:rPr>
        <w:t>“</w:t>
      </w:r>
      <w:r w:rsidRPr="009B3747">
        <w:rPr>
          <w:rFonts w:eastAsia="Times New Roman" w:cstheme="minorHAnsi"/>
          <w:i/>
          <w:color w:val="000000"/>
          <w:lang w:eastAsia="en-GB"/>
        </w:rPr>
        <w:t>intensity of feel</w:t>
      </w:r>
      <w:r w:rsidR="002E55FF" w:rsidRPr="009B3747">
        <w:rPr>
          <w:rFonts w:eastAsia="Times New Roman" w:cstheme="minorHAnsi"/>
          <w:i/>
          <w:color w:val="000000"/>
          <w:lang w:eastAsia="en-GB"/>
        </w:rPr>
        <w:t>ings about the area in question</w:t>
      </w:r>
      <w:r w:rsidR="002E55FF" w:rsidRPr="009B3747">
        <w:rPr>
          <w:rFonts w:eastAsia="Times New Roman" w:cstheme="minorHAnsi"/>
          <w:color w:val="000000"/>
          <w:lang w:eastAsia="en-GB"/>
        </w:rPr>
        <w:t>”</w:t>
      </w:r>
      <w:r w:rsidRPr="009B3747">
        <w:rPr>
          <w:rFonts w:eastAsia="Times New Roman" w:cstheme="minorHAnsi"/>
          <w:color w:val="000000"/>
          <w:lang w:eastAsia="en-GB"/>
        </w:rPr>
        <w:t xml:space="preserve"> (Bryman, 2016, p</w:t>
      </w:r>
      <w:r w:rsidR="00E3179E" w:rsidRPr="009B3747">
        <w:rPr>
          <w:rFonts w:eastAsia="Times New Roman" w:cstheme="minorHAnsi"/>
          <w:color w:val="000000"/>
          <w:lang w:eastAsia="en-GB"/>
        </w:rPr>
        <w:t>.</w:t>
      </w:r>
      <w:r w:rsidRPr="009B3747">
        <w:rPr>
          <w:rFonts w:eastAsia="Times New Roman" w:cstheme="minorHAnsi"/>
          <w:color w:val="000000"/>
          <w:lang w:eastAsia="en-GB"/>
        </w:rPr>
        <w:t>154).  Providing ordinal data, where observations are grouped and ranked, Likert scales typically allow participants to indicate their level of agreement to various opinion statements often by use of a five point rating scale</w:t>
      </w:r>
      <w:r w:rsidR="00B46C02">
        <w:rPr>
          <w:rFonts w:eastAsia="Times New Roman" w:cstheme="minorHAnsi"/>
          <w:color w:val="000000"/>
          <w:lang w:eastAsia="en-GB"/>
        </w:rPr>
        <w:t>,</w:t>
      </w:r>
      <w:r w:rsidRPr="009B3747">
        <w:rPr>
          <w:rFonts w:eastAsia="Times New Roman" w:cstheme="minorHAnsi"/>
          <w:color w:val="000000"/>
          <w:lang w:eastAsia="en-GB"/>
        </w:rPr>
        <w:t xml:space="preserve"> i.e. strongly agree, agree, neither agree or disagree, disagree or strongly d</w:t>
      </w:r>
      <w:r w:rsidR="002E55FF" w:rsidRPr="009B3747">
        <w:rPr>
          <w:rFonts w:eastAsia="Times New Roman" w:cstheme="minorHAnsi"/>
          <w:color w:val="000000"/>
          <w:lang w:eastAsia="en-GB"/>
        </w:rPr>
        <w:t>isagree (Oppenheim, 1992; Foddy and Mantle,</w:t>
      </w:r>
      <w:r w:rsidRPr="009B3747">
        <w:rPr>
          <w:rFonts w:eastAsia="Times New Roman" w:cstheme="minorHAnsi"/>
          <w:color w:val="000000"/>
          <w:lang w:eastAsia="en-GB"/>
        </w:rPr>
        <w:t xml:space="preserve"> 1994, Bowling, 2014).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t>Whilst Likert scales are argued to be the most commonly used, many other types of respons</w:t>
      </w:r>
      <w:r w:rsidR="004237AA">
        <w:rPr>
          <w:rFonts w:eastAsia="Times New Roman" w:cstheme="minorHAnsi"/>
          <w:color w:val="000000"/>
          <w:lang w:eastAsia="en-GB"/>
        </w:rPr>
        <w:t xml:space="preserve">e scales exist (e.g. Thurstone), </w:t>
      </w:r>
      <w:r w:rsidRPr="009B3747">
        <w:rPr>
          <w:rFonts w:eastAsia="Times New Roman" w:cstheme="minorHAnsi"/>
          <w:color w:val="000000"/>
          <w:lang w:eastAsia="en-GB"/>
        </w:rPr>
        <w:t>which aim to measure survey participants perspectives</w:t>
      </w:r>
      <w:r w:rsidR="00B46C02">
        <w:rPr>
          <w:rFonts w:eastAsia="Times New Roman" w:cstheme="minorHAnsi"/>
          <w:color w:val="000000"/>
          <w:lang w:eastAsia="en-GB"/>
        </w:rPr>
        <w:t>,</w:t>
      </w:r>
      <w:r w:rsidRPr="009B3747">
        <w:rPr>
          <w:rFonts w:eastAsia="Times New Roman" w:cstheme="minorHAnsi"/>
          <w:color w:val="000000"/>
          <w:lang w:eastAsia="en-GB"/>
        </w:rPr>
        <w:t xml:space="preserve"> i.e. opinions or attitudes (Oppenheim, 1992).  Furthermore whilst widely employed in academic research, their use as a response scale is not without limitations</w:t>
      </w:r>
      <w:r w:rsidR="002E55FF" w:rsidRPr="009B3747">
        <w:rPr>
          <w:rFonts w:eastAsia="Times New Roman" w:cstheme="minorHAnsi"/>
          <w:color w:val="000000"/>
          <w:lang w:eastAsia="en-GB"/>
        </w:rPr>
        <w:t xml:space="preserve"> </w:t>
      </w:r>
      <w:r w:rsidR="002E55FF"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"ISBN" : "0415195411", "abstract" : "5th ed. Originally published 2000 by RoutledgeFalmer.", "author" : [ { "dropping-particle" : "", "family" : "Cohen", "given" : "Louis", "non-dropping-particle" : "", "parse-names" : false, "suffix" : "" }, { "dropping-particle" : "", "family" : "Manion", "given" : "Lawrence.", "non-dropping-particle" : "", "parse-names" : false, "suffix" : "" }, { "dropping-particle" : "", "family" : "Morrison", "given" : "Keith (Keith R. B.)", "non-dropping-particle" : "", "parse-names" : false, "suffix" : "" } ], "edition" : "5th", "id" : "ITEM-1", "issued" : { "date-parts" : [ [ "2003" ] ] }, "number-of-pages" : "446", "publisher" : "RoutledgeFalmer", "publisher-place" : "New York", "title" : "Research methods in education", "type" : "book" }, "uris" : [ "http://www.mendeley.com/documents/?uuid=37bd9bb0-50a9-361e-b385-50ffeee077ca" ] } ], "mendeley" : { "formattedCitation" : "(Cohen et al., 2003)", "plainTextFormattedCitation" : "(Cohen et al., 2003)", "previouslyFormattedCitation" : "(Cohen et al., 2003)" }, "properties" : { "noteIndex" : 0 }, "schema" : "https://github.com/citation-style-language/schema/raw/master/csl-citation.json" }</w:instrText>
      </w:r>
      <w:r w:rsidR="002E55FF" w:rsidRPr="009B3747">
        <w:rPr>
          <w:rFonts w:eastAsia="Times New Roman" w:cstheme="minorHAnsi"/>
          <w:color w:val="000000"/>
          <w:lang w:eastAsia="en-GB"/>
        </w:rPr>
        <w:fldChar w:fldCharType="separate"/>
      </w:r>
      <w:r w:rsidR="002E55FF" w:rsidRPr="009B3747">
        <w:rPr>
          <w:rFonts w:eastAsia="Times New Roman" w:cstheme="minorHAnsi"/>
          <w:noProof/>
          <w:color w:val="000000"/>
          <w:lang w:eastAsia="en-GB"/>
        </w:rPr>
        <w:t>(Cohen et al., 2003)</w:t>
      </w:r>
      <w:r w:rsidR="002E55FF"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namely it is not possible to assume equal intervals between categories </w:t>
      </w:r>
      <w:r w:rsidR="00B46C02">
        <w:rPr>
          <w:rFonts w:eastAsia="Times New Roman" w:cstheme="minorHAnsi"/>
          <w:color w:val="000000"/>
          <w:lang w:eastAsia="en-GB"/>
        </w:rPr>
        <w:t>(</w:t>
      </w:r>
      <w:r w:rsidRPr="009B3747">
        <w:rPr>
          <w:rFonts w:eastAsia="Times New Roman" w:cstheme="minorHAnsi"/>
          <w:color w:val="000000"/>
          <w:lang w:eastAsia="en-GB"/>
        </w:rPr>
        <w:t>i.e. agree and strongly agree</w:t>
      </w:r>
      <w:r w:rsidR="00B46C02">
        <w:rPr>
          <w:rFonts w:eastAsia="Times New Roman" w:cstheme="minorHAnsi"/>
          <w:color w:val="000000"/>
          <w:lang w:eastAsia="en-GB"/>
        </w:rPr>
        <w:t>)</w:t>
      </w:r>
      <w:r w:rsidRPr="009B3747">
        <w:rPr>
          <w:rFonts w:eastAsia="Times New Roman" w:cstheme="minorHAnsi"/>
          <w:color w:val="000000"/>
          <w:lang w:eastAsia="en-GB"/>
        </w:rPr>
        <w:t xml:space="preserve"> or infer intensity of feeling between categories </w:t>
      </w:r>
      <w:r w:rsidR="00B46C02">
        <w:rPr>
          <w:rFonts w:eastAsia="Times New Roman" w:cstheme="minorHAnsi"/>
          <w:color w:val="000000"/>
          <w:lang w:eastAsia="en-GB"/>
        </w:rPr>
        <w:t>(</w:t>
      </w:r>
      <w:r w:rsidRPr="009B3747">
        <w:rPr>
          <w:rFonts w:eastAsia="Times New Roman" w:cstheme="minorHAnsi"/>
          <w:color w:val="000000"/>
          <w:lang w:eastAsia="en-GB"/>
        </w:rPr>
        <w:t>i.e. strongly disagree and agree versus strongly agree and disagree</w:t>
      </w:r>
      <w:r w:rsidR="00B46C02">
        <w:rPr>
          <w:rFonts w:eastAsia="Times New Roman" w:cstheme="minorHAnsi"/>
          <w:color w:val="000000"/>
          <w:lang w:eastAsia="en-GB"/>
        </w:rPr>
        <w:t>)</w:t>
      </w:r>
      <w:r w:rsidRPr="009B3747">
        <w:rPr>
          <w:rFonts w:eastAsia="Times New Roman" w:cstheme="minorHAnsi"/>
          <w:color w:val="000000"/>
          <w:lang w:eastAsia="en-GB"/>
        </w:rPr>
        <w:t>.  In addition, presenting closed statements as with Likert scales, means negating the opportunity for participants to add opinions they deem to be more important than the vari</w:t>
      </w:r>
      <w:r w:rsidR="00C01A8A" w:rsidRPr="009B3747">
        <w:rPr>
          <w:rFonts w:eastAsia="Times New Roman" w:cstheme="minorHAnsi"/>
          <w:color w:val="000000"/>
          <w:lang w:eastAsia="en-GB"/>
        </w:rPr>
        <w:t>ous ones presented (Cohen et al.,</w:t>
      </w:r>
      <w:r w:rsidRPr="009B3747">
        <w:rPr>
          <w:rFonts w:eastAsia="Times New Roman" w:cstheme="minorHAnsi"/>
          <w:color w:val="000000"/>
          <w:lang w:eastAsia="en-GB"/>
        </w:rPr>
        <w:t xml:space="preserve"> 2003).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t>Despite these issues, the researcher decided to adopt a five-point Likert scale for measuring responses to the opinion statements developed.  As a novice mixed methods researcher and being new to survey methods, the familiarity of Likert scales for both researcher and participant</w:t>
      </w:r>
      <w:r w:rsidR="00C01A8A" w:rsidRPr="009B3747">
        <w:rPr>
          <w:rFonts w:eastAsia="Times New Roman" w:cstheme="minorHAnsi"/>
          <w:color w:val="000000"/>
          <w:lang w:eastAsia="en-GB"/>
        </w:rPr>
        <w:t xml:space="preserve"> </w:t>
      </w:r>
      <w:r w:rsidR="00C01A8A"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"ISBN" : "0631176896", "abstract" : "Preface to Second Edition -- Preface to First Edition -- Acknowledgements -- Ways of Using the Book -- Pt. I. Before You Start -- 1. Real World Enquiry -- 2. Approaches to Social Research -- 3. Developing Your Ideas -- Pt. II. Designing the Enquiry -- 4. General Design Issues -- 5. Fixed Designs -- 6. Flexible Designs -- 7. Designs for Particular Purposes: Evaluation, Action and Change -- Pt. III. Tactics: The Methods of Data Collection -- 8. Surveys and Questionnaires -- 9. Interviews -- 10. Tests and Scales -- 11. Observational Methods -- 12. Additional Methods of Data Collection -- Pt. IV. Dealing with the Data -- 13. The Analysis of Quantitative Data -- 14. The Analysis of Qualitative Data -- 15. Reporting on the Enquiry -- Afterword -- App. A. Writing a Project Proposal -- App. B. The Roles of Practitioner-Researchers, Researchers and Consultants in Real World Research -- Glossary -- References and Author Index -- Subject Index.", "author" : [ { "dropping-particle" : "", "family" : "Robson", "given" : "Colin.", "non-dropping-particle" : "", "parse-names" : false, "suffix" : "" } ], "id" : "ITEM-1", "issued" : { "date-parts" : [ [ "1993" ] ] }, "number-of-pages" : "510", "publisher" : "Blackwell Publishers", "publisher-place" : "Oxford", "title" : "Real world research : a resource for social scientists and practitioner-researchers", "type" : "book" }, "uris" : [ "http://www.mendeley.com/documents/?uuid=11630481-7eef-3049-9d9f-ce2ade6be6dc" ] } ], "mendeley" : { "formattedCitation" : "(Robson, 1993)", "plainTextFormattedCitation" : "(Robson, 1993)", "previouslyFormattedCitation" : "(Robson, 1993)" }, "properties" : { "noteIndex" : 0 }, "schema" : "https://github.com/citation-style-language/schema/raw/master/csl-citation.json" }</w:instrText>
      </w:r>
      <w:r w:rsidR="00C01A8A" w:rsidRPr="009B3747">
        <w:rPr>
          <w:rFonts w:eastAsia="Times New Roman" w:cstheme="minorHAnsi"/>
          <w:color w:val="000000"/>
          <w:lang w:eastAsia="en-GB"/>
        </w:rPr>
        <w:fldChar w:fldCharType="separate"/>
      </w:r>
      <w:r w:rsidR="00C01A8A" w:rsidRPr="009B3747">
        <w:rPr>
          <w:rFonts w:eastAsia="Times New Roman" w:cstheme="minorHAnsi"/>
          <w:noProof/>
          <w:color w:val="000000"/>
          <w:lang w:eastAsia="en-GB"/>
        </w:rPr>
        <w:t>(Robson, 1993)</w:t>
      </w:r>
      <w:r w:rsidR="00C01A8A"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and perceived usability meant it was an appropriate choice</w:t>
      </w:r>
      <w:r w:rsidR="00C01A8A" w:rsidRPr="009B3747">
        <w:rPr>
          <w:rFonts w:eastAsia="Times New Roman" w:cstheme="minorHAnsi"/>
          <w:color w:val="000000"/>
          <w:lang w:eastAsia="en-GB"/>
        </w:rPr>
        <w:t xml:space="preserve"> </w:t>
      </w:r>
      <w:r w:rsidR="00C01A8A"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"DOI" : "10.2307/2786227", "ISSN" : "00380431", "author" : [ { "dropping-particle" : "", "family" : "Tittle", "given" : "Charles R.", "non-dropping-particle" : "", "parse-names" : false, "suffix" : "" }, { "dropping-particle" : "", "family" : "Hill", "given" : "Richard J.", "non-dropping-particle" : "", "parse-names" : false, "suffix" : "" } ], "container-title" : "Sociometry", "id" : "ITEM-1", "issue" : "2", "issued" : { "date-parts" : [ [ "1967", "6" ] ] }, "page" : "199", "publisher" : "American Sociological Assn", "title" : "Attitude Measurement and Prediction of Behavior: An Evaluation of Conditions and Measurement Techniques", "type" : "article-journal", "volume" : "30" }, "uris" : [ "http://www.mendeley.com/documents/?uuid=3f3023b8-ce33-344e-a0c0-0ee40e0e9e99" ] }, { "id" : "ITEM-2",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"Bryman", "given" : "Alan", "non-dropping-particle" : "", "parse-names" : false, "suffix" : "" } ], "edition" : "5th", "id" : "ITEM-2", "issued" : { "date-parts" : [ [ "2016" ] ] }, "publisher" : "Open University Press", "publisher-place" : "Oxford", "title" : "Social research methods Bryman", "type" : "book" }, "uris" : [ "http://www.mendeley.com/documents/?uuid=0692fe00-046b-4dd5-8926-ccb7f7ef6057" ] } ], "mendeley" : { "formattedCitation" : "(Tittle and Hill, 1967; Bryman, 2016)", "plainTextFormattedCitation" : "(Tittle and Hill, 1967; Bryman, 2016)", "previouslyFormattedCitation" : "(Tittle and Hill, 1967; Bryman, 2016)" }, "properties" : { "noteIndex" : 0 }, "schema" : "https://github.com/citation-style-language/schema/raw/master/csl-citation.json" }</w:instrText>
      </w:r>
      <w:r w:rsidR="00C01A8A" w:rsidRPr="009B3747">
        <w:rPr>
          <w:rFonts w:eastAsia="Times New Roman" w:cstheme="minorHAnsi"/>
          <w:color w:val="000000"/>
          <w:lang w:eastAsia="en-GB"/>
        </w:rPr>
        <w:fldChar w:fldCharType="separate"/>
      </w:r>
      <w:r w:rsidR="00C01A8A" w:rsidRPr="009B3747">
        <w:rPr>
          <w:rFonts w:eastAsia="Times New Roman" w:cstheme="minorHAnsi"/>
          <w:noProof/>
          <w:color w:val="000000"/>
          <w:lang w:eastAsia="en-GB"/>
        </w:rPr>
        <w:t>(Tittle and Hill, 1967; Bryman, 2016)</w:t>
      </w:r>
      <w:r w:rsidR="00C01A8A"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In addition, despite being argued to be more reliable than the Likert scale, the use of Thurstone scales was discounted given the perception that </w:t>
      </w:r>
      <w:r w:rsidR="000A09B8" w:rsidRPr="009B3747">
        <w:rPr>
          <w:rFonts w:eastAsia="Times New Roman" w:cstheme="minorHAnsi"/>
          <w:color w:val="000000"/>
          <w:lang w:eastAsia="en-GB"/>
        </w:rPr>
        <w:t>its</w:t>
      </w:r>
      <w:r w:rsidRPr="009B3747">
        <w:rPr>
          <w:rFonts w:eastAsia="Times New Roman" w:cstheme="minorHAnsi"/>
          <w:color w:val="000000"/>
          <w:lang w:eastAsia="en-GB"/>
        </w:rPr>
        <w:t xml:space="preserve"> construction is more labour intensive and complex</w:t>
      </w:r>
      <w:r w:rsidR="00C01A8A" w:rsidRPr="009B3747">
        <w:rPr>
          <w:rFonts w:eastAsia="Times New Roman" w:cstheme="minorHAnsi"/>
          <w:color w:val="000000"/>
          <w:lang w:eastAsia="en-GB"/>
        </w:rPr>
        <w:t xml:space="preserve"> </w:t>
      </w:r>
      <w:r w:rsidR="00C01A8A" w:rsidRPr="009B3747">
        <w:rPr>
          <w:rFonts w:eastAsia="Times New Roman" w:cstheme="minorHAnsi"/>
          <w:color w:val="000000"/>
          <w:lang w:eastAsia="en-GB"/>
        </w:rPr>
        <w:fldChar w:fldCharType="begin" w:fldLock="1"/>
      </w:r>
      <w:r w:rsidR="006C6987" w:rsidRPr="009B3747">
        <w:rPr>
          <w:rFonts w:eastAsia="Times New Roman" w:cstheme="minorHAnsi"/>
          <w:color w:val="000000"/>
          <w:lang w:eastAsia="en-GB"/>
        </w:rPr>
        <w:instrText>ADDIN CSL_CITATION { "citationItems" : [ { "id" : "ITEM-1", "itemData" : { "DOI" : "10.1087/09531519850146698", "ISSN" : "09531513", "author" : [ { "dropping-particle" : "", "family" : "Oppenheim", "given" : "Charles", "non-dropping-particle" : "", "parse-names" : false, "suffix" : "" } ], "container-title" : "Learned Publishing", "id" : "ITEM-1", "issue" : "1", "issued" : { "date-parts" : [ [ "1998", "1", "1" ] ] }, "page" : "57-58", "title" : "Copyright issues", "type" : "article-journal", "volume" : "11" }, "uris" : [ "http://www.mendeley.com/documents/?uuid=363b885f-614c-3ece-8bd9-cf98683700fd" ] } ], "mendeley" : { "formattedCitation" : "(Oppenheim, 1998)", "plainTextFormattedCitation" : "(Oppenheim, 1998)", "previouslyFormattedCitation" : "(Oppenheim, 1998)" }, "properties" : { "noteIndex" : 0 }, "schema" : "https://github.com/citation-style-language/schema/raw/master/csl-citation.json" }</w:instrText>
      </w:r>
      <w:r w:rsidR="00C01A8A" w:rsidRPr="009B3747">
        <w:rPr>
          <w:rFonts w:eastAsia="Times New Roman" w:cstheme="minorHAnsi"/>
          <w:color w:val="000000"/>
          <w:lang w:eastAsia="en-GB"/>
        </w:rPr>
        <w:fldChar w:fldCharType="separate"/>
      </w:r>
      <w:r w:rsidR="00C01A8A" w:rsidRPr="009B3747">
        <w:rPr>
          <w:rFonts w:eastAsia="Times New Roman" w:cstheme="minorHAnsi"/>
          <w:noProof/>
          <w:color w:val="000000"/>
          <w:lang w:eastAsia="en-GB"/>
        </w:rPr>
        <w:t>(Oppenheim, 1998)</w:t>
      </w:r>
      <w:r w:rsidR="00C01A8A" w:rsidRPr="009B3747">
        <w:rPr>
          <w:rFonts w:eastAsia="Times New Roman" w:cstheme="minorHAnsi"/>
          <w:color w:val="000000"/>
          <w:lang w:eastAsia="en-GB"/>
        </w:rPr>
        <w:fldChar w:fldCharType="end"/>
      </w:r>
      <w:r w:rsidR="00C01A8A" w:rsidRPr="009B3747">
        <w:rPr>
          <w:rFonts w:eastAsia="Times New Roman" w:cstheme="minorHAnsi"/>
          <w:color w:val="000000"/>
          <w:lang w:eastAsia="en-GB"/>
        </w:rPr>
        <w:t>.</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rPr>
          <w:rFonts w:eastAsia="Times New Roman" w:cstheme="minorHAnsi"/>
          <w:color w:val="000000"/>
          <w:lang w:eastAsia="en-GB"/>
        </w:rPr>
      </w:pPr>
      <w:r w:rsidRPr="009B3747">
        <w:rPr>
          <w:rFonts w:eastAsia="Times New Roman" w:cstheme="minorHAnsi"/>
          <w:color w:val="000000"/>
          <w:lang w:eastAsia="en-GB"/>
        </w:rPr>
        <w:t xml:space="preserve">The decision to adopt a five-point scale as opposed to a three or seven point alternative, was in recognition of </w:t>
      </w:r>
      <w:r w:rsidR="000A09B8" w:rsidRPr="009B3747">
        <w:rPr>
          <w:rFonts w:eastAsia="Times New Roman" w:cstheme="minorHAnsi"/>
          <w:color w:val="000000"/>
          <w:lang w:eastAsia="en-GB"/>
        </w:rPr>
        <w:t>its</w:t>
      </w:r>
      <w:r w:rsidRPr="009B3747">
        <w:rPr>
          <w:rFonts w:eastAsia="Times New Roman" w:cstheme="minorHAnsi"/>
          <w:color w:val="000000"/>
          <w:lang w:eastAsia="en-GB"/>
        </w:rPr>
        <w:t xml:space="preserve"> perceived increased reliability and practicality for participants completing the questionnaire</w:t>
      </w:r>
      <w:r w:rsidR="00C01A8A" w:rsidRPr="009B3747">
        <w:rPr>
          <w:rFonts w:eastAsia="Times New Roman" w:cstheme="minorHAnsi"/>
          <w:color w:val="000000"/>
          <w:lang w:eastAsia="en-GB"/>
        </w:rPr>
        <w:t xml:space="preserve"> </w:t>
      </w:r>
      <w:r w:rsidR="006C6987"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"DOI" : "10.1177/00131649921970125", "ISSN" : "0013-1644", "abstract" : "Equations for calculating the biases induced by coarse measurement scales are derived. Equations for the expected value, variance, covariance, correlation coefficient, and reliability coefficient are provided. The equations can be used to study the effects of measurement scale coarseness. Examples are given that illustrate that biases can vary depending on the mean and variance of the quantities being measured, the number of scale points, the rule for assigning quantities to scale points, and the number of items in a scale. Equations for the bias limits are also derived. Under some conditions, the biases disappear as the number of scale points increases. To avoid bias, it is recommended that graphic rating scales be used.", "author" : [ { "dropping-particle" : "", "family" : "Krieg", "given" : "Edward F.", "non-dropping-particle" : "", "parse-names" : false, "suffix" : "" } ], "container-title" : "Educational and Psychological Measurement", "id" : "ITEM-1", "issue" : "5", "issued" : { "date-parts" : [ [ "1999", "10", "2" ] ] }, "page" : "749-766", "publisher" : "Sage PublicationsSage CA: Thousand Oaks, CA", "title" : "Biases Induced by Coarse Measurement Scales", "type" : "article-journal", "volume" : "59" }, "uris" : [ "http://www.mendeley.com/documents/?uuid=34fdfa37-2c13-3dd7-af88-c7456bdfa4b3" ] }, { "id" : "ITEM-2", "itemData" : { "ISBN" : "0415195411", "abstract" : "5th ed. Originally published 2000 by RoutledgeFalmer.", "author" : [ { "dropping-particle" : "", "family" : "Cohen", "given" : "Louis", "non-dropping-particle" : "", "parse-names" : false, "suffix" : "" }, { "dropping-particle" : "", "family" : "Manion", "given" : "Lawrence.", "non-dropping-particle" : "", "parse-names" : false, "suffix" : "" }, { "dropping-particle" : "", "family" : "Morrison", "given" : "Keith (Keith R. B.)", "non-dropping-particle" : "", "parse-names" : false, "suffix" : "" } ], "edition" : "5th", "id" : "ITEM-2", "issued" : { "date-parts" : [ [ "2003" ] ] }, "number-of-pages" : "446", "publisher" : "RoutledgeFalmer", "publisher-place" : "New York", "title" : "Research methods in education", "type" : "book" }, "uris" : [ "http://www.mendeley.com/documents/?uuid=37bd9bb0-50a9-361e-b385-50ffeee077ca" ] } ], "mendeley" : { "formattedCitation" : "(Krieg, 1999; Cohen et al., 2003)", "plainTextFormattedCitation" : "(Krieg, 1999; Cohen et al., 2003)", "previouslyFormattedCitation" : "(Krieg, 1999; Cohen et al., 2003)" }, "properties" : { "noteIndex" : 0 }, "schema" : "https://github.com/citation-style-language/schema/raw/master/csl-citation.json" }</w:instrText>
      </w:r>
      <w:r w:rsidR="006C6987" w:rsidRPr="009B3747">
        <w:rPr>
          <w:rFonts w:eastAsia="Times New Roman" w:cstheme="minorHAnsi"/>
          <w:color w:val="000000"/>
          <w:lang w:eastAsia="en-GB"/>
        </w:rPr>
        <w:fldChar w:fldCharType="separate"/>
      </w:r>
      <w:r w:rsidR="006C6987" w:rsidRPr="009B3747">
        <w:rPr>
          <w:rFonts w:eastAsia="Times New Roman" w:cstheme="minorHAnsi"/>
          <w:noProof/>
          <w:color w:val="000000"/>
          <w:lang w:eastAsia="en-GB"/>
        </w:rPr>
        <w:t>(Krieg, 1999; Cohen et al., 2003)</w:t>
      </w:r>
      <w:r w:rsidR="006C6987" w:rsidRPr="009B3747">
        <w:rPr>
          <w:rFonts w:eastAsia="Times New Roman" w:cstheme="minorHAnsi"/>
          <w:color w:val="000000"/>
          <w:lang w:eastAsia="en-GB"/>
        </w:rPr>
        <w:fldChar w:fldCharType="end"/>
      </w:r>
      <w:r w:rsidRPr="009B3747">
        <w:rPr>
          <w:rFonts w:eastAsia="Times New Roman" w:cstheme="minorHAnsi"/>
          <w:color w:val="000000"/>
          <w:lang w:eastAsia="en-GB"/>
        </w:rPr>
        <w:t>.  It was deemed important for the five point scale to include a neutral option (i.e. neither agree or disagree), to remove the possibility of those without an opinion artificially selecting one (Robson, 1993).  </w:t>
      </w: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lastRenderedPageBreak/>
        <w:t>In recognition that the qualitative findings could not be argued to be representative of the population of interest, four open questions were provided with the aim of enabling participants to express opinions not previously evidenced in the earlier phase of research.  As the open questions posed within the questionnaire lend themselves more to qualitative data collection and analysis, it was not necessary or indeed appropriate to quantitatively measure the answers obtained.  Instead, depending on the number of responses received, the intention was to collate, reflect upon and summarise additional comments within the Q</w:t>
      </w:r>
      <w:r w:rsidR="006C6987" w:rsidRPr="009B3747">
        <w:rPr>
          <w:rFonts w:eastAsia="Times New Roman" w:cstheme="minorHAnsi"/>
          <w:color w:val="000000"/>
          <w:lang w:eastAsia="en-GB"/>
        </w:rPr>
        <w:t>uantitative results chapter (c</w:t>
      </w:r>
      <w:r w:rsidR="000A09B8" w:rsidRPr="009B3747">
        <w:rPr>
          <w:rFonts w:eastAsia="Times New Roman" w:cstheme="minorHAnsi"/>
          <w:color w:val="000000"/>
          <w:lang w:eastAsia="en-GB"/>
        </w:rPr>
        <w:t>hapter eight</w:t>
      </w:r>
      <w:r w:rsidRPr="009B3747">
        <w:rPr>
          <w:rFonts w:eastAsia="Times New Roman" w:cstheme="minorHAnsi"/>
          <w:color w:val="000000"/>
          <w:lang w:eastAsia="en-GB"/>
        </w:rPr>
        <w:t>).</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CB18A0" w:rsidP="00991D2F">
      <w:pPr>
        <w:rPr>
          <w:rFonts w:eastAsia="Times New Roman" w:cstheme="minorHAnsi"/>
          <w:b/>
          <w:sz w:val="24"/>
          <w:szCs w:val="24"/>
          <w:lang w:eastAsia="en-GB"/>
        </w:rPr>
      </w:pPr>
      <w:r w:rsidRPr="009B3747">
        <w:rPr>
          <w:rFonts w:eastAsia="Times New Roman" w:cstheme="minorHAnsi"/>
          <w:b/>
          <w:color w:val="000000"/>
          <w:sz w:val="24"/>
          <w:szCs w:val="24"/>
          <w:u w:val="single"/>
          <w:lang w:eastAsia="en-GB"/>
        </w:rPr>
        <w:t>7.4</w:t>
      </w:r>
      <w:r w:rsidR="00827CCD" w:rsidRPr="009B3747">
        <w:rPr>
          <w:rFonts w:eastAsia="Times New Roman" w:cstheme="minorHAnsi"/>
          <w:b/>
          <w:color w:val="000000"/>
          <w:sz w:val="24"/>
          <w:szCs w:val="24"/>
          <w:u w:val="single"/>
          <w:lang w:eastAsia="en-GB"/>
        </w:rPr>
        <w:t xml:space="preserve"> </w:t>
      </w:r>
      <w:r w:rsidR="00991D2F" w:rsidRPr="009B3747">
        <w:rPr>
          <w:rFonts w:eastAsia="Times New Roman" w:cstheme="minorHAnsi"/>
          <w:b/>
          <w:color w:val="000000"/>
          <w:sz w:val="24"/>
          <w:szCs w:val="24"/>
          <w:u w:val="single"/>
          <w:lang w:eastAsia="en-GB"/>
        </w:rPr>
        <w:t xml:space="preserve">Quality in quantitative research - Validity and reliability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spacing w:after="340"/>
        <w:rPr>
          <w:rFonts w:eastAsia="Times New Roman" w:cstheme="minorHAnsi"/>
          <w:sz w:val="24"/>
          <w:szCs w:val="24"/>
          <w:lang w:eastAsia="en-GB"/>
        </w:rPr>
      </w:pPr>
      <w:r w:rsidRPr="009B3747">
        <w:rPr>
          <w:rFonts w:eastAsia="Times New Roman" w:cstheme="minorHAnsi"/>
          <w:color w:val="000000"/>
          <w:shd w:val="clear" w:color="auto" w:fill="FFFFFF"/>
          <w:lang w:eastAsia="en-GB"/>
        </w:rPr>
        <w:t>In general, the way in which the quality of a quantitative data collection instrument is assessed is through the criteria of validity and reliability (Bryman, 2016).  Fink (2002) argues that a reliable survey instrument is ‘consistent’ and a valid survey instrument is ‘accurate’.   </w:t>
      </w:r>
    </w:p>
    <w:p w:rsidR="00991D2F" w:rsidRPr="009B3747" w:rsidRDefault="00CB18A0" w:rsidP="00991D2F">
      <w:pPr>
        <w:spacing w:after="340"/>
        <w:rPr>
          <w:rFonts w:eastAsia="Times New Roman" w:cstheme="minorHAnsi"/>
          <w:sz w:val="24"/>
          <w:szCs w:val="24"/>
          <w:u w:val="single"/>
          <w:lang w:eastAsia="en-GB"/>
        </w:rPr>
      </w:pPr>
      <w:r w:rsidRPr="009B3747">
        <w:rPr>
          <w:rFonts w:eastAsia="Times New Roman" w:cstheme="minorHAnsi"/>
          <w:iCs/>
          <w:color w:val="000000"/>
          <w:u w:val="single"/>
          <w:shd w:val="clear" w:color="auto" w:fill="FFFFFF"/>
          <w:lang w:eastAsia="en-GB"/>
        </w:rPr>
        <w:t>7.4</w:t>
      </w:r>
      <w:r w:rsidR="00827CCD" w:rsidRPr="009B3747">
        <w:rPr>
          <w:rFonts w:eastAsia="Times New Roman" w:cstheme="minorHAnsi"/>
          <w:iCs/>
          <w:color w:val="000000"/>
          <w:u w:val="single"/>
          <w:shd w:val="clear" w:color="auto" w:fill="FFFFFF"/>
          <w:lang w:eastAsia="en-GB"/>
        </w:rPr>
        <w:t xml:space="preserve">.1 </w:t>
      </w:r>
      <w:r w:rsidR="00991D2F" w:rsidRPr="009B3747">
        <w:rPr>
          <w:rFonts w:eastAsia="Times New Roman" w:cstheme="minorHAnsi"/>
          <w:iCs/>
          <w:color w:val="000000"/>
          <w:u w:val="single"/>
          <w:shd w:val="clear" w:color="auto" w:fill="FFFFFF"/>
          <w:lang w:eastAsia="en-GB"/>
        </w:rPr>
        <w:t>Validity</w:t>
      </w:r>
    </w:p>
    <w:p w:rsidR="00991D2F" w:rsidRPr="009B3747" w:rsidRDefault="00991D2F" w:rsidP="00991D2F">
      <w:pPr>
        <w:spacing w:after="340"/>
        <w:rPr>
          <w:rFonts w:eastAsia="Times New Roman" w:cstheme="minorHAnsi"/>
          <w:sz w:val="24"/>
          <w:szCs w:val="24"/>
          <w:lang w:eastAsia="en-GB"/>
        </w:rPr>
      </w:pPr>
      <w:r w:rsidRPr="009B3747">
        <w:rPr>
          <w:rFonts w:eastAsia="Times New Roman" w:cstheme="minorHAnsi"/>
          <w:color w:val="000000"/>
          <w:shd w:val="clear" w:color="auto" w:fill="FFFFFF"/>
          <w:lang w:eastAsia="en-GB"/>
        </w:rPr>
        <w:t>In relation to the validity of a questionnaire,</w:t>
      </w:r>
      <w:r w:rsidR="006C6987" w:rsidRPr="009B3747">
        <w:rPr>
          <w:rFonts w:eastAsia="Times New Roman" w:cstheme="minorHAnsi"/>
          <w:color w:val="000000"/>
          <w:shd w:val="clear" w:color="auto" w:fill="FFFFFF"/>
          <w:lang w:eastAsia="en-GB"/>
        </w:rPr>
        <w:t xml:space="preserve"> </w:t>
      </w:r>
      <w:r w:rsidR="006C6987" w:rsidRPr="009B3747">
        <w:rPr>
          <w:rFonts w:eastAsia="Times New Roman" w:cstheme="minorHAnsi"/>
          <w:color w:val="000000"/>
          <w:shd w:val="clear" w:color="auto" w:fill="FFFFFF"/>
          <w:lang w:eastAsia="en-GB"/>
        </w:rPr>
        <w:fldChar w:fldCharType="begin" w:fldLock="1"/>
      </w:r>
      <w:r w:rsidR="00395650" w:rsidRPr="009B3747">
        <w:rPr>
          <w:rFonts w:eastAsia="Times New Roman" w:cstheme="minorHAnsi"/>
          <w:color w:val="000000"/>
          <w:shd w:val="clear" w:color="auto" w:fill="FFFFFF"/>
          <w:lang w:eastAsia="en-GB"/>
        </w:rPr>
        <w:instrText>ADDIN CSL_CITATION { "citationItems" : [ { "id" : "ITEM-1", "itemData" : { "ISBN" : "041505477X", "abstract" : "Part One. Ethnography, Theory and Reality -- 1. What's wrong with ethnography? The myth of theoretical description -- 2. Some questions about theory in ethnography and history -- 3. Ethnoraphy and realism -- 4. By what criteria should ethnographic research be judged? -- Part Two. Ethnography, Relevance and Practice -- 5. The relevance of ethnography -- 6. Critical theory as a model for ethnography -- 7. Parts that even ethnography cannot reach: Some reflections on the relationship between research and policy -- 8. On practitioner ethnography -- Part Three. Qualitative versus Quantitative Method -- 9. Deconstructing the quantitative-qualitative divide -- 10. Keeping the conversation open: the relationship between quantitative and qualitative -- 11. The logic of theory-testing in case study research -- 12. So, what are case studies?.", "author" : [ { "dropping-particle" : "", "family" : "Hammersley", "given" : "Martyn.", "non-dropping-particle" : "", "parse-names" : false, "suffix" : "" } ], "id" : "ITEM-1", "issued" : { "date-parts" : [ [ "1992" ] ] }, "number-of-pages" : "230", "publisher" : "Routledge", "publisher-place" : "London", "title" : "What's wrong with ethnography? : methodological explorations", "type" : "book" }, "uris" : [ "http://www.mendeley.com/documents/?uuid=b9968dac-fd61-3f18-bc0f-fe75df86a8f0" ] } ], "mendeley" : { "formattedCitation" : "(Hammersley, 1992)", "manualFormatting" : "Hammersley, (1992)", "plainTextFormattedCitation" : "(Hammersley, 1992)", "previouslyFormattedCitation" : "(Hammersley, 1992)" }, "properties" : { "noteIndex" : 0 }, "schema" : "https://github.com/citation-style-language/schema/raw/master/csl-citation.json" }</w:instrText>
      </w:r>
      <w:r w:rsidR="006C6987" w:rsidRPr="009B3747">
        <w:rPr>
          <w:rFonts w:eastAsia="Times New Roman" w:cstheme="minorHAnsi"/>
          <w:color w:val="000000"/>
          <w:shd w:val="clear" w:color="auto" w:fill="FFFFFF"/>
          <w:lang w:eastAsia="en-GB"/>
        </w:rPr>
        <w:fldChar w:fldCharType="separate"/>
      </w:r>
      <w:r w:rsidR="006C6987" w:rsidRPr="009B3747">
        <w:rPr>
          <w:rFonts w:eastAsia="Times New Roman" w:cstheme="minorHAnsi"/>
          <w:noProof/>
          <w:color w:val="000000"/>
          <w:shd w:val="clear" w:color="auto" w:fill="FFFFFF"/>
          <w:lang w:eastAsia="en-GB"/>
        </w:rPr>
        <w:t>Hammersley, (1992)</w:t>
      </w:r>
      <w:r w:rsidR="006C6987" w:rsidRPr="009B3747">
        <w:rPr>
          <w:rFonts w:eastAsia="Times New Roman" w:cstheme="minorHAnsi"/>
          <w:color w:val="000000"/>
          <w:shd w:val="clear" w:color="auto" w:fill="FFFFFF"/>
          <w:lang w:eastAsia="en-GB"/>
        </w:rPr>
        <w:fldChar w:fldCharType="end"/>
      </w:r>
      <w:r w:rsidRPr="009B3747">
        <w:rPr>
          <w:rFonts w:eastAsia="Times New Roman" w:cstheme="minorHAnsi"/>
          <w:color w:val="000000"/>
          <w:shd w:val="clear" w:color="auto" w:fill="FFFFFF"/>
          <w:lang w:eastAsia="en-GB"/>
        </w:rPr>
        <w:t xml:space="preserve"> argues that </w:t>
      </w:r>
      <w:r w:rsidRPr="009B3747">
        <w:rPr>
          <w:rFonts w:eastAsia="Times New Roman" w:cstheme="minorHAnsi"/>
          <w:i/>
          <w:color w:val="000000"/>
          <w:shd w:val="clear" w:color="auto" w:fill="FFFFFF"/>
          <w:lang w:eastAsia="en-GB"/>
        </w:rPr>
        <w:t>"an account is valid or true if it represents accurately those features of the phenomena that it is intended to describe, explain or theorize"</w:t>
      </w:r>
      <w:r w:rsidR="00E3179E" w:rsidRPr="009B3747">
        <w:rPr>
          <w:rFonts w:eastAsia="Times New Roman" w:cstheme="minorHAnsi"/>
          <w:i/>
          <w:color w:val="000000"/>
          <w:shd w:val="clear" w:color="auto" w:fill="FFFFFF"/>
          <w:lang w:eastAsia="en-GB"/>
        </w:rPr>
        <w:t xml:space="preserve"> </w:t>
      </w:r>
      <w:r w:rsidR="00E3179E" w:rsidRPr="009B3747">
        <w:rPr>
          <w:rFonts w:eastAsia="Times New Roman" w:cstheme="minorHAnsi"/>
          <w:color w:val="000000"/>
          <w:shd w:val="clear" w:color="auto" w:fill="FFFFFF"/>
          <w:lang w:eastAsia="en-GB"/>
        </w:rPr>
        <w:t>(p.69)</w:t>
      </w:r>
      <w:r w:rsidRPr="009B3747">
        <w:rPr>
          <w:rFonts w:eastAsia="Times New Roman" w:cstheme="minorHAnsi"/>
          <w:color w:val="000000"/>
          <w:shd w:val="clear" w:color="auto" w:fill="FFFFFF"/>
          <w:lang w:eastAsia="en-GB"/>
        </w:rPr>
        <w:t>.  Therefore, the validity of a survey instrument refers to the degree to which the instrument measures what it is designed to measure</w:t>
      </w:r>
      <w:r w:rsidR="006C6987" w:rsidRPr="009B3747">
        <w:rPr>
          <w:rFonts w:eastAsia="Times New Roman" w:cstheme="minorHAnsi"/>
          <w:color w:val="000000"/>
          <w:shd w:val="clear" w:color="auto" w:fill="FFFFFF"/>
          <w:lang w:eastAsia="en-GB"/>
        </w:rPr>
        <w:t xml:space="preserve"> </w:t>
      </w:r>
      <w:r w:rsidR="006C6987" w:rsidRPr="009B3747">
        <w:rPr>
          <w:rFonts w:eastAsia="Times New Roman" w:cstheme="minorHAnsi"/>
          <w:color w:val="000000"/>
          <w:shd w:val="clear" w:color="auto" w:fill="FFFFFF"/>
          <w:lang w:eastAsia="en-GB"/>
        </w:rPr>
        <w:fldChar w:fldCharType="begin" w:fldLock="1"/>
      </w:r>
      <w:r w:rsidR="009C2ECF" w:rsidRPr="009B3747">
        <w:rPr>
          <w:rFonts w:eastAsia="Times New Roman" w:cstheme="minorHAnsi"/>
          <w:color w:val="000000"/>
          <w:shd w:val="clear" w:color="auto" w:fill="FFFFFF"/>
          <w:lang w:eastAsia="en-GB"/>
        </w:rPr>
        <w:instrText>ADDIN CSL_CITATION { "citationItems" : [ { "id" : "ITEM-1", "itemData" : { "ISBN" : "0761916415", "abstract" : "1. Questions and answers -- 2. The process of questionnaire construction -- 3. Open- and closed-end questions -- 4. Constructing and wording questions -- 5. Rating scales -- 6. Asking specific questions -- 7. Questionnaire structure and evaluation.", "author" : [ { "dropping-particle" : "", "family" : "Peterson", "given" : "Robert A. (Robert Allen)", "non-dropping-particle" : "", "parse-names" : false, "suffix" : "" } ], "id" : "ITEM-1", "issued" : { "date-parts" : [ [ "1999" ] ] }, "number-of-pages" : "143", "publisher" : "SAGE Publications Inc.", "publisher-place" : "Thousand Oaks", "title" : "Constructing effective questionnaires", "type" : "book" }, "uris" : [ "http://www.mendeley.com/documents/?uuid=2740b182-65dc-32c1-9299-7f787028aa08" ] }, { "id" : "ITEM-2", "itemData" : { "ISBN" : "0340812583", "abstract" : "4th ed. Psychology and research -- Measuring people: variables, samples and the qualitative critique -- Use of experimental designs in psychology -- Validity in experiments, quasi-experiments and non-experimental methods -- Observational methods: watching and being with people -- Interview methods: asking people direct questions -- Questionnaires: using psychological scales and tests in research -- Comparison studies: looking across, looking ahead and looking abroad -- Qualitative approaches: problems with positivism -- Statistics: organizing the data -- Significance: was it a real effect? -- Testing differences between two samples -- Tests for categorical variables and frequency tables -- Correlation: the association of measured variables -- Multi-level analysis: differences between more than two conditions -- Multi-factorial analysis -- Repeated measures ANOVA designs -- So what test should I use? Choosing the appropriate inferential test for your data -- Analysing qualitative data -- Ethical issues in psychological research -- Planning your practical and writing up your report.", "author" : [ { "dropping-particle" : "", "family" : "Coolican", "given" : "Hugh.", "non-dropping-particle" : "", "parse-names" : false, "suffix" : "" } ], "edition" : "4th", "id" : "ITEM-2", "issued" : { "date-parts" : [ [ "2004" ] ] }, "number-of-pages" : "711", "publisher" : "Hodder &amp; Stoughton", "publisher-place" : "London", "title" : "Research methods and statistics in psychology", "type" : "book" }, "uris" : [ "http://www.mendeley.com/documents/?uuid=5d692aa2-24cd-3dd6-98be-c212e5dd0350" ] } ], "mendeley" : { "formattedCitation" : "(Peterson, 1999; Coolican, 2004)", "plainTextFormattedCitation" : "(Peterson, 1999; Coolican, 2004)", "previouslyFormattedCitation" : "(Peterson, 1999; Coolican, 2004)" }, "properties" : { "noteIndex" : 0 }, "schema" : "https://github.com/citation-style-language/schema/raw/master/csl-citation.json" }</w:instrText>
      </w:r>
      <w:r w:rsidR="006C6987" w:rsidRPr="009B3747">
        <w:rPr>
          <w:rFonts w:eastAsia="Times New Roman" w:cstheme="minorHAnsi"/>
          <w:color w:val="000000"/>
          <w:shd w:val="clear" w:color="auto" w:fill="FFFFFF"/>
          <w:lang w:eastAsia="en-GB"/>
        </w:rPr>
        <w:fldChar w:fldCharType="separate"/>
      </w:r>
      <w:r w:rsidR="009C2ECF" w:rsidRPr="009B3747">
        <w:rPr>
          <w:rFonts w:eastAsia="Times New Roman" w:cstheme="minorHAnsi"/>
          <w:noProof/>
          <w:color w:val="000000"/>
          <w:shd w:val="clear" w:color="auto" w:fill="FFFFFF"/>
          <w:lang w:eastAsia="en-GB"/>
        </w:rPr>
        <w:t>(Peterson, 1999; Coolican, 2004)</w:t>
      </w:r>
      <w:r w:rsidR="006C6987" w:rsidRPr="009B3747">
        <w:rPr>
          <w:rFonts w:eastAsia="Times New Roman" w:cstheme="minorHAnsi"/>
          <w:color w:val="000000"/>
          <w:shd w:val="clear" w:color="auto" w:fill="FFFFFF"/>
          <w:lang w:eastAsia="en-GB"/>
        </w:rPr>
        <w:fldChar w:fldCharType="end"/>
      </w:r>
      <w:r w:rsidR="006C6987" w:rsidRPr="009B3747">
        <w:rPr>
          <w:rFonts w:eastAsia="Times New Roman" w:cstheme="minorHAnsi"/>
          <w:color w:val="000000"/>
          <w:shd w:val="clear" w:color="auto" w:fill="FFFFFF"/>
          <w:lang w:eastAsia="en-GB"/>
        </w:rPr>
        <w:t xml:space="preserve">.  </w:t>
      </w:r>
      <w:r w:rsidRPr="009B3747">
        <w:rPr>
          <w:rFonts w:eastAsia="Times New Roman" w:cstheme="minorHAnsi"/>
          <w:color w:val="000000"/>
          <w:shd w:val="clear" w:color="auto" w:fill="FFFFFF"/>
          <w:lang w:eastAsia="en-GB"/>
        </w:rPr>
        <w:t>I</w:t>
      </w:r>
      <w:r w:rsidR="004237AA">
        <w:rPr>
          <w:rFonts w:eastAsia="Times New Roman" w:cstheme="minorHAnsi"/>
          <w:color w:val="000000"/>
          <w:shd w:val="clear" w:color="auto" w:fill="FFFFFF"/>
          <w:lang w:eastAsia="en-GB"/>
        </w:rPr>
        <w:t xml:space="preserve">n contrast to external validity, </w:t>
      </w:r>
      <w:r w:rsidRPr="009B3747">
        <w:rPr>
          <w:rFonts w:eastAsia="Times New Roman" w:cstheme="minorHAnsi"/>
          <w:color w:val="000000"/>
          <w:shd w:val="clear" w:color="auto" w:fill="FFFFFF"/>
          <w:lang w:eastAsia="en-GB"/>
        </w:rPr>
        <w:t>which refers to the generalisability of research findings (Bowling, 2014), this type of validity is internal and four types are frequently discussed in academic literature - face, content, criterion and construct (De Vaus, 2002; Fink, 2003).</w:t>
      </w:r>
    </w:p>
    <w:p w:rsidR="00022E3D" w:rsidRPr="009B3747" w:rsidRDefault="00991D2F" w:rsidP="00991D2F">
      <w:pPr>
        <w:spacing w:after="340"/>
        <w:rPr>
          <w:rFonts w:eastAsia="Times New Roman" w:cstheme="minorHAnsi"/>
          <w:color w:val="000000"/>
          <w:shd w:val="clear" w:color="auto" w:fill="FFFFFF"/>
          <w:lang w:eastAsia="en-GB"/>
        </w:rPr>
      </w:pPr>
      <w:r w:rsidRPr="009B3747">
        <w:rPr>
          <w:rFonts w:eastAsia="Times New Roman" w:cstheme="minorHAnsi"/>
          <w:color w:val="000000"/>
          <w:lang w:eastAsia="en-GB"/>
        </w:rPr>
        <w:t>Initially, the researcher considered the face validity of the questionnaire content.  P</w:t>
      </w:r>
      <w:r w:rsidR="006C6987" w:rsidRPr="009B3747">
        <w:rPr>
          <w:rFonts w:eastAsia="Times New Roman" w:cstheme="minorHAnsi"/>
          <w:color w:val="000000"/>
          <w:shd w:val="clear" w:color="auto" w:fill="FFFFFF"/>
          <w:lang w:eastAsia="en-GB"/>
        </w:rPr>
        <w:t xml:space="preserve">roposed as </w:t>
      </w:r>
      <w:r w:rsidR="006C6987" w:rsidRPr="009B3747">
        <w:rPr>
          <w:rFonts w:eastAsia="Times New Roman" w:cstheme="minorHAnsi"/>
          <w:i/>
          <w:color w:val="000000"/>
          <w:shd w:val="clear" w:color="auto" w:fill="FFFFFF"/>
          <w:lang w:eastAsia="en-GB"/>
        </w:rPr>
        <w:t>“</w:t>
      </w:r>
      <w:r w:rsidRPr="009B3747">
        <w:rPr>
          <w:rFonts w:eastAsia="Times New Roman" w:cstheme="minorHAnsi"/>
          <w:i/>
          <w:color w:val="000000"/>
          <w:shd w:val="clear" w:color="auto" w:fill="FFFFFF"/>
          <w:lang w:eastAsia="en-GB"/>
        </w:rPr>
        <w:t>an essentially intuit</w:t>
      </w:r>
      <w:r w:rsidR="006C6987" w:rsidRPr="009B3747">
        <w:rPr>
          <w:rFonts w:eastAsia="Times New Roman" w:cstheme="minorHAnsi"/>
          <w:i/>
          <w:color w:val="000000"/>
          <w:shd w:val="clear" w:color="auto" w:fill="FFFFFF"/>
          <w:lang w:eastAsia="en-GB"/>
        </w:rPr>
        <w:t>ive process”</w:t>
      </w:r>
      <w:r w:rsidRPr="009B3747">
        <w:rPr>
          <w:rFonts w:eastAsia="Times New Roman" w:cstheme="minorHAnsi"/>
          <w:color w:val="000000"/>
          <w:shd w:val="clear" w:color="auto" w:fill="FFFFFF"/>
          <w:lang w:eastAsia="en-GB"/>
        </w:rPr>
        <w:t xml:space="preserve"> (Bryman, 2016, p</w:t>
      </w:r>
      <w:r w:rsidR="00E3179E" w:rsidRPr="009B3747">
        <w:rPr>
          <w:rFonts w:eastAsia="Times New Roman" w:cstheme="minorHAnsi"/>
          <w:color w:val="000000"/>
          <w:shd w:val="clear" w:color="auto" w:fill="FFFFFF"/>
          <w:lang w:eastAsia="en-GB"/>
        </w:rPr>
        <w:t>.</w:t>
      </w:r>
      <w:r w:rsidRPr="009B3747">
        <w:rPr>
          <w:rFonts w:eastAsia="Times New Roman" w:cstheme="minorHAnsi"/>
          <w:color w:val="000000"/>
          <w:shd w:val="clear" w:color="auto" w:fill="FFFFFF"/>
          <w:lang w:eastAsia="en-GB"/>
        </w:rPr>
        <w:t>159), examining face validity requires an assessment of whether a measure accurately reflects the phe</w:t>
      </w:r>
      <w:r w:rsidR="004237AA">
        <w:rPr>
          <w:rFonts w:eastAsia="Times New Roman" w:cstheme="minorHAnsi"/>
          <w:color w:val="000000"/>
          <w:shd w:val="clear" w:color="auto" w:fill="FFFFFF"/>
          <w:lang w:eastAsia="en-GB"/>
        </w:rPr>
        <w:t xml:space="preserve">nomenon of interest under study, </w:t>
      </w:r>
      <w:r w:rsidRPr="009B3747">
        <w:rPr>
          <w:rFonts w:eastAsia="Times New Roman" w:cstheme="minorHAnsi"/>
          <w:color w:val="000000"/>
          <w:shd w:val="clear" w:color="auto" w:fill="FFFFFF"/>
          <w:lang w:eastAsia="en-GB"/>
        </w:rPr>
        <w:t>and if the questions posed are relevant, reasonable, unambiguo</w:t>
      </w:r>
      <w:r w:rsidR="006C6987" w:rsidRPr="009B3747">
        <w:rPr>
          <w:rFonts w:eastAsia="Times New Roman" w:cstheme="minorHAnsi"/>
          <w:color w:val="000000"/>
          <w:shd w:val="clear" w:color="auto" w:fill="FFFFFF"/>
          <w:lang w:eastAsia="en-GB"/>
        </w:rPr>
        <w:t>us and clear (Bowling, 2014</w:t>
      </w:r>
      <w:r w:rsidRPr="009B3747">
        <w:rPr>
          <w:rFonts w:eastAsia="Times New Roman" w:cstheme="minorHAnsi"/>
          <w:color w:val="000000"/>
          <w:shd w:val="clear" w:color="auto" w:fill="FFFFFF"/>
          <w:lang w:eastAsia="en-GB"/>
        </w:rPr>
        <w:t>).  As the researcher’s academic supervisor’s had been closely involved in the research process, they were both asked to superficially assess the fac</w:t>
      </w:r>
      <w:r w:rsidR="004B757F">
        <w:rPr>
          <w:rFonts w:eastAsia="Times New Roman" w:cstheme="minorHAnsi"/>
          <w:color w:val="000000"/>
          <w:shd w:val="clear" w:color="auto" w:fill="FFFFFF"/>
          <w:lang w:eastAsia="en-GB"/>
        </w:rPr>
        <w:t>e validity of the questionnaire.  This was done by reviewing the questionnaire’s</w:t>
      </w:r>
      <w:r w:rsidRPr="009B3747">
        <w:rPr>
          <w:rFonts w:eastAsia="Times New Roman" w:cstheme="minorHAnsi"/>
          <w:color w:val="000000"/>
          <w:shd w:val="clear" w:color="auto" w:fill="FFFFFF"/>
          <w:lang w:eastAsia="en-GB"/>
        </w:rPr>
        <w:t xml:space="preserve"> language use, clarity and representativeness (of the qualitative findings).  Furthermore, the finalised questionnaire was subject to a pilot testing process undertake</w:t>
      </w:r>
      <w:r w:rsidR="006C6987" w:rsidRPr="009B3747">
        <w:rPr>
          <w:rFonts w:eastAsia="Times New Roman" w:cstheme="minorHAnsi"/>
          <w:color w:val="000000"/>
          <w:shd w:val="clear" w:color="auto" w:fill="FFFFFF"/>
          <w:lang w:eastAsia="en-GB"/>
        </w:rPr>
        <w:t xml:space="preserve">n by twelve pilot participants </w:t>
      </w:r>
      <w:r w:rsidRPr="009B3747">
        <w:rPr>
          <w:rFonts w:eastAsia="Times New Roman" w:cstheme="minorHAnsi"/>
          <w:color w:val="000000"/>
          <w:shd w:val="clear" w:color="auto" w:fill="FFFFFF"/>
          <w:lang w:eastAsia="en-GB"/>
        </w:rPr>
        <w:t>who again reviewed the questionnaire content and structure.  </w:t>
      </w:r>
    </w:p>
    <w:p w:rsidR="00991D2F" w:rsidRPr="009B3747" w:rsidRDefault="00991D2F" w:rsidP="00991D2F">
      <w:pPr>
        <w:spacing w:after="340"/>
        <w:rPr>
          <w:rFonts w:eastAsia="Times New Roman" w:cstheme="minorHAnsi"/>
          <w:sz w:val="24"/>
          <w:szCs w:val="24"/>
          <w:lang w:eastAsia="en-GB"/>
        </w:rPr>
      </w:pPr>
      <w:r w:rsidRPr="009B3747">
        <w:rPr>
          <w:rFonts w:eastAsia="Times New Roman" w:cstheme="minorHAnsi"/>
          <w:color w:val="000000"/>
          <w:lang w:eastAsia="en-GB"/>
        </w:rPr>
        <w:lastRenderedPageBreak/>
        <w:t xml:space="preserve">Although </w:t>
      </w:r>
      <w:r w:rsidRPr="009B3747">
        <w:rPr>
          <w:rFonts w:eastAsia="Times New Roman" w:cstheme="minorHAnsi"/>
          <w:color w:val="000000"/>
          <w:shd w:val="clear" w:color="auto" w:fill="FFFFFF"/>
          <w:lang w:eastAsia="en-GB"/>
        </w:rPr>
        <w:t>inherently subjective</w:t>
      </w:r>
      <w:r w:rsidR="006C6987" w:rsidRPr="009B3747">
        <w:rPr>
          <w:rFonts w:eastAsia="Times New Roman" w:cstheme="minorHAnsi"/>
          <w:color w:val="000000"/>
          <w:shd w:val="clear" w:color="auto" w:fill="FFFFFF"/>
          <w:lang w:eastAsia="en-GB"/>
        </w:rPr>
        <w:t xml:space="preserve"> </w:t>
      </w:r>
      <w:r w:rsidR="006C6987" w:rsidRPr="009B3747">
        <w:rPr>
          <w:rFonts w:eastAsia="Times New Roman" w:cstheme="minorHAnsi"/>
          <w:color w:val="000000"/>
          <w:shd w:val="clear" w:color="auto" w:fill="FFFFFF"/>
          <w:lang w:eastAsia="en-GB"/>
        </w:rPr>
        <w:fldChar w:fldCharType="begin" w:fldLock="1"/>
      </w:r>
      <w:r w:rsidR="00395650" w:rsidRPr="009B3747">
        <w:rPr>
          <w:rFonts w:eastAsia="Times New Roman" w:cstheme="minorHAnsi"/>
          <w:color w:val="000000"/>
          <w:shd w:val="clear" w:color="auto" w:fill="FFFFFF"/>
          <w:lang w:eastAsia="en-GB"/>
        </w:rPr>
        <w:instrText>ADDIN CSL_CITATION { "citationItems" : [ { "id" : "ITEM-1", "itemData" : { "ISBN" : "0335218350", "abstract" : "Public health problems are increasingly those of human behaviour: encouraging healthier lifestyles, understanding social determinants of health, and barriers to effective public policies, including health care policies. This book introduces some of the principles of social research as applied to public health. It is aimed at those with some understanding of health and health care but little exposure to social research. It introduces some of the social science disciplines that have turned their attention to health and health care such as medical sociology, psychology and anthropology.", "author" : [ { "dropping-particle" : "", "family" : "Green", "given" : "Judith", "non-dropping-particle" : "", "parse-names" : false, "suffix" : "" }, { "dropping-particle" : "", "family" : "Browne", "given" : "John", "non-dropping-particle" : "", "parse-names" : false, "suffix" : "" } ], "id" : "ITEM-1", "issued" : { "date-parts" : [ [ "2005" ] ] }, "number-of-pages" : "172", "publisher" : "Open University Press/McGraw-Hill", "publisher-place" : "Maidenhead", "title" : "Principles of social research", "type" : "book" }, "uris" : [ "http://www.mendeley.com/documents/?uuid=61660c2e-9149-3081-bc1a-7c52aa698852" ] } ], "mendeley" : { "formattedCitation" : "(Green and Browne, 2005)", "plainTextFormattedCitation" : "(Green and Browne, 2005)", "previouslyFormattedCitation" : "(Green and Browne, 2005)" }, "properties" : { "noteIndex" : 0 }, "schema" : "https://github.com/citation-style-language/schema/raw/master/csl-citation.json" }</w:instrText>
      </w:r>
      <w:r w:rsidR="006C6987" w:rsidRPr="009B3747">
        <w:rPr>
          <w:rFonts w:eastAsia="Times New Roman" w:cstheme="minorHAnsi"/>
          <w:color w:val="000000"/>
          <w:shd w:val="clear" w:color="auto" w:fill="FFFFFF"/>
          <w:lang w:eastAsia="en-GB"/>
        </w:rPr>
        <w:fldChar w:fldCharType="separate"/>
      </w:r>
      <w:r w:rsidR="006C6987" w:rsidRPr="009B3747">
        <w:rPr>
          <w:rFonts w:eastAsia="Times New Roman" w:cstheme="minorHAnsi"/>
          <w:noProof/>
          <w:color w:val="000000"/>
          <w:shd w:val="clear" w:color="auto" w:fill="FFFFFF"/>
          <w:lang w:eastAsia="en-GB"/>
        </w:rPr>
        <w:t>(Green and Browne, 2005)</w:t>
      </w:r>
      <w:r w:rsidR="006C6987" w:rsidRPr="009B3747">
        <w:rPr>
          <w:rFonts w:eastAsia="Times New Roman" w:cstheme="minorHAnsi"/>
          <w:color w:val="000000"/>
          <w:shd w:val="clear" w:color="auto" w:fill="FFFFFF"/>
          <w:lang w:eastAsia="en-GB"/>
        </w:rPr>
        <w:fldChar w:fldCharType="end"/>
      </w:r>
      <w:r w:rsidR="006C6987" w:rsidRPr="009B3747">
        <w:rPr>
          <w:rFonts w:eastAsia="Times New Roman" w:cstheme="minorHAnsi"/>
          <w:color w:val="000000"/>
          <w:shd w:val="clear" w:color="auto" w:fill="FFFFFF"/>
          <w:lang w:eastAsia="en-GB"/>
        </w:rPr>
        <w:t xml:space="preserve">, </w:t>
      </w:r>
      <w:r w:rsidRPr="009B3747">
        <w:rPr>
          <w:rFonts w:eastAsia="Times New Roman" w:cstheme="minorHAnsi"/>
          <w:color w:val="000000"/>
          <w:shd w:val="clear" w:color="auto" w:fill="FFFFFF"/>
          <w:lang w:eastAsia="en-GB"/>
        </w:rPr>
        <w:t>assessing face validity is more straightforward than other measures of validity and</w:t>
      </w:r>
      <w:r w:rsidR="006C6987" w:rsidRPr="009B3747">
        <w:rPr>
          <w:rFonts w:eastAsia="Times New Roman" w:cstheme="minorHAnsi"/>
          <w:color w:val="000000"/>
          <w:lang w:eastAsia="en-GB"/>
        </w:rPr>
        <w:t xml:space="preserve"> is therefore deemed to be </w:t>
      </w:r>
      <w:r w:rsidR="006C6987" w:rsidRPr="009B3747">
        <w:rPr>
          <w:rFonts w:eastAsia="Times New Roman" w:cstheme="minorHAnsi"/>
          <w:i/>
          <w:color w:val="000000"/>
          <w:lang w:eastAsia="en-GB"/>
        </w:rPr>
        <w:t>“a useful first approach”</w:t>
      </w:r>
      <w:r w:rsidR="006C6987" w:rsidRPr="009B3747">
        <w:rPr>
          <w:rFonts w:eastAsia="Times New Roman" w:cstheme="minorHAnsi"/>
          <w:color w:val="000000"/>
          <w:lang w:eastAsia="en-GB"/>
        </w:rPr>
        <w:t xml:space="preserve"> </w:t>
      </w:r>
      <w:r w:rsidR="006C6987"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"ISBN" : "0761916415", "abstract" : "1. Questions and answers -- 2. The process of questionnaire construction -- 3. Open- and closed-end questions -- 4. Constructing and wording questions -- 5. Rating scales -- 6. Asking specific questions -- 7. Questionnaire structure and evaluation.", "author" : [ { "dropping-particle" : "", "family" : "Peterson", "given" : "Robert A. (Robert Allen)", "non-dropping-particle" : "", "parse-names" : false, "suffix" : "" } ], "id" : "ITEM-1", "issued" : { "date-parts" : [ [ "1999" ] ] }, "number-of-pages" : "143", "publisher" : "SAGE Publications Inc.", "publisher-place" : "Thousand Oaks", "title" : "Constructing effective questionnaires", "type" : "book" }, "uris" : [ "http://www.mendeley.com/documents/?uuid=2740b182-65dc-32c1-9299-7f787028aa08" ] } ], "mendeley" : { "formattedCitation" : "(Peterson, 1999)", "manualFormatting" : "(Peterson, 2000, p.79)", "plainTextFormattedCitation" : "(Peterson, 1999)", "previouslyFormattedCitation" : "(Peterson, 1999)" }, "properties" : { "noteIndex" : 0 }, "schema" : "https://github.com/citation-style-language/schema/raw/master/csl-citation.json" }</w:instrText>
      </w:r>
      <w:r w:rsidR="006C6987" w:rsidRPr="009B3747">
        <w:rPr>
          <w:rFonts w:eastAsia="Times New Roman" w:cstheme="minorHAnsi"/>
          <w:color w:val="000000"/>
          <w:lang w:eastAsia="en-GB"/>
        </w:rPr>
        <w:fldChar w:fldCharType="separate"/>
      </w:r>
      <w:r w:rsidR="006C6987" w:rsidRPr="009B3747">
        <w:rPr>
          <w:rFonts w:eastAsia="Times New Roman" w:cstheme="minorHAnsi"/>
          <w:noProof/>
          <w:color w:val="000000"/>
          <w:lang w:eastAsia="en-GB"/>
        </w:rPr>
        <w:t>(Peterson, 2000</w:t>
      </w:r>
      <w:r w:rsidR="00E3179E" w:rsidRPr="009B3747">
        <w:rPr>
          <w:rFonts w:eastAsia="Times New Roman" w:cstheme="minorHAnsi"/>
          <w:noProof/>
          <w:color w:val="000000"/>
          <w:lang w:eastAsia="en-GB"/>
        </w:rPr>
        <w:t>, p.</w:t>
      </w:r>
      <w:r w:rsidR="006C6987" w:rsidRPr="009B3747">
        <w:rPr>
          <w:rFonts w:eastAsia="Times New Roman" w:cstheme="minorHAnsi"/>
          <w:noProof/>
          <w:color w:val="000000"/>
          <w:lang w:eastAsia="en-GB"/>
        </w:rPr>
        <w:t>79)</w:t>
      </w:r>
      <w:r w:rsidR="006C6987" w:rsidRPr="009B3747">
        <w:rPr>
          <w:rFonts w:eastAsia="Times New Roman" w:cstheme="minorHAnsi"/>
          <w:color w:val="000000"/>
          <w:lang w:eastAsia="en-GB"/>
        </w:rPr>
        <w:fldChar w:fldCharType="end"/>
      </w:r>
      <w:r w:rsidRPr="009B3747">
        <w:rPr>
          <w:rFonts w:eastAsia="Times New Roman" w:cstheme="minorHAnsi"/>
          <w:color w:val="000000"/>
          <w:lang w:eastAsia="en-GB"/>
        </w:rPr>
        <w:t>.  </w:t>
      </w:r>
      <w:r w:rsidRPr="009B3747">
        <w:rPr>
          <w:rFonts w:eastAsia="Times New Roman" w:cstheme="minorHAnsi"/>
          <w:color w:val="000000"/>
          <w:shd w:val="clear" w:color="auto" w:fill="FFFFFF"/>
          <w:lang w:eastAsia="en-GB"/>
        </w:rPr>
        <w:t xml:space="preserve">The detailed description of the development and conduct of the survey and associated data collection tool as provided within this chapter, aims to </w:t>
      </w:r>
      <w:r w:rsidRPr="009B3747">
        <w:rPr>
          <w:rFonts w:eastAsia="Times New Roman" w:cstheme="minorHAnsi"/>
          <w:color w:val="000000"/>
          <w:lang w:eastAsia="en-GB"/>
        </w:rPr>
        <w:t>support the subject judgement that the survey appropriately reflected the concepts and topics under study.  </w:t>
      </w:r>
    </w:p>
    <w:p w:rsidR="00991D2F" w:rsidRPr="009B3747" w:rsidRDefault="006C6987" w:rsidP="00991D2F">
      <w:pPr>
        <w:spacing w:after="340"/>
        <w:rPr>
          <w:rFonts w:eastAsia="Times New Roman" w:cstheme="minorHAnsi"/>
          <w:sz w:val="24"/>
          <w:szCs w:val="24"/>
          <w:lang w:eastAsia="en-GB"/>
        </w:rPr>
      </w:pPr>
      <w:r w:rsidRPr="009B3747">
        <w:rPr>
          <w:rFonts w:eastAsia="Times New Roman" w:cstheme="minorHAnsi"/>
          <w:color w:val="000000"/>
          <w:shd w:val="clear" w:color="auto" w:fill="FFFFFF"/>
          <w:lang w:eastAsia="en-GB"/>
        </w:rPr>
        <w:t xml:space="preserve">Content validity refers to the </w:t>
      </w:r>
      <w:r w:rsidRPr="009B3747">
        <w:rPr>
          <w:rFonts w:eastAsia="Times New Roman" w:cstheme="minorHAnsi"/>
          <w:i/>
          <w:color w:val="000000"/>
          <w:shd w:val="clear" w:color="auto" w:fill="FFFFFF"/>
          <w:lang w:eastAsia="en-GB"/>
        </w:rPr>
        <w:t>“</w:t>
      </w:r>
      <w:r w:rsidR="00991D2F" w:rsidRPr="009B3747">
        <w:rPr>
          <w:rFonts w:eastAsia="Times New Roman" w:cstheme="minorHAnsi"/>
          <w:i/>
          <w:color w:val="000000"/>
          <w:shd w:val="clear" w:color="auto" w:fill="FFFFFF"/>
          <w:lang w:eastAsia="en-GB"/>
        </w:rPr>
        <w:t>extent to which the indicators measure the different aspects of the conc</w:t>
      </w:r>
      <w:r w:rsidR="000A09B8" w:rsidRPr="009B3747">
        <w:rPr>
          <w:rFonts w:eastAsia="Times New Roman" w:cstheme="minorHAnsi"/>
          <w:i/>
          <w:color w:val="000000"/>
          <w:shd w:val="clear" w:color="auto" w:fill="FFFFFF"/>
          <w:lang w:eastAsia="en-GB"/>
        </w:rPr>
        <w:t>ept</w:t>
      </w:r>
      <w:r w:rsidRPr="009B3747">
        <w:rPr>
          <w:rFonts w:eastAsia="Times New Roman" w:cstheme="minorHAnsi"/>
          <w:i/>
          <w:color w:val="000000"/>
          <w:shd w:val="clear" w:color="auto" w:fill="FFFFFF"/>
          <w:lang w:eastAsia="en-GB"/>
        </w:rPr>
        <w:t>”</w:t>
      </w:r>
      <w:r w:rsidRPr="009B3747">
        <w:rPr>
          <w:rFonts w:eastAsia="Times New Roman" w:cstheme="minorHAnsi"/>
          <w:color w:val="000000"/>
          <w:shd w:val="clear" w:color="auto" w:fill="FFFFFF"/>
          <w:lang w:eastAsia="en-GB"/>
        </w:rPr>
        <w:t xml:space="preserve"> </w:t>
      </w:r>
      <w:r w:rsidRPr="009B3747">
        <w:rPr>
          <w:rFonts w:eastAsia="Times New Roman" w:cstheme="minorHAnsi"/>
          <w:color w:val="000000"/>
          <w:shd w:val="clear" w:color="auto" w:fill="FFFFFF"/>
          <w:lang w:eastAsia="en-GB"/>
        </w:rPr>
        <w:fldChar w:fldCharType="begin" w:fldLock="1"/>
      </w:r>
      <w:r w:rsidR="00A84723" w:rsidRPr="009B3747">
        <w:rPr>
          <w:rFonts w:eastAsia="Times New Roman" w:cstheme="minorHAnsi"/>
          <w:color w:val="000000"/>
          <w:shd w:val="clear" w:color="auto" w:fill="FFFFFF"/>
          <w:lang w:eastAsia="en-GB"/>
        </w:rPr>
        <w:instrText>ADDIN CSL_CITATION { "citationItems" : [ { "id" : "ITEM-1", "itemData" : { "ISBN" : "0415268575", "abstract" : "5th ed. Previous edition: London: UCL, 1996. Scope of survey research -- Nature of surveys -- Theory and social research -- Formulating and clarifying research questions -- Collecting survey data -- Developing indicators for concepts -- Ethics and data collection -- Finding a sample -- Constructing and administering questionnaires -- Setting up the data for analysis -- Coding -- Preparing variables for analysis -- Building scales -- Analyzing survey data -- Overview of analysis -- Univariate analysis -- Bivariate analysis: nominal and ordinal variables -- Biavariate analysis for interval-level variables -- Elaborating bivariate relationships -- Multivariate analysis -- Putting it into practices: a research example.", "author" : [ { "dropping-particle" : "", "family" : "Vaus", "given" : "D.A", "non-dropping-particle" : "de", "parse-names" : false, "suffix" : "" } ], "edition" : "5th", "id" : "ITEM-1", "issued" : { "date-parts" : [ [ "2002" ] ] }, "number-of-pages" : "379", "publisher" : "Allen &amp; Unwin", "publisher-place" : "Sydney", "title" : "Surveys in social research", "type" : "book" }, "uris" : [ "http://www.mendeley.com/documents/?uuid=50279df5-627e-30cb-9dd0-d663677204bb" ] } ], "mendeley" : { "formattedCitation" : "(de Vaus, 2002)", "manualFormatting" : "(De Vaus, 2002, p.54)", "plainTextFormattedCitation" : "(de Vaus, 2002)", "previouslyFormattedCitation" : "(de Vaus, 2002)" }, "properties" : { "noteIndex" : 0 }, "schema" : "https://github.com/citation-style-language/schema/raw/master/csl-citation.json" }</w:instrText>
      </w:r>
      <w:r w:rsidRPr="009B3747">
        <w:rPr>
          <w:rFonts w:eastAsia="Times New Roman" w:cstheme="minorHAnsi"/>
          <w:color w:val="000000"/>
          <w:shd w:val="clear" w:color="auto" w:fill="FFFFFF"/>
          <w:lang w:eastAsia="en-GB"/>
        </w:rPr>
        <w:fldChar w:fldCharType="separate"/>
      </w:r>
      <w:r w:rsidRPr="009B3747">
        <w:rPr>
          <w:rFonts w:eastAsia="Times New Roman" w:cstheme="minorHAnsi"/>
          <w:noProof/>
          <w:color w:val="000000"/>
          <w:shd w:val="clear" w:color="auto" w:fill="FFFFFF"/>
          <w:lang w:eastAsia="en-GB"/>
        </w:rPr>
        <w:t>(De Vaus, 2002</w:t>
      </w:r>
      <w:r w:rsidR="00E3179E" w:rsidRPr="009B3747">
        <w:rPr>
          <w:rFonts w:eastAsia="Times New Roman" w:cstheme="minorHAnsi"/>
          <w:noProof/>
          <w:color w:val="000000"/>
          <w:shd w:val="clear" w:color="auto" w:fill="FFFFFF"/>
          <w:lang w:eastAsia="en-GB"/>
        </w:rPr>
        <w:t>, p.</w:t>
      </w:r>
      <w:r w:rsidRPr="009B3747">
        <w:rPr>
          <w:rFonts w:eastAsia="Times New Roman" w:cstheme="minorHAnsi"/>
          <w:noProof/>
          <w:color w:val="000000"/>
          <w:shd w:val="clear" w:color="auto" w:fill="FFFFFF"/>
          <w:lang w:eastAsia="en-GB"/>
        </w:rPr>
        <w:t>54)</w:t>
      </w:r>
      <w:r w:rsidRPr="009B3747">
        <w:rPr>
          <w:rFonts w:eastAsia="Times New Roman" w:cstheme="minorHAnsi"/>
          <w:color w:val="000000"/>
          <w:shd w:val="clear" w:color="auto" w:fill="FFFFFF"/>
          <w:lang w:eastAsia="en-GB"/>
        </w:rPr>
        <w:fldChar w:fldCharType="end"/>
      </w:r>
      <w:r w:rsidR="004B757F">
        <w:rPr>
          <w:rFonts w:eastAsia="Times New Roman" w:cstheme="minorHAnsi"/>
          <w:color w:val="000000"/>
          <w:shd w:val="clear" w:color="auto" w:fill="FFFFFF"/>
          <w:lang w:eastAsia="en-GB"/>
        </w:rPr>
        <w:t>.  It</w:t>
      </w:r>
      <w:r w:rsidR="00991D2F" w:rsidRPr="009B3747">
        <w:rPr>
          <w:rFonts w:eastAsia="Times New Roman" w:cstheme="minorHAnsi"/>
          <w:color w:val="000000"/>
          <w:shd w:val="clear" w:color="auto" w:fill="FFFFFF"/>
          <w:lang w:eastAsia="en-GB"/>
        </w:rPr>
        <w:t xml:space="preserve"> is argued that content validity is high when a set of measures includes multiple components</w:t>
      </w:r>
      <w:r w:rsidR="009025E2">
        <w:rPr>
          <w:rFonts w:eastAsia="Times New Roman" w:cstheme="minorHAnsi"/>
          <w:color w:val="000000"/>
          <w:shd w:val="clear" w:color="auto" w:fill="FFFFFF"/>
          <w:lang w:eastAsia="en-GB"/>
        </w:rPr>
        <w:t>,</w:t>
      </w:r>
      <w:r w:rsidR="00991D2F" w:rsidRPr="009B3747">
        <w:rPr>
          <w:rFonts w:eastAsia="Times New Roman" w:cstheme="minorHAnsi"/>
          <w:color w:val="000000"/>
          <w:shd w:val="clear" w:color="auto" w:fill="FFFFFF"/>
          <w:lang w:eastAsia="en-GB"/>
        </w:rPr>
        <w:t xml:space="preserve"> which cover all facets of a concept (</w:t>
      </w:r>
      <w:r w:rsidR="00A16A6D" w:rsidRPr="009B3747">
        <w:rPr>
          <w:rFonts w:eastAsia="Times New Roman" w:cstheme="minorHAnsi"/>
          <w:color w:val="000000"/>
          <w:shd w:val="clear" w:color="auto" w:fill="FFFFFF"/>
          <w:lang w:eastAsia="en-GB"/>
        </w:rPr>
        <w:t>Green and Browne, 2005</w:t>
      </w:r>
      <w:r w:rsidR="00991D2F" w:rsidRPr="009B3747">
        <w:rPr>
          <w:rFonts w:eastAsia="Times New Roman" w:cstheme="minorHAnsi"/>
          <w:color w:val="000000"/>
          <w:shd w:val="clear" w:color="auto" w:fill="FFFFFF"/>
          <w:lang w:eastAsia="en-GB"/>
        </w:rPr>
        <w:t>). Thi</w:t>
      </w:r>
      <w:r w:rsidR="00A16A6D" w:rsidRPr="009B3747">
        <w:rPr>
          <w:rFonts w:eastAsia="Times New Roman" w:cstheme="minorHAnsi"/>
          <w:color w:val="000000"/>
          <w:shd w:val="clear" w:color="auto" w:fill="FFFFFF"/>
          <w:lang w:eastAsia="en-GB"/>
        </w:rPr>
        <w:t xml:space="preserve">s type of internal validity is </w:t>
      </w:r>
      <w:r w:rsidR="00A16A6D" w:rsidRPr="004B757F">
        <w:rPr>
          <w:rFonts w:eastAsia="Times New Roman" w:cstheme="minorHAnsi"/>
          <w:i/>
          <w:color w:val="000000"/>
          <w:shd w:val="clear" w:color="auto" w:fill="FFFFFF"/>
          <w:lang w:eastAsia="en-GB"/>
        </w:rPr>
        <w:t>“</w:t>
      </w:r>
      <w:r w:rsidR="00991D2F" w:rsidRPr="004B757F">
        <w:rPr>
          <w:rFonts w:eastAsia="Times New Roman" w:cstheme="minorHAnsi"/>
          <w:i/>
          <w:color w:val="000000"/>
          <w:shd w:val="clear" w:color="auto" w:fill="FFFFFF"/>
          <w:lang w:eastAsia="en-GB"/>
        </w:rPr>
        <w:t>typically useful only if your instrument intends to measure a spec</w:t>
      </w:r>
      <w:r w:rsidR="00A16A6D" w:rsidRPr="004B757F">
        <w:rPr>
          <w:rFonts w:eastAsia="Times New Roman" w:cstheme="minorHAnsi"/>
          <w:i/>
          <w:color w:val="000000"/>
          <w:shd w:val="clear" w:color="auto" w:fill="FFFFFF"/>
          <w:lang w:eastAsia="en-GB"/>
        </w:rPr>
        <w:t>ific and well-defined attribute”</w:t>
      </w:r>
      <w:r w:rsidR="00991D2F" w:rsidRPr="004B757F">
        <w:rPr>
          <w:rFonts w:eastAsia="Times New Roman" w:cstheme="minorHAnsi"/>
          <w:i/>
          <w:color w:val="000000"/>
          <w:shd w:val="clear" w:color="auto" w:fill="FFFFFF"/>
          <w:lang w:eastAsia="en-GB"/>
        </w:rPr>
        <w:t xml:space="preserve"> </w:t>
      </w:r>
      <w:r w:rsidR="00991D2F" w:rsidRPr="009B3747">
        <w:rPr>
          <w:rFonts w:eastAsia="Times New Roman" w:cstheme="minorHAnsi"/>
          <w:color w:val="000000"/>
          <w:shd w:val="clear" w:color="auto" w:fill="FFFFFF"/>
          <w:lang w:eastAsia="en-GB"/>
        </w:rPr>
        <w:t>(T</w:t>
      </w:r>
      <w:r w:rsidR="00E3179E" w:rsidRPr="009B3747">
        <w:rPr>
          <w:rFonts w:eastAsia="Times New Roman" w:cstheme="minorHAnsi"/>
          <w:color w:val="000000"/>
          <w:shd w:val="clear" w:color="auto" w:fill="FFFFFF"/>
          <w:lang w:eastAsia="en-GB"/>
        </w:rPr>
        <w:t>eddlie and Tashakkori, 2009, p.</w:t>
      </w:r>
      <w:r w:rsidR="00991D2F" w:rsidRPr="009B3747">
        <w:rPr>
          <w:rFonts w:eastAsia="Times New Roman" w:cstheme="minorHAnsi"/>
          <w:color w:val="000000"/>
          <w:shd w:val="clear" w:color="auto" w:fill="FFFFFF"/>
          <w:lang w:eastAsia="en-GB"/>
        </w:rPr>
        <w:t>210).  As this survey aimed to present a series of single indicators covering a broad range of concepts only relevant to the qualitative findings (as opposed to well-defined theoretically established concepts)</w:t>
      </w:r>
      <w:r w:rsidR="004B757F">
        <w:rPr>
          <w:rFonts w:eastAsia="Times New Roman" w:cstheme="minorHAnsi"/>
          <w:color w:val="000000"/>
          <w:shd w:val="clear" w:color="auto" w:fill="FFFFFF"/>
          <w:lang w:eastAsia="en-GB"/>
        </w:rPr>
        <w:t>,</w:t>
      </w:r>
      <w:r w:rsidR="00991D2F" w:rsidRPr="009B3747">
        <w:rPr>
          <w:rFonts w:eastAsia="Times New Roman" w:cstheme="minorHAnsi"/>
          <w:color w:val="000000"/>
          <w:shd w:val="clear" w:color="auto" w:fill="FFFFFF"/>
          <w:lang w:eastAsia="en-GB"/>
        </w:rPr>
        <w:t xml:space="preserve"> it was deemed inappropriate to assess the content validity of the survey. </w:t>
      </w:r>
    </w:p>
    <w:p w:rsidR="00787223" w:rsidRPr="009B3747" w:rsidRDefault="00991D2F" w:rsidP="00991D2F">
      <w:pPr>
        <w:spacing w:after="340"/>
        <w:rPr>
          <w:rFonts w:eastAsia="Times New Roman" w:cstheme="minorHAnsi"/>
          <w:color w:val="000000"/>
          <w:lang w:eastAsia="en-GB"/>
        </w:rPr>
      </w:pPr>
      <w:r w:rsidRPr="009B3747">
        <w:rPr>
          <w:rFonts w:eastAsia="Times New Roman" w:cstheme="minorHAnsi"/>
          <w:color w:val="000000"/>
          <w:lang w:eastAsia="en-GB"/>
        </w:rPr>
        <w:t>The other two measures of val</w:t>
      </w:r>
      <w:r w:rsidR="004B757F">
        <w:rPr>
          <w:rFonts w:eastAsia="Times New Roman" w:cstheme="minorHAnsi"/>
          <w:color w:val="000000"/>
          <w:lang w:eastAsia="en-GB"/>
        </w:rPr>
        <w:t xml:space="preserve">idity (criterion and construct), </w:t>
      </w:r>
      <w:r w:rsidRPr="009B3747">
        <w:rPr>
          <w:rFonts w:eastAsia="Times New Roman" w:cstheme="minorHAnsi"/>
          <w:color w:val="000000"/>
          <w:lang w:eastAsia="en-GB"/>
        </w:rPr>
        <w:t>which are frequently referenced within relevant academic literature (Fink, 2002; Bowling, 2014; Bryman, 2016), were not applied to this research.  Criterion validity refers to the extent to which the measure correlates with other comparable (and valid) measures of the concepts under study (</w:t>
      </w:r>
      <w:r w:rsidR="00A16A6D" w:rsidRPr="009B3747">
        <w:rPr>
          <w:rFonts w:eastAsia="Times New Roman" w:cstheme="minorHAnsi"/>
          <w:color w:val="000000"/>
          <w:lang w:eastAsia="en-GB"/>
        </w:rPr>
        <w:t>Green and Browne, 2005)</w:t>
      </w:r>
      <w:r w:rsidRPr="009B3747">
        <w:rPr>
          <w:rFonts w:eastAsia="Times New Roman" w:cstheme="minorHAnsi"/>
          <w:color w:val="000000"/>
          <w:lang w:eastAsia="en-GB"/>
        </w:rPr>
        <w:t>.  Assessing criterion validity therefore typically requires comparison between the new measure and existing and well-accepted measu</w:t>
      </w:r>
      <w:r w:rsidR="00A16A6D" w:rsidRPr="009B3747">
        <w:rPr>
          <w:rFonts w:eastAsia="Times New Roman" w:cstheme="minorHAnsi"/>
          <w:color w:val="000000"/>
          <w:lang w:eastAsia="en-GB"/>
        </w:rPr>
        <w:t xml:space="preserve">res (or gold standard measures), </w:t>
      </w:r>
      <w:r w:rsidRPr="009B3747">
        <w:rPr>
          <w:rFonts w:eastAsia="Times New Roman" w:cstheme="minorHAnsi"/>
          <w:color w:val="000000"/>
          <w:lang w:eastAsia="en-GB"/>
        </w:rPr>
        <w:t xml:space="preserve">(DeVaus, 2002).  Given the context specific nature of the instrument and the lack of relevant existing instruments or measures it was deemed unfeasible to assess criterion validity.  Construct validity refers to the evaluation of a measure and associated items in </w:t>
      </w:r>
      <w:r w:rsidR="00A16A6D" w:rsidRPr="009B3747">
        <w:rPr>
          <w:rFonts w:eastAsia="Times New Roman" w:cstheme="minorHAnsi"/>
          <w:color w:val="000000"/>
          <w:lang w:eastAsia="en-GB"/>
        </w:rPr>
        <w:t xml:space="preserve">terms of how well they conform </w:t>
      </w:r>
      <w:r w:rsidR="00A16A6D" w:rsidRPr="009B3747">
        <w:rPr>
          <w:rFonts w:eastAsia="Times New Roman" w:cstheme="minorHAnsi"/>
          <w:i/>
          <w:color w:val="000000"/>
          <w:lang w:eastAsia="en-GB"/>
        </w:rPr>
        <w:t>“with theoretical expectations”</w:t>
      </w:r>
      <w:r w:rsidR="00A16A6D" w:rsidRPr="009B3747">
        <w:rPr>
          <w:rFonts w:eastAsia="Times New Roman" w:cstheme="minorHAnsi"/>
          <w:color w:val="000000"/>
          <w:lang w:eastAsia="en-GB"/>
        </w:rPr>
        <w:t xml:space="preserve"> (DeVaus, 2002, </w:t>
      </w:r>
      <w:r w:rsidR="00E3179E" w:rsidRPr="009B3747">
        <w:rPr>
          <w:rFonts w:eastAsia="Times New Roman" w:cstheme="minorHAnsi"/>
          <w:color w:val="000000"/>
          <w:lang w:eastAsia="en-GB"/>
        </w:rPr>
        <w:t>p.</w:t>
      </w:r>
      <w:r w:rsidRPr="009B3747">
        <w:rPr>
          <w:rFonts w:eastAsia="Times New Roman" w:cstheme="minorHAnsi"/>
          <w:color w:val="000000"/>
          <w:lang w:eastAsia="en-GB"/>
        </w:rPr>
        <w:t>54).  </w:t>
      </w:r>
    </w:p>
    <w:p w:rsidR="00991D2F" w:rsidRPr="009B3747" w:rsidRDefault="00991D2F" w:rsidP="00991D2F">
      <w:pPr>
        <w:spacing w:after="340"/>
        <w:rPr>
          <w:rFonts w:eastAsia="Times New Roman" w:cstheme="minorHAnsi"/>
          <w:sz w:val="24"/>
          <w:szCs w:val="24"/>
          <w:lang w:eastAsia="en-GB"/>
        </w:rPr>
      </w:pPr>
      <w:r w:rsidRPr="009B3747">
        <w:rPr>
          <w:rFonts w:eastAsia="Times New Roman" w:cstheme="minorHAnsi"/>
          <w:color w:val="000000"/>
          <w:lang w:eastAsia="en-GB"/>
        </w:rPr>
        <w:t xml:space="preserve">Assessing construct validity requires a researcher to generate and test hypotheses based on theory relevant to the concepts under study, thereby assessing whether the measure performs </w:t>
      </w:r>
      <w:r w:rsidR="00BD6288" w:rsidRPr="009B3747">
        <w:rPr>
          <w:rFonts w:eastAsia="Times New Roman" w:cstheme="minorHAnsi"/>
          <w:i/>
          <w:color w:val="000000"/>
          <w:lang w:eastAsia="en-GB"/>
        </w:rPr>
        <w:t>“</w:t>
      </w:r>
      <w:r w:rsidRPr="009B3747">
        <w:rPr>
          <w:rFonts w:eastAsia="Times New Roman" w:cstheme="minorHAnsi"/>
          <w:i/>
          <w:color w:val="000000"/>
          <w:lang w:eastAsia="en-GB"/>
        </w:rPr>
        <w:t>in the way that the u</w:t>
      </w:r>
      <w:r w:rsidR="00BD6288" w:rsidRPr="009B3747">
        <w:rPr>
          <w:rFonts w:eastAsia="Times New Roman" w:cstheme="minorHAnsi"/>
          <w:i/>
          <w:color w:val="000000"/>
          <w:lang w:eastAsia="en-GB"/>
        </w:rPr>
        <w:t>nderlying theory says it should”</w:t>
      </w:r>
      <w:r w:rsidRPr="009B3747">
        <w:rPr>
          <w:rFonts w:eastAsia="Times New Roman" w:cstheme="minorHAnsi"/>
          <w:color w:val="000000"/>
          <w:lang w:eastAsia="en-GB"/>
        </w:rPr>
        <w:t xml:space="preserve"> (</w:t>
      </w:r>
      <w:r w:rsidR="00A16A6D" w:rsidRPr="009B3747">
        <w:rPr>
          <w:rFonts w:eastAsia="Times New Roman" w:cstheme="minorHAnsi"/>
          <w:color w:val="000000"/>
          <w:lang w:eastAsia="en-GB"/>
        </w:rPr>
        <w:t>Green and Browne, 2005</w:t>
      </w:r>
      <w:r w:rsidR="00E3179E" w:rsidRPr="009B3747">
        <w:rPr>
          <w:rFonts w:eastAsia="Times New Roman" w:cstheme="minorHAnsi"/>
          <w:color w:val="000000"/>
          <w:lang w:eastAsia="en-GB"/>
        </w:rPr>
        <w:t>, p.</w:t>
      </w:r>
      <w:r w:rsidRPr="009B3747">
        <w:rPr>
          <w:rFonts w:eastAsia="Times New Roman" w:cstheme="minorHAnsi"/>
          <w:color w:val="000000"/>
          <w:lang w:eastAsia="en-GB"/>
        </w:rPr>
        <w:t>105).  This form of validity was redundant for the given research as the lack of existing theory related to the developed measure meant it would’ve been methodologically inappropriate to arbitrarily generate testable hypotheses.</w:t>
      </w:r>
    </w:p>
    <w:p w:rsidR="00787223" w:rsidRPr="009B3747" w:rsidRDefault="00787223" w:rsidP="00991D2F">
      <w:pPr>
        <w:rPr>
          <w:rFonts w:eastAsia="Times New Roman" w:cstheme="minorHAnsi"/>
          <w:color w:val="000000"/>
          <w:u w:val="single"/>
          <w:shd w:val="clear" w:color="auto" w:fill="FFFFFF"/>
          <w:lang w:eastAsia="en-GB"/>
        </w:rPr>
      </w:pPr>
    </w:p>
    <w:p w:rsidR="00022E3D" w:rsidRPr="009B3747" w:rsidRDefault="00022E3D" w:rsidP="00991D2F">
      <w:pPr>
        <w:rPr>
          <w:rFonts w:eastAsia="Times New Roman" w:cstheme="minorHAnsi"/>
          <w:color w:val="000000"/>
          <w:u w:val="single"/>
          <w:shd w:val="clear" w:color="auto" w:fill="FFFFFF"/>
          <w:lang w:eastAsia="en-GB"/>
        </w:rPr>
      </w:pPr>
    </w:p>
    <w:p w:rsidR="00787223" w:rsidRPr="009B3747" w:rsidRDefault="00787223" w:rsidP="00991D2F">
      <w:pPr>
        <w:rPr>
          <w:rFonts w:eastAsia="Times New Roman" w:cstheme="minorHAnsi"/>
          <w:color w:val="000000"/>
          <w:u w:val="single"/>
          <w:shd w:val="clear" w:color="auto" w:fill="FFFFFF"/>
          <w:lang w:eastAsia="en-GB"/>
        </w:rPr>
      </w:pPr>
    </w:p>
    <w:p w:rsidR="00991D2F" w:rsidRPr="009B3747" w:rsidRDefault="00CB18A0" w:rsidP="00991D2F">
      <w:pPr>
        <w:rPr>
          <w:rFonts w:eastAsia="Times New Roman" w:cstheme="minorHAnsi"/>
          <w:color w:val="000000"/>
          <w:u w:val="single"/>
          <w:shd w:val="clear" w:color="auto" w:fill="FFFFFF"/>
          <w:lang w:eastAsia="en-GB"/>
        </w:rPr>
      </w:pPr>
      <w:r w:rsidRPr="009B3747">
        <w:rPr>
          <w:rFonts w:eastAsia="Times New Roman" w:cstheme="minorHAnsi"/>
          <w:color w:val="000000"/>
          <w:u w:val="single"/>
          <w:shd w:val="clear" w:color="auto" w:fill="FFFFFF"/>
          <w:lang w:eastAsia="en-GB"/>
        </w:rPr>
        <w:lastRenderedPageBreak/>
        <w:t>7.4</w:t>
      </w:r>
      <w:r w:rsidR="00827CCD" w:rsidRPr="009B3747">
        <w:rPr>
          <w:rFonts w:eastAsia="Times New Roman" w:cstheme="minorHAnsi"/>
          <w:color w:val="000000"/>
          <w:u w:val="single"/>
          <w:shd w:val="clear" w:color="auto" w:fill="FFFFFF"/>
          <w:lang w:eastAsia="en-GB"/>
        </w:rPr>
        <w:t xml:space="preserve">.2 </w:t>
      </w:r>
      <w:r w:rsidR="00991D2F" w:rsidRPr="009B3747">
        <w:rPr>
          <w:rFonts w:eastAsia="Times New Roman" w:cstheme="minorHAnsi"/>
          <w:color w:val="000000"/>
          <w:u w:val="single"/>
          <w:shd w:val="clear" w:color="auto" w:fill="FFFFFF"/>
          <w:lang w:eastAsia="en-GB"/>
        </w:rPr>
        <w:t>Reliability</w:t>
      </w:r>
    </w:p>
    <w:p w:rsidR="00A16A6D" w:rsidRPr="009B3747" w:rsidRDefault="00A16A6D" w:rsidP="00991D2F">
      <w:pPr>
        <w:rPr>
          <w:rFonts w:eastAsia="Times New Roman" w:cstheme="minorHAnsi"/>
          <w:b/>
          <w:sz w:val="24"/>
          <w:szCs w:val="24"/>
          <w:u w:val="single"/>
          <w:lang w:eastAsia="en-GB"/>
        </w:rPr>
      </w:pPr>
    </w:p>
    <w:p w:rsidR="00991D2F" w:rsidRPr="009B3747" w:rsidRDefault="00991D2F" w:rsidP="00991D2F">
      <w:pPr>
        <w:spacing w:after="340"/>
        <w:rPr>
          <w:rFonts w:eastAsia="Times New Roman" w:cstheme="minorHAnsi"/>
          <w:sz w:val="24"/>
          <w:szCs w:val="24"/>
          <w:lang w:eastAsia="en-GB"/>
        </w:rPr>
      </w:pPr>
      <w:r w:rsidRPr="009B3747">
        <w:rPr>
          <w:rFonts w:eastAsia="Times New Roman" w:cstheme="minorHAnsi"/>
          <w:color w:val="000000"/>
          <w:shd w:val="clear" w:color="auto" w:fill="FFFFFF"/>
          <w:lang w:eastAsia="en-GB"/>
        </w:rPr>
        <w:t>Bryman (2016) states there are three prominent factors to consider when deciding whether a measure is reliable: stability, internal reliability and inter-observer reliability.  In relation to stability</w:t>
      </w:r>
      <w:r w:rsidR="00B46C02">
        <w:rPr>
          <w:rFonts w:eastAsia="Times New Roman" w:cstheme="minorHAnsi"/>
          <w:color w:val="000000"/>
          <w:shd w:val="clear" w:color="auto" w:fill="FFFFFF"/>
          <w:lang w:eastAsia="en-GB"/>
        </w:rPr>
        <w:t xml:space="preserve">, </w:t>
      </w:r>
      <w:r w:rsidRPr="009B3747">
        <w:rPr>
          <w:rFonts w:eastAsia="Times New Roman" w:cstheme="minorHAnsi"/>
          <w:color w:val="000000"/>
          <w:shd w:val="clear" w:color="auto" w:fill="FFFFFF"/>
          <w:lang w:eastAsia="en-GB"/>
        </w:rPr>
        <w:t xml:space="preserve">i.e. whether a measure is stable over time, given the specific contextual nature of the questionnaire it was not possible or necessary to conduct tests which would assess the questionnaires level of stability.  Furthermore, as the questionnaire was designed to collect data for a descriptive cross-sectional survey, it was employed to investigate attitudes at a single point in time and not on repeated occasions (DeVaus, 2002). </w:t>
      </w:r>
    </w:p>
    <w:p w:rsidR="00991D2F" w:rsidRPr="009B3747" w:rsidRDefault="00991D2F" w:rsidP="00991D2F">
      <w:pPr>
        <w:spacing w:after="340"/>
        <w:rPr>
          <w:rFonts w:eastAsia="Times New Roman" w:cstheme="minorHAnsi"/>
          <w:sz w:val="24"/>
          <w:szCs w:val="24"/>
          <w:lang w:eastAsia="en-GB"/>
        </w:rPr>
      </w:pPr>
      <w:r w:rsidRPr="009B3747">
        <w:rPr>
          <w:rFonts w:eastAsia="Times New Roman" w:cstheme="minorHAnsi"/>
          <w:color w:val="000000"/>
          <w:shd w:val="clear" w:color="auto" w:fill="FFFFFF"/>
          <w:lang w:eastAsia="en-GB"/>
        </w:rPr>
        <w:t>The factor of</w:t>
      </w:r>
      <w:r w:rsidR="00A16A6D" w:rsidRPr="009B3747">
        <w:rPr>
          <w:rFonts w:eastAsia="Times New Roman" w:cstheme="minorHAnsi"/>
          <w:color w:val="000000"/>
          <w:shd w:val="clear" w:color="auto" w:fill="FFFFFF"/>
          <w:lang w:eastAsia="en-GB"/>
        </w:rPr>
        <w:t>,</w:t>
      </w:r>
      <w:r w:rsidRPr="009B3747">
        <w:rPr>
          <w:rFonts w:eastAsia="Times New Roman" w:cstheme="minorHAnsi"/>
          <w:color w:val="000000"/>
          <w:shd w:val="clear" w:color="auto" w:fill="FFFFFF"/>
          <w:lang w:eastAsia="en-GB"/>
        </w:rPr>
        <w:t xml:space="preserve"> and related measures for</w:t>
      </w:r>
      <w:r w:rsidR="00A16A6D" w:rsidRPr="009B3747">
        <w:rPr>
          <w:rFonts w:eastAsia="Times New Roman" w:cstheme="minorHAnsi"/>
          <w:color w:val="000000"/>
          <w:shd w:val="clear" w:color="auto" w:fill="FFFFFF"/>
          <w:lang w:eastAsia="en-GB"/>
        </w:rPr>
        <w:t>,</w:t>
      </w:r>
      <w:r w:rsidRPr="009B3747">
        <w:rPr>
          <w:rFonts w:eastAsia="Times New Roman" w:cstheme="minorHAnsi"/>
          <w:color w:val="000000"/>
          <w:shd w:val="clear" w:color="auto" w:fill="FFFFFF"/>
          <w:lang w:eastAsia="en-GB"/>
        </w:rPr>
        <w:t xml:space="preserve"> internal reliability</w:t>
      </w:r>
      <w:r w:rsidR="00B46C02">
        <w:rPr>
          <w:rFonts w:eastAsia="Times New Roman" w:cstheme="minorHAnsi"/>
          <w:color w:val="000000"/>
          <w:shd w:val="clear" w:color="auto" w:fill="FFFFFF"/>
          <w:lang w:eastAsia="en-GB"/>
        </w:rPr>
        <w:t>,</w:t>
      </w:r>
      <w:r w:rsidRPr="009B3747">
        <w:rPr>
          <w:rFonts w:eastAsia="Times New Roman" w:cstheme="minorHAnsi"/>
          <w:color w:val="000000"/>
          <w:shd w:val="clear" w:color="auto" w:fill="FFFFFF"/>
          <w:lang w:eastAsia="en-GB"/>
        </w:rPr>
        <w:t xml:space="preserve"> i.e. the homogeneity or consistency of items related to a particular concept (Bowling, 2014), were considered however were not deemed relevant.  As discussed previously, the questionnaire did not employ multiple-item measures and therefore did not intend to aggregate each respondent's answers to each question in order to form an overall score for various concepts.  Consequently tests that measure internal consistency between item</w:t>
      </w:r>
      <w:r w:rsidR="00B46C02">
        <w:rPr>
          <w:rFonts w:eastAsia="Times New Roman" w:cstheme="minorHAnsi"/>
          <w:color w:val="000000"/>
          <w:shd w:val="clear" w:color="auto" w:fill="FFFFFF"/>
          <w:lang w:eastAsia="en-GB"/>
        </w:rPr>
        <w:t xml:space="preserve">s within a scale, </w:t>
      </w:r>
      <w:r w:rsidRPr="009B3747">
        <w:rPr>
          <w:rFonts w:eastAsia="Times New Roman" w:cstheme="minorHAnsi"/>
          <w:color w:val="000000"/>
          <w:shd w:val="clear" w:color="auto" w:fill="FFFFFF"/>
          <w:lang w:eastAsia="en-GB"/>
        </w:rPr>
        <w:t>i.e. Cronbach’s alpha were discounted (Oppenheim, 1998; DeVaus, 2002).  </w:t>
      </w:r>
    </w:p>
    <w:p w:rsidR="00991D2F" w:rsidRPr="009B3747" w:rsidRDefault="00991D2F" w:rsidP="00991D2F">
      <w:pPr>
        <w:spacing w:after="340"/>
        <w:rPr>
          <w:rFonts w:eastAsia="Times New Roman" w:cstheme="minorHAnsi"/>
          <w:sz w:val="24"/>
          <w:szCs w:val="24"/>
          <w:lang w:eastAsia="en-GB"/>
        </w:rPr>
      </w:pPr>
      <w:r w:rsidRPr="009B3747">
        <w:rPr>
          <w:rFonts w:eastAsia="Times New Roman" w:cstheme="minorHAnsi"/>
          <w:color w:val="000000"/>
          <w:shd w:val="clear" w:color="auto" w:fill="FFFFFF"/>
          <w:lang w:eastAsia="en-GB"/>
        </w:rPr>
        <w:t>Inter-observer reliability refers to a situation when more than one observer is involved in research study or where considerable subjective judgement is utilised (Bryman, 2016).  Typically, inter-observer relia</w:t>
      </w:r>
      <w:r w:rsidR="00A16A6D" w:rsidRPr="009B3747">
        <w:rPr>
          <w:rFonts w:eastAsia="Times New Roman" w:cstheme="minorHAnsi"/>
          <w:color w:val="000000"/>
          <w:shd w:val="clear" w:color="auto" w:fill="FFFFFF"/>
          <w:lang w:eastAsia="en-GB"/>
        </w:rPr>
        <w:t xml:space="preserve">bility can be tested to see if </w:t>
      </w:r>
      <w:r w:rsidR="00A16A6D" w:rsidRPr="009B3747">
        <w:rPr>
          <w:rFonts w:eastAsia="Times New Roman" w:cstheme="minorHAnsi"/>
          <w:i/>
          <w:color w:val="000000"/>
          <w:shd w:val="clear" w:color="auto" w:fill="FFFFFF"/>
          <w:lang w:eastAsia="en-GB"/>
        </w:rPr>
        <w:t>“</w:t>
      </w:r>
      <w:r w:rsidRPr="009B3747">
        <w:rPr>
          <w:rFonts w:eastAsia="Times New Roman" w:cstheme="minorHAnsi"/>
          <w:i/>
          <w:color w:val="000000"/>
          <w:shd w:val="clear" w:color="auto" w:fill="FFFFFF"/>
          <w:lang w:eastAsia="en-GB"/>
        </w:rPr>
        <w:t>different rater</w:t>
      </w:r>
      <w:r w:rsidR="00B30E97" w:rsidRPr="009B3747">
        <w:rPr>
          <w:rFonts w:eastAsia="Times New Roman" w:cstheme="minorHAnsi"/>
          <w:i/>
          <w:color w:val="000000"/>
          <w:shd w:val="clear" w:color="auto" w:fill="FFFFFF"/>
          <w:lang w:eastAsia="en-GB"/>
        </w:rPr>
        <w:t>s</w:t>
      </w:r>
      <w:r w:rsidRPr="009B3747">
        <w:rPr>
          <w:rFonts w:eastAsia="Times New Roman" w:cstheme="minorHAnsi"/>
          <w:i/>
          <w:color w:val="000000"/>
          <w:shd w:val="clear" w:color="auto" w:fill="FFFFFF"/>
          <w:lang w:eastAsia="en-GB"/>
        </w:rPr>
        <w:t xml:space="preserve"> record the</w:t>
      </w:r>
      <w:r w:rsidR="00A16A6D" w:rsidRPr="009B3747">
        <w:rPr>
          <w:rFonts w:eastAsia="Times New Roman" w:cstheme="minorHAnsi"/>
          <w:i/>
          <w:color w:val="000000"/>
          <w:shd w:val="clear" w:color="auto" w:fill="FFFFFF"/>
          <w:lang w:eastAsia="en-GB"/>
        </w:rPr>
        <w:t xml:space="preserve"> same responses in the same way”</w:t>
      </w:r>
      <w:r w:rsidRPr="009B3747">
        <w:rPr>
          <w:rFonts w:eastAsia="Times New Roman" w:cstheme="minorHAnsi"/>
          <w:i/>
          <w:color w:val="000000"/>
          <w:shd w:val="clear" w:color="auto" w:fill="FFFFFF"/>
          <w:lang w:eastAsia="en-GB"/>
        </w:rPr>
        <w:t xml:space="preserve"> </w:t>
      </w:r>
      <w:r w:rsidRPr="009B3747">
        <w:rPr>
          <w:rFonts w:eastAsia="Times New Roman" w:cstheme="minorHAnsi"/>
          <w:color w:val="000000"/>
          <w:shd w:val="clear" w:color="auto" w:fill="FFFFFF"/>
          <w:lang w:eastAsia="en-GB"/>
        </w:rPr>
        <w:t>(</w:t>
      </w:r>
      <w:r w:rsidR="00A16A6D" w:rsidRPr="009B3747">
        <w:rPr>
          <w:rFonts w:eastAsia="Times New Roman" w:cstheme="minorHAnsi"/>
          <w:color w:val="000000"/>
          <w:shd w:val="clear" w:color="auto" w:fill="FFFFFF"/>
          <w:lang w:eastAsia="en-GB"/>
        </w:rPr>
        <w:t>Green and Browne, 2005</w:t>
      </w:r>
      <w:r w:rsidR="00E3179E" w:rsidRPr="009B3747">
        <w:rPr>
          <w:rFonts w:eastAsia="Times New Roman" w:cstheme="minorHAnsi"/>
          <w:color w:val="000000"/>
          <w:shd w:val="clear" w:color="auto" w:fill="FFFFFF"/>
          <w:lang w:eastAsia="en-GB"/>
        </w:rPr>
        <w:t>, p.</w:t>
      </w:r>
      <w:r w:rsidRPr="009B3747">
        <w:rPr>
          <w:rFonts w:eastAsia="Times New Roman" w:cstheme="minorHAnsi"/>
          <w:color w:val="000000"/>
          <w:shd w:val="clear" w:color="auto" w:fill="FFFFFF"/>
          <w:lang w:eastAsia="en-GB"/>
        </w:rPr>
        <w:t>105).  </w:t>
      </w:r>
      <w:r w:rsidRPr="009B3747">
        <w:rPr>
          <w:rFonts w:eastAsia="Times New Roman" w:cstheme="minorHAnsi"/>
          <w:color w:val="000000"/>
          <w:lang w:eastAsia="en-GB"/>
        </w:rPr>
        <w:t>As there is only one researcher involved in the collection and analysis of survey data, tests for inter-observer reliability were not deemed to be necessary.</w:t>
      </w:r>
    </w:p>
    <w:p w:rsidR="00991D2F" w:rsidRPr="009B3747" w:rsidRDefault="00991D2F" w:rsidP="00991D2F">
      <w:pPr>
        <w:spacing w:after="340"/>
        <w:rPr>
          <w:rFonts w:eastAsia="Times New Roman" w:cstheme="minorHAnsi"/>
          <w:sz w:val="24"/>
          <w:szCs w:val="24"/>
          <w:lang w:eastAsia="en-GB"/>
        </w:rPr>
      </w:pPr>
      <w:r w:rsidRPr="009B3747">
        <w:rPr>
          <w:rFonts w:eastAsia="Times New Roman" w:cstheme="minorHAnsi"/>
          <w:color w:val="000000"/>
          <w:shd w:val="clear" w:color="auto" w:fill="FFFFFF"/>
          <w:lang w:eastAsia="en-GB"/>
        </w:rPr>
        <w:t>Despite the researcher and academic supervision perceiving it would not be necessary to perform formal tests for specific aspects of reliability, a number of steps were undertaken to maximise the questionnaires reliability in its broadest sense</w:t>
      </w:r>
      <w:r w:rsidR="00B30E97" w:rsidRPr="009B3747">
        <w:rPr>
          <w:rFonts w:eastAsia="Times New Roman" w:cstheme="minorHAnsi"/>
          <w:color w:val="000000"/>
          <w:shd w:val="clear" w:color="auto" w:fill="FFFFFF"/>
          <w:lang w:eastAsia="en-GB"/>
        </w:rPr>
        <w:t xml:space="preserve"> (De Vaus, 2002; Bryman, 2016):</w:t>
      </w:r>
      <w:r w:rsidRPr="009B3747">
        <w:rPr>
          <w:rFonts w:eastAsia="Times New Roman" w:cstheme="minorHAnsi"/>
          <w:color w:val="000000"/>
          <w:shd w:val="clear" w:color="auto" w:fill="FFFFFF"/>
          <w:lang w:eastAsia="en-GB"/>
        </w:rPr>
        <w:t xml:space="preserve"> </w:t>
      </w:r>
    </w:p>
    <w:p w:rsidR="00991D2F" w:rsidRPr="009B3747" w:rsidRDefault="00991D2F" w:rsidP="00C27072">
      <w:pPr>
        <w:numPr>
          <w:ilvl w:val="0"/>
          <w:numId w:val="44"/>
        </w:numPr>
        <w:shd w:val="clear" w:color="auto" w:fill="FFFFFF"/>
        <w:textAlignment w:val="baseline"/>
        <w:rPr>
          <w:rFonts w:eastAsia="Times New Roman" w:cstheme="minorHAnsi"/>
          <w:color w:val="000000"/>
          <w:lang w:eastAsia="en-GB"/>
        </w:rPr>
      </w:pPr>
      <w:r w:rsidRPr="009B3747">
        <w:rPr>
          <w:rFonts w:eastAsia="Times New Roman" w:cstheme="minorHAnsi"/>
          <w:color w:val="000000"/>
          <w:shd w:val="clear" w:color="auto" w:fill="FFFFFF"/>
          <w:lang w:eastAsia="en-GB"/>
        </w:rPr>
        <w:t>The questionnaire content was developed from the qualitative findings in conjunction with academic supervision</w:t>
      </w:r>
    </w:p>
    <w:p w:rsidR="00991D2F" w:rsidRPr="009B3747" w:rsidRDefault="00991D2F" w:rsidP="00C27072">
      <w:pPr>
        <w:numPr>
          <w:ilvl w:val="0"/>
          <w:numId w:val="44"/>
        </w:numPr>
        <w:shd w:val="clear" w:color="auto" w:fill="FFFFFF"/>
        <w:textAlignment w:val="baseline"/>
        <w:rPr>
          <w:rFonts w:eastAsia="Times New Roman" w:cstheme="minorHAnsi"/>
          <w:color w:val="000000"/>
          <w:lang w:eastAsia="en-GB"/>
        </w:rPr>
      </w:pPr>
      <w:r w:rsidRPr="009B3747">
        <w:rPr>
          <w:rFonts w:eastAsia="Times New Roman" w:cstheme="minorHAnsi"/>
          <w:color w:val="000000"/>
          <w:shd w:val="clear" w:color="auto" w:fill="FFFFFF"/>
          <w:lang w:eastAsia="en-GB"/>
        </w:rPr>
        <w:t xml:space="preserve">Questions and opinion statements were carefully worded and aimed to be reflective of the language used by interview participants </w:t>
      </w:r>
    </w:p>
    <w:p w:rsidR="00991D2F" w:rsidRPr="009B3747" w:rsidRDefault="00991D2F" w:rsidP="00C27072">
      <w:pPr>
        <w:numPr>
          <w:ilvl w:val="0"/>
          <w:numId w:val="44"/>
        </w:numPr>
        <w:shd w:val="clear" w:color="auto" w:fill="FFFFFF"/>
        <w:textAlignment w:val="baseline"/>
        <w:rPr>
          <w:rFonts w:eastAsia="Times New Roman" w:cstheme="minorHAnsi"/>
          <w:color w:val="000000"/>
          <w:lang w:eastAsia="en-GB"/>
        </w:rPr>
      </w:pPr>
      <w:r w:rsidRPr="009B3747">
        <w:rPr>
          <w:rFonts w:eastAsia="Times New Roman" w:cstheme="minorHAnsi"/>
          <w:color w:val="000000"/>
          <w:shd w:val="clear" w:color="auto" w:fill="FFFFFF"/>
          <w:lang w:eastAsia="en-GB"/>
        </w:rPr>
        <w:t>A formal pilot testing proce</w:t>
      </w:r>
      <w:r w:rsidR="00A16A6D" w:rsidRPr="009B3747">
        <w:rPr>
          <w:rFonts w:eastAsia="Times New Roman" w:cstheme="minorHAnsi"/>
          <w:color w:val="000000"/>
          <w:shd w:val="clear" w:color="auto" w:fill="FFFFFF"/>
          <w:lang w:eastAsia="en-GB"/>
        </w:rPr>
        <w:t>ss</w:t>
      </w:r>
      <w:r w:rsidR="00862852" w:rsidRPr="009B3747">
        <w:rPr>
          <w:rFonts w:eastAsia="Times New Roman" w:cstheme="minorHAnsi"/>
          <w:color w:val="000000"/>
          <w:shd w:val="clear" w:color="auto" w:fill="FFFFFF"/>
          <w:lang w:eastAsia="en-GB"/>
        </w:rPr>
        <w:t xml:space="preserve"> was undertaken (see section 7.5</w:t>
      </w:r>
      <w:r w:rsidR="00A16A6D" w:rsidRPr="009B3747">
        <w:rPr>
          <w:rFonts w:eastAsia="Times New Roman" w:cstheme="minorHAnsi"/>
          <w:color w:val="000000"/>
          <w:shd w:val="clear" w:color="auto" w:fill="FFFFFF"/>
          <w:lang w:eastAsia="en-GB"/>
        </w:rPr>
        <w:t>.1</w:t>
      </w:r>
      <w:r w:rsidRPr="009B3747">
        <w:rPr>
          <w:rFonts w:eastAsia="Times New Roman" w:cstheme="minorHAnsi"/>
          <w:color w:val="000000"/>
          <w:shd w:val="clear" w:color="auto" w:fill="FFFFFF"/>
          <w:lang w:eastAsia="en-GB"/>
        </w:rPr>
        <w:t>)</w:t>
      </w:r>
    </w:p>
    <w:p w:rsidR="00991D2F" w:rsidRPr="009B3747" w:rsidRDefault="00991D2F" w:rsidP="00C27072">
      <w:pPr>
        <w:numPr>
          <w:ilvl w:val="0"/>
          <w:numId w:val="44"/>
        </w:numPr>
        <w:shd w:val="clear" w:color="auto" w:fill="FFFFFF"/>
        <w:spacing w:after="340"/>
        <w:textAlignment w:val="baseline"/>
        <w:rPr>
          <w:rFonts w:eastAsia="Times New Roman" w:cstheme="minorHAnsi"/>
          <w:color w:val="000000"/>
          <w:lang w:eastAsia="en-GB"/>
        </w:rPr>
      </w:pPr>
      <w:r w:rsidRPr="009B3747">
        <w:rPr>
          <w:rFonts w:eastAsia="Times New Roman" w:cstheme="minorHAnsi"/>
          <w:color w:val="000000"/>
          <w:shd w:val="clear" w:color="auto" w:fill="FFFFFF"/>
          <w:lang w:eastAsia="en-GB"/>
        </w:rPr>
        <w:t>This chapter sets out a comprehensive audit trail of the survey methodology thus enabling the process to be replicated</w:t>
      </w:r>
    </w:p>
    <w:p w:rsidR="00991D2F" w:rsidRPr="009B3747" w:rsidRDefault="00CB18A0" w:rsidP="00991D2F">
      <w:pPr>
        <w:rPr>
          <w:rFonts w:eastAsia="Times New Roman" w:cstheme="minorHAnsi"/>
          <w:b/>
          <w:sz w:val="24"/>
          <w:szCs w:val="24"/>
          <w:lang w:eastAsia="en-GB"/>
        </w:rPr>
      </w:pPr>
      <w:r w:rsidRPr="009B3747">
        <w:rPr>
          <w:rFonts w:eastAsia="Times New Roman" w:cstheme="minorHAnsi"/>
          <w:b/>
          <w:color w:val="000000"/>
          <w:sz w:val="24"/>
          <w:szCs w:val="24"/>
          <w:u w:val="single"/>
          <w:lang w:eastAsia="en-GB"/>
        </w:rPr>
        <w:lastRenderedPageBreak/>
        <w:t>7.5</w:t>
      </w:r>
      <w:r w:rsidR="00827CCD" w:rsidRPr="009B3747">
        <w:rPr>
          <w:rFonts w:eastAsia="Times New Roman" w:cstheme="minorHAnsi"/>
          <w:b/>
          <w:color w:val="000000"/>
          <w:sz w:val="24"/>
          <w:szCs w:val="24"/>
          <w:u w:val="single"/>
          <w:lang w:eastAsia="en-GB"/>
        </w:rPr>
        <w:t xml:space="preserve"> </w:t>
      </w:r>
      <w:r w:rsidR="00991D2F" w:rsidRPr="009B3747">
        <w:rPr>
          <w:rFonts w:eastAsia="Times New Roman" w:cstheme="minorHAnsi"/>
          <w:b/>
          <w:color w:val="000000"/>
          <w:sz w:val="24"/>
          <w:szCs w:val="24"/>
          <w:u w:val="single"/>
          <w:lang w:eastAsia="en-GB"/>
        </w:rPr>
        <w:t xml:space="preserve">Creating the online questionnaire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t>Once the final draft of statements and questions were compiled, it was necessary to create the online questionnaire.  As discussed previously, it was decided for pragmatic reasons that an online (web-based) questionnaire, distributed via email would be the most appropriate choice.  Whilst a variety of online platforms and software exist for both collecting and analysing survey data (i.e. SurveyMonkey, SoGoSurvey), having consulted with academic supervision it was decided that ‘Google Forms’ would be used to create the online questionnaire.  Whilst not offering the same level of customisation and analytical/reporting tools as other online survey systems, Google Forms is free, simple to use, obtains data in a digital format and is integrated with other Google apps (which are adopte</w:t>
      </w:r>
      <w:r w:rsidR="00B46C02">
        <w:rPr>
          <w:rFonts w:eastAsia="Times New Roman" w:cstheme="minorHAnsi"/>
          <w:color w:val="000000"/>
          <w:lang w:eastAsia="en-GB"/>
        </w:rPr>
        <w:t>d by the University of Sheffield,</w:t>
      </w:r>
      <w:r w:rsidRPr="009B3747">
        <w:rPr>
          <w:rFonts w:eastAsia="Times New Roman" w:cstheme="minorHAnsi"/>
          <w:color w:val="000000"/>
          <w:lang w:eastAsia="en-GB"/>
        </w:rPr>
        <w:t xml:space="preserve"> i.e. Google Drive).</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t>To inform the creation of the online questionnaire</w:t>
      </w:r>
      <w:r w:rsidR="00B46C02">
        <w:rPr>
          <w:rFonts w:eastAsia="Times New Roman" w:cstheme="minorHAnsi"/>
          <w:color w:val="000000"/>
          <w:lang w:eastAsia="en-GB"/>
        </w:rPr>
        <w:t>,</w:t>
      </w:r>
      <w:r w:rsidRPr="009B3747">
        <w:rPr>
          <w:rFonts w:eastAsia="Times New Roman" w:cstheme="minorHAnsi"/>
          <w:color w:val="000000"/>
          <w:lang w:eastAsia="en-GB"/>
        </w:rPr>
        <w:t xml:space="preserve"> i.e. building the structure and inputting content, the researcher accessed the Google Learning Centre website.  Given that the researcher had not used this system previously, this resource was useful in providing step by step instructions on how to create the Google Form, including how to effectively design the structure of the questionnaire and how to add and edit questions/statements.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CB18A0" w:rsidP="00991D2F">
      <w:pPr>
        <w:spacing w:after="240"/>
        <w:rPr>
          <w:rFonts w:eastAsia="Times New Roman" w:cstheme="minorHAnsi"/>
          <w:sz w:val="24"/>
          <w:szCs w:val="24"/>
          <w:lang w:eastAsia="en-GB"/>
        </w:rPr>
      </w:pPr>
      <w:r w:rsidRPr="009B3747">
        <w:rPr>
          <w:rFonts w:eastAsia="Times New Roman" w:cstheme="minorHAnsi"/>
          <w:color w:val="000000"/>
          <w:u w:val="single"/>
          <w:lang w:eastAsia="en-GB"/>
        </w:rPr>
        <w:t>7.5</w:t>
      </w:r>
      <w:r w:rsidR="00827CCD" w:rsidRPr="009B3747">
        <w:rPr>
          <w:rFonts w:eastAsia="Times New Roman" w:cstheme="minorHAnsi"/>
          <w:color w:val="000000"/>
          <w:u w:val="single"/>
          <w:lang w:eastAsia="en-GB"/>
        </w:rPr>
        <w:t xml:space="preserve">.1 </w:t>
      </w:r>
      <w:r w:rsidR="00991D2F" w:rsidRPr="009B3747">
        <w:rPr>
          <w:rFonts w:eastAsia="Times New Roman" w:cstheme="minorHAnsi"/>
          <w:color w:val="000000"/>
          <w:u w:val="single"/>
          <w:lang w:eastAsia="en-GB"/>
        </w:rPr>
        <w:t>Pilot testing</w:t>
      </w:r>
    </w:p>
    <w:p w:rsidR="006308EA" w:rsidRPr="009B3747" w:rsidRDefault="00991D2F" w:rsidP="00991D2F">
      <w:pPr>
        <w:spacing w:after="240"/>
        <w:rPr>
          <w:rFonts w:eastAsia="Times New Roman" w:cstheme="minorHAnsi"/>
          <w:color w:val="000000"/>
          <w:lang w:eastAsia="en-GB"/>
        </w:rPr>
      </w:pPr>
      <w:r w:rsidRPr="009B3747">
        <w:rPr>
          <w:rFonts w:eastAsia="Times New Roman" w:cstheme="minorHAnsi"/>
          <w:color w:val="000000"/>
          <w:lang w:eastAsia="en-GB"/>
        </w:rPr>
        <w:t xml:space="preserve">Once the online questionnaire had been created with the final draft item pool and </w:t>
      </w:r>
      <w:r w:rsidR="00A16A6D" w:rsidRPr="009B3747">
        <w:rPr>
          <w:rFonts w:eastAsia="Times New Roman" w:cstheme="minorHAnsi"/>
          <w:color w:val="000000"/>
          <w:lang w:eastAsia="en-GB"/>
        </w:rPr>
        <w:t>related response scales inputted, the researcher undertook</w:t>
      </w:r>
      <w:r w:rsidRPr="009B3747">
        <w:rPr>
          <w:rFonts w:eastAsia="Times New Roman" w:cstheme="minorHAnsi"/>
          <w:color w:val="000000"/>
          <w:lang w:eastAsia="en-GB"/>
        </w:rPr>
        <w:t xml:space="preserve"> a crucial step within th</w:t>
      </w:r>
      <w:r w:rsidR="00A16A6D" w:rsidRPr="009B3747">
        <w:rPr>
          <w:rFonts w:eastAsia="Times New Roman" w:cstheme="minorHAnsi"/>
          <w:color w:val="000000"/>
          <w:lang w:eastAsia="en-GB"/>
        </w:rPr>
        <w:t>e process presented in figure 7.1</w:t>
      </w:r>
      <w:r w:rsidR="00B30E97" w:rsidRPr="009B3747">
        <w:rPr>
          <w:rFonts w:eastAsia="Times New Roman" w:cstheme="minorHAnsi"/>
          <w:color w:val="000000"/>
          <w:lang w:eastAsia="en-GB"/>
        </w:rPr>
        <w:t xml:space="preserve"> – </w:t>
      </w:r>
      <w:r w:rsidRPr="009B3747">
        <w:rPr>
          <w:rFonts w:eastAsia="Times New Roman" w:cstheme="minorHAnsi"/>
          <w:color w:val="000000"/>
          <w:lang w:eastAsia="en-GB"/>
        </w:rPr>
        <w:t>pilot testing the instrument (step seven).  Pilot tests or ‘pilot surveys’ are small-scale studies essentially designed to pre-test a survey data collection instrument with a small sample of participants from the population of interest</w:t>
      </w:r>
      <w:r w:rsidR="00A16A6D" w:rsidRPr="009B3747">
        <w:rPr>
          <w:rFonts w:eastAsia="Times New Roman" w:cstheme="minorHAnsi"/>
          <w:color w:val="000000"/>
          <w:lang w:eastAsia="en-GB"/>
        </w:rPr>
        <w:t xml:space="preserve"> </w:t>
      </w:r>
      <w:r w:rsidR="00A16A6D"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"ISBN" : "0761916415", "abstract" : "1. Questions and answers -- 2. The process of questionnaire construction -- 3. Open- and closed-end questions -- 4. Constructing and wording questions -- 5. Rating scales -- 6. Asking specific questions -- 7. Questionnaire structure and evaluation.", "author" : [ { "dropping-particle" : "", "family" : "Peterson", "given" : "Robert A. (Robert Allen)", "non-dropping-particle" : "", "parse-names" : false, "suffix" : "" } ], "id" : "ITEM-1", "issued" : { "date-parts" : [ [ "1999" ] ] }, "number-of-pages" : "143", "publisher" : "SAGE Publications Inc.", "publisher-place" : "Thousand Oaks", "title" : "Constructing effective questionnaires", "type" : "book" }, "uris" : [ "http://www.mendeley.com/documents/?uuid=2740b182-65dc-32c1-9299-7f787028aa08" ] } ], "mendeley" : { "formattedCitation" : "(Peterson, 1999)", "plainTextFormattedCitation" : "(Peterson, 1999)", "previouslyFormattedCitation" : "(Peterson, 1999)" }, "properties" : { "noteIndex" : 0 }, "schema" : "https://github.com/citation-style-language/schema/raw/master/csl-citation.json" }</w:instrText>
      </w:r>
      <w:r w:rsidR="00A16A6D" w:rsidRPr="009B3747">
        <w:rPr>
          <w:rFonts w:eastAsia="Times New Roman" w:cstheme="minorHAnsi"/>
          <w:color w:val="000000"/>
          <w:lang w:eastAsia="en-GB"/>
        </w:rPr>
        <w:fldChar w:fldCharType="separate"/>
      </w:r>
      <w:r w:rsidR="009C2ECF" w:rsidRPr="009B3747">
        <w:rPr>
          <w:rFonts w:eastAsia="Times New Roman" w:cstheme="minorHAnsi"/>
          <w:noProof/>
          <w:color w:val="000000"/>
          <w:lang w:eastAsia="en-GB"/>
        </w:rPr>
        <w:t>(Peterson, 1999)</w:t>
      </w:r>
      <w:r w:rsidR="00A16A6D"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The importance of pilot testing a survey data collection instrument is widely advocated for enhancing both the validity and reliability of a questionnaire (Oppenheim, 1992; DeVaus, 2002, Bowling, 2014; </w:t>
      </w:r>
      <w:r w:rsidR="000A09B8" w:rsidRPr="009B3747">
        <w:rPr>
          <w:rFonts w:eastAsia="Times New Roman" w:cstheme="minorHAnsi"/>
          <w:color w:val="000000"/>
          <w:lang w:eastAsia="en-GB"/>
        </w:rPr>
        <w:t xml:space="preserve">Creswell, 2013; Bryman, 2016).  </w:t>
      </w:r>
    </w:p>
    <w:p w:rsidR="00991D2F" w:rsidRPr="009B3747" w:rsidRDefault="00991D2F" w:rsidP="00991D2F">
      <w:pPr>
        <w:spacing w:after="240"/>
        <w:rPr>
          <w:rFonts w:eastAsia="Times New Roman" w:cstheme="minorHAnsi"/>
          <w:sz w:val="24"/>
          <w:szCs w:val="24"/>
          <w:lang w:eastAsia="en-GB"/>
        </w:rPr>
      </w:pPr>
      <w:r w:rsidRPr="009B3747">
        <w:rPr>
          <w:rFonts w:eastAsia="Times New Roman" w:cstheme="minorHAnsi"/>
          <w:color w:val="000000"/>
          <w:lang w:eastAsia="en-GB"/>
        </w:rPr>
        <w:t>The use of pilot testing was deemed espe</w:t>
      </w:r>
      <w:r w:rsidR="004B757F">
        <w:rPr>
          <w:rFonts w:eastAsia="Times New Roman" w:cstheme="minorHAnsi"/>
          <w:color w:val="000000"/>
          <w:lang w:eastAsia="en-GB"/>
        </w:rPr>
        <w:t xml:space="preserve">cially important for this study, </w:t>
      </w:r>
      <w:r w:rsidRPr="009B3747">
        <w:rPr>
          <w:rFonts w:eastAsia="Times New Roman" w:cstheme="minorHAnsi"/>
          <w:color w:val="000000"/>
          <w:lang w:eastAsia="en-GB"/>
        </w:rPr>
        <w:t>given that the questionnaire content was derived from qualitative findings and not from pre-existing tools or instruments.  By assessing the feasibility, accessibility, appropriateness and ease of understanding of the final draft questionnaire (Creswell, 2009), the pilot test was employed to maximise the questionnaires int</w:t>
      </w:r>
      <w:r w:rsidR="00A16A6D" w:rsidRPr="009B3747">
        <w:rPr>
          <w:rFonts w:eastAsia="Times New Roman" w:cstheme="minorHAnsi"/>
          <w:color w:val="000000"/>
          <w:lang w:eastAsia="en-GB"/>
        </w:rPr>
        <w:t>ernal validity and reliability</w:t>
      </w:r>
      <w:r w:rsidRPr="009B3747">
        <w:rPr>
          <w:rFonts w:eastAsia="Times New Roman" w:cstheme="minorHAnsi"/>
          <w:color w:val="000000"/>
          <w:lang w:eastAsia="en-GB"/>
        </w:rPr>
        <w:t>.  Furthermore, it was envisaged that by embedding relevant changes proposed by participants as a result of the pilot, this could enhance the future response rate of the final questionnaire when it is widely circulated.  </w:t>
      </w:r>
    </w:p>
    <w:p w:rsidR="00991D2F" w:rsidRPr="009B3747" w:rsidRDefault="00991D2F" w:rsidP="00991D2F">
      <w:pPr>
        <w:spacing w:after="240"/>
        <w:rPr>
          <w:rFonts w:eastAsia="Times New Roman" w:cstheme="minorHAnsi"/>
          <w:sz w:val="24"/>
          <w:szCs w:val="24"/>
          <w:lang w:eastAsia="en-GB"/>
        </w:rPr>
      </w:pPr>
      <w:r w:rsidRPr="009B3747">
        <w:rPr>
          <w:rFonts w:eastAsia="Times New Roman" w:cstheme="minorHAnsi"/>
          <w:color w:val="000000"/>
          <w:lang w:eastAsia="en-GB"/>
        </w:rPr>
        <w:lastRenderedPageBreak/>
        <w:t xml:space="preserve">Key to the process of pilot testing is ensuring that the small sample of participants chosen to test the questionnaire, review all aspects of </w:t>
      </w:r>
      <w:r w:rsidR="000A09B8" w:rsidRPr="009B3747">
        <w:rPr>
          <w:rFonts w:eastAsia="Times New Roman" w:cstheme="minorHAnsi"/>
          <w:color w:val="000000"/>
          <w:lang w:eastAsia="en-GB"/>
        </w:rPr>
        <w:t>its</w:t>
      </w:r>
      <w:r w:rsidR="004B757F">
        <w:rPr>
          <w:rFonts w:eastAsia="Times New Roman" w:cstheme="minorHAnsi"/>
          <w:color w:val="000000"/>
          <w:lang w:eastAsia="en-GB"/>
        </w:rPr>
        <w:t xml:space="preserve"> content and the process of navigating through the structure i.e. the </w:t>
      </w:r>
      <w:r w:rsidR="004B757F" w:rsidRPr="009B3747">
        <w:rPr>
          <w:rFonts w:eastAsia="Times New Roman" w:cstheme="minorHAnsi"/>
          <w:color w:val="000000"/>
          <w:lang w:eastAsia="en-GB"/>
        </w:rPr>
        <w:t>respondent instructions, all questions, statements and response scales</w:t>
      </w:r>
      <w:r w:rsidR="004B757F">
        <w:rPr>
          <w:rFonts w:eastAsia="Times New Roman" w:cstheme="minorHAnsi"/>
          <w:color w:val="000000"/>
          <w:lang w:eastAsia="en-GB"/>
        </w:rPr>
        <w:t xml:space="preserve"> </w:t>
      </w:r>
      <w:r w:rsidR="00A16A6D" w:rsidRPr="009B3747">
        <w:rPr>
          <w:rFonts w:eastAsia="Times New Roman" w:cstheme="minorHAnsi"/>
          <w:color w:val="000000"/>
          <w:lang w:eastAsia="en-GB"/>
        </w:rPr>
        <w:t>(Oppenheim, 1992</w:t>
      </w:r>
      <w:r w:rsidRPr="009B3747">
        <w:rPr>
          <w:rFonts w:eastAsia="Times New Roman" w:cstheme="minorHAnsi"/>
          <w:color w:val="000000"/>
          <w:lang w:eastAsia="en-GB"/>
        </w:rPr>
        <w:t>)</w:t>
      </w:r>
      <w:r w:rsidR="004B757F">
        <w:rPr>
          <w:rFonts w:eastAsia="Times New Roman" w:cstheme="minorHAnsi"/>
          <w:color w:val="000000"/>
          <w:lang w:eastAsia="en-GB"/>
        </w:rPr>
        <w:t xml:space="preserve">.  </w:t>
      </w:r>
      <w:r w:rsidRPr="009B3747">
        <w:rPr>
          <w:rFonts w:eastAsia="Times New Roman" w:cstheme="minorHAnsi"/>
          <w:color w:val="000000"/>
          <w:lang w:eastAsia="en-GB"/>
        </w:rPr>
        <w:t>Furthermore, the following are proposed features of an effective pilot testing process</w:t>
      </w:r>
      <w:r w:rsidR="00A16A6D" w:rsidRPr="009B3747">
        <w:rPr>
          <w:rFonts w:eastAsia="Times New Roman" w:cstheme="minorHAnsi"/>
          <w:color w:val="000000"/>
          <w:lang w:eastAsia="en-GB"/>
        </w:rPr>
        <w:t xml:space="preserve"> </w:t>
      </w:r>
      <w:r w:rsidR="00A16A6D"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"ISBN" : "0826451764", "abstract" : "New ed. Revised edition of: Questionnaire design and attitude measurement. [1966]. Introduction to survey design -- Analytic survey designs -- Descriptive survey designs -- Pilot work -- The exploratory interview -- Standardized interviews -- Questionnaire planning -- Question wording -- Some basic measurement theory -- Designing attitude statements -- Attitude scaling -- Projective techniques in attitude study -- Varieties and applications -- Data processing -- Statistical analysis.", "author" : [ { "dropping-particle" : "", "family" : "Oppenheim", "given" : "A.N", "non-dropping-particle" : "", "parse-names" : false, "suffix" : "" } ], "edition" : "2nd", "id" : "ITEM-1", "issued" : { "date-parts" : [ [ "1992" ] ] }, "number-of-pages" : "303", "publisher" : "Bloomsbury Publishing", "publisher-place" : "London", "title" : "Questionnaire design, interviewing, and attitude measurement", "type" : "book" }, "uris" : [ "http://www.mendeley.com/documents/?uuid=bc77daf9-c89b-3fbd-a84d-75df654379f8" ] }, { "id" : "ITEM-2", "itemData" : { "ISBN" : "9780761974024", "abstract" : "This informative text has been written as a user friendly research, reference and study tool. It has been organized into eight chapters, each of which covers a specific area of conducting a research study. All areas from forming the research question, planning and conducting the study, and preparing a grant application are covered. This book will be of particular value to scientists, research assistants, qualified or trainee physicians, nurses and allied health workers. The book will also be an essential companion for students in all disciplines who want to learn more about how to do good research. Textbooks on research methods are often daunting, particularly for new researchers. Health Science Research is designed to be a user friendly handbook for all researchers, whatever their academic or professional background. It will be of value to all who research health topics including scientists, research assistants, qualified or trainee physicians, nurses and allied health professionals and will be an essential companion for students learning how to do good research. Reviewing the literature -- Improving health care delivery -- Systematic reviews -- Evidence-based practice -- Planning the study -- Study design -- Random error and bias -- Blinding and allocation concealment -- Choosing the measurements -- Outcome measurements -- Confounders and effect modifiers -- Validity -- Questionnaires and data forms -- Calculating the sample size -- Sample size calculations -- Interim analyses and stopping rules -- Conducting the study -- Project management -- Randomisation methods -- Data management -- Analysing the data -- Planning analyses -- Statistical methods -- Reporting the results -- Repeatability -- Agreement between methods -- Relative risk, odds ratio and number needed to treat -- Matched and paired analyses -- Exact methods -- Appraising research protocols -- Designing a study protocol -- Grantsmanship -- Research ethics -- References.", "author" : [ { "dropping-particle" : "", "family" : "Peat", "given" : "Jennifer K.", "non-dropping-particle" : "", "parse-names" : false, "suffix" : "" }, { "dropping-particle" : "", "family" : "Mellis", "given" : "Craig.", "non-dropping-particle" : "", "parse-names" : false, "suffix" : "" }, { "dropping-particle" : "", "family" : "Williams", "given" : "Katrina.", "non-dropping-particle" : "", "parse-names" : false, "suffix" : "" }, { "dropping-particle" : "", "family" : "Xuan", "given" : "Wei.", "non-dropping-particle" : "", "parse-names" : false, "suffix" : "" } ], "id" : "ITEM-2", "issued" : { "date-parts" : [ [ "2002" ] ] }, "number-of-pages" : "313", "publisher" : "SAGE Publications Ltd", "publisher-place" : "London", "title" : "Health science research : a handbook of quantitative methods", "type" : "book" }, "uris" : [ "http://www.mendeley.com/documents/?uuid=723b9a2a-33e1-39e0-b083-0df223519303" ] } ], "mendeley" : { "formattedCitation" : "(Oppenheim, 1992; Peat et al., 2002)", "plainTextFormattedCitation" : "(Oppenheim, 1992; Peat et al., 2002)", "previouslyFormattedCitation" : "(Oppenheim, 1992; Peat et al., 2002)" }, "properties" : { "noteIndex" : 0 }, "schema" : "https://github.com/citation-style-language/schema/raw/master/csl-citation.json" }</w:instrText>
      </w:r>
      <w:r w:rsidR="00A16A6D" w:rsidRPr="009B3747">
        <w:rPr>
          <w:rFonts w:eastAsia="Times New Roman" w:cstheme="minorHAnsi"/>
          <w:color w:val="000000"/>
          <w:lang w:eastAsia="en-GB"/>
        </w:rPr>
        <w:fldChar w:fldCharType="separate"/>
      </w:r>
      <w:r w:rsidR="00A16A6D" w:rsidRPr="009B3747">
        <w:rPr>
          <w:rFonts w:eastAsia="Times New Roman" w:cstheme="minorHAnsi"/>
          <w:noProof/>
          <w:color w:val="000000"/>
          <w:lang w:eastAsia="en-GB"/>
        </w:rPr>
        <w:t>(Oppenheim, 1992; Peat et al., 2002)</w:t>
      </w:r>
      <w:r w:rsidR="00A16A6D" w:rsidRPr="009B3747">
        <w:rPr>
          <w:rFonts w:eastAsia="Times New Roman" w:cstheme="minorHAnsi"/>
          <w:color w:val="000000"/>
          <w:lang w:eastAsia="en-GB"/>
        </w:rPr>
        <w:fldChar w:fldCharType="end"/>
      </w:r>
      <w:r w:rsidR="00A16A6D" w:rsidRPr="009B3747">
        <w:rPr>
          <w:rFonts w:eastAsia="Times New Roman" w:cstheme="minorHAnsi"/>
          <w:color w:val="000000"/>
          <w:lang w:eastAsia="en-GB"/>
        </w:rPr>
        <w:t>:</w:t>
      </w:r>
    </w:p>
    <w:p w:rsidR="00991D2F" w:rsidRPr="009B3747" w:rsidRDefault="00991D2F" w:rsidP="00C27072">
      <w:pPr>
        <w:numPr>
          <w:ilvl w:val="0"/>
          <w:numId w:val="45"/>
        </w:numPr>
        <w:textAlignment w:val="baseline"/>
        <w:rPr>
          <w:rFonts w:eastAsia="Times New Roman" w:cstheme="minorHAnsi"/>
          <w:color w:val="000000"/>
          <w:lang w:eastAsia="en-GB"/>
        </w:rPr>
      </w:pPr>
      <w:r w:rsidRPr="009B3747">
        <w:rPr>
          <w:rFonts w:eastAsia="Times New Roman" w:cstheme="minorHAnsi"/>
          <w:color w:val="000000"/>
          <w:lang w:eastAsia="en-GB"/>
        </w:rPr>
        <w:t>Administer the questionnaire in a manner which reflects exactly the proposed methods for the real study</w:t>
      </w:r>
      <w:r w:rsidR="00B46C02">
        <w:rPr>
          <w:rFonts w:eastAsia="Times New Roman" w:cstheme="minorHAnsi"/>
          <w:color w:val="000000"/>
          <w:lang w:eastAsia="en-GB"/>
        </w:rPr>
        <w:t>,</w:t>
      </w:r>
      <w:r w:rsidRPr="009B3747">
        <w:rPr>
          <w:rFonts w:eastAsia="Times New Roman" w:cstheme="minorHAnsi"/>
          <w:color w:val="000000"/>
          <w:lang w:eastAsia="en-GB"/>
        </w:rPr>
        <w:t xml:space="preserve"> i.e. distribute questionnaire</w:t>
      </w:r>
    </w:p>
    <w:p w:rsidR="00991D2F" w:rsidRPr="009B3747" w:rsidRDefault="00991D2F" w:rsidP="00C27072">
      <w:pPr>
        <w:numPr>
          <w:ilvl w:val="0"/>
          <w:numId w:val="45"/>
        </w:numPr>
        <w:textAlignment w:val="baseline"/>
        <w:rPr>
          <w:rFonts w:eastAsia="Times New Roman" w:cstheme="minorHAnsi"/>
          <w:color w:val="000000"/>
          <w:lang w:eastAsia="en-GB"/>
        </w:rPr>
      </w:pPr>
      <w:r w:rsidRPr="009B3747">
        <w:rPr>
          <w:rFonts w:eastAsia="Times New Roman" w:cstheme="minorHAnsi"/>
          <w:color w:val="000000"/>
          <w:lang w:eastAsia="en-GB"/>
        </w:rPr>
        <w:t>Ask each participant who pilot tests the questionnaire to provide feedback about its content and structure</w:t>
      </w:r>
    </w:p>
    <w:p w:rsidR="00991D2F" w:rsidRPr="009B3747" w:rsidRDefault="00991D2F" w:rsidP="00C27072">
      <w:pPr>
        <w:numPr>
          <w:ilvl w:val="0"/>
          <w:numId w:val="45"/>
        </w:numPr>
        <w:textAlignment w:val="baseline"/>
        <w:rPr>
          <w:rFonts w:eastAsia="Times New Roman" w:cstheme="minorHAnsi"/>
          <w:color w:val="000000"/>
          <w:lang w:eastAsia="en-GB"/>
        </w:rPr>
      </w:pPr>
      <w:r w:rsidRPr="009B3747">
        <w:rPr>
          <w:rFonts w:eastAsia="Times New Roman" w:cstheme="minorHAnsi"/>
          <w:color w:val="000000"/>
          <w:lang w:eastAsia="en-GB"/>
        </w:rPr>
        <w:t>Obtain a record of the length of time each participant takes to complete the questionnaire</w:t>
      </w:r>
    </w:p>
    <w:p w:rsidR="00991D2F" w:rsidRPr="009B3747" w:rsidRDefault="00991D2F" w:rsidP="00C27072">
      <w:pPr>
        <w:numPr>
          <w:ilvl w:val="0"/>
          <w:numId w:val="45"/>
        </w:numPr>
        <w:textAlignment w:val="baseline"/>
        <w:rPr>
          <w:rFonts w:eastAsia="Times New Roman" w:cstheme="minorHAnsi"/>
          <w:color w:val="000000"/>
          <w:lang w:eastAsia="en-GB"/>
        </w:rPr>
      </w:pPr>
      <w:r w:rsidRPr="009B3747">
        <w:rPr>
          <w:rFonts w:eastAsia="Times New Roman" w:cstheme="minorHAnsi"/>
          <w:color w:val="000000"/>
          <w:lang w:eastAsia="en-GB"/>
        </w:rPr>
        <w:t xml:space="preserve">Revise and amend the questionnaire and items to reflect the received feedback </w:t>
      </w:r>
    </w:p>
    <w:p w:rsidR="00A16A6D" w:rsidRPr="009B3747" w:rsidRDefault="00A16A6D" w:rsidP="00A16A6D">
      <w:pPr>
        <w:ind w:left="720"/>
        <w:textAlignment w:val="baseline"/>
        <w:rPr>
          <w:rFonts w:eastAsia="Times New Roman" w:cstheme="minorHAnsi"/>
          <w:color w:val="000000"/>
          <w:lang w:eastAsia="en-GB"/>
        </w:rPr>
      </w:pPr>
    </w:p>
    <w:p w:rsidR="00991D2F" w:rsidRPr="009B3747" w:rsidRDefault="00CB18A0" w:rsidP="00A16A6D">
      <w:pPr>
        <w:rPr>
          <w:rFonts w:eastAsia="Times New Roman" w:cstheme="minorHAnsi"/>
          <w:iCs/>
          <w:color w:val="000000"/>
          <w:u w:val="single"/>
          <w:lang w:eastAsia="en-GB"/>
        </w:rPr>
      </w:pPr>
      <w:r w:rsidRPr="009B3747">
        <w:rPr>
          <w:rFonts w:eastAsia="Times New Roman" w:cstheme="minorHAnsi"/>
          <w:iCs/>
          <w:color w:val="000000"/>
          <w:u w:val="single"/>
          <w:lang w:eastAsia="en-GB"/>
        </w:rPr>
        <w:t>7.5</w:t>
      </w:r>
      <w:r w:rsidR="00827CCD" w:rsidRPr="009B3747">
        <w:rPr>
          <w:rFonts w:eastAsia="Times New Roman" w:cstheme="minorHAnsi"/>
          <w:iCs/>
          <w:color w:val="000000"/>
          <w:u w:val="single"/>
          <w:lang w:eastAsia="en-GB"/>
        </w:rPr>
        <w:t xml:space="preserve">.2 </w:t>
      </w:r>
      <w:r w:rsidR="00991D2F" w:rsidRPr="009B3747">
        <w:rPr>
          <w:rFonts w:eastAsia="Times New Roman" w:cstheme="minorHAnsi"/>
          <w:iCs/>
          <w:color w:val="000000"/>
          <w:u w:val="single"/>
          <w:lang w:eastAsia="en-GB"/>
        </w:rPr>
        <w:t>Pilot test procedures</w:t>
      </w:r>
    </w:p>
    <w:p w:rsidR="00A16A6D" w:rsidRPr="009B3747" w:rsidRDefault="00A16A6D" w:rsidP="00A16A6D">
      <w:pPr>
        <w:rPr>
          <w:rFonts w:eastAsia="Times New Roman" w:cstheme="minorHAnsi"/>
          <w:u w:val="single"/>
          <w:lang w:eastAsia="en-GB"/>
        </w:rPr>
      </w:pPr>
    </w:p>
    <w:p w:rsidR="00991D2F" w:rsidRPr="009B3747" w:rsidRDefault="00991D2F" w:rsidP="00A16A6D">
      <w:pPr>
        <w:rPr>
          <w:rFonts w:eastAsia="Times New Roman" w:cstheme="minorHAnsi"/>
          <w:sz w:val="24"/>
          <w:szCs w:val="24"/>
          <w:lang w:eastAsia="en-GB"/>
        </w:rPr>
      </w:pPr>
      <w:r w:rsidRPr="009B3747">
        <w:rPr>
          <w:rFonts w:eastAsia="Times New Roman" w:cstheme="minorHAnsi"/>
          <w:color w:val="000000"/>
          <w:lang w:eastAsia="en-GB"/>
        </w:rPr>
        <w:t>Having obtained</w:t>
      </w:r>
      <w:r w:rsidR="00A16A6D" w:rsidRPr="009B3747">
        <w:rPr>
          <w:rFonts w:eastAsia="Times New Roman" w:cstheme="minorHAnsi"/>
          <w:color w:val="000000"/>
          <w:lang w:eastAsia="en-GB"/>
        </w:rPr>
        <w:t xml:space="preserve"> ethical approval (Appendix H</w:t>
      </w:r>
      <w:r w:rsidRPr="009B3747">
        <w:rPr>
          <w:rFonts w:eastAsia="Times New Roman" w:cstheme="minorHAnsi"/>
          <w:color w:val="000000"/>
          <w:lang w:eastAsia="en-GB"/>
        </w:rPr>
        <w:t xml:space="preserve">) to collect data for the second phase of the study, the pilot test was administered between December 2016 and January 2017.  Given that it was a pilot test and the results obtained would not form part of the final research findings, it was decided that a purposive sample of participants from the population of interest (i.e. secondary school headteachers and chairs of governors) would be both appropriate and the most convenient.  The inclusion and exclusion criteria for pilot participants remained the same as in phase one of the research - </w:t>
      </w:r>
    </w:p>
    <w:p w:rsidR="00A16A6D" w:rsidRPr="009B3747" w:rsidRDefault="00A16A6D" w:rsidP="00827CCD">
      <w:pPr>
        <w:rPr>
          <w:rFonts w:eastAsia="Times New Roman" w:cstheme="minorHAnsi"/>
          <w:color w:val="000000"/>
          <w:lang w:eastAsia="en-GB"/>
        </w:rPr>
      </w:pPr>
    </w:p>
    <w:p w:rsidR="00B30E97" w:rsidRPr="009B3747" w:rsidRDefault="00991D2F" w:rsidP="006308EA">
      <w:pPr>
        <w:rPr>
          <w:rFonts w:eastAsia="Times New Roman" w:cstheme="minorHAnsi"/>
          <w:color w:val="000000"/>
          <w:lang w:eastAsia="en-GB"/>
        </w:rPr>
      </w:pPr>
      <w:r w:rsidRPr="009B3747">
        <w:rPr>
          <w:rFonts w:eastAsia="Times New Roman" w:cstheme="minorHAnsi"/>
          <w:i/>
          <w:color w:val="000000"/>
          <w:lang w:eastAsia="en-GB"/>
        </w:rPr>
        <w:t>Inclusion criteria</w:t>
      </w:r>
      <w:r w:rsidRPr="009B3747">
        <w:rPr>
          <w:rFonts w:eastAsia="Times New Roman" w:cstheme="minorHAnsi"/>
          <w:color w:val="000000"/>
          <w:lang w:eastAsia="en-GB"/>
        </w:rPr>
        <w:br/>
      </w:r>
      <w:r w:rsidRPr="009B3747">
        <w:rPr>
          <w:rFonts w:eastAsia="Times New Roman" w:cstheme="minorHAnsi"/>
          <w:color w:val="000000"/>
          <w:lang w:eastAsia="en-GB"/>
        </w:rPr>
        <w:br/>
        <w:t>- Secondary school headteachers* (or acting headteachers) actively employed during the data collection period at a secondary school** in England</w:t>
      </w:r>
      <w:r w:rsidRPr="009B3747">
        <w:rPr>
          <w:rFonts w:eastAsia="Times New Roman" w:cstheme="minorHAnsi"/>
          <w:color w:val="000000"/>
          <w:lang w:eastAsia="en-GB"/>
        </w:rPr>
        <w:br/>
        <w:t>- Chairs of governors elected and serving during the data collection period at a secondary school in England</w:t>
      </w:r>
    </w:p>
    <w:p w:rsidR="00991D2F" w:rsidRPr="009B3747" w:rsidRDefault="00991D2F" w:rsidP="006308EA">
      <w:pPr>
        <w:rPr>
          <w:rFonts w:eastAsia="Times New Roman" w:cstheme="minorHAnsi"/>
          <w:sz w:val="24"/>
          <w:szCs w:val="24"/>
          <w:lang w:eastAsia="en-GB"/>
        </w:rPr>
      </w:pPr>
      <w:r w:rsidRPr="009B3747">
        <w:rPr>
          <w:rFonts w:eastAsia="Times New Roman" w:cstheme="minorHAnsi"/>
          <w:color w:val="000000"/>
          <w:lang w:eastAsia="en-GB"/>
        </w:rPr>
        <w:br/>
      </w:r>
      <w:r w:rsidRPr="009B3747">
        <w:rPr>
          <w:rFonts w:eastAsia="Times New Roman" w:cstheme="minorHAnsi"/>
          <w:i/>
          <w:color w:val="000000"/>
          <w:lang w:eastAsia="en-GB"/>
        </w:rPr>
        <w:t>Exclusion criteria</w:t>
      </w:r>
      <w:r w:rsidRPr="009B3747">
        <w:rPr>
          <w:rFonts w:eastAsia="Times New Roman" w:cstheme="minorHAnsi"/>
          <w:i/>
          <w:color w:val="000000"/>
          <w:lang w:eastAsia="en-GB"/>
        </w:rPr>
        <w:br/>
      </w:r>
      <w:r w:rsidRPr="009B3747">
        <w:rPr>
          <w:rFonts w:eastAsia="Times New Roman" w:cstheme="minorHAnsi"/>
          <w:color w:val="000000"/>
          <w:lang w:eastAsia="en-GB"/>
        </w:rPr>
        <w:br/>
        <w:t>- Secondary school headteachers (or acting headteachers) and chairs of governors not actively employed or serving during the data collection period at a secondary school and/or not based in the geographic location of England</w:t>
      </w:r>
      <w:r w:rsidRPr="009B3747">
        <w:rPr>
          <w:rFonts w:eastAsia="Times New Roman" w:cstheme="minorHAnsi"/>
          <w:color w:val="000000"/>
          <w:lang w:eastAsia="en-GB"/>
        </w:rPr>
        <w:br/>
      </w:r>
      <w:r w:rsidRPr="009B3747">
        <w:rPr>
          <w:rFonts w:eastAsia="Times New Roman" w:cstheme="minorHAnsi"/>
          <w:color w:val="000000"/>
          <w:lang w:eastAsia="en-GB"/>
        </w:rPr>
        <w:br/>
      </w:r>
      <w:r w:rsidRPr="009B3747">
        <w:rPr>
          <w:rFonts w:eastAsia="Times New Roman" w:cstheme="minorHAnsi"/>
          <w:color w:val="000000"/>
          <w:sz w:val="20"/>
          <w:szCs w:val="20"/>
          <w:lang w:eastAsia="en-GB"/>
        </w:rPr>
        <w:lastRenderedPageBreak/>
        <w:t>*For the purpose of the study ‘headteacher’ was used as the collective term when referring to a person who is the overarching lead within a school.  In some schools alternative titles are used to depict this position</w:t>
      </w:r>
      <w:r w:rsidR="00B46C02">
        <w:rPr>
          <w:rFonts w:eastAsia="Times New Roman" w:cstheme="minorHAnsi"/>
          <w:color w:val="000000"/>
          <w:sz w:val="20"/>
          <w:szCs w:val="20"/>
          <w:lang w:eastAsia="en-GB"/>
        </w:rPr>
        <w:t>,</w:t>
      </w:r>
      <w:r w:rsidRPr="009B3747">
        <w:rPr>
          <w:rFonts w:eastAsia="Times New Roman" w:cstheme="minorHAnsi"/>
          <w:color w:val="000000"/>
          <w:sz w:val="20"/>
          <w:szCs w:val="20"/>
          <w:lang w:eastAsia="en-GB"/>
        </w:rPr>
        <w:t xml:space="preserve"> i.e. Principal, Executive head. Inclusion was therefore based on their position as being in charge of a school, regardless of their title. </w:t>
      </w:r>
      <w:r w:rsidRPr="009B3747">
        <w:rPr>
          <w:rFonts w:eastAsia="Times New Roman" w:cstheme="minorHAnsi"/>
          <w:color w:val="000000"/>
          <w:lang w:eastAsia="en-GB"/>
        </w:rPr>
        <w:br/>
      </w:r>
      <w:r w:rsidRPr="009B3747">
        <w:rPr>
          <w:rFonts w:eastAsia="Times New Roman" w:cstheme="minorHAnsi"/>
          <w:color w:val="000000"/>
          <w:sz w:val="20"/>
          <w:szCs w:val="20"/>
          <w:lang w:eastAsia="en-GB"/>
        </w:rPr>
        <w:t>** For the purpose of the study the term ‘secondary school’ was used to denote any school in England providing secondary level education to children and</w:t>
      </w:r>
      <w:r w:rsidR="00A16A6D" w:rsidRPr="009B3747">
        <w:rPr>
          <w:rFonts w:eastAsia="Times New Roman" w:cstheme="minorHAnsi"/>
          <w:color w:val="000000"/>
          <w:sz w:val="20"/>
          <w:szCs w:val="20"/>
          <w:lang w:eastAsia="en-GB"/>
        </w:rPr>
        <w:t xml:space="preserve"> young people aged between 11 to </w:t>
      </w:r>
      <w:r w:rsidRPr="009B3747">
        <w:rPr>
          <w:rFonts w:eastAsia="Times New Roman" w:cstheme="minorHAnsi"/>
          <w:color w:val="000000"/>
          <w:sz w:val="20"/>
          <w:szCs w:val="20"/>
          <w:lang w:eastAsia="en-GB"/>
        </w:rPr>
        <w:t xml:space="preserve">16yrs. </w:t>
      </w:r>
    </w:p>
    <w:p w:rsidR="006308EA" w:rsidRPr="009B3747" w:rsidRDefault="006308EA" w:rsidP="006308EA">
      <w:pPr>
        <w:rPr>
          <w:rFonts w:eastAsia="Times New Roman" w:cstheme="minorHAnsi"/>
          <w:color w:val="000000"/>
          <w:lang w:eastAsia="en-GB"/>
        </w:rPr>
      </w:pPr>
    </w:p>
    <w:p w:rsidR="00991D2F" w:rsidRPr="009B3747" w:rsidRDefault="00991D2F" w:rsidP="006308EA">
      <w:pPr>
        <w:rPr>
          <w:rFonts w:eastAsia="Times New Roman" w:cstheme="minorHAnsi"/>
          <w:sz w:val="24"/>
          <w:szCs w:val="24"/>
          <w:lang w:eastAsia="en-GB"/>
        </w:rPr>
      </w:pPr>
      <w:r w:rsidRPr="009B3747">
        <w:rPr>
          <w:rFonts w:eastAsia="Times New Roman" w:cstheme="minorHAnsi"/>
          <w:color w:val="000000"/>
          <w:lang w:eastAsia="en-GB"/>
        </w:rPr>
        <w:t xml:space="preserve">Over 80 secondary schools </w:t>
      </w:r>
      <w:r w:rsidR="004B757F">
        <w:rPr>
          <w:rFonts w:eastAsia="Times New Roman" w:cstheme="minorHAnsi"/>
          <w:color w:val="000000"/>
          <w:lang w:eastAsia="en-GB"/>
        </w:rPr>
        <w:t>were approached</w:t>
      </w:r>
      <w:r w:rsidRPr="009B3747">
        <w:rPr>
          <w:rFonts w:eastAsia="Times New Roman" w:cstheme="minorHAnsi"/>
          <w:color w:val="000000"/>
          <w:lang w:eastAsia="en-GB"/>
        </w:rPr>
        <w:t xml:space="preserve"> from the two regions closest to the researcher’s location (i.e. Yorkshire and the Humber and East Midlands).  Publically available contact information (generic school email addresses) for the chosen secondary schools was accessed through school websites or through the Edubase database (utilised to recruit participants in the first phase of the study).  Schools where their headteacher or chair of governor had previously participated in the first qualitative phase of the research were not invited to pilot test the instrument given their previous exposure to the topic under study (Creswell, 2014).  </w:t>
      </w:r>
    </w:p>
    <w:p w:rsidR="00B30E97" w:rsidRPr="009B3747" w:rsidRDefault="00B30E97" w:rsidP="006308EA">
      <w:pPr>
        <w:rPr>
          <w:rFonts w:eastAsia="Times New Roman" w:cstheme="minorHAnsi"/>
          <w:color w:val="000000"/>
          <w:lang w:eastAsia="en-GB"/>
        </w:rPr>
      </w:pPr>
    </w:p>
    <w:p w:rsidR="00FE18C1" w:rsidRPr="009B3747" w:rsidRDefault="00991D2F" w:rsidP="006308EA">
      <w:pPr>
        <w:rPr>
          <w:rFonts w:eastAsia="Times New Roman" w:cstheme="minorHAnsi"/>
          <w:lang w:eastAsia="en-GB"/>
        </w:rPr>
      </w:pPr>
      <w:r w:rsidRPr="009B3747">
        <w:rPr>
          <w:rFonts w:eastAsia="Times New Roman" w:cstheme="minorHAnsi"/>
          <w:color w:val="000000"/>
          <w:lang w:eastAsia="en-GB"/>
        </w:rPr>
        <w:t xml:space="preserve">A personalised email was sent to each selected school asking for their respective headteachers and/or chair of </w:t>
      </w:r>
      <w:r w:rsidR="00DB655F" w:rsidRPr="009B3747">
        <w:rPr>
          <w:rFonts w:eastAsia="Times New Roman" w:cstheme="minorHAnsi"/>
          <w:color w:val="000000"/>
          <w:lang w:eastAsia="en-GB"/>
        </w:rPr>
        <w:t>governors</w:t>
      </w:r>
      <w:r w:rsidRPr="009B3747">
        <w:rPr>
          <w:rFonts w:eastAsia="Times New Roman" w:cstheme="minorHAnsi"/>
          <w:color w:val="000000"/>
          <w:lang w:eastAsia="en-GB"/>
        </w:rPr>
        <w:t xml:space="preserve"> assistance with pilot testing the online questionnaire.  The email </w:t>
      </w:r>
      <w:r w:rsidRPr="009B3747">
        <w:rPr>
          <w:rFonts w:eastAsia="Times New Roman" w:cstheme="minorHAnsi"/>
          <w:lang w:eastAsia="en-GB"/>
        </w:rPr>
        <w:t xml:space="preserve">contained a request for information, the link to the Google Forms online questionnaire </w:t>
      </w:r>
      <w:r w:rsidR="00FE18C1" w:rsidRPr="009B3747">
        <w:rPr>
          <w:rFonts w:eastAsia="Times New Roman" w:cstheme="minorHAnsi"/>
          <w:lang w:eastAsia="en-GB"/>
        </w:rPr>
        <w:t xml:space="preserve">five </w:t>
      </w:r>
      <w:r w:rsidRPr="009B3747">
        <w:rPr>
          <w:rFonts w:eastAsia="Times New Roman" w:cstheme="minorHAnsi"/>
          <w:lang w:eastAsia="en-GB"/>
        </w:rPr>
        <w:t xml:space="preserve">participant feedback </w:t>
      </w:r>
      <w:r w:rsidR="00B30E97" w:rsidRPr="009B3747">
        <w:rPr>
          <w:rFonts w:eastAsia="Times New Roman" w:cstheme="minorHAnsi"/>
          <w:lang w:eastAsia="en-GB"/>
        </w:rPr>
        <w:t>questions:</w:t>
      </w:r>
    </w:p>
    <w:p w:rsidR="006308EA" w:rsidRPr="009B3747" w:rsidRDefault="006308EA" w:rsidP="006308EA">
      <w:pPr>
        <w:rPr>
          <w:rFonts w:eastAsia="Times New Roman" w:cstheme="minorHAnsi"/>
          <w:lang w:eastAsia="en-GB"/>
        </w:rPr>
      </w:pPr>
    </w:p>
    <w:p w:rsidR="00FE18C1" w:rsidRPr="009B3747" w:rsidRDefault="00FE18C1" w:rsidP="006308EA">
      <w:pPr>
        <w:pStyle w:val="ListParagraph"/>
        <w:numPr>
          <w:ilvl w:val="1"/>
          <w:numId w:val="118"/>
        </w:numPr>
        <w:shd w:val="clear" w:color="auto" w:fill="FFFFFF"/>
        <w:ind w:left="567" w:hanging="425"/>
        <w:rPr>
          <w:rFonts w:eastAsia="Times New Roman" w:cstheme="minorHAnsi"/>
          <w:lang w:eastAsia="en-GB"/>
        </w:rPr>
      </w:pPr>
      <w:r w:rsidRPr="009B3747">
        <w:rPr>
          <w:rFonts w:eastAsia="Times New Roman" w:cstheme="minorHAnsi"/>
          <w:lang w:eastAsia="en-GB"/>
        </w:rPr>
        <w:t>Are there any questions or statements that are difficult to understand?</w:t>
      </w:r>
    </w:p>
    <w:p w:rsidR="00FE18C1" w:rsidRPr="009B3747" w:rsidRDefault="00FE18C1" w:rsidP="006308EA">
      <w:pPr>
        <w:pStyle w:val="ListParagraph"/>
        <w:numPr>
          <w:ilvl w:val="1"/>
          <w:numId w:val="118"/>
        </w:numPr>
        <w:shd w:val="clear" w:color="auto" w:fill="FFFFFF"/>
        <w:ind w:left="567" w:hanging="425"/>
        <w:rPr>
          <w:rFonts w:eastAsia="Times New Roman" w:cstheme="minorHAnsi"/>
          <w:lang w:eastAsia="en-GB"/>
        </w:rPr>
      </w:pPr>
      <w:r w:rsidRPr="009B3747">
        <w:rPr>
          <w:rFonts w:eastAsia="Times New Roman" w:cstheme="minorHAnsi"/>
          <w:lang w:eastAsia="en-GB"/>
        </w:rPr>
        <w:t>Do any of the questions or statements use ambiguous or overly complex words/phrases?</w:t>
      </w:r>
    </w:p>
    <w:p w:rsidR="00FE18C1" w:rsidRPr="009B3747" w:rsidRDefault="00FE18C1" w:rsidP="006308EA">
      <w:pPr>
        <w:pStyle w:val="ListParagraph"/>
        <w:numPr>
          <w:ilvl w:val="1"/>
          <w:numId w:val="118"/>
        </w:numPr>
        <w:shd w:val="clear" w:color="auto" w:fill="FFFFFF"/>
        <w:ind w:left="567" w:hanging="425"/>
        <w:rPr>
          <w:rFonts w:eastAsia="Times New Roman" w:cstheme="minorHAnsi"/>
          <w:lang w:eastAsia="en-GB"/>
        </w:rPr>
      </w:pPr>
      <w:r w:rsidRPr="009B3747">
        <w:rPr>
          <w:rFonts w:eastAsia="Times New Roman" w:cstheme="minorHAnsi"/>
          <w:lang w:eastAsia="en-GB"/>
        </w:rPr>
        <w:t>Are there any questions or statements that you don't feel are appropriate or relevant?</w:t>
      </w:r>
    </w:p>
    <w:p w:rsidR="00FE18C1" w:rsidRPr="009B3747" w:rsidRDefault="00FE18C1" w:rsidP="006308EA">
      <w:pPr>
        <w:pStyle w:val="ListParagraph"/>
        <w:numPr>
          <w:ilvl w:val="1"/>
          <w:numId w:val="118"/>
        </w:numPr>
        <w:shd w:val="clear" w:color="auto" w:fill="FFFFFF"/>
        <w:ind w:left="567" w:hanging="425"/>
        <w:rPr>
          <w:rFonts w:eastAsia="Times New Roman" w:cstheme="minorHAnsi"/>
          <w:lang w:eastAsia="en-GB"/>
        </w:rPr>
      </w:pPr>
      <w:r w:rsidRPr="009B3747">
        <w:rPr>
          <w:rFonts w:eastAsia="Times New Roman" w:cstheme="minorHAnsi"/>
          <w:lang w:eastAsia="en-GB"/>
        </w:rPr>
        <w:t>Is the survey the right length</w:t>
      </w:r>
      <w:r w:rsidR="00B46C02">
        <w:rPr>
          <w:rFonts w:eastAsia="Times New Roman" w:cstheme="minorHAnsi"/>
          <w:lang w:eastAsia="en-GB"/>
        </w:rPr>
        <w:t>,</w:t>
      </w:r>
      <w:r w:rsidRPr="009B3747">
        <w:rPr>
          <w:rFonts w:eastAsia="Times New Roman" w:cstheme="minorHAnsi"/>
          <w:lang w:eastAsia="en-GB"/>
        </w:rPr>
        <w:t xml:space="preserve"> i.e. time to complete? Too long? Too short?</w:t>
      </w:r>
    </w:p>
    <w:p w:rsidR="00FE18C1" w:rsidRPr="009B3747" w:rsidRDefault="00FE18C1" w:rsidP="006308EA">
      <w:pPr>
        <w:pStyle w:val="ListParagraph"/>
        <w:numPr>
          <w:ilvl w:val="1"/>
          <w:numId w:val="118"/>
        </w:numPr>
        <w:shd w:val="clear" w:color="auto" w:fill="FFFFFF"/>
        <w:ind w:left="567" w:hanging="425"/>
        <w:rPr>
          <w:rFonts w:eastAsia="Times New Roman" w:cstheme="minorHAnsi"/>
          <w:lang w:eastAsia="en-GB"/>
        </w:rPr>
      </w:pPr>
      <w:r w:rsidRPr="009B3747">
        <w:rPr>
          <w:rFonts w:eastAsia="Times New Roman" w:cstheme="minorHAnsi"/>
          <w:lang w:eastAsia="en-GB"/>
        </w:rPr>
        <w:t>How long did it take you to undertake the survey? </w:t>
      </w:r>
    </w:p>
    <w:p w:rsidR="00FE18C1" w:rsidRPr="009B3747" w:rsidRDefault="00FE18C1" w:rsidP="006308EA">
      <w:pPr>
        <w:rPr>
          <w:rFonts w:eastAsia="Times New Roman" w:cstheme="minorHAnsi"/>
          <w:color w:val="000000"/>
          <w:lang w:eastAsia="en-GB"/>
        </w:rPr>
      </w:pPr>
    </w:p>
    <w:p w:rsidR="00B30E97" w:rsidRPr="009B3747" w:rsidRDefault="00991D2F" w:rsidP="006308EA">
      <w:pPr>
        <w:rPr>
          <w:rFonts w:eastAsia="Times New Roman" w:cstheme="minorHAnsi"/>
          <w:color w:val="000000"/>
          <w:lang w:eastAsia="en-GB"/>
        </w:rPr>
      </w:pPr>
      <w:r w:rsidRPr="009B3747">
        <w:rPr>
          <w:rFonts w:eastAsia="Times New Roman" w:cstheme="minorHAnsi"/>
          <w:color w:val="000000"/>
          <w:lang w:eastAsia="en-GB"/>
        </w:rPr>
        <w:t>Potential participants were asked to complete the pilot test within two weeks from receipt of the email and were asked to send feedback direct to the researcher via email.  A total of twelve headteachers and chairs of governors responded to the request for pilot testing.</w:t>
      </w:r>
    </w:p>
    <w:p w:rsidR="00991D2F" w:rsidRPr="009B3747" w:rsidRDefault="00991D2F" w:rsidP="006308EA">
      <w:pPr>
        <w:rPr>
          <w:rFonts w:eastAsia="Times New Roman" w:cstheme="minorHAnsi"/>
          <w:sz w:val="24"/>
          <w:szCs w:val="24"/>
          <w:lang w:eastAsia="en-GB"/>
        </w:rPr>
      </w:pPr>
      <w:r w:rsidRPr="009B3747">
        <w:rPr>
          <w:rFonts w:eastAsia="Times New Roman" w:cstheme="minorHAnsi"/>
          <w:color w:val="000000"/>
          <w:lang w:eastAsia="en-GB"/>
        </w:rPr>
        <w:t xml:space="preserve">  </w:t>
      </w:r>
    </w:p>
    <w:p w:rsidR="00991D2F" w:rsidRPr="009B3747" w:rsidRDefault="00991D2F" w:rsidP="00FE18C1">
      <w:pPr>
        <w:rPr>
          <w:rFonts w:eastAsia="Times New Roman" w:cstheme="minorHAnsi"/>
          <w:color w:val="000000"/>
          <w:lang w:eastAsia="en-GB"/>
        </w:rPr>
      </w:pPr>
      <w:r w:rsidRPr="009B3747">
        <w:rPr>
          <w:rFonts w:eastAsia="Times New Roman" w:cstheme="minorHAnsi"/>
          <w:color w:val="000000"/>
          <w:lang w:eastAsia="en-GB"/>
        </w:rPr>
        <w:t>All twelve participants completed the final draft questionnaire in full and the following provides a summary of the comments received by both headt</w:t>
      </w:r>
      <w:r w:rsidR="00022E3D" w:rsidRPr="009B3747">
        <w:rPr>
          <w:rFonts w:eastAsia="Times New Roman" w:cstheme="minorHAnsi"/>
          <w:color w:val="000000"/>
          <w:lang w:eastAsia="en-GB"/>
        </w:rPr>
        <w:t>eachers and chairs of governors:</w:t>
      </w:r>
      <w:r w:rsidRPr="009B3747">
        <w:rPr>
          <w:rFonts w:eastAsia="Times New Roman" w:cstheme="minorHAnsi"/>
          <w:color w:val="000000"/>
          <w:lang w:eastAsia="en-GB"/>
        </w:rPr>
        <w:t xml:space="preserve"> </w:t>
      </w:r>
    </w:p>
    <w:p w:rsidR="00FE18C1" w:rsidRPr="009B3747" w:rsidRDefault="00FE18C1" w:rsidP="00FE18C1">
      <w:pPr>
        <w:rPr>
          <w:rFonts w:eastAsia="Times New Roman" w:cstheme="minorHAnsi"/>
          <w:sz w:val="24"/>
          <w:szCs w:val="24"/>
          <w:lang w:eastAsia="en-GB"/>
        </w:rPr>
      </w:pPr>
    </w:p>
    <w:p w:rsidR="00991D2F" w:rsidRPr="009B3747" w:rsidRDefault="00991D2F" w:rsidP="00C27072">
      <w:pPr>
        <w:numPr>
          <w:ilvl w:val="0"/>
          <w:numId w:val="46"/>
        </w:numPr>
        <w:textAlignment w:val="baseline"/>
        <w:rPr>
          <w:rFonts w:eastAsia="Times New Roman" w:cstheme="minorHAnsi"/>
          <w:color w:val="000000"/>
          <w:lang w:eastAsia="en-GB"/>
        </w:rPr>
      </w:pPr>
      <w:r w:rsidRPr="009B3747">
        <w:rPr>
          <w:rFonts w:eastAsia="Times New Roman" w:cstheme="minorHAnsi"/>
          <w:color w:val="000000"/>
          <w:lang w:eastAsia="en-GB"/>
        </w:rPr>
        <w:t>Average (mean) time of questionnaire completion was 14 minutes and 30 seconds, however median completion time was 12 minutes.</w:t>
      </w:r>
    </w:p>
    <w:p w:rsidR="00991D2F" w:rsidRPr="009B3747" w:rsidRDefault="00991D2F" w:rsidP="00C27072">
      <w:pPr>
        <w:numPr>
          <w:ilvl w:val="0"/>
          <w:numId w:val="46"/>
        </w:numPr>
        <w:textAlignment w:val="baseline"/>
        <w:rPr>
          <w:rFonts w:eastAsia="Times New Roman" w:cstheme="minorHAnsi"/>
          <w:color w:val="000000"/>
          <w:lang w:eastAsia="en-GB"/>
        </w:rPr>
      </w:pPr>
      <w:r w:rsidRPr="009B3747">
        <w:rPr>
          <w:rFonts w:eastAsia="Times New Roman" w:cstheme="minorHAnsi"/>
          <w:color w:val="000000"/>
          <w:lang w:eastAsia="en-GB"/>
        </w:rPr>
        <w:lastRenderedPageBreak/>
        <w:t>Length of time to complete the questionnaire was felt by some as too long and for others as appropriate given the complexity of the content.</w:t>
      </w:r>
    </w:p>
    <w:p w:rsidR="00991D2F" w:rsidRPr="009B3747" w:rsidRDefault="00991D2F" w:rsidP="00C27072">
      <w:pPr>
        <w:numPr>
          <w:ilvl w:val="0"/>
          <w:numId w:val="46"/>
        </w:numPr>
        <w:textAlignment w:val="baseline"/>
        <w:rPr>
          <w:rFonts w:eastAsia="Times New Roman" w:cstheme="minorHAnsi"/>
          <w:color w:val="000000"/>
          <w:lang w:eastAsia="en-GB"/>
        </w:rPr>
      </w:pPr>
      <w:r w:rsidRPr="009B3747">
        <w:rPr>
          <w:rFonts w:eastAsia="Times New Roman" w:cstheme="minorHAnsi"/>
          <w:color w:val="000000"/>
          <w:lang w:eastAsia="en-GB"/>
        </w:rPr>
        <w:t>Concern was raised as to whether the chairs would want to complete the questionnaire without conferring with their respective headteacher first.</w:t>
      </w:r>
    </w:p>
    <w:p w:rsidR="00991D2F" w:rsidRPr="009B3747" w:rsidRDefault="00991D2F" w:rsidP="00C27072">
      <w:pPr>
        <w:numPr>
          <w:ilvl w:val="0"/>
          <w:numId w:val="46"/>
        </w:numPr>
        <w:textAlignment w:val="baseline"/>
        <w:rPr>
          <w:rFonts w:eastAsia="Times New Roman" w:cstheme="minorHAnsi"/>
          <w:color w:val="000000"/>
          <w:lang w:eastAsia="en-GB"/>
        </w:rPr>
      </w:pPr>
      <w:r w:rsidRPr="009B3747">
        <w:rPr>
          <w:rFonts w:eastAsia="Times New Roman" w:cstheme="minorHAnsi"/>
          <w:color w:val="000000"/>
          <w:lang w:eastAsia="en-GB"/>
        </w:rPr>
        <w:t>Questions and statements were generally deemed to be interesting, thought-provoking, clear, well-laid out and easy to follow.  However at times it was deemed challenging to ‘pin-point’ answers.</w:t>
      </w:r>
    </w:p>
    <w:p w:rsidR="00991D2F" w:rsidRPr="009B3747" w:rsidRDefault="00991D2F" w:rsidP="00C27072">
      <w:pPr>
        <w:numPr>
          <w:ilvl w:val="0"/>
          <w:numId w:val="46"/>
        </w:numPr>
        <w:textAlignment w:val="baseline"/>
        <w:rPr>
          <w:rFonts w:eastAsia="Times New Roman" w:cstheme="minorHAnsi"/>
          <w:color w:val="000000"/>
          <w:lang w:eastAsia="en-GB"/>
        </w:rPr>
      </w:pPr>
      <w:r w:rsidRPr="009B3747">
        <w:rPr>
          <w:rFonts w:eastAsia="Times New Roman" w:cstheme="minorHAnsi"/>
          <w:color w:val="000000"/>
          <w:lang w:eastAsia="en-GB"/>
        </w:rPr>
        <w:t>The meaning of ‘excess weight’ and ‘junk food’ were interpreted differently and in future including a clear definition of each was proposed as being useful.</w:t>
      </w:r>
    </w:p>
    <w:p w:rsidR="00991D2F" w:rsidRPr="009B3747" w:rsidRDefault="00991D2F" w:rsidP="00C27072">
      <w:pPr>
        <w:numPr>
          <w:ilvl w:val="0"/>
          <w:numId w:val="46"/>
        </w:numPr>
        <w:textAlignment w:val="baseline"/>
        <w:rPr>
          <w:rFonts w:eastAsia="Times New Roman" w:cstheme="minorHAnsi"/>
          <w:color w:val="000000"/>
          <w:lang w:eastAsia="en-GB"/>
        </w:rPr>
      </w:pPr>
      <w:r w:rsidRPr="009B3747">
        <w:rPr>
          <w:rFonts w:eastAsia="Times New Roman" w:cstheme="minorHAnsi"/>
          <w:color w:val="000000"/>
          <w:lang w:eastAsia="en-GB"/>
        </w:rPr>
        <w:t>The factual demographic question related to Ofsted rating did not include a category which was deemed appropriate for some schools</w:t>
      </w:r>
      <w:r w:rsidR="00B46C02">
        <w:rPr>
          <w:rFonts w:eastAsia="Times New Roman" w:cstheme="minorHAnsi"/>
          <w:color w:val="000000"/>
          <w:lang w:eastAsia="en-GB"/>
        </w:rPr>
        <w:t>,</w:t>
      </w:r>
      <w:r w:rsidRPr="009B3747">
        <w:rPr>
          <w:rFonts w:eastAsia="Times New Roman" w:cstheme="minorHAnsi"/>
          <w:color w:val="000000"/>
          <w:lang w:eastAsia="en-GB"/>
        </w:rPr>
        <w:t xml:space="preserve"> i.e. ‘yet to be inspected’.</w:t>
      </w:r>
    </w:p>
    <w:p w:rsidR="00991D2F" w:rsidRPr="009B3747" w:rsidRDefault="00991D2F" w:rsidP="00C27072">
      <w:pPr>
        <w:numPr>
          <w:ilvl w:val="0"/>
          <w:numId w:val="46"/>
        </w:numPr>
        <w:textAlignment w:val="baseline"/>
        <w:rPr>
          <w:rFonts w:eastAsia="Times New Roman" w:cstheme="minorHAnsi"/>
          <w:color w:val="000000"/>
          <w:lang w:eastAsia="en-GB"/>
        </w:rPr>
      </w:pPr>
      <w:r w:rsidRPr="009B3747">
        <w:rPr>
          <w:rFonts w:eastAsia="Times New Roman" w:cstheme="minorHAnsi"/>
          <w:color w:val="000000"/>
          <w:lang w:eastAsia="en-GB"/>
        </w:rPr>
        <w:t>Difficulty was reported in completing the two ranking questions related to obesity responsibility</w:t>
      </w:r>
      <w:r w:rsidR="00B46C02">
        <w:rPr>
          <w:rFonts w:eastAsia="Times New Roman" w:cstheme="minorHAnsi"/>
          <w:color w:val="000000"/>
          <w:lang w:eastAsia="en-GB"/>
        </w:rPr>
        <w:t>,</w:t>
      </w:r>
      <w:r w:rsidRPr="009B3747">
        <w:rPr>
          <w:rFonts w:eastAsia="Times New Roman" w:cstheme="minorHAnsi"/>
          <w:color w:val="000000"/>
          <w:lang w:eastAsia="en-GB"/>
        </w:rPr>
        <w:t xml:space="preserve"> i.e. practical issues of selecting answers and the inability for people to equally rank particular answers. </w:t>
      </w:r>
    </w:p>
    <w:p w:rsidR="00991D2F" w:rsidRPr="009B3747" w:rsidRDefault="00991D2F" w:rsidP="00C27072">
      <w:pPr>
        <w:numPr>
          <w:ilvl w:val="0"/>
          <w:numId w:val="46"/>
        </w:numPr>
        <w:textAlignment w:val="baseline"/>
        <w:rPr>
          <w:rFonts w:eastAsia="Times New Roman" w:cstheme="minorHAnsi"/>
          <w:color w:val="000000"/>
          <w:lang w:eastAsia="en-GB"/>
        </w:rPr>
      </w:pPr>
      <w:r w:rsidRPr="009B3747">
        <w:rPr>
          <w:rFonts w:eastAsia="Times New Roman" w:cstheme="minorHAnsi"/>
          <w:color w:val="000000"/>
          <w:lang w:eastAsia="en-GB"/>
        </w:rPr>
        <w:t>It was questioned whether participants</w:t>
      </w:r>
      <w:r w:rsidR="00A16A6D" w:rsidRPr="009B3747">
        <w:rPr>
          <w:rFonts w:eastAsia="Times New Roman" w:cstheme="minorHAnsi"/>
          <w:color w:val="000000"/>
          <w:lang w:eastAsia="en-GB"/>
        </w:rPr>
        <w:t>,</w:t>
      </w:r>
      <w:r w:rsidRPr="009B3747">
        <w:rPr>
          <w:rFonts w:eastAsia="Times New Roman" w:cstheme="minorHAnsi"/>
          <w:color w:val="000000"/>
          <w:lang w:eastAsia="en-GB"/>
        </w:rPr>
        <w:t xml:space="preserve"> p</w:t>
      </w:r>
      <w:r w:rsidR="00A16A6D" w:rsidRPr="009B3747">
        <w:rPr>
          <w:rFonts w:eastAsia="Times New Roman" w:cstheme="minorHAnsi"/>
          <w:color w:val="000000"/>
          <w:lang w:eastAsia="en-GB"/>
        </w:rPr>
        <w:t xml:space="preserve">articularly chairs of governors, </w:t>
      </w:r>
      <w:r w:rsidRPr="009B3747">
        <w:rPr>
          <w:rFonts w:eastAsia="Times New Roman" w:cstheme="minorHAnsi"/>
          <w:color w:val="000000"/>
          <w:lang w:eastAsia="en-GB"/>
        </w:rPr>
        <w:t>would know the answers to school demographic questions without checking which would be a barrier to completion for some.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t xml:space="preserve">Whilst no major modifications were required based on this feedback, </w:t>
      </w:r>
      <w:r w:rsidR="00D2649E" w:rsidRPr="009B3747">
        <w:rPr>
          <w:rFonts w:eastAsia="Times New Roman" w:cstheme="minorHAnsi"/>
          <w:color w:val="000000"/>
          <w:lang w:eastAsia="en-GB"/>
        </w:rPr>
        <w:t xml:space="preserve">four </w:t>
      </w:r>
      <w:r w:rsidRPr="009B3747">
        <w:rPr>
          <w:rFonts w:eastAsia="Times New Roman" w:cstheme="minorHAnsi"/>
          <w:color w:val="000000"/>
          <w:lang w:eastAsia="en-GB"/>
        </w:rPr>
        <w:t>m</w:t>
      </w:r>
      <w:r w:rsidR="00D2649E" w:rsidRPr="009B3747">
        <w:rPr>
          <w:rFonts w:eastAsia="Times New Roman" w:cstheme="minorHAnsi"/>
          <w:color w:val="000000"/>
          <w:lang w:eastAsia="en-GB"/>
        </w:rPr>
        <w:t>inor changes were implemented, 1) a</w:t>
      </w:r>
      <w:r w:rsidRPr="009B3747">
        <w:rPr>
          <w:rFonts w:eastAsia="Times New Roman" w:cstheme="minorHAnsi"/>
          <w:color w:val="000000"/>
          <w:lang w:eastAsia="en-GB"/>
        </w:rPr>
        <w:t xml:space="preserve"> definition of ‘excess weight’ and ‘junk food’ were provided</w:t>
      </w:r>
      <w:r w:rsidR="00D2649E" w:rsidRPr="009B3747">
        <w:rPr>
          <w:rFonts w:eastAsia="Times New Roman" w:cstheme="minorHAnsi"/>
          <w:color w:val="000000"/>
          <w:lang w:eastAsia="en-GB"/>
        </w:rPr>
        <w:t xml:space="preserve"> in the respondent instructions, 2)</w:t>
      </w:r>
      <w:r w:rsidRPr="009B3747">
        <w:rPr>
          <w:rFonts w:eastAsia="Times New Roman" w:cstheme="minorHAnsi"/>
          <w:color w:val="000000"/>
          <w:lang w:eastAsia="en-GB"/>
        </w:rPr>
        <w:t xml:space="preserve"> an additional category was a</w:t>
      </w:r>
      <w:r w:rsidR="00D2649E" w:rsidRPr="009B3747">
        <w:rPr>
          <w:rFonts w:eastAsia="Times New Roman" w:cstheme="minorHAnsi"/>
          <w:color w:val="000000"/>
          <w:lang w:eastAsia="en-GB"/>
        </w:rPr>
        <w:t xml:space="preserve">dded to Ofsted rating question 3) </w:t>
      </w:r>
      <w:r w:rsidRPr="009B3747">
        <w:rPr>
          <w:rFonts w:eastAsia="Times New Roman" w:cstheme="minorHAnsi"/>
          <w:color w:val="000000"/>
          <w:lang w:eastAsia="en-GB"/>
        </w:rPr>
        <w:t>the ranking questions were removed and replaced with revised statements and a corre</w:t>
      </w:r>
      <w:r w:rsidR="00D2649E" w:rsidRPr="009B3747">
        <w:rPr>
          <w:rFonts w:eastAsia="Times New Roman" w:cstheme="minorHAnsi"/>
          <w:color w:val="000000"/>
          <w:lang w:eastAsia="en-GB"/>
        </w:rPr>
        <w:t>sponding 5-point Likert scale and 4)</w:t>
      </w:r>
      <w:r w:rsidRPr="009B3747">
        <w:rPr>
          <w:rFonts w:eastAsia="Times New Roman" w:cstheme="minorHAnsi"/>
          <w:color w:val="000000"/>
          <w:lang w:eastAsia="en-GB"/>
        </w:rPr>
        <w:t xml:space="preserve"> school demographic questions included an ‘unsure’ category in the available responses.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D2649E">
      <w:pPr>
        <w:rPr>
          <w:rFonts w:eastAsia="Times New Roman" w:cstheme="minorHAnsi"/>
          <w:color w:val="000000"/>
          <w:lang w:eastAsia="en-GB"/>
        </w:rPr>
      </w:pPr>
      <w:r w:rsidRPr="009B3747">
        <w:rPr>
          <w:rFonts w:eastAsia="Times New Roman" w:cstheme="minorHAnsi"/>
          <w:color w:val="000000"/>
          <w:lang w:eastAsia="en-GB"/>
        </w:rPr>
        <w:t>Although perspectives and opinions on the topic under study were obtained from the pilot test, these results were not included in the final data collected for analysis.  Given the fact that the wording, phrasing or structure of particular items within the pool differed between the pilot test and finalised questionnaire (due to the minor changes made), it wasn’t appropriate to combine the pilot test data with the main survey data.  Consequently, a new Google Form (and therefore a new web-link) was created containing the finalised online questionnaire structure and content.  </w:t>
      </w:r>
    </w:p>
    <w:p w:rsidR="00D2649E" w:rsidRDefault="00D2649E" w:rsidP="00D2649E">
      <w:pPr>
        <w:rPr>
          <w:rFonts w:eastAsia="Times New Roman" w:cstheme="minorHAnsi"/>
          <w:sz w:val="24"/>
          <w:szCs w:val="24"/>
          <w:lang w:eastAsia="en-GB"/>
        </w:rPr>
      </w:pPr>
    </w:p>
    <w:p w:rsidR="004B757F" w:rsidRDefault="004B757F" w:rsidP="00D2649E">
      <w:pPr>
        <w:rPr>
          <w:rFonts w:eastAsia="Times New Roman" w:cstheme="minorHAnsi"/>
          <w:sz w:val="24"/>
          <w:szCs w:val="24"/>
          <w:lang w:eastAsia="en-GB"/>
        </w:rPr>
      </w:pPr>
    </w:p>
    <w:p w:rsidR="004B757F" w:rsidRDefault="004B757F" w:rsidP="00D2649E">
      <w:pPr>
        <w:rPr>
          <w:rFonts w:eastAsia="Times New Roman" w:cstheme="minorHAnsi"/>
          <w:sz w:val="24"/>
          <w:szCs w:val="24"/>
          <w:lang w:eastAsia="en-GB"/>
        </w:rPr>
      </w:pPr>
    </w:p>
    <w:p w:rsidR="004B757F" w:rsidRPr="009B3747" w:rsidRDefault="004B757F" w:rsidP="00D2649E">
      <w:pPr>
        <w:rPr>
          <w:rFonts w:eastAsia="Times New Roman" w:cstheme="minorHAnsi"/>
          <w:sz w:val="24"/>
          <w:szCs w:val="24"/>
          <w:lang w:eastAsia="en-GB"/>
        </w:rPr>
      </w:pPr>
    </w:p>
    <w:p w:rsidR="00991D2F" w:rsidRPr="009B3747" w:rsidRDefault="00CB18A0" w:rsidP="00D2649E">
      <w:pPr>
        <w:rPr>
          <w:rFonts w:eastAsia="Times New Roman" w:cstheme="minorHAnsi"/>
          <w:b/>
          <w:sz w:val="24"/>
          <w:szCs w:val="24"/>
          <w:lang w:eastAsia="en-GB"/>
        </w:rPr>
      </w:pPr>
      <w:r w:rsidRPr="009B3747">
        <w:rPr>
          <w:rFonts w:eastAsia="Times New Roman" w:cstheme="minorHAnsi"/>
          <w:b/>
          <w:color w:val="000000"/>
          <w:sz w:val="24"/>
          <w:szCs w:val="24"/>
          <w:u w:val="single"/>
          <w:lang w:eastAsia="en-GB"/>
        </w:rPr>
        <w:lastRenderedPageBreak/>
        <w:t>7.6</w:t>
      </w:r>
      <w:r w:rsidR="00827CCD" w:rsidRPr="009B3747">
        <w:rPr>
          <w:rFonts w:eastAsia="Times New Roman" w:cstheme="minorHAnsi"/>
          <w:b/>
          <w:color w:val="000000"/>
          <w:sz w:val="24"/>
          <w:szCs w:val="24"/>
          <w:u w:val="single"/>
          <w:lang w:eastAsia="en-GB"/>
        </w:rPr>
        <w:t xml:space="preserve"> </w:t>
      </w:r>
      <w:r w:rsidR="00991D2F" w:rsidRPr="009B3747">
        <w:rPr>
          <w:rFonts w:eastAsia="Times New Roman" w:cstheme="minorHAnsi"/>
          <w:b/>
          <w:color w:val="000000"/>
          <w:sz w:val="24"/>
          <w:szCs w:val="24"/>
          <w:u w:val="single"/>
          <w:lang w:eastAsia="en-GB"/>
        </w:rPr>
        <w:t>Finalised online questionnaire structure and content</w:t>
      </w:r>
    </w:p>
    <w:p w:rsidR="00991D2F" w:rsidRPr="009B3747" w:rsidRDefault="00991D2F" w:rsidP="00D2649E">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D2649E">
      <w:pPr>
        <w:rPr>
          <w:rFonts w:eastAsia="Times New Roman" w:cstheme="minorHAnsi"/>
          <w:sz w:val="24"/>
          <w:szCs w:val="24"/>
          <w:lang w:eastAsia="en-GB"/>
        </w:rPr>
      </w:pPr>
      <w:r w:rsidRPr="009B3747">
        <w:rPr>
          <w:rFonts w:eastAsia="Times New Roman" w:cstheme="minorHAnsi"/>
          <w:color w:val="000000"/>
          <w:lang w:eastAsia="en-GB"/>
        </w:rPr>
        <w:t>The finalised online questionnaire was structured across six di</w:t>
      </w:r>
      <w:r w:rsidR="003F4A2E" w:rsidRPr="009B3747">
        <w:rPr>
          <w:rFonts w:eastAsia="Times New Roman" w:cstheme="minorHAnsi"/>
          <w:color w:val="000000"/>
          <w:lang w:eastAsia="en-GB"/>
        </w:rPr>
        <w:t>stinct sections (see Appendix K</w:t>
      </w:r>
      <w:r w:rsidRPr="009B3747">
        <w:rPr>
          <w:rFonts w:eastAsia="Times New Roman" w:cstheme="minorHAnsi"/>
          <w:color w:val="000000"/>
          <w:lang w:eastAsia="en-GB"/>
        </w:rPr>
        <w:t>).  Questions or statements related to particular themes or sub-themes were typically grouped together to enable respondents to contemplate their perceptions or opinions on one topic or issue at a time.  </w:t>
      </w:r>
    </w:p>
    <w:p w:rsidR="00991D2F" w:rsidRPr="009B3747" w:rsidRDefault="00991D2F" w:rsidP="00D2649E">
      <w:pPr>
        <w:rPr>
          <w:rFonts w:eastAsia="Times New Roman" w:cstheme="minorHAnsi"/>
          <w:sz w:val="24"/>
          <w:szCs w:val="24"/>
          <w:lang w:eastAsia="en-GB"/>
        </w:rPr>
      </w:pPr>
      <w:r w:rsidRPr="009B3747">
        <w:rPr>
          <w:rFonts w:eastAsia="Times New Roman" w:cstheme="minorHAnsi"/>
          <w:sz w:val="24"/>
          <w:szCs w:val="24"/>
          <w:lang w:eastAsia="en-GB"/>
        </w:rPr>
        <w:t> </w:t>
      </w:r>
    </w:p>
    <w:p w:rsidR="00B30E97" w:rsidRPr="009B3747" w:rsidRDefault="00991D2F" w:rsidP="00D2649E">
      <w:pPr>
        <w:rPr>
          <w:rFonts w:eastAsia="Times New Roman" w:cstheme="minorHAnsi"/>
          <w:color w:val="000000"/>
          <w:lang w:eastAsia="en-GB"/>
        </w:rPr>
      </w:pPr>
      <w:r w:rsidRPr="009B3747">
        <w:rPr>
          <w:rFonts w:eastAsia="Times New Roman" w:cstheme="minorHAnsi"/>
          <w:color w:val="000000"/>
          <w:lang w:eastAsia="en-GB"/>
        </w:rPr>
        <w:t xml:space="preserve">Section 1 </w:t>
      </w:r>
      <w:r w:rsidR="00B30E97" w:rsidRPr="009B3747">
        <w:rPr>
          <w:rFonts w:eastAsia="Times New Roman" w:cstheme="minorHAnsi"/>
          <w:color w:val="000000"/>
          <w:lang w:eastAsia="en-GB"/>
        </w:rPr>
        <w:t>–</w:t>
      </w:r>
      <w:r w:rsidRPr="009B3747">
        <w:rPr>
          <w:rFonts w:eastAsia="Times New Roman" w:cstheme="minorHAnsi"/>
          <w:color w:val="000000"/>
          <w:lang w:eastAsia="en-GB"/>
        </w:rPr>
        <w:t xml:space="preserve">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C27072">
      <w:pPr>
        <w:numPr>
          <w:ilvl w:val="0"/>
          <w:numId w:val="47"/>
        </w:numPr>
        <w:textAlignment w:val="baseline"/>
        <w:rPr>
          <w:rFonts w:eastAsia="Times New Roman" w:cstheme="minorHAnsi"/>
          <w:color w:val="000000"/>
          <w:lang w:eastAsia="en-GB"/>
        </w:rPr>
      </w:pPr>
      <w:r w:rsidRPr="009B3747">
        <w:rPr>
          <w:rFonts w:eastAsia="Times New Roman" w:cstheme="minorHAnsi"/>
          <w:color w:val="000000"/>
          <w:lang w:eastAsia="en-GB"/>
        </w:rPr>
        <w:t>Section 1 provide</w:t>
      </w:r>
      <w:r w:rsidR="00851C2F" w:rsidRPr="009B3747">
        <w:rPr>
          <w:rFonts w:eastAsia="Times New Roman" w:cstheme="minorHAnsi"/>
          <w:color w:val="000000"/>
          <w:lang w:eastAsia="en-GB"/>
        </w:rPr>
        <w:t>d</w:t>
      </w:r>
      <w:r w:rsidRPr="009B3747">
        <w:rPr>
          <w:rFonts w:eastAsia="Times New Roman" w:cstheme="minorHAnsi"/>
          <w:color w:val="000000"/>
          <w:lang w:eastAsia="en-GB"/>
        </w:rPr>
        <w:t xml:space="preserve"> an intro</w:t>
      </w:r>
      <w:r w:rsidR="00851C2F" w:rsidRPr="009B3747">
        <w:rPr>
          <w:rFonts w:eastAsia="Times New Roman" w:cstheme="minorHAnsi"/>
          <w:color w:val="000000"/>
          <w:lang w:eastAsia="en-GB"/>
        </w:rPr>
        <w:t>duction to the survey</w:t>
      </w:r>
      <w:r w:rsidR="009025E2">
        <w:rPr>
          <w:rFonts w:eastAsia="Times New Roman" w:cstheme="minorHAnsi"/>
          <w:color w:val="000000"/>
          <w:lang w:eastAsia="en-GB"/>
        </w:rPr>
        <w:t>,</w:t>
      </w:r>
      <w:r w:rsidR="00851C2F" w:rsidRPr="009B3747">
        <w:rPr>
          <w:rFonts w:eastAsia="Times New Roman" w:cstheme="minorHAnsi"/>
          <w:color w:val="000000"/>
          <w:lang w:eastAsia="en-GB"/>
        </w:rPr>
        <w:t xml:space="preserve"> which included a</w:t>
      </w:r>
      <w:r w:rsidRPr="009B3747">
        <w:rPr>
          <w:rFonts w:eastAsia="Times New Roman" w:cstheme="minorHAnsi"/>
          <w:color w:val="000000"/>
          <w:lang w:eastAsia="en-GB"/>
        </w:rPr>
        <w:t xml:space="preserve"> backgr</w:t>
      </w:r>
      <w:r w:rsidR="00851C2F" w:rsidRPr="009B3747">
        <w:rPr>
          <w:rFonts w:eastAsia="Times New Roman" w:cstheme="minorHAnsi"/>
          <w:color w:val="000000"/>
          <w:lang w:eastAsia="en-GB"/>
        </w:rPr>
        <w:t>ound to the research and</w:t>
      </w:r>
      <w:r w:rsidRPr="009B3747">
        <w:rPr>
          <w:rFonts w:eastAsia="Times New Roman" w:cstheme="minorHAnsi"/>
          <w:color w:val="000000"/>
          <w:lang w:eastAsia="en-GB"/>
        </w:rPr>
        <w:t xml:space="preserve"> key information regarding voluntary participation and anonymity.  Definitions of the terms ‘</w:t>
      </w:r>
      <w:r w:rsidR="00851C2F" w:rsidRPr="009B3747">
        <w:rPr>
          <w:rFonts w:eastAsia="Times New Roman" w:cstheme="minorHAnsi"/>
          <w:color w:val="000000"/>
          <w:lang w:eastAsia="en-GB"/>
        </w:rPr>
        <w:t>excess weight’ and ‘junk food’ were</w:t>
      </w:r>
      <w:r w:rsidRPr="009B3747">
        <w:rPr>
          <w:rFonts w:eastAsia="Times New Roman" w:cstheme="minorHAnsi"/>
          <w:color w:val="000000"/>
          <w:lang w:eastAsia="en-GB"/>
        </w:rPr>
        <w:t xml:space="preserve"> provided</w:t>
      </w:r>
      <w:r w:rsidR="004B757F">
        <w:rPr>
          <w:rFonts w:eastAsia="Times New Roman" w:cstheme="minorHAnsi"/>
          <w:color w:val="000000"/>
          <w:lang w:eastAsia="en-GB"/>
        </w:rPr>
        <w:t>,</w:t>
      </w:r>
      <w:r w:rsidRPr="009B3747">
        <w:rPr>
          <w:rFonts w:eastAsia="Times New Roman" w:cstheme="minorHAnsi"/>
          <w:color w:val="000000"/>
          <w:lang w:eastAsia="en-GB"/>
        </w:rPr>
        <w:t xml:space="preserve"> in addition to the researcher’s contact details. </w:t>
      </w:r>
      <w:r w:rsidR="00851C2F" w:rsidRPr="009B3747">
        <w:rPr>
          <w:rFonts w:eastAsia="Times New Roman" w:cstheme="minorHAnsi"/>
          <w:color w:val="000000"/>
          <w:lang w:eastAsia="en-GB"/>
        </w:rPr>
        <w:t> In order to obtain i</w:t>
      </w:r>
      <w:r w:rsidR="00862852" w:rsidRPr="009B3747">
        <w:rPr>
          <w:rFonts w:eastAsia="Times New Roman" w:cstheme="minorHAnsi"/>
          <w:color w:val="000000"/>
          <w:lang w:eastAsia="en-GB"/>
        </w:rPr>
        <w:t>nformed consent (see section 7.9</w:t>
      </w:r>
      <w:r w:rsidR="00851C2F" w:rsidRPr="009B3747">
        <w:rPr>
          <w:rFonts w:eastAsia="Times New Roman" w:cstheme="minorHAnsi"/>
          <w:color w:val="000000"/>
          <w:lang w:eastAsia="en-GB"/>
        </w:rPr>
        <w:t>), this first section concluded</w:t>
      </w:r>
      <w:r w:rsidRPr="009B3747">
        <w:rPr>
          <w:rFonts w:eastAsia="Times New Roman" w:cstheme="minorHAnsi"/>
          <w:color w:val="000000"/>
          <w:lang w:eastAsia="en-GB"/>
        </w:rPr>
        <w:t xml:space="preserve"> by asking confirmation of willingness to participate.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B30E97" w:rsidRPr="009B3747" w:rsidRDefault="00991D2F" w:rsidP="00991D2F">
      <w:pPr>
        <w:rPr>
          <w:rFonts w:eastAsia="Times New Roman" w:cstheme="minorHAnsi"/>
          <w:color w:val="000000"/>
          <w:lang w:eastAsia="en-GB"/>
        </w:rPr>
      </w:pPr>
      <w:r w:rsidRPr="009B3747">
        <w:rPr>
          <w:rFonts w:eastAsia="Times New Roman" w:cstheme="minorHAnsi"/>
          <w:color w:val="000000"/>
          <w:lang w:eastAsia="en-GB"/>
        </w:rPr>
        <w:t xml:space="preserve">Section 2 </w:t>
      </w:r>
      <w:r w:rsidR="00B30E97" w:rsidRPr="009B3747">
        <w:rPr>
          <w:rFonts w:eastAsia="Times New Roman" w:cstheme="minorHAnsi"/>
          <w:color w:val="000000"/>
          <w:lang w:eastAsia="en-GB"/>
        </w:rPr>
        <w:t>–</w:t>
      </w:r>
      <w:r w:rsidRPr="009B3747">
        <w:rPr>
          <w:rFonts w:eastAsia="Times New Roman" w:cstheme="minorHAnsi"/>
          <w:color w:val="000000"/>
          <w:lang w:eastAsia="en-GB"/>
        </w:rPr>
        <w:t xml:space="preserve">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C27072">
      <w:pPr>
        <w:numPr>
          <w:ilvl w:val="0"/>
          <w:numId w:val="48"/>
        </w:numPr>
        <w:textAlignment w:val="baseline"/>
        <w:rPr>
          <w:rFonts w:eastAsia="Times New Roman" w:cstheme="minorHAnsi"/>
          <w:color w:val="000000"/>
          <w:lang w:eastAsia="en-GB"/>
        </w:rPr>
      </w:pPr>
      <w:r w:rsidRPr="009B3747">
        <w:rPr>
          <w:rFonts w:eastAsia="Times New Roman" w:cstheme="minorHAnsi"/>
          <w:color w:val="000000"/>
          <w:lang w:eastAsia="en-GB"/>
        </w:rPr>
        <w:t>Section 2 present</w:t>
      </w:r>
      <w:r w:rsidR="00851C2F" w:rsidRPr="009B3747">
        <w:rPr>
          <w:rFonts w:eastAsia="Times New Roman" w:cstheme="minorHAnsi"/>
          <w:color w:val="000000"/>
          <w:lang w:eastAsia="en-GB"/>
        </w:rPr>
        <w:t>ed</w:t>
      </w:r>
      <w:r w:rsidRPr="009B3747">
        <w:rPr>
          <w:rFonts w:eastAsia="Times New Roman" w:cstheme="minorHAnsi"/>
          <w:color w:val="000000"/>
          <w:lang w:eastAsia="en-GB"/>
        </w:rPr>
        <w:t xml:space="preserve"> a series of factual questions related to participant demographics</w:t>
      </w:r>
      <w:r w:rsidR="00B46C02">
        <w:rPr>
          <w:rFonts w:eastAsia="Times New Roman" w:cstheme="minorHAnsi"/>
          <w:color w:val="000000"/>
          <w:lang w:eastAsia="en-GB"/>
        </w:rPr>
        <w:t>,</w:t>
      </w:r>
      <w:r w:rsidRPr="009B3747">
        <w:rPr>
          <w:rFonts w:eastAsia="Times New Roman" w:cstheme="minorHAnsi"/>
          <w:color w:val="000000"/>
          <w:lang w:eastAsia="en-GB"/>
        </w:rPr>
        <w:t xml:space="preserve"> i.e. their role within the school, gender, age and length of time within their re</w:t>
      </w:r>
      <w:r w:rsidR="00851C2F" w:rsidRPr="009B3747">
        <w:rPr>
          <w:rFonts w:eastAsia="Times New Roman" w:cstheme="minorHAnsi"/>
          <w:color w:val="000000"/>
          <w:lang w:eastAsia="en-GB"/>
        </w:rPr>
        <w:t>spective role.  Participants were</w:t>
      </w:r>
      <w:r w:rsidRPr="009B3747">
        <w:rPr>
          <w:rFonts w:eastAsia="Times New Roman" w:cstheme="minorHAnsi"/>
          <w:color w:val="000000"/>
          <w:lang w:eastAsia="en-GB"/>
        </w:rPr>
        <w:t xml:space="preserve"> asked to respond</w:t>
      </w:r>
      <w:r w:rsidR="004B757F">
        <w:rPr>
          <w:rFonts w:eastAsia="Times New Roman" w:cstheme="minorHAnsi"/>
          <w:color w:val="000000"/>
          <w:lang w:eastAsia="en-GB"/>
        </w:rPr>
        <w:t>,</w:t>
      </w:r>
      <w:r w:rsidRPr="009B3747">
        <w:rPr>
          <w:rFonts w:eastAsia="Times New Roman" w:cstheme="minorHAnsi"/>
          <w:color w:val="000000"/>
          <w:lang w:eastAsia="en-GB"/>
        </w:rPr>
        <w:t xml:space="preserve"> by selecting an answer from closed multiple-choice options</w:t>
      </w:r>
      <w:r w:rsidR="00B46C02">
        <w:rPr>
          <w:rFonts w:eastAsia="Times New Roman" w:cstheme="minorHAnsi"/>
          <w:color w:val="000000"/>
          <w:lang w:eastAsia="en-GB"/>
        </w:rPr>
        <w:t>,</w:t>
      </w:r>
      <w:r w:rsidRPr="009B3747">
        <w:rPr>
          <w:rFonts w:eastAsia="Times New Roman" w:cstheme="minorHAnsi"/>
          <w:color w:val="000000"/>
          <w:lang w:eastAsia="en-GB"/>
        </w:rPr>
        <w:t xml:space="preserve"> e.g. male or female, or an age within a defined age range (large enough to protect anonymity and for data analysis purposes).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B30E97" w:rsidRPr="009B3747" w:rsidRDefault="00991D2F" w:rsidP="00991D2F">
      <w:pPr>
        <w:rPr>
          <w:rFonts w:eastAsia="Times New Roman" w:cstheme="minorHAnsi"/>
          <w:color w:val="000000"/>
          <w:lang w:eastAsia="en-GB"/>
        </w:rPr>
      </w:pPr>
      <w:r w:rsidRPr="009B3747">
        <w:rPr>
          <w:rFonts w:eastAsia="Times New Roman" w:cstheme="minorHAnsi"/>
          <w:color w:val="000000"/>
          <w:lang w:eastAsia="en-GB"/>
        </w:rPr>
        <w:t xml:space="preserve">Section 3 </w:t>
      </w:r>
      <w:r w:rsidR="00B30E97" w:rsidRPr="009B3747">
        <w:rPr>
          <w:rFonts w:eastAsia="Times New Roman" w:cstheme="minorHAnsi"/>
          <w:color w:val="000000"/>
          <w:lang w:eastAsia="en-GB"/>
        </w:rPr>
        <w:t>–</w:t>
      </w:r>
      <w:r w:rsidRPr="009B3747">
        <w:rPr>
          <w:rFonts w:eastAsia="Times New Roman" w:cstheme="minorHAnsi"/>
          <w:color w:val="000000"/>
          <w:lang w:eastAsia="en-GB"/>
        </w:rPr>
        <w:t xml:space="preserve">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851C2F" w:rsidP="00C27072">
      <w:pPr>
        <w:numPr>
          <w:ilvl w:val="0"/>
          <w:numId w:val="49"/>
        </w:numPr>
        <w:textAlignment w:val="baseline"/>
        <w:rPr>
          <w:rFonts w:eastAsia="Times New Roman" w:cstheme="minorHAnsi"/>
          <w:color w:val="000000"/>
          <w:lang w:eastAsia="en-GB"/>
        </w:rPr>
      </w:pPr>
      <w:r w:rsidRPr="009B3747">
        <w:rPr>
          <w:rFonts w:eastAsia="Times New Roman" w:cstheme="minorHAnsi"/>
          <w:color w:val="000000"/>
          <w:lang w:eastAsia="en-GB"/>
        </w:rPr>
        <w:t>Section 3 was</w:t>
      </w:r>
      <w:r w:rsidR="00991D2F" w:rsidRPr="009B3747">
        <w:rPr>
          <w:rFonts w:eastAsia="Times New Roman" w:cstheme="minorHAnsi"/>
          <w:color w:val="000000"/>
          <w:lang w:eastAsia="en-GB"/>
        </w:rPr>
        <w:t xml:space="preserve"> centred </w:t>
      </w:r>
      <w:r w:rsidRPr="009B3747">
        <w:rPr>
          <w:rFonts w:eastAsia="Times New Roman" w:cstheme="minorHAnsi"/>
          <w:color w:val="000000"/>
          <w:lang w:eastAsia="en-GB"/>
        </w:rPr>
        <w:t>on</w:t>
      </w:r>
      <w:r w:rsidR="00991D2F" w:rsidRPr="009B3747">
        <w:rPr>
          <w:rFonts w:eastAsia="Times New Roman" w:cstheme="minorHAnsi"/>
          <w:color w:val="000000"/>
          <w:lang w:eastAsia="en-GB"/>
        </w:rPr>
        <w:t xml:space="preserve"> theme one of the analysed qualitative findings - perceptions of adolescent obesity and lifestyle behaviours.  Questions and statements (with correspo</w:t>
      </w:r>
      <w:r w:rsidRPr="009B3747">
        <w:rPr>
          <w:rFonts w:eastAsia="Times New Roman" w:cstheme="minorHAnsi"/>
          <w:color w:val="000000"/>
          <w:lang w:eastAsia="en-GB"/>
        </w:rPr>
        <w:t xml:space="preserve">nding 5-point Likert scales) were </w:t>
      </w:r>
      <w:r w:rsidR="004B757F">
        <w:rPr>
          <w:rFonts w:eastAsia="Times New Roman" w:cstheme="minorHAnsi"/>
          <w:color w:val="000000"/>
          <w:lang w:eastAsia="en-GB"/>
        </w:rPr>
        <w:t xml:space="preserve">presented, </w:t>
      </w:r>
      <w:r w:rsidR="00991D2F" w:rsidRPr="009B3747">
        <w:rPr>
          <w:rFonts w:eastAsia="Times New Roman" w:cstheme="minorHAnsi"/>
          <w:color w:val="000000"/>
          <w:lang w:eastAsia="en-GB"/>
        </w:rPr>
        <w:t xml:space="preserve">asking for </w:t>
      </w:r>
      <w:r w:rsidRPr="009B3747">
        <w:rPr>
          <w:rFonts w:eastAsia="Times New Roman" w:cstheme="minorHAnsi"/>
          <w:color w:val="000000"/>
          <w:lang w:eastAsia="en-GB"/>
        </w:rPr>
        <w:t>participants’</w:t>
      </w:r>
      <w:r w:rsidR="00991D2F" w:rsidRPr="009B3747">
        <w:rPr>
          <w:rFonts w:eastAsia="Times New Roman" w:cstheme="minorHAnsi"/>
          <w:color w:val="000000"/>
          <w:lang w:eastAsia="en-GB"/>
        </w:rPr>
        <w:t xml:space="preserve"> opinions regarding excess weight and related lifestyle behaviours (e.g. dietary, physical activity and sedentary behaviour) in secondary school pupils.</w:t>
      </w:r>
    </w:p>
    <w:p w:rsidR="00827CCD" w:rsidRPr="009B3747" w:rsidRDefault="00827CCD" w:rsidP="00991D2F">
      <w:pPr>
        <w:rPr>
          <w:rFonts w:eastAsia="Times New Roman" w:cstheme="minorHAnsi"/>
          <w:color w:val="000000"/>
          <w:lang w:eastAsia="en-GB"/>
        </w:rPr>
      </w:pPr>
    </w:p>
    <w:p w:rsidR="00022E3D" w:rsidRPr="009B3747" w:rsidRDefault="00022E3D" w:rsidP="00991D2F">
      <w:pPr>
        <w:rPr>
          <w:rFonts w:eastAsia="Times New Roman" w:cstheme="minorHAnsi"/>
          <w:color w:val="000000"/>
          <w:lang w:eastAsia="en-GB"/>
        </w:rPr>
      </w:pPr>
    </w:p>
    <w:p w:rsidR="00022E3D" w:rsidRPr="009B3747" w:rsidRDefault="00022E3D" w:rsidP="00991D2F">
      <w:pPr>
        <w:rPr>
          <w:rFonts w:eastAsia="Times New Roman" w:cstheme="minorHAnsi"/>
          <w:color w:val="000000"/>
          <w:lang w:eastAsia="en-GB"/>
        </w:rPr>
      </w:pPr>
    </w:p>
    <w:p w:rsidR="00022E3D" w:rsidRPr="009B3747" w:rsidRDefault="00022E3D" w:rsidP="00991D2F">
      <w:pPr>
        <w:rPr>
          <w:rFonts w:eastAsia="Times New Roman" w:cstheme="minorHAnsi"/>
          <w:color w:val="000000"/>
          <w:lang w:eastAsia="en-GB"/>
        </w:rPr>
      </w:pPr>
    </w:p>
    <w:p w:rsidR="00B30E97" w:rsidRPr="009B3747" w:rsidRDefault="00991D2F" w:rsidP="00991D2F">
      <w:pPr>
        <w:rPr>
          <w:rFonts w:eastAsia="Times New Roman" w:cstheme="minorHAnsi"/>
          <w:color w:val="000000"/>
          <w:lang w:eastAsia="en-GB"/>
        </w:rPr>
      </w:pPr>
      <w:r w:rsidRPr="009B3747">
        <w:rPr>
          <w:rFonts w:eastAsia="Times New Roman" w:cstheme="minorHAnsi"/>
          <w:color w:val="000000"/>
          <w:lang w:eastAsia="en-GB"/>
        </w:rPr>
        <w:lastRenderedPageBreak/>
        <w:t xml:space="preserve">Section 4 </w:t>
      </w:r>
      <w:r w:rsidR="00B30E97" w:rsidRPr="009B3747">
        <w:rPr>
          <w:rFonts w:eastAsia="Times New Roman" w:cstheme="minorHAnsi"/>
          <w:color w:val="000000"/>
          <w:lang w:eastAsia="en-GB"/>
        </w:rPr>
        <w:t>–</w:t>
      </w:r>
      <w:r w:rsidRPr="009B3747">
        <w:rPr>
          <w:rFonts w:eastAsia="Times New Roman" w:cstheme="minorHAnsi"/>
          <w:color w:val="000000"/>
          <w:lang w:eastAsia="en-GB"/>
        </w:rPr>
        <w:t xml:space="preserve">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851C2F" w:rsidP="00B30E97">
      <w:pPr>
        <w:numPr>
          <w:ilvl w:val="0"/>
          <w:numId w:val="50"/>
        </w:numPr>
        <w:textAlignment w:val="baseline"/>
        <w:rPr>
          <w:rFonts w:eastAsia="Times New Roman" w:cstheme="minorHAnsi"/>
          <w:color w:val="000000"/>
          <w:lang w:eastAsia="en-GB"/>
        </w:rPr>
      </w:pPr>
      <w:r w:rsidRPr="009B3747">
        <w:rPr>
          <w:rFonts w:eastAsia="Times New Roman" w:cstheme="minorHAnsi"/>
          <w:color w:val="000000"/>
          <w:lang w:eastAsia="en-GB"/>
        </w:rPr>
        <w:t>Section four focused</w:t>
      </w:r>
      <w:r w:rsidR="00991D2F" w:rsidRPr="009B3747">
        <w:rPr>
          <w:rFonts w:eastAsia="Times New Roman" w:cstheme="minorHAnsi"/>
          <w:color w:val="000000"/>
          <w:lang w:eastAsia="en-GB"/>
        </w:rPr>
        <w:t xml:space="preserve"> on theme four of the </w:t>
      </w:r>
      <w:r w:rsidR="00B30E97" w:rsidRPr="009B3747">
        <w:rPr>
          <w:rFonts w:eastAsia="Times New Roman" w:cstheme="minorHAnsi"/>
          <w:color w:val="000000"/>
          <w:lang w:eastAsia="en-GB"/>
        </w:rPr>
        <w:t xml:space="preserve">analysed qualitative findings – </w:t>
      </w:r>
      <w:r w:rsidR="00991D2F" w:rsidRPr="009B3747">
        <w:rPr>
          <w:rFonts w:eastAsia="Times New Roman" w:cstheme="minorHAnsi"/>
          <w:color w:val="000000"/>
          <w:lang w:eastAsia="en-GB"/>
        </w:rPr>
        <w:t>secondary school setting.  Questions and statements (with correspo</w:t>
      </w:r>
      <w:r w:rsidRPr="009B3747">
        <w:rPr>
          <w:rFonts w:eastAsia="Times New Roman" w:cstheme="minorHAnsi"/>
          <w:color w:val="000000"/>
          <w:lang w:eastAsia="en-GB"/>
        </w:rPr>
        <w:t>nding 5-point Likert scales) were</w:t>
      </w:r>
      <w:r w:rsidR="00991D2F" w:rsidRPr="009B3747">
        <w:rPr>
          <w:rFonts w:eastAsia="Times New Roman" w:cstheme="minorHAnsi"/>
          <w:color w:val="000000"/>
          <w:lang w:eastAsia="en-GB"/>
        </w:rPr>
        <w:t xml:space="preserve"> pr</w:t>
      </w:r>
      <w:r w:rsidR="004B757F">
        <w:rPr>
          <w:rFonts w:eastAsia="Times New Roman" w:cstheme="minorHAnsi"/>
          <w:color w:val="000000"/>
          <w:lang w:eastAsia="en-GB"/>
        </w:rPr>
        <w:t xml:space="preserve">esented, </w:t>
      </w:r>
      <w:r w:rsidRPr="009B3747">
        <w:rPr>
          <w:rFonts w:eastAsia="Times New Roman" w:cstheme="minorHAnsi"/>
          <w:color w:val="000000"/>
          <w:lang w:eastAsia="en-GB"/>
        </w:rPr>
        <w:t xml:space="preserve">asking for participants’ </w:t>
      </w:r>
      <w:r w:rsidR="00991D2F" w:rsidRPr="009B3747">
        <w:rPr>
          <w:rFonts w:eastAsia="Times New Roman" w:cstheme="minorHAnsi"/>
          <w:color w:val="000000"/>
          <w:lang w:eastAsia="en-GB"/>
        </w:rPr>
        <w:t>opinions regarding the role of secondary schools and headteachers/chairs of governors i</w:t>
      </w:r>
      <w:r w:rsidRPr="009B3747">
        <w:rPr>
          <w:rFonts w:eastAsia="Times New Roman" w:cstheme="minorHAnsi"/>
          <w:color w:val="000000"/>
          <w:lang w:eastAsia="en-GB"/>
        </w:rPr>
        <w:t xml:space="preserve">n adolescent obesity prevention, the existence of </w:t>
      </w:r>
      <w:r w:rsidR="00991D2F" w:rsidRPr="009B3747">
        <w:rPr>
          <w:rFonts w:eastAsia="Times New Roman" w:cstheme="minorHAnsi"/>
          <w:color w:val="000000"/>
          <w:lang w:eastAsia="en-GB"/>
        </w:rPr>
        <w:t xml:space="preserve">school-based preventative action </w:t>
      </w:r>
      <w:r w:rsidRPr="009B3747">
        <w:rPr>
          <w:rFonts w:eastAsia="Times New Roman" w:cstheme="minorHAnsi"/>
          <w:color w:val="000000"/>
          <w:lang w:eastAsia="en-GB"/>
        </w:rPr>
        <w:t xml:space="preserve">and the </w:t>
      </w:r>
      <w:r w:rsidR="00991D2F" w:rsidRPr="009B3747">
        <w:rPr>
          <w:rFonts w:eastAsia="Times New Roman" w:cstheme="minorHAnsi"/>
          <w:color w:val="000000"/>
          <w:lang w:eastAsia="en-GB"/>
        </w:rPr>
        <w:t xml:space="preserve">perceived barriers and facilitators </w:t>
      </w:r>
      <w:r w:rsidRPr="009B3747">
        <w:rPr>
          <w:rFonts w:eastAsia="Times New Roman" w:cstheme="minorHAnsi"/>
          <w:color w:val="000000"/>
          <w:lang w:eastAsia="en-GB"/>
        </w:rPr>
        <w:t xml:space="preserve">relating to preventing obesity in their setting.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B30E97" w:rsidRPr="009B3747" w:rsidRDefault="00991D2F" w:rsidP="00991D2F">
      <w:pPr>
        <w:rPr>
          <w:rFonts w:eastAsia="Times New Roman" w:cstheme="minorHAnsi"/>
          <w:color w:val="000000"/>
          <w:lang w:eastAsia="en-GB"/>
        </w:rPr>
      </w:pPr>
      <w:r w:rsidRPr="009B3747">
        <w:rPr>
          <w:rFonts w:eastAsia="Times New Roman" w:cstheme="minorHAnsi"/>
          <w:color w:val="000000"/>
          <w:lang w:eastAsia="en-GB"/>
        </w:rPr>
        <w:t xml:space="preserve">Section 5 </w:t>
      </w:r>
      <w:r w:rsidR="00B30E97" w:rsidRPr="009B3747">
        <w:rPr>
          <w:rFonts w:eastAsia="Times New Roman" w:cstheme="minorHAnsi"/>
          <w:color w:val="000000"/>
          <w:lang w:eastAsia="en-GB"/>
        </w:rPr>
        <w:t>–</w:t>
      </w:r>
      <w:r w:rsidRPr="009B3747">
        <w:rPr>
          <w:rFonts w:eastAsia="Times New Roman" w:cstheme="minorHAnsi"/>
          <w:color w:val="000000"/>
          <w:lang w:eastAsia="en-GB"/>
        </w:rPr>
        <w:t xml:space="preserve">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851C2F" w:rsidP="00C27072">
      <w:pPr>
        <w:numPr>
          <w:ilvl w:val="0"/>
          <w:numId w:val="51"/>
        </w:numPr>
        <w:textAlignment w:val="baseline"/>
        <w:rPr>
          <w:rFonts w:eastAsia="Times New Roman" w:cstheme="minorHAnsi"/>
          <w:color w:val="000000"/>
          <w:lang w:eastAsia="en-GB"/>
        </w:rPr>
      </w:pPr>
      <w:r w:rsidRPr="009B3747">
        <w:rPr>
          <w:rFonts w:eastAsia="Times New Roman" w:cstheme="minorHAnsi"/>
          <w:color w:val="000000"/>
          <w:lang w:eastAsia="en-GB"/>
        </w:rPr>
        <w:t xml:space="preserve">Section five was </w:t>
      </w:r>
      <w:r w:rsidR="00991D2F" w:rsidRPr="009B3747">
        <w:rPr>
          <w:rFonts w:eastAsia="Times New Roman" w:cstheme="minorHAnsi"/>
          <w:color w:val="000000"/>
          <w:lang w:eastAsia="en-GB"/>
        </w:rPr>
        <w:t>centred on themes two and three of the analysed qualitative findings - the influence of place and shared responsibility, collective solutions.  Questions and statements (with corresp</w:t>
      </w:r>
      <w:r w:rsidRPr="009B3747">
        <w:rPr>
          <w:rFonts w:eastAsia="Times New Roman" w:cstheme="minorHAnsi"/>
          <w:color w:val="000000"/>
          <w:lang w:eastAsia="en-GB"/>
        </w:rPr>
        <w:t>onding 5-point Likert scales) were</w:t>
      </w:r>
      <w:r w:rsidR="00991D2F" w:rsidRPr="009B3747">
        <w:rPr>
          <w:rFonts w:eastAsia="Times New Roman" w:cstheme="minorHAnsi"/>
          <w:color w:val="000000"/>
          <w:lang w:eastAsia="en-GB"/>
        </w:rPr>
        <w:t xml:space="preserve"> presented</w:t>
      </w:r>
      <w:r w:rsidR="004B757F">
        <w:rPr>
          <w:rFonts w:eastAsia="Times New Roman" w:cstheme="minorHAnsi"/>
          <w:color w:val="000000"/>
          <w:lang w:eastAsia="en-GB"/>
        </w:rPr>
        <w:t>,</w:t>
      </w:r>
      <w:r w:rsidR="00991D2F" w:rsidRPr="009B3747">
        <w:rPr>
          <w:rFonts w:eastAsia="Times New Roman" w:cstheme="minorHAnsi"/>
          <w:color w:val="000000"/>
          <w:lang w:eastAsia="en-GB"/>
        </w:rPr>
        <w:t xml:space="preserve"> asking for participants opinions regarding the role of parents and the home environment in adolescent obesity, the potential influence of the wider food environment, the allocation of responsibility for adolescent obesity prevention, the perceived effectiveness of behaviour change approaches and the importance of multi-agency partners.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rPr>
          <w:rFonts w:eastAsia="Times New Roman" w:cstheme="minorHAnsi"/>
          <w:color w:val="000000"/>
          <w:lang w:eastAsia="en-GB"/>
        </w:rPr>
      </w:pPr>
      <w:r w:rsidRPr="009B3747">
        <w:rPr>
          <w:rFonts w:eastAsia="Times New Roman" w:cstheme="minorHAnsi"/>
          <w:color w:val="000000"/>
          <w:lang w:eastAsia="en-GB"/>
        </w:rPr>
        <w:t xml:space="preserve">Section 6 </w:t>
      </w:r>
      <w:r w:rsidR="00851C2F" w:rsidRPr="009B3747">
        <w:rPr>
          <w:rFonts w:eastAsia="Times New Roman" w:cstheme="minorHAnsi"/>
          <w:color w:val="000000"/>
          <w:lang w:eastAsia="en-GB"/>
        </w:rPr>
        <w:t>–</w:t>
      </w:r>
      <w:r w:rsidRPr="009B3747">
        <w:rPr>
          <w:rFonts w:eastAsia="Times New Roman" w:cstheme="minorHAnsi"/>
          <w:color w:val="000000"/>
          <w:lang w:eastAsia="en-GB"/>
        </w:rPr>
        <w:t xml:space="preserve"> </w:t>
      </w:r>
    </w:p>
    <w:p w:rsidR="00851C2F" w:rsidRPr="009B3747" w:rsidRDefault="00851C2F" w:rsidP="00991D2F">
      <w:pPr>
        <w:rPr>
          <w:rFonts w:eastAsia="Times New Roman" w:cstheme="minorHAnsi"/>
          <w:sz w:val="24"/>
          <w:szCs w:val="24"/>
          <w:lang w:eastAsia="en-GB"/>
        </w:rPr>
      </w:pPr>
    </w:p>
    <w:p w:rsidR="00991D2F" w:rsidRPr="009B3747" w:rsidRDefault="00991D2F" w:rsidP="00C27072">
      <w:pPr>
        <w:numPr>
          <w:ilvl w:val="0"/>
          <w:numId w:val="52"/>
        </w:numPr>
        <w:textAlignment w:val="baseline"/>
        <w:rPr>
          <w:rFonts w:eastAsia="Times New Roman" w:cstheme="minorHAnsi"/>
          <w:color w:val="000000"/>
          <w:lang w:eastAsia="en-GB"/>
        </w:rPr>
      </w:pPr>
      <w:r w:rsidRPr="009B3747">
        <w:rPr>
          <w:rFonts w:eastAsia="Times New Roman" w:cstheme="minorHAnsi"/>
          <w:color w:val="000000"/>
          <w:lang w:eastAsia="en-GB"/>
        </w:rPr>
        <w:t>The sixth and final section within t</w:t>
      </w:r>
      <w:r w:rsidR="00851C2F" w:rsidRPr="009B3747">
        <w:rPr>
          <w:rFonts w:eastAsia="Times New Roman" w:cstheme="minorHAnsi"/>
          <w:color w:val="000000"/>
          <w:lang w:eastAsia="en-GB"/>
        </w:rPr>
        <w:t>he online questionnaire presented</w:t>
      </w:r>
      <w:r w:rsidRPr="009B3747">
        <w:rPr>
          <w:rFonts w:eastAsia="Times New Roman" w:cstheme="minorHAnsi"/>
          <w:color w:val="000000"/>
          <w:lang w:eastAsia="en-GB"/>
        </w:rPr>
        <w:t xml:space="preserve"> a series of factual ques</w:t>
      </w:r>
      <w:r w:rsidR="00851C2F" w:rsidRPr="009B3747">
        <w:rPr>
          <w:rFonts w:eastAsia="Times New Roman" w:cstheme="minorHAnsi"/>
          <w:color w:val="000000"/>
          <w:lang w:eastAsia="en-GB"/>
        </w:rPr>
        <w:t>tions regarding the participant</w:t>
      </w:r>
      <w:r w:rsidRPr="009B3747">
        <w:rPr>
          <w:rFonts w:eastAsia="Times New Roman" w:cstheme="minorHAnsi"/>
          <w:color w:val="000000"/>
          <w:lang w:eastAsia="en-GB"/>
        </w:rPr>
        <w:t>s</w:t>
      </w:r>
      <w:r w:rsidR="00851C2F" w:rsidRPr="009B3747">
        <w:rPr>
          <w:rFonts w:eastAsia="Times New Roman" w:cstheme="minorHAnsi"/>
          <w:color w:val="000000"/>
          <w:lang w:eastAsia="en-GB"/>
        </w:rPr>
        <w:t>’</w:t>
      </w:r>
      <w:r w:rsidRPr="009B3747">
        <w:rPr>
          <w:rFonts w:eastAsia="Times New Roman" w:cstheme="minorHAnsi"/>
          <w:color w:val="000000"/>
          <w:lang w:eastAsia="en-GB"/>
        </w:rPr>
        <w:t xml:space="preserve"> school demographics</w:t>
      </w:r>
      <w:r w:rsidR="00B46C02">
        <w:rPr>
          <w:rFonts w:eastAsia="Times New Roman" w:cstheme="minorHAnsi"/>
          <w:color w:val="000000"/>
          <w:lang w:eastAsia="en-GB"/>
        </w:rPr>
        <w:t>,</w:t>
      </w:r>
      <w:r w:rsidRPr="009B3747">
        <w:rPr>
          <w:rFonts w:eastAsia="Times New Roman" w:cstheme="minorHAnsi"/>
          <w:color w:val="000000"/>
          <w:lang w:eastAsia="en-GB"/>
        </w:rPr>
        <w:t xml:space="preserve"> i.e. school type, free school meal percentage, pupil population and Ofsted rating.  School location even at a regional level was not obtained.  Given that there are a small number of certain school types </w:t>
      </w:r>
      <w:r w:rsidR="00741C6F">
        <w:rPr>
          <w:rFonts w:eastAsia="Times New Roman" w:cstheme="minorHAnsi"/>
          <w:color w:val="000000"/>
          <w:lang w:eastAsia="en-GB"/>
        </w:rPr>
        <w:t xml:space="preserve">in particular areas </w:t>
      </w:r>
      <w:r w:rsidRPr="009B3747">
        <w:rPr>
          <w:rFonts w:eastAsia="Times New Roman" w:cstheme="minorHAnsi"/>
          <w:color w:val="000000"/>
          <w:lang w:eastAsia="en-GB"/>
        </w:rPr>
        <w:t>(e.g. Grammar and Voluntary Controlled) based on their answers to other demographic questions</w:t>
      </w:r>
      <w:r w:rsidR="00B46C02">
        <w:rPr>
          <w:rFonts w:eastAsia="Times New Roman" w:cstheme="minorHAnsi"/>
          <w:color w:val="000000"/>
          <w:lang w:eastAsia="en-GB"/>
        </w:rPr>
        <w:t>,</w:t>
      </w:r>
      <w:r w:rsidRPr="009B3747">
        <w:rPr>
          <w:rFonts w:eastAsia="Times New Roman" w:cstheme="minorHAnsi"/>
          <w:color w:val="000000"/>
          <w:lang w:eastAsia="en-GB"/>
        </w:rPr>
        <w:t xml:space="preserve"> i.e. pupil population, anonymity could have been compromised.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CB18A0" w:rsidP="00991D2F">
      <w:pPr>
        <w:rPr>
          <w:rFonts w:eastAsia="Times New Roman" w:cstheme="minorHAnsi"/>
          <w:b/>
          <w:sz w:val="24"/>
          <w:szCs w:val="24"/>
          <w:lang w:eastAsia="en-GB"/>
        </w:rPr>
      </w:pPr>
      <w:r w:rsidRPr="009B3747">
        <w:rPr>
          <w:rFonts w:eastAsia="Times New Roman" w:cstheme="minorHAnsi"/>
          <w:b/>
          <w:color w:val="000000"/>
          <w:sz w:val="24"/>
          <w:szCs w:val="24"/>
          <w:u w:val="single"/>
          <w:lang w:eastAsia="en-GB"/>
        </w:rPr>
        <w:t>7.7</w:t>
      </w:r>
      <w:r w:rsidR="00827CCD" w:rsidRPr="009B3747">
        <w:rPr>
          <w:rFonts w:eastAsia="Times New Roman" w:cstheme="minorHAnsi"/>
          <w:b/>
          <w:color w:val="000000"/>
          <w:sz w:val="24"/>
          <w:szCs w:val="24"/>
          <w:u w:val="single"/>
          <w:lang w:eastAsia="en-GB"/>
        </w:rPr>
        <w:t xml:space="preserve"> </w:t>
      </w:r>
      <w:r w:rsidR="00991D2F" w:rsidRPr="009B3747">
        <w:rPr>
          <w:rFonts w:eastAsia="Times New Roman" w:cstheme="minorHAnsi"/>
          <w:b/>
          <w:color w:val="000000"/>
          <w:sz w:val="24"/>
          <w:szCs w:val="24"/>
          <w:u w:val="single"/>
          <w:lang w:eastAsia="en-GB"/>
        </w:rPr>
        <w:t>Census survey</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rPr>
          <w:rFonts w:eastAsia="Times New Roman" w:cstheme="minorHAnsi"/>
          <w:color w:val="000000"/>
          <w:lang w:eastAsia="en-GB"/>
        </w:rPr>
      </w:pPr>
      <w:r w:rsidRPr="009B3747">
        <w:rPr>
          <w:rFonts w:eastAsia="Times New Roman" w:cstheme="minorHAnsi"/>
          <w:color w:val="000000"/>
          <w:lang w:eastAsia="en-GB"/>
        </w:rPr>
        <w:t>As detailed</w:t>
      </w:r>
      <w:r w:rsidR="000A09B8" w:rsidRPr="009B3747">
        <w:rPr>
          <w:rFonts w:eastAsia="Times New Roman" w:cstheme="minorHAnsi"/>
          <w:color w:val="000000"/>
          <w:lang w:eastAsia="en-GB"/>
        </w:rPr>
        <w:t xml:space="preserve"> in chapter</w:t>
      </w:r>
      <w:r w:rsidR="00851C2F" w:rsidRPr="009B3747">
        <w:rPr>
          <w:rFonts w:eastAsia="Times New Roman" w:cstheme="minorHAnsi"/>
          <w:color w:val="000000"/>
          <w:lang w:eastAsia="en-GB"/>
        </w:rPr>
        <w:t xml:space="preserve"> five</w:t>
      </w:r>
      <w:r w:rsidR="00827CCD" w:rsidRPr="009B3747">
        <w:rPr>
          <w:rFonts w:eastAsia="Times New Roman" w:cstheme="minorHAnsi"/>
          <w:color w:val="000000"/>
          <w:lang w:eastAsia="en-GB"/>
        </w:rPr>
        <w:t xml:space="preserve">, </w:t>
      </w:r>
      <w:r w:rsidRPr="009B3747">
        <w:rPr>
          <w:rFonts w:eastAsia="Times New Roman" w:cstheme="minorHAnsi"/>
          <w:color w:val="000000"/>
          <w:lang w:eastAsia="en-GB"/>
        </w:rPr>
        <w:t>it is important for mixed methods researchers to employ appropriate sampling procedures for each of phases of their study design.  For the first and qualitative phase of the exploratory sequential design a mixed sampling appr</w:t>
      </w:r>
      <w:r w:rsidR="00B30E97" w:rsidRPr="009B3747">
        <w:rPr>
          <w:rFonts w:eastAsia="Times New Roman" w:cstheme="minorHAnsi"/>
          <w:color w:val="000000"/>
          <w:lang w:eastAsia="en-GB"/>
        </w:rPr>
        <w:t xml:space="preserve">oach was utilised – </w:t>
      </w:r>
      <w:r w:rsidRPr="009B3747">
        <w:rPr>
          <w:rFonts w:eastAsia="Times New Roman" w:cstheme="minorHAnsi"/>
          <w:color w:val="000000"/>
          <w:lang w:eastAsia="en-GB"/>
        </w:rPr>
        <w:t>stratified p</w:t>
      </w:r>
      <w:r w:rsidR="000A09B8" w:rsidRPr="009B3747">
        <w:rPr>
          <w:rFonts w:eastAsia="Times New Roman" w:cstheme="minorHAnsi"/>
          <w:color w:val="000000"/>
          <w:lang w:eastAsia="en-GB"/>
        </w:rPr>
        <w:t>urposive and snowball sampling.</w:t>
      </w:r>
    </w:p>
    <w:p w:rsidR="00B30E97" w:rsidRPr="009B3747" w:rsidRDefault="00991D2F" w:rsidP="00991D2F">
      <w:pPr>
        <w:rPr>
          <w:rFonts w:eastAsia="Times New Roman" w:cstheme="minorHAnsi"/>
          <w:color w:val="000000"/>
          <w:lang w:eastAsia="en-GB"/>
        </w:rPr>
      </w:pPr>
      <w:r w:rsidRPr="009B3747">
        <w:rPr>
          <w:rFonts w:eastAsia="Times New Roman" w:cstheme="minorHAnsi"/>
          <w:color w:val="000000"/>
          <w:lang w:eastAsia="en-GB"/>
        </w:rPr>
        <w:lastRenderedPageBreak/>
        <w:t>Typically for survey research, probability sa</w:t>
      </w:r>
      <w:r w:rsidR="00851C2F" w:rsidRPr="009B3747">
        <w:rPr>
          <w:rFonts w:eastAsia="Times New Roman" w:cstheme="minorHAnsi"/>
          <w:color w:val="000000"/>
          <w:lang w:eastAsia="en-GB"/>
        </w:rPr>
        <w:t xml:space="preserve">mpling is employed in order </w:t>
      </w:r>
      <w:r w:rsidR="00851C2F" w:rsidRPr="009B3747">
        <w:rPr>
          <w:rFonts w:eastAsia="Times New Roman" w:cstheme="minorHAnsi"/>
          <w:i/>
          <w:color w:val="000000"/>
          <w:lang w:eastAsia="en-GB"/>
        </w:rPr>
        <w:t>to “</w:t>
      </w:r>
      <w:r w:rsidRPr="009B3747">
        <w:rPr>
          <w:rFonts w:eastAsia="Times New Roman" w:cstheme="minorHAnsi"/>
          <w:i/>
          <w:color w:val="000000"/>
          <w:lang w:eastAsia="en-GB"/>
        </w:rPr>
        <w:t>make inferences about underlying populat</w:t>
      </w:r>
      <w:r w:rsidR="00851C2F" w:rsidRPr="009B3747">
        <w:rPr>
          <w:rFonts w:eastAsia="Times New Roman" w:cstheme="minorHAnsi"/>
          <w:i/>
          <w:color w:val="000000"/>
          <w:lang w:eastAsia="en-GB"/>
        </w:rPr>
        <w:t>ions based on sample statistics”</w:t>
      </w:r>
      <w:r w:rsidR="00851C2F" w:rsidRPr="009B3747">
        <w:rPr>
          <w:rFonts w:eastAsia="Times New Roman" w:cstheme="minorHAnsi"/>
          <w:color w:val="000000"/>
          <w:lang w:eastAsia="en-GB"/>
        </w:rPr>
        <w:t xml:space="preserve"> </w:t>
      </w:r>
      <w:r w:rsidR="00851C2F"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"ISBN" : "1412992257", "abstract" : "\"Online surveys provide promising opportunities in today s technological world. Conducting Online Surveys is a comprehensive guide to the creation, implementation, and analysis of e-mail and Web-based surveys. Authors Valerie M. Sue and Lois A. Ritter specifically address issues unique to online survey research such as selecting software, designing Web-based questionnaires, and sampling from online populations.\" \"This is an excellent supplemental text for advanced undergraduate and graduate courses on survey research methods across the Social, Behavioral, and Health Sciences, in particular Sociology, Marketing, Education, Public Health, Political Science, Education, and Mass Communication.\"--Jacket. List of tables &amp; figures -- Preface -- Acknowledgments -- Introduction -- What is a survey? -- Why is a book specific to online survey research needed? -- When should an online survey be used? -- Online survey studies -- Summary -- Planning the online survey -- E-mail surveys -- Internet/Intranet (Web page) surveys -- What to consider when buying survey software and selecting a Web survey host -- Survey objectives -- Survey timelines -- Survey research ethics -- Summary -- Sampling -- Populations and samples -- Sampling techniques for Internet surveys -- Sources of error in online surveys -- Summary -- Writing survey questions -- General considerations -- Validity of measurement -- Respondent-centered threats to validity -- Question format and wording -- Level of measurement -- Demographic questions -- Pretesting -- Summary -- Designing and developing the survey instrument -- Questionnaire design -- Making your survey accessible to everyone -- Ensuring that participants respond only once -- Summary -- Conducting the survey -- Methods of recruitment -- Increasing the response rate -- Thank-you notes -- Summary -- Processing and analyzing the survey data -- Planning for data analysis -- Tracking the surveys -- Creating a codebook for e-mail surveys -- Data cleaning -- Data transformation -- Descriptive statistics -- Inferential statistics -- Summary -- Reporting the survey results -- Preliminary considerations -- Format of a survey report -- Oral presentations -- Poster session presentations -- Visual aids -- Matching survey results to type of display -- Distributing results using a Web-based survey development tool -- Summary -- Concluding comments -- Opportunities and challenges in online survey research -- Benefits of online surveys -- The future of online \u2026", "author" : [ { "dropping-particle" : "", "family" : "Sue", "given" : "Valerie M.", "non-dropping-particle" : "", "parse-names" : false, "suffix" : "" }, { "dropping-particle" : "", "family" : "Ritter", "given" : "Lois A.", "non-dropping-particle" : "", "parse-names" : false, "suffix" : "" } ], "id" : "ITEM-1", "issued" : { "date-parts" : [ [ "2007" ] ] }, "number-of-pages" : "194", "publisher" : "SAGE Publications Inc.", "title" : "Conducting online surveys", "type" : "book" }, "uris" : [ "http://www.mendeley.com/documents/?uuid=8d983fdb-6384-3fa1-8b21-ee696ceac3aa" ] } ], "mendeley" : { "formattedCitation" : "(Sue and Ritter, 2007)", "manualFormatting" : "(Sue and Ritter, 2007, p.11)", "plainTextFormattedCitation" : "(Sue and Ritter, 2007)", "previouslyFormattedCitation" : "(Sue and Ritter, 2007)" }, "properties" : { "noteIndex" : 0 }, "schema" : "https://github.com/citation-style-language/schema/raw/master/csl-citation.json" }</w:instrText>
      </w:r>
      <w:r w:rsidR="00851C2F" w:rsidRPr="009B3747">
        <w:rPr>
          <w:rFonts w:eastAsia="Times New Roman" w:cstheme="minorHAnsi"/>
          <w:color w:val="000000"/>
          <w:lang w:eastAsia="en-GB"/>
        </w:rPr>
        <w:fldChar w:fldCharType="separate"/>
      </w:r>
      <w:r w:rsidR="00851C2F" w:rsidRPr="009B3747">
        <w:rPr>
          <w:rFonts w:eastAsia="Times New Roman" w:cstheme="minorHAnsi"/>
          <w:noProof/>
          <w:color w:val="000000"/>
          <w:lang w:eastAsia="en-GB"/>
        </w:rPr>
        <w:t>(Sue and Ritter, 2007</w:t>
      </w:r>
      <w:r w:rsidR="00E3179E" w:rsidRPr="009B3747">
        <w:rPr>
          <w:rFonts w:eastAsia="Times New Roman" w:cstheme="minorHAnsi"/>
          <w:noProof/>
          <w:color w:val="000000"/>
          <w:lang w:eastAsia="en-GB"/>
        </w:rPr>
        <w:t>, p.</w:t>
      </w:r>
      <w:r w:rsidR="00851C2F" w:rsidRPr="009B3747">
        <w:rPr>
          <w:rFonts w:eastAsia="Times New Roman" w:cstheme="minorHAnsi"/>
          <w:noProof/>
          <w:color w:val="000000"/>
          <w:lang w:eastAsia="en-GB"/>
        </w:rPr>
        <w:t>11)</w:t>
      </w:r>
      <w:r w:rsidR="00851C2F" w:rsidRPr="009B3747">
        <w:rPr>
          <w:rFonts w:eastAsia="Times New Roman" w:cstheme="minorHAnsi"/>
          <w:color w:val="000000"/>
          <w:lang w:eastAsia="en-GB"/>
        </w:rPr>
        <w:fldChar w:fldCharType="end"/>
      </w:r>
      <w:r w:rsidR="00B46C02">
        <w:rPr>
          <w:rFonts w:eastAsia="Times New Roman" w:cstheme="minorHAnsi"/>
          <w:color w:val="000000"/>
          <w:lang w:eastAsia="en-GB"/>
        </w:rPr>
        <w:t>,</w:t>
      </w:r>
      <w:r w:rsidR="000F63EB" w:rsidRPr="009B3747">
        <w:rPr>
          <w:rFonts w:eastAsia="Times New Roman" w:cstheme="minorHAnsi"/>
          <w:color w:val="000000"/>
          <w:lang w:eastAsia="en-GB"/>
        </w:rPr>
        <w:t xml:space="preserve"> </w:t>
      </w:r>
      <w:r w:rsidRPr="009B3747">
        <w:rPr>
          <w:rFonts w:eastAsia="Times New Roman" w:cstheme="minorHAnsi"/>
          <w:color w:val="000000"/>
          <w:lang w:eastAsia="en-GB"/>
        </w:rPr>
        <w:t>i.e. achieve gen</w:t>
      </w:r>
      <w:r w:rsidR="000F63EB" w:rsidRPr="009B3747">
        <w:rPr>
          <w:rFonts w:eastAsia="Times New Roman" w:cstheme="minorHAnsi"/>
          <w:color w:val="000000"/>
          <w:lang w:eastAsia="en-GB"/>
        </w:rPr>
        <w:t xml:space="preserve">eralizability (Bowling, 2014).  </w:t>
      </w:r>
      <w:r w:rsidRPr="009B3747">
        <w:rPr>
          <w:rFonts w:eastAsia="Times New Roman" w:cstheme="minorHAnsi"/>
          <w:color w:val="000000"/>
          <w:lang w:eastAsia="en-GB"/>
        </w:rPr>
        <w:t>However the survey was employed within the follow-up quantitative phase to provide additional evidence which could support the generality (and not generalizability) of the original qualitative findings.  Consequently, and as per (Morgan, 2014</w:t>
      </w:r>
      <w:r w:rsidR="00E3179E" w:rsidRPr="009B3747">
        <w:rPr>
          <w:rFonts w:eastAsia="Times New Roman" w:cstheme="minorHAnsi"/>
          <w:color w:val="000000"/>
          <w:lang w:eastAsia="en-GB"/>
        </w:rPr>
        <w:t>, p.</w:t>
      </w:r>
      <w:r w:rsidR="00965E28" w:rsidRPr="009B3747">
        <w:rPr>
          <w:rFonts w:eastAsia="Times New Roman" w:cstheme="minorHAnsi"/>
          <w:color w:val="000000"/>
          <w:lang w:eastAsia="en-GB"/>
        </w:rPr>
        <w:t>180</w:t>
      </w:r>
      <w:r w:rsidRPr="009B3747">
        <w:rPr>
          <w:rFonts w:eastAsia="Times New Roman" w:cstheme="minorHAnsi"/>
          <w:color w:val="000000"/>
          <w:lang w:eastAsia="en-GB"/>
        </w:rPr>
        <w:t xml:space="preserve">) for QUAL-quan priority focus mixed methods designs where the quantitative element has a supplementary purpose, there was no ambition or indeed requirement to </w:t>
      </w:r>
      <w:r w:rsidR="00965E28" w:rsidRPr="009B3747">
        <w:rPr>
          <w:rFonts w:eastAsia="Times New Roman" w:cstheme="minorHAnsi"/>
          <w:i/>
          <w:color w:val="000000"/>
          <w:lang w:eastAsia="en-GB"/>
        </w:rPr>
        <w:t>“</w:t>
      </w:r>
      <w:r w:rsidRPr="009B3747">
        <w:rPr>
          <w:rFonts w:eastAsia="Times New Roman" w:cstheme="minorHAnsi"/>
          <w:i/>
          <w:color w:val="000000"/>
          <w:lang w:eastAsia="en-GB"/>
        </w:rPr>
        <w:t xml:space="preserve">produce a formal statement </w:t>
      </w:r>
      <w:r w:rsidR="00965E28" w:rsidRPr="009B3747">
        <w:rPr>
          <w:rFonts w:eastAsia="Times New Roman" w:cstheme="minorHAnsi"/>
          <w:i/>
          <w:color w:val="000000"/>
          <w:lang w:eastAsia="en-GB"/>
        </w:rPr>
        <w:t>of statistical generalizability”</w:t>
      </w:r>
      <w:r w:rsidRPr="009B3747">
        <w:rPr>
          <w:rFonts w:eastAsia="Times New Roman" w:cstheme="minorHAnsi"/>
          <w:color w:val="000000"/>
          <w:lang w:eastAsia="en-GB"/>
        </w:rPr>
        <w:t>.  </w:t>
      </w:r>
    </w:p>
    <w:p w:rsidR="00B30E97" w:rsidRPr="009B3747" w:rsidRDefault="00B30E97" w:rsidP="00991D2F">
      <w:pPr>
        <w:rPr>
          <w:rFonts w:eastAsia="Times New Roman" w:cstheme="minorHAnsi"/>
          <w:color w:val="000000"/>
          <w:lang w:eastAsia="en-GB"/>
        </w:rPr>
      </w:pP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t>In addition, at the point of choosing the exploratory sequential design, it was anticipated that an extremely low response to the online questionnaire would be achieved given previous experiences of engaging with the target population both in an academic and professional capacity.  Therefore there was no expectation from the outset</w:t>
      </w:r>
      <w:r w:rsidR="004B757F">
        <w:rPr>
          <w:rFonts w:eastAsia="Times New Roman" w:cstheme="minorHAnsi"/>
          <w:color w:val="000000"/>
          <w:lang w:eastAsia="en-GB"/>
        </w:rPr>
        <w:t>,</w:t>
      </w:r>
      <w:r w:rsidRPr="009B3747">
        <w:rPr>
          <w:rFonts w:eastAsia="Times New Roman" w:cstheme="minorHAnsi"/>
          <w:color w:val="000000"/>
          <w:lang w:eastAsia="en-GB"/>
        </w:rPr>
        <w:t xml:space="preserve"> that the survey results would be able to claim to be statistically representative of the population of interest.</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rPr>
          <w:rFonts w:eastAsia="Times New Roman" w:cstheme="minorHAnsi"/>
          <w:color w:val="000000"/>
          <w:lang w:eastAsia="en-GB"/>
        </w:rPr>
      </w:pPr>
      <w:r w:rsidRPr="009B3747">
        <w:rPr>
          <w:rFonts w:eastAsia="Times New Roman" w:cstheme="minorHAnsi"/>
          <w:color w:val="000000"/>
          <w:lang w:eastAsia="en-GB"/>
        </w:rPr>
        <w:t xml:space="preserve">In contrast to the qualitative phase where a sampling strategy was employed, it was decided that neither non-probability or probability sampling would be utilised.  Instead </w:t>
      </w:r>
      <w:r w:rsidR="00965E28" w:rsidRPr="009B3747">
        <w:rPr>
          <w:rFonts w:eastAsia="Times New Roman" w:cstheme="minorHAnsi"/>
          <w:color w:val="000000"/>
          <w:lang w:eastAsia="en-GB"/>
        </w:rPr>
        <w:t xml:space="preserve">it was deemed that the </w:t>
      </w:r>
      <w:r w:rsidRPr="009B3747">
        <w:rPr>
          <w:rFonts w:eastAsia="Times New Roman" w:cstheme="minorHAnsi"/>
          <w:color w:val="000000"/>
          <w:lang w:eastAsia="en-GB"/>
        </w:rPr>
        <w:t>most appropriate and pragmatic choice for the distribution of the</w:t>
      </w:r>
      <w:r w:rsidR="004B757F">
        <w:rPr>
          <w:rFonts w:eastAsia="Times New Roman" w:cstheme="minorHAnsi"/>
          <w:color w:val="000000"/>
          <w:lang w:eastAsia="en-GB"/>
        </w:rPr>
        <w:t xml:space="preserve"> survey was to conduct a census, </w:t>
      </w:r>
      <w:r w:rsidRPr="009B3747">
        <w:rPr>
          <w:rFonts w:eastAsia="Times New Roman" w:cstheme="minorHAnsi"/>
          <w:color w:val="000000"/>
          <w:lang w:eastAsia="en-GB"/>
        </w:rPr>
        <w:t>where the entire population under study would be approached (</w:t>
      </w:r>
      <w:r w:rsidRPr="009B3747">
        <w:rPr>
          <w:rFonts w:eastAsia="Times New Roman" w:cstheme="minorHAnsi"/>
          <w:lang w:eastAsia="en-GB"/>
        </w:rPr>
        <w:t xml:space="preserve">Bryman, 2016).  This </w:t>
      </w:r>
      <w:r w:rsidRPr="009B3747">
        <w:rPr>
          <w:rFonts w:eastAsia="Times New Roman" w:cstheme="minorHAnsi"/>
          <w:color w:val="000000"/>
          <w:lang w:eastAsia="en-GB"/>
        </w:rPr>
        <w:t xml:space="preserve">decision was based on the following </w:t>
      </w:r>
      <w:r w:rsidR="00965E28" w:rsidRPr="009B3747">
        <w:rPr>
          <w:rFonts w:eastAsia="Times New Roman" w:cstheme="minorHAnsi"/>
          <w:color w:val="000000"/>
          <w:lang w:eastAsia="en-GB"/>
        </w:rPr>
        <w:t>factors:</w:t>
      </w:r>
    </w:p>
    <w:p w:rsidR="00827CCD" w:rsidRPr="009B3747" w:rsidRDefault="00827CCD" w:rsidP="00991D2F">
      <w:pPr>
        <w:rPr>
          <w:rFonts w:eastAsia="Times New Roman" w:cstheme="minorHAnsi"/>
          <w:sz w:val="24"/>
          <w:szCs w:val="24"/>
          <w:lang w:eastAsia="en-GB"/>
        </w:rPr>
      </w:pPr>
    </w:p>
    <w:p w:rsidR="00991D2F" w:rsidRPr="009B3747" w:rsidRDefault="00991D2F" w:rsidP="00C27072">
      <w:pPr>
        <w:numPr>
          <w:ilvl w:val="0"/>
          <w:numId w:val="53"/>
        </w:numPr>
        <w:textAlignment w:val="baseline"/>
        <w:rPr>
          <w:rFonts w:eastAsia="Times New Roman" w:cstheme="minorHAnsi"/>
          <w:color w:val="000000"/>
          <w:lang w:eastAsia="en-GB"/>
        </w:rPr>
      </w:pPr>
      <w:r w:rsidRPr="009B3747">
        <w:rPr>
          <w:rFonts w:eastAsia="Times New Roman" w:cstheme="minorHAnsi"/>
          <w:color w:val="000000"/>
          <w:lang w:eastAsia="en-GB"/>
        </w:rPr>
        <w:t xml:space="preserve">Via a Freedom of Information request (FOI) sent to the Department for Education (in January 2017), an accurate and up to spreadsheet listing all secondary schools in England was obtained, in addition to their respective generic contact email addresses </w:t>
      </w:r>
    </w:p>
    <w:p w:rsidR="00991D2F" w:rsidRPr="009B3747" w:rsidRDefault="00991D2F" w:rsidP="00C27072">
      <w:pPr>
        <w:numPr>
          <w:ilvl w:val="0"/>
          <w:numId w:val="53"/>
        </w:numPr>
        <w:textAlignment w:val="baseline"/>
        <w:rPr>
          <w:rFonts w:eastAsia="Times New Roman" w:cstheme="minorHAnsi"/>
          <w:color w:val="000000"/>
          <w:lang w:eastAsia="en-GB"/>
        </w:rPr>
      </w:pPr>
      <w:r w:rsidRPr="009B3747">
        <w:rPr>
          <w:rFonts w:eastAsia="Times New Roman" w:cstheme="minorHAnsi"/>
          <w:color w:val="000000"/>
          <w:lang w:eastAsia="en-GB"/>
        </w:rPr>
        <w:t>There were challenges of recruiting potential participants in the qualitative phase and it was envisaged that by conducting a census it could maximise the reach of the questionnaire and therefore the number of responses</w:t>
      </w:r>
    </w:p>
    <w:p w:rsidR="00991D2F" w:rsidRPr="009B3747" w:rsidRDefault="00991D2F" w:rsidP="00C27072">
      <w:pPr>
        <w:numPr>
          <w:ilvl w:val="0"/>
          <w:numId w:val="53"/>
        </w:numPr>
        <w:textAlignment w:val="baseline"/>
        <w:rPr>
          <w:rFonts w:eastAsia="Times New Roman" w:cstheme="minorHAnsi"/>
          <w:color w:val="000000"/>
          <w:lang w:eastAsia="en-GB"/>
        </w:rPr>
      </w:pPr>
      <w:r w:rsidRPr="009B3747">
        <w:rPr>
          <w:rFonts w:eastAsia="Times New Roman" w:cstheme="minorHAnsi"/>
          <w:color w:val="000000"/>
          <w:lang w:eastAsia="en-GB"/>
        </w:rPr>
        <w:t>Online mail merge software was identified</w:t>
      </w:r>
      <w:r w:rsidR="009025E2">
        <w:rPr>
          <w:rFonts w:eastAsia="Times New Roman" w:cstheme="minorHAnsi"/>
          <w:color w:val="000000"/>
          <w:lang w:eastAsia="en-GB"/>
        </w:rPr>
        <w:t>,</w:t>
      </w:r>
      <w:r w:rsidRPr="009B3747">
        <w:rPr>
          <w:rFonts w:eastAsia="Times New Roman" w:cstheme="minorHAnsi"/>
          <w:color w:val="000000"/>
          <w:lang w:eastAsia="en-GB"/>
        </w:rPr>
        <w:t xml:space="preserve"> which would enable a personalised email along with the online questionnaire link to be sent to all secondary schools within the spreadsheet in a fast and efficient manner</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t xml:space="preserve">Prior to commencing the data collection process and distributing the online questionnaire to potential participants, the researcher was required to review and refine the spreadsheet obtained from the Department for Education in January 2017 (via a FOI request).  As the excel spreadsheet </w:t>
      </w:r>
      <w:r w:rsidRPr="009B3747">
        <w:rPr>
          <w:rFonts w:eastAsia="Times New Roman" w:cstheme="minorHAnsi"/>
          <w:color w:val="000000"/>
          <w:lang w:eastAsia="en-GB"/>
        </w:rPr>
        <w:lastRenderedPageBreak/>
        <w:t xml:space="preserve">listed all state and non-state funded schools, of all types, for pupils of all ages in England, the researcher had to perform a substantial edit in order to ensure the following schools only remained in the final database -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C27072">
      <w:pPr>
        <w:numPr>
          <w:ilvl w:val="0"/>
          <w:numId w:val="54"/>
        </w:numPr>
        <w:textAlignment w:val="baseline"/>
        <w:rPr>
          <w:rFonts w:eastAsia="Times New Roman" w:cstheme="minorHAnsi"/>
          <w:color w:val="000000"/>
          <w:lang w:eastAsia="en-GB"/>
        </w:rPr>
      </w:pPr>
      <w:r w:rsidRPr="009B3747">
        <w:rPr>
          <w:rFonts w:eastAsia="Times New Roman" w:cstheme="minorHAnsi"/>
          <w:color w:val="000000"/>
          <w:lang w:eastAsia="en-GB"/>
        </w:rPr>
        <w:t>State or non-state fund</w:t>
      </w:r>
      <w:r w:rsidR="009025E2">
        <w:rPr>
          <w:rFonts w:eastAsia="Times New Roman" w:cstheme="minorHAnsi"/>
          <w:color w:val="000000"/>
          <w:lang w:eastAsia="en-GB"/>
        </w:rPr>
        <w:t xml:space="preserve">ed secondary schools in England, </w:t>
      </w:r>
      <w:r w:rsidRPr="009B3747">
        <w:rPr>
          <w:rFonts w:eastAsia="Times New Roman" w:cstheme="minorHAnsi"/>
          <w:color w:val="000000"/>
          <w:lang w:eastAsia="en-GB"/>
        </w:rPr>
        <w:t>which provide mainstream education fo</w:t>
      </w:r>
      <w:r w:rsidR="00965E28" w:rsidRPr="009B3747">
        <w:rPr>
          <w:rFonts w:eastAsia="Times New Roman" w:cstheme="minorHAnsi"/>
          <w:color w:val="000000"/>
          <w:lang w:eastAsia="en-GB"/>
        </w:rPr>
        <w:t>r pupils between the ages of 11 to 16 years</w:t>
      </w:r>
      <w:r w:rsidR="00B46C02">
        <w:rPr>
          <w:rFonts w:eastAsia="Times New Roman" w:cstheme="minorHAnsi"/>
          <w:color w:val="000000"/>
          <w:lang w:eastAsia="en-GB"/>
        </w:rPr>
        <w:t xml:space="preserve">, </w:t>
      </w:r>
      <w:r w:rsidRPr="009B3747">
        <w:rPr>
          <w:rFonts w:eastAsia="Times New Roman" w:cstheme="minorHAnsi"/>
          <w:color w:val="000000"/>
          <w:lang w:eastAsia="en-GB"/>
        </w:rPr>
        <w:t>i.e. adolescents</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t xml:space="preserve">Prior to refining the spreadsheet, a total of 24,873 schools were listed.  The following systematic process was undertaken so that schools who didn’t meet the above criteria could be sorted and removed from the spreadsheet -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C27072">
      <w:pPr>
        <w:numPr>
          <w:ilvl w:val="0"/>
          <w:numId w:val="55"/>
        </w:numPr>
        <w:textAlignment w:val="baseline"/>
        <w:rPr>
          <w:rFonts w:eastAsia="Times New Roman" w:cstheme="minorHAnsi"/>
          <w:color w:val="000000"/>
          <w:lang w:eastAsia="en-GB"/>
        </w:rPr>
      </w:pPr>
      <w:r w:rsidRPr="009B3747">
        <w:rPr>
          <w:rFonts w:eastAsia="Times New Roman" w:cstheme="minorHAnsi"/>
          <w:color w:val="000000"/>
          <w:lang w:eastAsia="en-GB"/>
        </w:rPr>
        <w:t>The spreadsheet was initially sorted by ‘phase of education’, with all schools listed as provid</w:t>
      </w:r>
      <w:r w:rsidR="00965E28" w:rsidRPr="009B3747">
        <w:rPr>
          <w:rFonts w:eastAsia="Times New Roman" w:cstheme="minorHAnsi"/>
          <w:color w:val="000000"/>
          <w:lang w:eastAsia="en-GB"/>
        </w:rPr>
        <w:t xml:space="preserve">ing education outside of the 11 to </w:t>
      </w:r>
      <w:r w:rsidR="00B30E97" w:rsidRPr="009B3747">
        <w:rPr>
          <w:rFonts w:eastAsia="Times New Roman" w:cstheme="minorHAnsi"/>
          <w:color w:val="000000"/>
          <w:lang w:eastAsia="en-GB"/>
        </w:rPr>
        <w:t xml:space="preserve">16 years </w:t>
      </w:r>
      <w:r w:rsidRPr="009B3747">
        <w:rPr>
          <w:rFonts w:eastAsia="Times New Roman" w:cstheme="minorHAnsi"/>
          <w:color w:val="000000"/>
          <w:lang w:eastAsia="en-GB"/>
        </w:rPr>
        <w:t>age phase removed</w:t>
      </w:r>
      <w:r w:rsidR="00B46C02">
        <w:rPr>
          <w:rFonts w:eastAsia="Times New Roman" w:cstheme="minorHAnsi"/>
          <w:color w:val="000000"/>
          <w:lang w:eastAsia="en-GB"/>
        </w:rPr>
        <w:t>,</w:t>
      </w:r>
      <w:r w:rsidRPr="009B3747">
        <w:rPr>
          <w:rFonts w:eastAsia="Times New Roman" w:cstheme="minorHAnsi"/>
          <w:color w:val="000000"/>
          <w:lang w:eastAsia="en-GB"/>
        </w:rPr>
        <w:t xml:space="preserve"> i.e. nurseries, primary schools, 16 plus</w:t>
      </w:r>
      <w:r w:rsidR="004B757F">
        <w:rPr>
          <w:rFonts w:eastAsia="Times New Roman" w:cstheme="minorHAnsi"/>
          <w:color w:val="000000"/>
          <w:lang w:eastAsia="en-GB"/>
        </w:rPr>
        <w:t>.</w:t>
      </w:r>
      <w:r w:rsidRPr="009B3747">
        <w:rPr>
          <w:rFonts w:eastAsia="Times New Roman" w:cstheme="minorHAnsi"/>
          <w:color w:val="000000"/>
          <w:lang w:eastAsia="en-GB"/>
        </w:rPr>
        <w:t xml:space="preserve"> </w:t>
      </w:r>
    </w:p>
    <w:p w:rsidR="00991D2F" w:rsidRPr="009B3747" w:rsidRDefault="00991D2F" w:rsidP="00C27072">
      <w:pPr>
        <w:numPr>
          <w:ilvl w:val="0"/>
          <w:numId w:val="55"/>
        </w:numPr>
        <w:textAlignment w:val="baseline"/>
        <w:rPr>
          <w:rFonts w:eastAsia="Times New Roman" w:cstheme="minorHAnsi"/>
          <w:color w:val="000000"/>
          <w:lang w:eastAsia="en-GB"/>
        </w:rPr>
      </w:pPr>
      <w:r w:rsidRPr="009B3747">
        <w:rPr>
          <w:rFonts w:eastAsia="Times New Roman" w:cstheme="minorHAnsi"/>
          <w:color w:val="000000"/>
          <w:lang w:eastAsia="en-GB"/>
        </w:rPr>
        <w:t>For schools listed as ‘None Applicable’ to ensure those listed as providing education for under 11</w:t>
      </w:r>
      <w:r w:rsidR="00965E28" w:rsidRPr="009B3747">
        <w:rPr>
          <w:rFonts w:eastAsia="Times New Roman" w:cstheme="minorHAnsi"/>
          <w:color w:val="000000"/>
          <w:lang w:eastAsia="en-GB"/>
        </w:rPr>
        <w:t xml:space="preserve"> years</w:t>
      </w:r>
      <w:r w:rsidRPr="009B3747">
        <w:rPr>
          <w:rFonts w:eastAsia="Times New Roman" w:cstheme="minorHAnsi"/>
          <w:color w:val="000000"/>
          <w:lang w:eastAsia="en-GB"/>
        </w:rPr>
        <w:t xml:space="preserve"> were removed in addition to sc</w:t>
      </w:r>
      <w:r w:rsidR="00965E28" w:rsidRPr="009B3747">
        <w:rPr>
          <w:rFonts w:eastAsia="Times New Roman" w:cstheme="minorHAnsi"/>
          <w:color w:val="000000"/>
          <w:lang w:eastAsia="en-GB"/>
        </w:rPr>
        <w:t>hools who catered only for 16 years</w:t>
      </w:r>
      <w:r w:rsidRPr="009B3747">
        <w:rPr>
          <w:rFonts w:eastAsia="Times New Roman" w:cstheme="minorHAnsi"/>
          <w:color w:val="000000"/>
          <w:lang w:eastAsia="en-GB"/>
        </w:rPr>
        <w:t xml:space="preserve"> and above</w:t>
      </w:r>
      <w:r w:rsidR="004B757F">
        <w:rPr>
          <w:rFonts w:eastAsia="Times New Roman" w:cstheme="minorHAnsi"/>
          <w:color w:val="000000"/>
          <w:lang w:eastAsia="en-GB"/>
        </w:rPr>
        <w:t>.</w:t>
      </w:r>
    </w:p>
    <w:p w:rsidR="00991D2F" w:rsidRPr="009B3747" w:rsidRDefault="00991D2F" w:rsidP="00C27072">
      <w:pPr>
        <w:numPr>
          <w:ilvl w:val="0"/>
          <w:numId w:val="55"/>
        </w:numPr>
        <w:textAlignment w:val="baseline"/>
        <w:rPr>
          <w:rFonts w:eastAsia="Times New Roman" w:cstheme="minorHAnsi"/>
          <w:color w:val="000000"/>
          <w:lang w:eastAsia="en-GB"/>
        </w:rPr>
      </w:pPr>
      <w:r w:rsidRPr="009B3747">
        <w:rPr>
          <w:rFonts w:eastAsia="Times New Roman" w:cstheme="minorHAnsi"/>
          <w:color w:val="000000"/>
          <w:lang w:eastAsia="en-GB"/>
        </w:rPr>
        <w:t>A further sort on the basis of ‘Type of Establishment’, enabled schools to be removed who were listed as non-mainstream</w:t>
      </w:r>
      <w:r w:rsidR="00B46C02">
        <w:rPr>
          <w:rFonts w:eastAsia="Times New Roman" w:cstheme="minorHAnsi"/>
          <w:color w:val="000000"/>
          <w:lang w:eastAsia="en-GB"/>
        </w:rPr>
        <w:t>,</w:t>
      </w:r>
      <w:r w:rsidRPr="009B3747">
        <w:rPr>
          <w:rFonts w:eastAsia="Times New Roman" w:cstheme="minorHAnsi"/>
          <w:color w:val="000000"/>
          <w:lang w:eastAsia="en-GB"/>
        </w:rPr>
        <w:t xml:space="preserve"> i.e. special schools, secure units, pupil-referral units and alternative providers</w:t>
      </w:r>
      <w:r w:rsidR="004B757F">
        <w:rPr>
          <w:rFonts w:eastAsia="Times New Roman" w:cstheme="minorHAnsi"/>
          <w:color w:val="000000"/>
          <w:lang w:eastAsia="en-GB"/>
        </w:rPr>
        <w:t>.</w:t>
      </w:r>
    </w:p>
    <w:p w:rsidR="00991D2F" w:rsidRPr="009B3747" w:rsidRDefault="00991D2F" w:rsidP="00C27072">
      <w:pPr>
        <w:numPr>
          <w:ilvl w:val="0"/>
          <w:numId w:val="55"/>
        </w:numPr>
        <w:textAlignment w:val="baseline"/>
        <w:rPr>
          <w:rFonts w:eastAsia="Times New Roman" w:cstheme="minorHAnsi"/>
          <w:color w:val="000000"/>
          <w:lang w:eastAsia="en-GB"/>
        </w:rPr>
      </w:pPr>
      <w:r w:rsidRPr="009B3747">
        <w:rPr>
          <w:rFonts w:eastAsia="Times New Roman" w:cstheme="minorHAnsi"/>
          <w:color w:val="000000"/>
          <w:lang w:eastAsia="en-GB"/>
        </w:rPr>
        <w:t>Finally, the schools of participants who had taken part in either the first qualitative phase of the study or had pilot tested the questionnaire were removed due to the risk of including those who had previous exposure to the topic and lines of enquiry</w:t>
      </w:r>
      <w:r w:rsidR="004B757F">
        <w:rPr>
          <w:rFonts w:eastAsia="Times New Roman" w:cstheme="minorHAnsi"/>
          <w:color w:val="000000"/>
          <w:lang w:eastAsia="en-GB"/>
        </w:rPr>
        <w:t>.</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t>The total number of schools remaining in the spreadsheet was 4</w:t>
      </w:r>
      <w:r w:rsidR="00965E28" w:rsidRPr="009B3747">
        <w:rPr>
          <w:rFonts w:eastAsia="Times New Roman" w:cstheme="minorHAnsi"/>
          <w:color w:val="000000"/>
          <w:lang w:eastAsia="en-GB"/>
        </w:rPr>
        <w:t>,</w:t>
      </w:r>
      <w:r w:rsidRPr="009B3747">
        <w:rPr>
          <w:rFonts w:eastAsia="Times New Roman" w:cstheme="minorHAnsi"/>
          <w:color w:val="000000"/>
          <w:lang w:eastAsia="en-GB"/>
        </w:rPr>
        <w:t>640.  The spreadsheet was then thoroughly checked row by row to ensure each s</w:t>
      </w:r>
      <w:r w:rsidR="00B30E97" w:rsidRPr="009B3747">
        <w:rPr>
          <w:rFonts w:eastAsia="Times New Roman" w:cstheme="minorHAnsi"/>
          <w:color w:val="000000"/>
          <w:lang w:eastAsia="en-GB"/>
        </w:rPr>
        <w:t>chool had a corresponding email a</w:t>
      </w:r>
      <w:r w:rsidRPr="009B3747">
        <w:rPr>
          <w:rFonts w:eastAsia="Times New Roman" w:cstheme="minorHAnsi"/>
          <w:color w:val="000000"/>
          <w:lang w:eastAsia="en-GB"/>
        </w:rPr>
        <w:t>ddress.  Approximately 150 schools did not have an email address listed, so the researcher visited each respective school’s website to obtain a generic email address.  A total of 24 schools did not have an email address published on their website and so these schools were removed from the spreadsheet.  Consequently the final spreadsheet and therefore distribution list totalled 4</w:t>
      </w:r>
      <w:r w:rsidR="00965E28" w:rsidRPr="009B3747">
        <w:rPr>
          <w:rFonts w:eastAsia="Times New Roman" w:cstheme="minorHAnsi"/>
          <w:color w:val="000000"/>
          <w:lang w:eastAsia="en-GB"/>
        </w:rPr>
        <w:t>,</w:t>
      </w:r>
      <w:r w:rsidRPr="009B3747">
        <w:rPr>
          <w:rFonts w:eastAsia="Times New Roman" w:cstheme="minorHAnsi"/>
          <w:color w:val="000000"/>
          <w:lang w:eastAsia="en-GB"/>
        </w:rPr>
        <w:t>616 secondary schools in England.</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022E3D" w:rsidRPr="009B3747" w:rsidRDefault="00022E3D" w:rsidP="00991D2F">
      <w:pPr>
        <w:rPr>
          <w:rFonts w:eastAsia="Times New Roman" w:cstheme="minorHAnsi"/>
          <w:sz w:val="24"/>
          <w:szCs w:val="24"/>
          <w:lang w:eastAsia="en-GB"/>
        </w:rPr>
      </w:pPr>
    </w:p>
    <w:p w:rsidR="00022E3D" w:rsidRPr="009B3747" w:rsidRDefault="00022E3D" w:rsidP="00991D2F">
      <w:pPr>
        <w:rPr>
          <w:rFonts w:eastAsia="Times New Roman" w:cstheme="minorHAnsi"/>
          <w:sz w:val="24"/>
          <w:szCs w:val="24"/>
          <w:lang w:eastAsia="en-GB"/>
        </w:rPr>
      </w:pPr>
    </w:p>
    <w:p w:rsidR="00991D2F" w:rsidRPr="009B3747" w:rsidRDefault="00CB18A0" w:rsidP="00991D2F">
      <w:pPr>
        <w:rPr>
          <w:rFonts w:eastAsia="Times New Roman" w:cstheme="minorHAnsi"/>
          <w:sz w:val="24"/>
          <w:szCs w:val="24"/>
          <w:lang w:eastAsia="en-GB"/>
        </w:rPr>
      </w:pPr>
      <w:r w:rsidRPr="009B3747">
        <w:rPr>
          <w:rFonts w:eastAsia="Times New Roman" w:cstheme="minorHAnsi"/>
          <w:color w:val="000000"/>
          <w:u w:val="single"/>
          <w:lang w:eastAsia="en-GB"/>
        </w:rPr>
        <w:lastRenderedPageBreak/>
        <w:t>7.7</w:t>
      </w:r>
      <w:r w:rsidR="00827CCD" w:rsidRPr="009B3747">
        <w:rPr>
          <w:rFonts w:eastAsia="Times New Roman" w:cstheme="minorHAnsi"/>
          <w:color w:val="000000"/>
          <w:u w:val="single"/>
          <w:lang w:eastAsia="en-GB"/>
        </w:rPr>
        <w:t xml:space="preserve">.1 </w:t>
      </w:r>
      <w:r w:rsidR="00991D2F" w:rsidRPr="009B3747">
        <w:rPr>
          <w:rFonts w:eastAsia="Times New Roman" w:cstheme="minorHAnsi"/>
          <w:color w:val="000000"/>
          <w:u w:val="single"/>
          <w:lang w:eastAsia="en-GB"/>
        </w:rPr>
        <w:t xml:space="preserve">Recruitment of potential participants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t>With the finalised online questionnaire and the refined contact database of potential participants, during February 2017, the researcher commenced the process of recruiting the target population to the second phase of the study.  </w:t>
      </w:r>
      <w:r w:rsidR="00B30E97" w:rsidRPr="009B3747">
        <w:rPr>
          <w:rFonts w:eastAsia="Times New Roman" w:cstheme="minorHAnsi"/>
          <w:color w:val="000000"/>
          <w:lang w:eastAsia="en-GB"/>
        </w:rPr>
        <w:t>In</w:t>
      </w:r>
      <w:r w:rsidRPr="009B3747">
        <w:rPr>
          <w:rFonts w:eastAsia="Times New Roman" w:cstheme="minorHAnsi"/>
          <w:color w:val="000000"/>
          <w:lang w:eastAsia="en-GB"/>
        </w:rPr>
        <w:t xml:space="preserve"> order to distribute the online questionnaire to the census of secondary schools in England, </w:t>
      </w:r>
      <w:r w:rsidR="00B30E97" w:rsidRPr="009B3747">
        <w:rPr>
          <w:rFonts w:eastAsia="Times New Roman" w:cstheme="minorHAnsi"/>
          <w:color w:val="000000"/>
          <w:lang w:eastAsia="en-GB"/>
        </w:rPr>
        <w:t xml:space="preserve">an </w:t>
      </w:r>
      <w:r w:rsidRPr="009B3747">
        <w:rPr>
          <w:rFonts w:eastAsia="Times New Roman" w:cstheme="minorHAnsi"/>
          <w:color w:val="000000"/>
          <w:lang w:eastAsia="en-GB"/>
        </w:rPr>
        <w:t xml:space="preserve">online mail merge system was </w:t>
      </w:r>
      <w:r w:rsidR="00B30E97" w:rsidRPr="009B3747">
        <w:rPr>
          <w:rFonts w:eastAsia="Times New Roman" w:cstheme="minorHAnsi"/>
          <w:color w:val="000000"/>
          <w:lang w:eastAsia="en-GB"/>
        </w:rPr>
        <w:t>utilised</w:t>
      </w:r>
      <w:r w:rsidRPr="009B3747">
        <w:rPr>
          <w:rFonts w:eastAsia="Times New Roman" w:cstheme="minorHAnsi"/>
          <w:color w:val="000000"/>
          <w:lang w:eastAsia="en-GB"/>
        </w:rPr>
        <w:t>.  At a cost of $20 USD, ‘Yet Another Mail Merge’ an add-on within Google Sheets was downloaded to facilitate the researcher’s need to distribute personalised emails to all 4</w:t>
      </w:r>
      <w:r w:rsidR="00965E28" w:rsidRPr="009B3747">
        <w:rPr>
          <w:rFonts w:eastAsia="Times New Roman" w:cstheme="minorHAnsi"/>
          <w:color w:val="000000"/>
          <w:lang w:eastAsia="en-GB"/>
        </w:rPr>
        <w:t>,</w:t>
      </w:r>
      <w:r w:rsidRPr="009B3747">
        <w:rPr>
          <w:rFonts w:eastAsia="Times New Roman" w:cstheme="minorHAnsi"/>
          <w:color w:val="000000"/>
          <w:lang w:eastAsia="en-GB"/>
        </w:rPr>
        <w:t>616 schools.  A generic email addressed to the schoo</w:t>
      </w:r>
      <w:r w:rsidR="00867189">
        <w:rPr>
          <w:rFonts w:eastAsia="Times New Roman" w:cstheme="minorHAnsi"/>
          <w:color w:val="000000"/>
          <w:lang w:eastAsia="en-GB"/>
        </w:rPr>
        <w:t xml:space="preserve">l directly was created in Gmail, </w:t>
      </w:r>
      <w:r w:rsidRPr="009B3747">
        <w:rPr>
          <w:rFonts w:eastAsia="Times New Roman" w:cstheme="minorHAnsi"/>
          <w:color w:val="000000"/>
          <w:lang w:eastAsia="en-GB"/>
        </w:rPr>
        <w:t>inviting their respective headteacher and chairs of governors to participa</w:t>
      </w:r>
      <w:r w:rsidR="00FE18C1" w:rsidRPr="009B3747">
        <w:rPr>
          <w:rFonts w:eastAsia="Times New Roman" w:cstheme="minorHAnsi"/>
          <w:color w:val="000000"/>
          <w:lang w:eastAsia="en-GB"/>
        </w:rPr>
        <w:t>te in the survey</w:t>
      </w:r>
      <w:r w:rsidRPr="009B3747">
        <w:rPr>
          <w:rFonts w:eastAsia="Times New Roman" w:cstheme="minorHAnsi"/>
          <w:color w:val="000000"/>
          <w:lang w:eastAsia="en-GB"/>
        </w:rPr>
        <w:t>.  The school names and email addresses (obtained from Edubase) were inputted into Google Sheets, and the add-on then enabled the distribution of up to 1</w:t>
      </w:r>
      <w:r w:rsidR="00965E28" w:rsidRPr="009B3747">
        <w:rPr>
          <w:rFonts w:eastAsia="Times New Roman" w:cstheme="minorHAnsi"/>
          <w:color w:val="000000"/>
          <w:lang w:eastAsia="en-GB"/>
        </w:rPr>
        <w:t>,</w:t>
      </w:r>
      <w:r w:rsidRPr="009B3747">
        <w:rPr>
          <w:rFonts w:eastAsia="Times New Roman" w:cstheme="minorHAnsi"/>
          <w:color w:val="000000"/>
          <w:lang w:eastAsia="en-GB"/>
        </w:rPr>
        <w:t>500 emails per day (over a four day period, the entire database was therefore contacted).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t>Subsequent to the first recruitment drive, two further reminder emails were distributed.  For any email that ‘bounced back’, an alternative email address was sought from the school’s website and the email was then re-sent.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t>In a bid to increase the total number of responses obtained, additionally to emailing schools directly, the researcher approached the Association of School and College Leaders and the National Governance Association.  Each national organisation representing headteachers and chairs of governors were asked whether they would allow the request for participation in the survey to be forwarded to their members.  Both confirmed that they do not facilitate the distribution of research participation requests from external partners.  Furthermore, the researcher contacted t</w:t>
      </w:r>
      <w:r w:rsidR="00867189">
        <w:rPr>
          <w:rFonts w:eastAsia="Times New Roman" w:cstheme="minorHAnsi"/>
          <w:color w:val="000000"/>
          <w:lang w:eastAsia="en-GB"/>
        </w:rPr>
        <w:t xml:space="preserve">he Times Educational Supplement, </w:t>
      </w:r>
      <w:r w:rsidRPr="009B3747">
        <w:rPr>
          <w:rFonts w:eastAsia="Times New Roman" w:cstheme="minorHAnsi"/>
          <w:color w:val="000000"/>
          <w:lang w:eastAsia="en-GB"/>
        </w:rPr>
        <w:t xml:space="preserve">to request permission to advertise the request for survey participation on their community online forums (evidenced to be used by headteachers and chairs of governors).  Again confirmation was provided that external research requests posted to their members are not permitted.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CB18A0" w:rsidP="00991D2F">
      <w:pPr>
        <w:rPr>
          <w:rFonts w:eastAsia="Times New Roman" w:cstheme="minorHAnsi"/>
          <w:sz w:val="24"/>
          <w:szCs w:val="24"/>
          <w:lang w:eastAsia="en-GB"/>
        </w:rPr>
      </w:pPr>
      <w:r w:rsidRPr="009B3747">
        <w:rPr>
          <w:rFonts w:eastAsia="Times New Roman" w:cstheme="minorHAnsi"/>
          <w:color w:val="000000"/>
          <w:u w:val="single"/>
          <w:lang w:eastAsia="en-GB"/>
        </w:rPr>
        <w:t>7.7</w:t>
      </w:r>
      <w:r w:rsidR="00827CCD" w:rsidRPr="009B3747">
        <w:rPr>
          <w:rFonts w:eastAsia="Times New Roman" w:cstheme="minorHAnsi"/>
          <w:color w:val="000000"/>
          <w:u w:val="single"/>
          <w:lang w:eastAsia="en-GB"/>
        </w:rPr>
        <w:t xml:space="preserve">.2 </w:t>
      </w:r>
      <w:r w:rsidR="00991D2F" w:rsidRPr="009B3747">
        <w:rPr>
          <w:rFonts w:eastAsia="Times New Roman" w:cstheme="minorHAnsi"/>
          <w:color w:val="000000"/>
          <w:u w:val="single"/>
          <w:lang w:eastAsia="en-GB"/>
        </w:rPr>
        <w:t>Techniques to maximise response rate</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t>The extremely low response received to the first recruitment attempt in the q</w:t>
      </w:r>
      <w:r w:rsidR="00965E28" w:rsidRPr="009B3747">
        <w:rPr>
          <w:rFonts w:eastAsia="Times New Roman" w:cstheme="minorHAnsi"/>
          <w:color w:val="000000"/>
          <w:lang w:eastAsia="en-GB"/>
        </w:rPr>
        <w:t xml:space="preserve">ualitative phase </w:t>
      </w:r>
      <w:r w:rsidRPr="009B3747">
        <w:rPr>
          <w:rFonts w:eastAsia="Times New Roman" w:cstheme="minorHAnsi"/>
          <w:color w:val="000000"/>
          <w:lang w:eastAsia="en-GB"/>
        </w:rPr>
        <w:t>led the researcher to adopt and adapt various techniques proposed as maximising response rates to online questio</w:t>
      </w:r>
      <w:r w:rsidR="00965E28" w:rsidRPr="009B3747">
        <w:rPr>
          <w:rFonts w:eastAsia="Times New Roman" w:cstheme="minorHAnsi"/>
          <w:color w:val="000000"/>
          <w:lang w:eastAsia="en-GB"/>
        </w:rPr>
        <w:t xml:space="preserve">nnaires </w:t>
      </w:r>
      <w:r w:rsidR="00965E28" w:rsidRPr="009B3747">
        <w:rPr>
          <w:rFonts w:eastAsia="Times New Roman" w:cstheme="minorHAnsi"/>
          <w:color w:val="000000"/>
          <w:lang w:eastAsia="en-GB"/>
        </w:rPr>
        <w:fldChar w:fldCharType="begin" w:fldLock="1"/>
      </w:r>
      <w:r w:rsidR="00965E28" w:rsidRPr="009B3747">
        <w:rPr>
          <w:rFonts w:eastAsia="Times New Roman" w:cstheme="minorHAnsi"/>
          <w:color w:val="000000"/>
          <w:lang w:eastAsia="en-GB"/>
        </w:rPr>
        <w:instrText>ADDIN CSL_CITATION { "citationItems" : [ { "id" : "ITEM-1", "itemData" : { "DOI" : "10.1002/14651858.MR000008.pub4", "ISSN" : "1469-493X", "PMID" : "19588449", "abstract" : "BACKGROUND Postal and electronic questionnaires are widely used for data collection in epidemiological studies but non-response reduces the effective sample size and can introduce bias. Finding ways to increase response to postal and electronic questionnaires would improve the quality of health research. OBJECTIVES To identify effective strategies to increase response to postal and electronic questionnaires. SEARCH STRATEGY We searched 14 electronic databases to February 2008 and manually searched the reference lists of relevant trials and reviews, and all issues of two journals. We contacted the authors of all trials or reviews to ask about unpublished trials. Where necessary, we also contacted authors to confirm methods of allocation used and to clarify results presented. We assessed the eligibility of each trial using pre-defined criteria. SELECTION CRITERIA Randomised controlled trials of methods to increase response to postal or electronic questionnaires. DATA COLLECTION AND ANALYSIS We extracted data on the trial participants, the intervention, the number randomised to intervention and comparison groups and allocation concealment. For each strategy, we estimated pooled odds ratios (OR) and 95% confidence intervals (CI) in a random-effects model. We assessed evidence for selection bias using Egger's weighted regression method and Begg's rank correlation test and funnel plot. We assessed heterogeneity among trial odds ratios using a Chi(2) test and the degree of inconsistency between trial results was quantified using the I(2) statistic. MAIN RESULTS PostalWe found 481 eligible trials. The trials evaluated 110 different ways of increasing response to postal questionnaires. We found substantial heterogeneity among trial results in half of the strategies. The odds of response were at least doubled using monetary incentives (odds ratio 1.87; 95% CI 1.73 to 2.04; heterogeneity P &lt; 0.00001, I(2) = 84%), recorded delivery (1.76; 95% CI 1.43 to 2.18; P = 0.0001, I(2) = 71%), a teaser on the envelope - e.g. a comment suggesting to participants that they may benefit if they open it (3.08; 95% CI 1.27 to 7.44) and a more interesting questionnaire topic (2.00; 95% CI 1.32 to 3.04; P = 0.06, I(2) = 80%). The odds of response were substantially higher with pre-notification (1.45; 95% CI 1.29 to 1.63; P &lt; 0.00001, I(2) = 89%), follow-up contact (1.35; 95% CI 1.18 to 1.55; P &lt; 0.00001, I(2) = 76%), unconditional incentives (1.61; 1.36 to 1.89; P &lt; 0.00001, I(2) = \u2026", "author" : [ { "dropping-particle" : "", "family" : "Edwards", "given" : "Philip James", "non-dropping-particle" : "", "parse-names" : false, "suffix" : "" }, { "dropping-particle" : "", "family" : "Roberts", "given" : "Ian", "non-dropping-particle" : "", "parse-names" : false, "suffix" : "" }, { "dropping-particle" : "", "family" : "Clarke", "given" : "Mike J", "non-dropping-particle" : "", "parse-names" : false, "suffix" : "" }, { "dropping-particle" : "", "family" : "DiGuiseppi", "given" : "Carolyn", "non-dropping-particle" : "", "parse-names" : false, "suffix" : "" }, { "dropping-particle" : "", "family" : "Wentz", "given" : "Reinhard", "non-dropping-particle" : "", "parse-names" : false, "suffix" : "" }, { "dropping-particle" : "", "family" : "Kwan", "given" : "Irene", "non-dropping-particle" : "", "parse-names" : false, "suffix" : "" }, { "dropping-particle" : "", "family" : "Cooper", "given" : "Rachel", "non-dropping-particle" : "", "parse-names" : false, "suffix" : "" }, { "dropping-particle" : "", "family" : "Felix", "given" : "Lambert M", "non-dropping-particle" : "", "parse-names" : false, "suffix" : "" }, { "dropping-particle" : "", "family" : "Pratap", "given" : "Sarah", "non-dropping-particle" : "", "parse-names" : false, "suffix" : "" } ], "container-title" : "Cochrane Database of Systematic Reviews", "editor" : [ { "dropping-particle" : "", "family" : "Edwards", "given" : "Philip James", "non-dropping-particle" : "", "parse-names" : false, "suffix" : "" } ], "id" : "ITEM-1", "issue" : "3", "issued" : { "date-parts" : [ [ "2009", "7", "8" ] ] }, "page" : "MR000008", "publisher" : "John Wiley &amp; Sons, Ltd", "publisher-place" : "Chichester, UK", "title" : "Methods to increase response to postal and electronic questionnaires", "type" : "chapter" }, "uris" : [ "http://www.mendeley.com/documents/?uuid=9c4ebf4b-4e9f-36de-99d7-7f8eb7fce64e" ] } ], "mendeley" : { "formattedCitation" : "(Edwards et al., 2009)", "plainTextFormattedCitation" : "(Edwards et al., 2009)", "previouslyFormattedCitation" : "(Edwards et al., 2009)" }, "properties" : { "noteIndex" : 0 }, "schema" : "https://github.com/citation-style-language/schema/raw/master/csl-citation.json" }</w:instrText>
      </w:r>
      <w:r w:rsidR="00965E28" w:rsidRPr="009B3747">
        <w:rPr>
          <w:rFonts w:eastAsia="Times New Roman" w:cstheme="minorHAnsi"/>
          <w:color w:val="000000"/>
          <w:lang w:eastAsia="en-GB"/>
        </w:rPr>
        <w:fldChar w:fldCharType="separate"/>
      </w:r>
      <w:r w:rsidR="00965E28" w:rsidRPr="009B3747">
        <w:rPr>
          <w:rFonts w:eastAsia="Times New Roman" w:cstheme="minorHAnsi"/>
          <w:noProof/>
          <w:color w:val="000000"/>
          <w:lang w:eastAsia="en-GB"/>
        </w:rPr>
        <w:t>(Edwards et al., 2009)</w:t>
      </w:r>
      <w:r w:rsidR="00965E28" w:rsidRPr="009B3747">
        <w:rPr>
          <w:rFonts w:eastAsia="Times New Roman" w:cstheme="minorHAnsi"/>
          <w:color w:val="000000"/>
          <w:lang w:eastAsia="en-GB"/>
        </w:rPr>
        <w:fldChar w:fldCharType="end"/>
      </w:r>
      <w:r w:rsidR="00965E28" w:rsidRPr="009B3747">
        <w:rPr>
          <w:rFonts w:eastAsia="Times New Roman" w:cstheme="minorHAnsi"/>
          <w:color w:val="000000"/>
          <w:lang w:eastAsia="en-GB"/>
        </w:rPr>
        <w:t>:</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lastRenderedPageBreak/>
        <w:t>Within the pers</w:t>
      </w:r>
      <w:r w:rsidR="00B30E97" w:rsidRPr="009B3747">
        <w:rPr>
          <w:rFonts w:eastAsia="Times New Roman" w:cstheme="minorHAnsi"/>
          <w:color w:val="000000"/>
          <w:lang w:eastAsia="en-GB"/>
        </w:rPr>
        <w:t>onalised email invitation sent:</w:t>
      </w:r>
      <w:r w:rsidRPr="009B3747">
        <w:rPr>
          <w:rFonts w:eastAsia="Times New Roman" w:cstheme="minorHAnsi"/>
          <w:color w:val="000000"/>
          <w:lang w:eastAsia="en-GB"/>
        </w:rPr>
        <w:t xml:space="preserve">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C27072">
      <w:pPr>
        <w:numPr>
          <w:ilvl w:val="0"/>
          <w:numId w:val="56"/>
        </w:numPr>
        <w:textAlignment w:val="baseline"/>
        <w:rPr>
          <w:rFonts w:eastAsia="Times New Roman" w:cstheme="minorHAnsi"/>
          <w:color w:val="000000"/>
          <w:lang w:eastAsia="en-GB"/>
        </w:rPr>
      </w:pPr>
      <w:r w:rsidRPr="009B3747">
        <w:rPr>
          <w:rFonts w:eastAsia="Times New Roman" w:cstheme="minorHAnsi"/>
          <w:color w:val="000000"/>
          <w:lang w:eastAsia="en-GB"/>
        </w:rPr>
        <w:t>The word ‘survey’ was removed from the subject line and content (of both the 1st and 2nd email reminders)</w:t>
      </w:r>
    </w:p>
    <w:p w:rsidR="00991D2F" w:rsidRPr="009B3747" w:rsidRDefault="009025E2" w:rsidP="00C27072">
      <w:pPr>
        <w:numPr>
          <w:ilvl w:val="0"/>
          <w:numId w:val="56"/>
        </w:numPr>
        <w:textAlignment w:val="baseline"/>
        <w:rPr>
          <w:rFonts w:eastAsia="Times New Roman" w:cstheme="minorHAnsi"/>
          <w:color w:val="000000"/>
          <w:lang w:eastAsia="en-GB"/>
        </w:rPr>
      </w:pPr>
      <w:r>
        <w:rPr>
          <w:rFonts w:eastAsia="Times New Roman" w:cstheme="minorHAnsi"/>
          <w:color w:val="000000"/>
          <w:lang w:eastAsia="en-GB"/>
        </w:rPr>
        <w:t xml:space="preserve">A statement was included, </w:t>
      </w:r>
      <w:r w:rsidR="00991D2F" w:rsidRPr="009B3747">
        <w:rPr>
          <w:rFonts w:eastAsia="Times New Roman" w:cstheme="minorHAnsi"/>
          <w:color w:val="000000"/>
          <w:lang w:eastAsia="en-GB"/>
        </w:rPr>
        <w:t>which thanked others for already responding (of both the 1st and 2nd email reminders)</w:t>
      </w:r>
    </w:p>
    <w:p w:rsidR="00991D2F" w:rsidRPr="009B3747" w:rsidRDefault="00991D2F" w:rsidP="00C27072">
      <w:pPr>
        <w:numPr>
          <w:ilvl w:val="0"/>
          <w:numId w:val="56"/>
        </w:numPr>
        <w:textAlignment w:val="baseline"/>
        <w:rPr>
          <w:rFonts w:eastAsia="Times New Roman" w:cstheme="minorHAnsi"/>
          <w:color w:val="000000"/>
          <w:lang w:eastAsia="en-GB"/>
        </w:rPr>
      </w:pPr>
      <w:r w:rsidRPr="009B3747">
        <w:rPr>
          <w:rFonts w:eastAsia="Times New Roman" w:cstheme="minorHAnsi"/>
          <w:color w:val="000000"/>
          <w:lang w:eastAsia="en-GB"/>
        </w:rPr>
        <w:t xml:space="preserve">A defined and short deadline of two weeks to respond was included (within the 2nd email reminder)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t>During the process of recruiting participants, approximately ten participants after the first email request asked to be removed from the mailing list.  They were removed from the spreadsheet and were therefore not contacted with additional email reminders.  The period of data collection took place between February and April 2017, with the last email reminder requesting participation being sent on the 19th of April 2017.</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CB18A0" w:rsidP="00991D2F">
      <w:pPr>
        <w:rPr>
          <w:rFonts w:eastAsia="Times New Roman" w:cstheme="minorHAnsi"/>
          <w:b/>
          <w:sz w:val="24"/>
          <w:szCs w:val="24"/>
          <w:lang w:eastAsia="en-GB"/>
        </w:rPr>
      </w:pPr>
      <w:r w:rsidRPr="009B3747">
        <w:rPr>
          <w:rFonts w:eastAsia="Times New Roman" w:cstheme="minorHAnsi"/>
          <w:b/>
          <w:color w:val="000000"/>
          <w:sz w:val="24"/>
          <w:szCs w:val="24"/>
          <w:u w:val="single"/>
          <w:lang w:eastAsia="en-GB"/>
        </w:rPr>
        <w:t>7.8</w:t>
      </w:r>
      <w:r w:rsidR="00827CCD" w:rsidRPr="009B3747">
        <w:rPr>
          <w:rFonts w:eastAsia="Times New Roman" w:cstheme="minorHAnsi"/>
          <w:b/>
          <w:color w:val="000000"/>
          <w:sz w:val="24"/>
          <w:szCs w:val="24"/>
          <w:u w:val="single"/>
          <w:lang w:eastAsia="en-GB"/>
        </w:rPr>
        <w:t xml:space="preserve"> </w:t>
      </w:r>
      <w:r w:rsidR="00991D2F" w:rsidRPr="009B3747">
        <w:rPr>
          <w:rFonts w:eastAsia="Times New Roman" w:cstheme="minorHAnsi"/>
          <w:b/>
          <w:color w:val="000000"/>
          <w:sz w:val="24"/>
          <w:szCs w:val="24"/>
          <w:u w:val="single"/>
          <w:lang w:eastAsia="en-GB"/>
        </w:rPr>
        <w:t>Data analysis</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t>Following completion of the data collection process, the researcher approached the task of checking, managing and analysing the quantitative data obtained.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rPr>
          <w:rFonts w:eastAsia="Times New Roman" w:cstheme="minorHAnsi"/>
          <w:sz w:val="24"/>
          <w:szCs w:val="24"/>
          <w:lang w:eastAsia="en-GB"/>
        </w:rPr>
      </w:pPr>
      <w:r w:rsidRPr="009B3747">
        <w:rPr>
          <w:rFonts w:eastAsia="Times New Roman" w:cstheme="minorHAnsi"/>
          <w:i/>
          <w:iCs/>
          <w:color w:val="000000"/>
          <w:lang w:eastAsia="en-GB"/>
        </w:rPr>
        <w:t xml:space="preserve">Data checking, management and </w:t>
      </w:r>
      <w:r w:rsidR="00B30E97" w:rsidRPr="009B3747">
        <w:rPr>
          <w:rFonts w:eastAsia="Times New Roman" w:cstheme="minorHAnsi"/>
          <w:i/>
          <w:iCs/>
          <w:color w:val="000000"/>
          <w:lang w:eastAsia="en-GB"/>
        </w:rPr>
        <w:t xml:space="preserve">analysing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t>A variety of steps were undertaken to ensure the data obtained from the data collection tool was appropriately prepared for data analysis.  This included checking, coding and transforming the whole data set.  The use of Google Forms as the means for distributing and collecting responses to the online questionnaire, enabled resultant data to be downloaded into an excel spreadsheet.  At this point the data was preliminarily checked for its completeness</w:t>
      </w:r>
      <w:r w:rsidR="00B46C02">
        <w:rPr>
          <w:rFonts w:eastAsia="Times New Roman" w:cstheme="minorHAnsi"/>
          <w:color w:val="000000"/>
          <w:lang w:eastAsia="en-GB"/>
        </w:rPr>
        <w:t>,</w:t>
      </w:r>
      <w:r w:rsidRPr="009B3747">
        <w:rPr>
          <w:rFonts w:eastAsia="Times New Roman" w:cstheme="minorHAnsi"/>
          <w:color w:val="000000"/>
          <w:lang w:eastAsia="en-GB"/>
        </w:rPr>
        <w:t xml:space="preserve"> i.e. whether any missing or incomplete responses had been obtained.  It was established that all 127 responses had been completed in their entirety and the data was subsequently downloaded into IBM SPSS Statistics</w:t>
      </w:r>
      <w:r w:rsidR="00965E28" w:rsidRPr="009B3747">
        <w:rPr>
          <w:rFonts w:eastAsia="Times New Roman" w:cstheme="minorHAnsi"/>
          <w:color w:val="000000"/>
          <w:lang w:eastAsia="en-GB"/>
        </w:rPr>
        <w:t xml:space="preserve"> </w:t>
      </w:r>
      <w:r w:rsidR="00965E28" w:rsidRPr="009B3747">
        <w:rPr>
          <w:rFonts w:eastAsia="Times New Roman" w:cstheme="minorHAnsi"/>
          <w:color w:val="000000"/>
          <w:lang w:eastAsia="en-GB"/>
        </w:rPr>
        <w:fldChar w:fldCharType="begin" w:fldLock="1"/>
      </w:r>
      <w:r w:rsidR="00FB047F" w:rsidRPr="009B3747">
        <w:rPr>
          <w:rFonts w:eastAsia="Times New Roman" w:cstheme="minorHAnsi"/>
          <w:color w:val="000000"/>
          <w:lang w:eastAsia="en-GB"/>
        </w:rPr>
        <w:instrText>ADDIN CSL_CITATION { "citationItems" : [ { "id" : "ITEM-1", "itemData" : { "author" : [ { "dropping-particle" : "", "family" : "IBM Corp", "given" : "", "non-dropping-particle" : "", "parse-names" : false, "suffix" : "" } ], "id" : "ITEM-1", "issued" : { "date-parts" : [ [ "2016" ] ] }, "number" : "24", "publisher" : "IBM Corp", "publisher-place" : "Armonk, NY", "title" : "IBM SPSS Statistics for Windows", "type" : "article" }, "uris" : [ "http://www.mendeley.com/documents/?uuid=09c9b261-52a5-4273-8ddd-f744614a09bc" ] } ], "mendeley" : { "formattedCitation" : "(IBM Corp, 2016)", "plainTextFormattedCitation" : "(IBM Corp, 2016)", "previouslyFormattedCitation" : "(IBM Corp, 2016)" }, "properties" : { "noteIndex" : 0 }, "schema" : "https://github.com/citation-style-language/schema/raw/master/csl-citation.json" }</w:instrText>
      </w:r>
      <w:r w:rsidR="00965E28" w:rsidRPr="009B3747">
        <w:rPr>
          <w:rFonts w:eastAsia="Times New Roman" w:cstheme="minorHAnsi"/>
          <w:color w:val="000000"/>
          <w:lang w:eastAsia="en-GB"/>
        </w:rPr>
        <w:fldChar w:fldCharType="separate"/>
      </w:r>
      <w:r w:rsidR="00965E28" w:rsidRPr="009B3747">
        <w:rPr>
          <w:rFonts w:eastAsia="Times New Roman" w:cstheme="minorHAnsi"/>
          <w:noProof/>
          <w:color w:val="000000"/>
          <w:lang w:eastAsia="en-GB"/>
        </w:rPr>
        <w:t>(IBM Corp, 2016)</w:t>
      </w:r>
      <w:r w:rsidR="00965E28" w:rsidRPr="009B3747">
        <w:rPr>
          <w:rFonts w:eastAsia="Times New Roman" w:cstheme="minorHAnsi"/>
          <w:color w:val="000000"/>
          <w:lang w:eastAsia="en-GB"/>
        </w:rPr>
        <w:fldChar w:fldCharType="end"/>
      </w:r>
      <w:r w:rsidR="00867189">
        <w:rPr>
          <w:rFonts w:eastAsia="Times New Roman" w:cstheme="minorHAnsi"/>
          <w:color w:val="000000"/>
          <w:lang w:eastAsia="en-GB"/>
        </w:rPr>
        <w:t>,</w:t>
      </w:r>
      <w:r w:rsidR="00965E28" w:rsidRPr="009B3747">
        <w:rPr>
          <w:rFonts w:eastAsia="Times New Roman" w:cstheme="minorHAnsi"/>
          <w:color w:val="000000"/>
          <w:lang w:eastAsia="en-GB"/>
        </w:rPr>
        <w:t xml:space="preserve"> </w:t>
      </w:r>
      <w:r w:rsidRPr="009B3747">
        <w:rPr>
          <w:rFonts w:eastAsia="Times New Roman" w:cstheme="minorHAnsi"/>
          <w:color w:val="000000"/>
          <w:lang w:eastAsia="en-GB"/>
        </w:rPr>
        <w:t>a software package used for undertaking descriptive and inferential statistical analysis.  The quantitative data set was managed within SPSS Statistics in order to ensure accuracy and consistency in how the data was analysed and presented.  Furthermore, its use enabled both descriptive and inferential statistics to be obtained and reported upon.</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lastRenderedPageBreak/>
        <w:t xml:space="preserve">Prior to performing statistical analysis, the researcher went about re-coding specific data in order to meet the formatting requirements of SPSS.  Within the data set, different types of variables were generated including nominal (i.e. gender or school type), ordinal (i.e. agree or disagree) and interval (i.e. categories of age or free school meal percentage).  In order for the SPSS to perform </w:t>
      </w:r>
      <w:r w:rsidR="00965E28" w:rsidRPr="009B3747">
        <w:rPr>
          <w:rFonts w:eastAsia="Times New Roman" w:cstheme="minorHAnsi"/>
          <w:color w:val="000000"/>
          <w:lang w:eastAsia="en-GB"/>
        </w:rPr>
        <w:t>the required statistical tests and with</w:t>
      </w:r>
      <w:r w:rsidRPr="009B3747">
        <w:rPr>
          <w:rFonts w:eastAsia="Times New Roman" w:cstheme="minorHAnsi"/>
          <w:color w:val="000000"/>
          <w:lang w:eastAsia="en-GB"/>
        </w:rPr>
        <w:t xml:space="preserve"> guidance from a Statistician, each variable and corresponding data was checked and where required re-coded as follows</w:t>
      </w:r>
      <w:r w:rsidR="00B30E97" w:rsidRPr="009B3747">
        <w:rPr>
          <w:rFonts w:eastAsia="Times New Roman" w:cstheme="minorHAnsi"/>
          <w:color w:val="000000"/>
          <w:lang w:eastAsia="en-GB"/>
        </w:rPr>
        <w:t>:</w:t>
      </w:r>
      <w:r w:rsidRPr="009B3747">
        <w:rPr>
          <w:rFonts w:eastAsia="Times New Roman" w:cstheme="minorHAnsi"/>
          <w:color w:val="000000"/>
          <w:lang w:eastAsia="en-GB"/>
        </w:rPr>
        <w:t xml:space="preserve">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C27072">
      <w:pPr>
        <w:numPr>
          <w:ilvl w:val="0"/>
          <w:numId w:val="57"/>
        </w:numPr>
        <w:textAlignment w:val="baseline"/>
        <w:rPr>
          <w:rFonts w:eastAsia="Times New Roman" w:cstheme="minorHAnsi"/>
          <w:color w:val="000000"/>
          <w:lang w:eastAsia="en-GB"/>
        </w:rPr>
      </w:pPr>
      <w:r w:rsidRPr="009B3747">
        <w:rPr>
          <w:rFonts w:eastAsia="Times New Roman" w:cstheme="minorHAnsi"/>
          <w:color w:val="000000"/>
          <w:lang w:eastAsia="en-GB"/>
        </w:rPr>
        <w:t>All Likert scale responses were given a single corresponding numerical value (i.e. Strongly disagree = 1, disagree = 2, neither agree or disagree = 3, agree = 4 and strongly agree = 5)</w:t>
      </w:r>
    </w:p>
    <w:p w:rsidR="00991D2F" w:rsidRPr="009B3747" w:rsidRDefault="00991D2F" w:rsidP="00C27072">
      <w:pPr>
        <w:numPr>
          <w:ilvl w:val="0"/>
          <w:numId w:val="57"/>
        </w:numPr>
        <w:textAlignment w:val="baseline"/>
        <w:rPr>
          <w:rFonts w:eastAsia="Times New Roman" w:cstheme="minorHAnsi"/>
          <w:color w:val="000000"/>
          <w:lang w:eastAsia="en-GB"/>
        </w:rPr>
      </w:pPr>
      <w:r w:rsidRPr="009B3747">
        <w:rPr>
          <w:rFonts w:eastAsia="Times New Roman" w:cstheme="minorHAnsi"/>
          <w:color w:val="000000"/>
          <w:lang w:eastAsia="en-GB"/>
        </w:rPr>
        <w:t>All interval variables were recoded to remove any unanalysable letters or symbols (e.g. % or -) and all were given single corresponding numerical values (i.e. 0-250 pupils = 1, 251-500 pupi</w:t>
      </w:r>
      <w:r w:rsidR="00965E28" w:rsidRPr="009B3747">
        <w:rPr>
          <w:rFonts w:eastAsia="Times New Roman" w:cstheme="minorHAnsi"/>
          <w:color w:val="000000"/>
          <w:lang w:eastAsia="en-GB"/>
        </w:rPr>
        <w:t>ls = 2 etc or 0-</w:t>
      </w:r>
      <w:r w:rsidRPr="009B3747">
        <w:rPr>
          <w:rFonts w:eastAsia="Times New Roman" w:cstheme="minorHAnsi"/>
          <w:color w:val="000000"/>
          <w:lang w:eastAsia="en-GB"/>
        </w:rPr>
        <w:t>10% free school meal</w:t>
      </w:r>
      <w:r w:rsidR="000A09B8" w:rsidRPr="009B3747">
        <w:rPr>
          <w:rFonts w:eastAsia="Times New Roman" w:cstheme="minorHAnsi"/>
          <w:color w:val="000000"/>
          <w:lang w:eastAsia="en-GB"/>
        </w:rPr>
        <w:t>s = 1, 21-20% free school meals</w:t>
      </w:r>
      <w:r w:rsidRPr="009B3747">
        <w:rPr>
          <w:rFonts w:eastAsia="Times New Roman" w:cstheme="minorHAnsi"/>
          <w:color w:val="000000"/>
          <w:lang w:eastAsia="en-GB"/>
        </w:rPr>
        <w:t> = 2 etc).</w:t>
      </w:r>
    </w:p>
    <w:p w:rsidR="00991D2F" w:rsidRPr="009B3747" w:rsidRDefault="00991D2F" w:rsidP="00C27072">
      <w:pPr>
        <w:numPr>
          <w:ilvl w:val="0"/>
          <w:numId w:val="57"/>
        </w:numPr>
        <w:textAlignment w:val="baseline"/>
        <w:rPr>
          <w:rFonts w:eastAsia="Times New Roman" w:cstheme="minorHAnsi"/>
          <w:color w:val="000000"/>
          <w:lang w:eastAsia="en-GB"/>
        </w:rPr>
      </w:pPr>
      <w:r w:rsidRPr="009B3747">
        <w:rPr>
          <w:rFonts w:eastAsia="Times New Roman" w:cstheme="minorHAnsi"/>
          <w:color w:val="000000"/>
          <w:lang w:eastAsia="en-GB"/>
        </w:rPr>
        <w:t xml:space="preserve">Due to the small sample size the nominal variable of school types was reduced to a dichotomous variable (i.e. state or non-state funded school) </w:t>
      </w:r>
    </w:p>
    <w:p w:rsidR="00991D2F" w:rsidRPr="009B3747" w:rsidRDefault="00991D2F" w:rsidP="00C27072">
      <w:pPr>
        <w:numPr>
          <w:ilvl w:val="0"/>
          <w:numId w:val="57"/>
        </w:numPr>
        <w:textAlignment w:val="baseline"/>
        <w:rPr>
          <w:rFonts w:eastAsia="Times New Roman" w:cstheme="minorHAnsi"/>
          <w:color w:val="000000"/>
          <w:lang w:eastAsia="en-GB"/>
        </w:rPr>
      </w:pPr>
      <w:r w:rsidRPr="009B3747">
        <w:rPr>
          <w:rFonts w:eastAsia="Times New Roman" w:cstheme="minorHAnsi"/>
          <w:color w:val="000000"/>
          <w:lang w:eastAsia="en-GB"/>
        </w:rPr>
        <w:t>Where participants had selected ‘Unsure’ for questions regarding school demographics, these responses were recoded as missing in SPSS</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CB18A0" w:rsidP="00991D2F">
      <w:pPr>
        <w:rPr>
          <w:rFonts w:eastAsia="Times New Roman" w:cstheme="minorHAnsi"/>
          <w:iCs/>
          <w:color w:val="000000" w:themeColor="text1"/>
          <w:u w:val="single"/>
          <w:lang w:eastAsia="en-GB"/>
        </w:rPr>
      </w:pPr>
      <w:r w:rsidRPr="009B3747">
        <w:rPr>
          <w:rFonts w:eastAsia="Times New Roman" w:cstheme="minorHAnsi"/>
          <w:iCs/>
          <w:color w:val="000000" w:themeColor="text1"/>
          <w:u w:val="single"/>
          <w:lang w:eastAsia="en-GB"/>
        </w:rPr>
        <w:t>7.8</w:t>
      </w:r>
      <w:r w:rsidR="00827CCD" w:rsidRPr="009B3747">
        <w:rPr>
          <w:rFonts w:eastAsia="Times New Roman" w:cstheme="minorHAnsi"/>
          <w:iCs/>
          <w:color w:val="000000" w:themeColor="text1"/>
          <w:u w:val="single"/>
          <w:lang w:eastAsia="en-GB"/>
        </w:rPr>
        <w:t xml:space="preserve">.1 </w:t>
      </w:r>
      <w:r w:rsidR="00991D2F" w:rsidRPr="009B3747">
        <w:rPr>
          <w:rFonts w:eastAsia="Times New Roman" w:cstheme="minorHAnsi"/>
          <w:iCs/>
          <w:color w:val="000000" w:themeColor="text1"/>
          <w:u w:val="single"/>
          <w:lang w:eastAsia="en-GB"/>
        </w:rPr>
        <w:t xml:space="preserve">Descriptive and inferential statistics </w:t>
      </w:r>
    </w:p>
    <w:p w:rsidR="00991D2F" w:rsidRPr="009B3747" w:rsidRDefault="00991D2F" w:rsidP="00991D2F">
      <w:pPr>
        <w:rPr>
          <w:rFonts w:eastAsia="Times New Roman" w:cstheme="minorHAnsi"/>
          <w:color w:val="000000" w:themeColor="text1"/>
          <w:sz w:val="24"/>
          <w:szCs w:val="24"/>
          <w:lang w:eastAsia="en-GB"/>
        </w:rPr>
      </w:pPr>
      <w:r w:rsidRPr="009B3747">
        <w:rPr>
          <w:rFonts w:eastAsia="Times New Roman" w:cstheme="minorHAnsi"/>
          <w:color w:val="000000" w:themeColor="text1"/>
          <w:sz w:val="24"/>
          <w:szCs w:val="24"/>
          <w:lang w:eastAsia="en-GB"/>
        </w:rPr>
        <w:t> </w:t>
      </w: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themeColor="text1"/>
          <w:lang w:eastAsia="en-GB"/>
        </w:rPr>
        <w:t xml:space="preserve">Having checked the data, entered it into SPSS and undertaken the required recoding of variables, the researcher utilised this software to generate descriptive </w:t>
      </w:r>
      <w:r w:rsidRPr="009B3747">
        <w:rPr>
          <w:rFonts w:eastAsia="Times New Roman" w:cstheme="minorHAnsi"/>
          <w:color w:val="000000"/>
          <w:lang w:eastAsia="en-GB"/>
        </w:rPr>
        <w:t>statistics.  D</w:t>
      </w:r>
      <w:r w:rsidR="00FB047F" w:rsidRPr="009B3747">
        <w:rPr>
          <w:rFonts w:eastAsia="Times New Roman" w:cstheme="minorHAnsi"/>
          <w:color w:val="000000"/>
          <w:lang w:eastAsia="en-GB"/>
        </w:rPr>
        <w:t xml:space="preserve">escriptive statistics are </w:t>
      </w:r>
      <w:r w:rsidR="00FB047F" w:rsidRPr="009B3747">
        <w:rPr>
          <w:rFonts w:eastAsia="Times New Roman" w:cstheme="minorHAnsi"/>
          <w:i/>
          <w:color w:val="000000"/>
          <w:lang w:eastAsia="en-GB"/>
        </w:rPr>
        <w:t>“</w:t>
      </w:r>
      <w:r w:rsidRPr="009B3747">
        <w:rPr>
          <w:rFonts w:eastAsia="Times New Roman" w:cstheme="minorHAnsi"/>
          <w:i/>
          <w:color w:val="000000"/>
          <w:lang w:eastAsia="en-GB"/>
        </w:rPr>
        <w:t>those that summarize patterns in the</w:t>
      </w:r>
      <w:r w:rsidR="00FB047F" w:rsidRPr="009B3747">
        <w:rPr>
          <w:rFonts w:eastAsia="Times New Roman" w:cstheme="minorHAnsi"/>
          <w:i/>
          <w:color w:val="000000"/>
          <w:lang w:eastAsia="en-GB"/>
        </w:rPr>
        <w:t xml:space="preserve"> responses of cases in a sample”</w:t>
      </w:r>
      <w:r w:rsidR="00E3179E" w:rsidRPr="009B3747">
        <w:rPr>
          <w:rFonts w:eastAsia="Times New Roman" w:cstheme="minorHAnsi"/>
          <w:color w:val="000000"/>
          <w:lang w:eastAsia="en-GB"/>
        </w:rPr>
        <w:t xml:space="preserve"> (De Vaus, 2002, p.</w:t>
      </w:r>
      <w:r w:rsidRPr="009B3747">
        <w:rPr>
          <w:rFonts w:eastAsia="Times New Roman" w:cstheme="minorHAnsi"/>
          <w:color w:val="000000"/>
          <w:lang w:eastAsia="en-GB"/>
        </w:rPr>
        <w:t>207) and are often presented in tables and graphs (Teddlie and Tashakkori, 2009).  In this study, frequencies and percentages generated via SPSS were utilised to describe the demographics of participants, the schools participants represented and the responses received to each question within the data col</w:t>
      </w:r>
      <w:r w:rsidR="00FB047F" w:rsidRPr="009B3747">
        <w:rPr>
          <w:rFonts w:eastAsia="Times New Roman" w:cstheme="minorHAnsi"/>
          <w:color w:val="000000"/>
          <w:lang w:eastAsia="en-GB"/>
        </w:rPr>
        <w:t>lection tool.  Within chapter eight</w:t>
      </w:r>
      <w:r w:rsidRPr="009B3747">
        <w:rPr>
          <w:rFonts w:eastAsia="Times New Roman" w:cstheme="minorHAnsi"/>
          <w:color w:val="000000"/>
          <w:lang w:eastAsia="en-GB"/>
        </w:rPr>
        <w:t>, descriptive statistics</w:t>
      </w:r>
      <w:r w:rsidR="00B46C02">
        <w:rPr>
          <w:rFonts w:eastAsia="Times New Roman" w:cstheme="minorHAnsi"/>
          <w:color w:val="000000"/>
          <w:lang w:eastAsia="en-GB"/>
        </w:rPr>
        <w:t>,</w:t>
      </w:r>
      <w:r w:rsidRPr="009B3747">
        <w:rPr>
          <w:rFonts w:eastAsia="Times New Roman" w:cstheme="minorHAnsi"/>
          <w:color w:val="000000"/>
          <w:lang w:eastAsia="en-GB"/>
        </w:rPr>
        <w:t xml:space="preserve"> i.e. frequencies and percentages are reported within summary tables (for participant and school demographics) and displayed as stacked bar charts (for responses to the remaining questionnaire content).</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t>Following the descriptive statistics being obtained, bivariate analysis was employed to investigate differences between and among groups</w:t>
      </w:r>
      <w:r w:rsidR="00FB047F" w:rsidRPr="009B3747">
        <w:rPr>
          <w:rFonts w:eastAsia="Times New Roman" w:cstheme="minorHAnsi"/>
          <w:color w:val="000000"/>
          <w:lang w:eastAsia="en-GB"/>
        </w:rPr>
        <w:t xml:space="preserve"> </w:t>
      </w:r>
      <w:r w:rsidR="00FB047F" w:rsidRPr="009B3747">
        <w:rPr>
          <w:rFonts w:eastAsia="Times New Roman" w:cstheme="minorHAnsi"/>
          <w:color w:val="000000"/>
          <w:lang w:eastAsia="en-GB"/>
        </w:rPr>
        <w:fldChar w:fldCharType="begin" w:fldLock="1"/>
      </w:r>
      <w:r w:rsidR="00A84723" w:rsidRPr="009B3747">
        <w:rPr>
          <w:rFonts w:eastAsia="Times New Roman" w:cstheme="minorHAnsi"/>
          <w:color w:val="000000"/>
          <w:lang w:eastAsia="en-GB"/>
        </w:rPr>
        <w:instrText>ADDIN CSL_CITATION { "citationItems" : [ { "id" : "ITEM-1", "itemData" : { "ISBN" : "0415268575", "abstract" : "5th ed. Previous edition: London: UCL, 1996. Scope of survey research -- Nature of surveys -- Theory and social research -- Formulating and clarifying research questions -- Collecting survey data -- Developing indicators for concepts -- Ethics and data collection -- Finding a sample -- Constructing and administering questionnaires -- Setting up the data for analysis -- Coding -- Preparing variables for analysis -- Building scales -- Analyzing survey data -- Overview of analysis -- Univariate analysis -- Bivariate analysis: nominal and ordinal variables -- Biavariate analysis for interval-level variables -- Elaborating bivariate relationships -- Multivariate analysis -- Putting it into practices: a research example.", "author" : [ { "dropping-particle" : "", "family" : "Vaus", "given" : "D.A", "non-dropping-particle" : "de", "parse-names" : false, "suffix" : "" } ], "edition" : "5th", "id" : "ITEM-1", "issued" : { "date-parts" : [ [ "2002" ] ] }, "number-of-pages" : "379", "publisher" : "Allen &amp; Unwin", "publisher-place" : "Sydney", "title" : "Surveys in social research", "type" : "book" }, "uris" : [ "http://www.mendeley.com/documents/?uuid=50279df5-627e-30cb-9dd0-d663677204bb" ] }, { "id" : "ITEM-2", "itemData" : { "ISBN" : "1847879071", "abstract" : "3rd ed. \"New fully up-to-date with SPSS versions 16 and 17\"--Page 4 of cover. Andy Field draws on his experience of teaching advanced statistics to extend existing SPSS Windows texts to a higher level. He covers ANOVA, MANOVA, logistic regression, comparing means tests and factor analysis. 1. Why is my evil lecturer forcing me to learn statistics? -- 2. Everything you ever wanted to know about statistics (well, sort of) -- 3. SPSS environment -- 4. Exploring data with graphs -- 5. Exploring assumptions -- 6. Correlation -- 7. Regression -- 8. Logistic regression -- 9. Comparing two means -- 10. Comparing several means: ANOVA (GLM 1) -- 11. Analysis of covariance, ANCOVA (GLM 2) -- 12. Factorial ANOVA (GLM 3) -- 13. Repeated-measures designs (GLM 4) -- 14. Mixed design ANOVA (GLM 5) -- 15. Non-parametric tests -- 16. Multivariate analysis of variance (MANOVA) -- 17. Exploratory factor analysis -- 18. Categorical data -- 19. Multilevel linear models.", "author" : [ { "dropping-particle" : "", "family" : "Field", "given" : "Andy P.", "non-dropping-particle" : "", "parse-names" : false, "suffix" : "" } ], "id" : "ITEM-2", "issued" : { "date-parts" : [ [ "2009" ] ] }, "number-of-pages" : "821", "publisher" : "SAGE Publications", "title" : "Discovering statistics using SPSS : (and sex and drugs and rock 'n' roll)", "type" : "book" }, "uris" : [ "http://www.mendeley.com/documents/?uuid=bbaa1b74-33a2-3c7d-bdf8-62337aed66c7" ] }, { "id" : "ITEM-3",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"Bryman", "given" : "Alan", "non-dropping-particle" : "", "parse-names" : false, "suffix" : "" } ], "edition" : "5th", "id" : "ITEM-3", "issued" : { "date-parts" : [ [ "2016" ] ] }, "publisher" : "Open University Press", "publisher-place" : "Oxford", "title" : "Social research methods Bryman", "type" : "book" }, "uris" : [ "http://www.mendeley.com/documents/?uuid=0692fe00-046b-4dd5-8926-ccb7f7ef6057" ] } ], "mendeley" : { "formattedCitation" : "(de Vaus, 2002; Field, 2009; Bryman, 2016)", "plainTextFormattedCitation" : "(de Vaus, 2002; Field, 2009; Bryman, 2016)", "previouslyFormattedCitation" : "(de Vaus, 2002; Field, 2009; Bryman, 2016)" }, "properties" : { "noteIndex" : 0 }, "schema" : "https://github.com/citation-style-language/schema/raw/master/csl-citation.json" }</w:instrText>
      </w:r>
      <w:r w:rsidR="00FB047F" w:rsidRPr="009B3747">
        <w:rPr>
          <w:rFonts w:eastAsia="Times New Roman" w:cstheme="minorHAnsi"/>
          <w:color w:val="000000"/>
          <w:lang w:eastAsia="en-GB"/>
        </w:rPr>
        <w:fldChar w:fldCharType="separate"/>
      </w:r>
      <w:r w:rsidR="00395650" w:rsidRPr="009B3747">
        <w:rPr>
          <w:rFonts w:eastAsia="Times New Roman" w:cstheme="minorHAnsi"/>
          <w:noProof/>
          <w:color w:val="000000"/>
          <w:lang w:eastAsia="en-GB"/>
        </w:rPr>
        <w:t>(de Vaus, 2002; Field, 2009; Bryman, 2016)</w:t>
      </w:r>
      <w:r w:rsidR="00FB047F" w:rsidRPr="009B3747">
        <w:rPr>
          <w:rFonts w:eastAsia="Times New Roman" w:cstheme="minorHAnsi"/>
          <w:color w:val="000000"/>
          <w:lang w:eastAsia="en-GB"/>
        </w:rPr>
        <w:fldChar w:fldCharType="end"/>
      </w:r>
      <w:r w:rsidR="00FB047F" w:rsidRPr="009B3747">
        <w:rPr>
          <w:rFonts w:eastAsia="Times New Roman" w:cstheme="minorHAnsi"/>
          <w:color w:val="000000"/>
          <w:lang w:eastAsia="en-GB"/>
        </w:rPr>
        <w:t xml:space="preserve">.  </w:t>
      </w:r>
      <w:r w:rsidRPr="009B3747">
        <w:rPr>
          <w:rFonts w:eastAsia="Times New Roman" w:cstheme="minorHAnsi"/>
          <w:color w:val="000000"/>
          <w:lang w:eastAsia="en-GB"/>
        </w:rPr>
        <w:t>Driven by the analysed quali</w:t>
      </w:r>
      <w:r w:rsidR="00867189">
        <w:rPr>
          <w:rFonts w:eastAsia="Times New Roman" w:cstheme="minorHAnsi"/>
          <w:color w:val="000000"/>
          <w:lang w:eastAsia="en-GB"/>
        </w:rPr>
        <w:t xml:space="preserve">tative findings, the researcher </w:t>
      </w:r>
      <w:r w:rsidRPr="009B3747">
        <w:rPr>
          <w:rFonts w:eastAsia="Times New Roman" w:cstheme="minorHAnsi"/>
          <w:color w:val="000000"/>
          <w:lang w:eastAsia="en-GB"/>
        </w:rPr>
        <w:t xml:space="preserve">was particularly interested in examining whether statistically significant associations and correlations existed between key independent variables (i.e. participant role type, school type, gender, pupil disadvantage and pupil population) and the </w:t>
      </w:r>
      <w:r w:rsidRPr="009B3747">
        <w:rPr>
          <w:rFonts w:eastAsia="Times New Roman" w:cstheme="minorHAnsi"/>
          <w:color w:val="000000"/>
          <w:lang w:eastAsia="en-GB"/>
        </w:rPr>
        <w:lastRenderedPageBreak/>
        <w:t>dependent variables (i.e. responses to questions or opinion statements).  In order to do this, three non-parametric statistical tests conducted within SPSS were utilised - Mann-Whitney U test, Chi-squared test and Spearman’s correlation coefficient.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t>Debate exists regarding whether responses to Likert scales can be treated as interval instead of ordinal data enabling parametric tests to be undertaken</w:t>
      </w:r>
      <w:r w:rsidR="00FB047F" w:rsidRPr="009B3747">
        <w:rPr>
          <w:rFonts w:eastAsia="Times New Roman" w:cstheme="minorHAnsi"/>
          <w:color w:val="000000"/>
          <w:lang w:eastAsia="en-GB"/>
        </w:rPr>
        <w:t xml:space="preserve"> </w:t>
      </w:r>
      <w:r w:rsidR="00FB047F"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"Winter", "given" : "JCF", "non-dropping-particle" : "De", "parse-names" : false, "suffix" : "" }, { "dropping-particle" : "", "family" : "Dodou", "given" : "D", "non-dropping-particle" : "", "parse-names" : false, "suffix" : "" } ], "container-title" : "Practical Assessment Research &amp; Evaluation", "id" : "ITEM-1", "issue" : "11", "issued" : { "date-parts" : [ [ "2010" ] ] }, "page" : "1-12", "title" : "Five-Point Likert Items: t Test versus Mann-Whitney-Wilcoxon", "type" : "article-journal", "volume" : "15" }, "uris" : [ "http://www.mendeley.com/documents/?uuid=06a90fd5-2924-4731-bd67-e1e1206c9298" ] } ], "mendeley" : { "formattedCitation" : "(De Winter and Dodou, 2010)", "plainTextFormattedCitation" : "(De Winter and Dodou, 2010)", "previouslyFormattedCitation" : "(De Winter and Dodou, 2010)" }, "properties" : { "noteIndex" : 0 }, "schema" : "https://github.com/citation-style-language/schema/raw/master/csl-citation.json" }</w:instrText>
      </w:r>
      <w:r w:rsidR="00FB047F" w:rsidRPr="009B3747">
        <w:rPr>
          <w:rFonts w:eastAsia="Times New Roman" w:cstheme="minorHAnsi"/>
          <w:color w:val="000000"/>
          <w:lang w:eastAsia="en-GB"/>
        </w:rPr>
        <w:fldChar w:fldCharType="separate"/>
      </w:r>
      <w:r w:rsidR="00FB047F" w:rsidRPr="009B3747">
        <w:rPr>
          <w:rFonts w:eastAsia="Times New Roman" w:cstheme="minorHAnsi"/>
          <w:noProof/>
          <w:color w:val="000000"/>
          <w:lang w:eastAsia="en-GB"/>
        </w:rPr>
        <w:t>(De Winter and Dodou, 2010)</w:t>
      </w:r>
      <w:r w:rsidR="00FB047F" w:rsidRPr="009B3747">
        <w:rPr>
          <w:rFonts w:eastAsia="Times New Roman" w:cstheme="minorHAnsi"/>
          <w:color w:val="000000"/>
          <w:lang w:eastAsia="en-GB"/>
        </w:rPr>
        <w:fldChar w:fldCharType="end"/>
      </w:r>
      <w:r w:rsidR="00FB047F" w:rsidRPr="009B3747">
        <w:rPr>
          <w:rFonts w:eastAsia="Times New Roman" w:cstheme="minorHAnsi"/>
          <w:color w:val="000000"/>
          <w:lang w:eastAsia="en-GB"/>
        </w:rPr>
        <w:t xml:space="preserve">.  </w:t>
      </w:r>
      <w:r w:rsidRPr="009B3747">
        <w:rPr>
          <w:rFonts w:eastAsia="Times New Roman" w:cstheme="minorHAnsi"/>
          <w:color w:val="000000"/>
          <w:lang w:eastAsia="en-GB"/>
        </w:rPr>
        <w:t>However the decision to employ non-parametric tests as opposed to parametric tests was based on the small samp</w:t>
      </w:r>
      <w:r w:rsidR="000A09B8" w:rsidRPr="009B3747">
        <w:rPr>
          <w:rFonts w:eastAsia="Times New Roman" w:cstheme="minorHAnsi"/>
          <w:color w:val="000000"/>
          <w:lang w:eastAsia="en-GB"/>
        </w:rPr>
        <w:t>le size obtained</w:t>
      </w:r>
      <w:r w:rsidRPr="009B3747">
        <w:rPr>
          <w:rFonts w:eastAsia="Times New Roman" w:cstheme="minorHAnsi"/>
          <w:color w:val="000000"/>
          <w:lang w:eastAsia="en-GB"/>
        </w:rPr>
        <w:t>, the majority of the data being categorical</w:t>
      </w:r>
      <w:r w:rsidR="00867189">
        <w:rPr>
          <w:rFonts w:eastAsia="Times New Roman" w:cstheme="minorHAnsi"/>
          <w:color w:val="000000"/>
          <w:lang w:eastAsia="en-GB"/>
        </w:rPr>
        <w:t xml:space="preserve"> in nature (nominal or ordinal), </w:t>
      </w:r>
      <w:r w:rsidRPr="009B3747">
        <w:rPr>
          <w:rFonts w:eastAsia="Times New Roman" w:cstheme="minorHAnsi"/>
          <w:color w:val="000000"/>
          <w:lang w:eastAsia="en-GB"/>
        </w:rPr>
        <w:t>and the inability to assume the population would be normally distributed (a requirement for conducting parametric tests),</w:t>
      </w:r>
      <w:r w:rsidR="00FB047F" w:rsidRPr="009B3747">
        <w:rPr>
          <w:rFonts w:eastAsia="Times New Roman" w:cstheme="minorHAnsi"/>
          <w:color w:val="000000"/>
          <w:lang w:eastAsia="en-GB"/>
        </w:rPr>
        <w:t xml:space="preserve"> </w:t>
      </w:r>
      <w:r w:rsidR="00FB047F"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"ISBN" : "0335242391", "abstract" : "4th ed. 'The PASW and SPSS Survival Manual' throws a lifeline to students and researchers grappling with this data analysis software. From the formulation of research questions, to the design of the study and analysis of data, to reporting the results, the author discusses basic and advanced statistical techniques. Data files and website -- Introduction and overview -- Getting started: Designing a study -- Preparing a codebook -- Getting to know SPSS -- Preparing the data file: Creating a data file and entering data -- Screening and cleaning the data -- Preliminary analyses: Descriptive statistics -- Using graphs to describe and explore the data -- Manipulating the data -- Checking the reliability of a scale -- Choosing the right statistic -- Statistical techniques to explore relationships among variables: Correlation -- Partial correlation -- Multiple regression -- Logistic regression -- Factor analysis -- Statistical techniques to compare groups: Non-parametric statistics -- T-tests -- One-way analysis of variance -- Two-way between-groups ANOVA -- Mixed between-within subjects analysis of variance -- Multivariate analysis of variance -- Analysis of covariance -- Appendix: Details of data files.", "author" : [ { "dropping-particle" : "", "family" : "Pallant", "given" : "Julie.", "non-dropping-particle" : "", "parse-names" : false, "suffix" : "" } ], "edition" : "4th", "id" : "ITEM-1", "issued" : { "date-parts" : [ [ "2010" ] ] }, "number-of-pages" : "345", "publisher" : "Open University Press/McGraw-Hill", "publisher-place" : "Maidenhead", "title" : "SPSS survival manual : a step by step guide to data analysis using SPSS", "type" : "book" }, "uris" : [ "http://www.mendeley.com/documents/?uuid=fa9815ae-287b-3c51-99de-06393344067c" ] } ], "mendeley" : { "formattedCitation" : "(Pallant, 2010)", "plainTextFormattedCitation" : "(Pallant, 2010)", "previouslyFormattedCitation" : "(Pallant, 2010)" }, "properties" : { "noteIndex" : 0 }, "schema" : "https://github.com/citation-style-language/schema/raw/master/csl-citation.json" }</w:instrText>
      </w:r>
      <w:r w:rsidR="00FB047F" w:rsidRPr="009B3747">
        <w:rPr>
          <w:rFonts w:eastAsia="Times New Roman" w:cstheme="minorHAnsi"/>
          <w:color w:val="000000"/>
          <w:lang w:eastAsia="en-GB"/>
        </w:rPr>
        <w:fldChar w:fldCharType="separate"/>
      </w:r>
      <w:r w:rsidR="00FB047F" w:rsidRPr="009B3747">
        <w:rPr>
          <w:rFonts w:eastAsia="Times New Roman" w:cstheme="minorHAnsi"/>
          <w:noProof/>
          <w:color w:val="000000"/>
          <w:lang w:eastAsia="en-GB"/>
        </w:rPr>
        <w:t>(Pallant, 2010)</w:t>
      </w:r>
      <w:r w:rsidR="00FB047F" w:rsidRPr="009B3747">
        <w:rPr>
          <w:rFonts w:eastAsia="Times New Roman" w:cstheme="minorHAnsi"/>
          <w:color w:val="000000"/>
          <w:lang w:eastAsia="en-GB"/>
        </w:rPr>
        <w:fldChar w:fldCharType="end"/>
      </w:r>
      <w:r w:rsidRPr="009B3747">
        <w:rPr>
          <w:rFonts w:eastAsia="Times New Roman" w:cstheme="minorHAnsi"/>
          <w:color w:val="000000"/>
          <w:lang w:eastAsia="en-GB"/>
        </w:rPr>
        <w:t>.  The purpose of conducting the non-parametric tests was in recognition of the desire to address</w:t>
      </w:r>
      <w:r w:rsidR="00022E3D" w:rsidRPr="009B3747">
        <w:rPr>
          <w:rFonts w:eastAsia="Times New Roman" w:cstheme="minorHAnsi"/>
          <w:color w:val="000000"/>
          <w:lang w:eastAsia="en-GB"/>
        </w:rPr>
        <w:t xml:space="preserve"> the following three questions:</w:t>
      </w:r>
      <w:r w:rsidRPr="009B3747">
        <w:rPr>
          <w:rFonts w:eastAsia="Times New Roman" w:cstheme="minorHAnsi"/>
          <w:color w:val="000000"/>
          <w:lang w:eastAsia="en-GB"/>
        </w:rPr>
        <w:t xml:space="preserve">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C27072">
      <w:pPr>
        <w:numPr>
          <w:ilvl w:val="0"/>
          <w:numId w:val="58"/>
        </w:numPr>
        <w:textAlignment w:val="baseline"/>
        <w:rPr>
          <w:rFonts w:eastAsia="Times New Roman" w:cstheme="minorHAnsi"/>
          <w:color w:val="000000"/>
          <w:lang w:eastAsia="en-GB"/>
        </w:rPr>
      </w:pPr>
      <w:r w:rsidRPr="009B3747">
        <w:rPr>
          <w:rFonts w:eastAsia="Times New Roman" w:cstheme="minorHAnsi"/>
          <w:color w:val="000000"/>
          <w:lang w:eastAsia="en-GB"/>
        </w:rPr>
        <w:t>Are there any statistically significant associations between the independent variables of participant role type, school type, gender and responses to questions posed within sections two</w:t>
      </w:r>
      <w:r w:rsidR="00B46C02">
        <w:rPr>
          <w:rFonts w:eastAsia="Times New Roman" w:cstheme="minorHAnsi"/>
          <w:color w:val="000000"/>
          <w:lang w:eastAsia="en-GB"/>
        </w:rPr>
        <w:t xml:space="preserve"> to five of the questionnaire? I.e. D</w:t>
      </w:r>
      <w:r w:rsidRPr="009B3747">
        <w:rPr>
          <w:rFonts w:eastAsia="Times New Roman" w:cstheme="minorHAnsi"/>
          <w:color w:val="000000"/>
          <w:lang w:eastAsia="en-GB"/>
        </w:rPr>
        <w:t>o certain groups more strongly agree with the statements provided than others?</w:t>
      </w:r>
    </w:p>
    <w:p w:rsidR="00991D2F" w:rsidRPr="009B3747" w:rsidRDefault="00991D2F" w:rsidP="00C27072">
      <w:pPr>
        <w:numPr>
          <w:ilvl w:val="0"/>
          <w:numId w:val="58"/>
        </w:numPr>
        <w:textAlignment w:val="baseline"/>
        <w:rPr>
          <w:rFonts w:eastAsia="Times New Roman" w:cstheme="minorHAnsi"/>
          <w:color w:val="000000"/>
          <w:lang w:eastAsia="en-GB"/>
        </w:rPr>
      </w:pPr>
      <w:r w:rsidRPr="009B3747">
        <w:rPr>
          <w:rFonts w:eastAsia="Times New Roman" w:cstheme="minorHAnsi"/>
          <w:color w:val="000000"/>
          <w:lang w:eastAsia="en-GB"/>
        </w:rPr>
        <w:t>For one question where a nominal scale instead of an ordinal scale is used, is there a statistically significant difference in the proportions of school types answering ‘Yes’ or ‘No’ to each statement or in the proportions of role types answering either ‘Un</w:t>
      </w:r>
      <w:r w:rsidR="00771B7D" w:rsidRPr="009B3747">
        <w:rPr>
          <w:rFonts w:eastAsia="Times New Roman" w:cstheme="minorHAnsi"/>
          <w:color w:val="000000"/>
          <w:lang w:eastAsia="en-GB"/>
        </w:rPr>
        <w:t>sure’ or ‘Yes’ and ‘No’.  I.e. A</w:t>
      </w:r>
      <w:r w:rsidRPr="009B3747">
        <w:rPr>
          <w:rFonts w:eastAsia="Times New Roman" w:cstheme="minorHAnsi"/>
          <w:color w:val="000000"/>
          <w:lang w:eastAsia="en-GB"/>
        </w:rPr>
        <w:t>re certain groups more likely to give a certain answer than others?</w:t>
      </w:r>
    </w:p>
    <w:p w:rsidR="00B30E97" w:rsidRPr="009B3747" w:rsidRDefault="00991D2F" w:rsidP="00B30E97">
      <w:pPr>
        <w:numPr>
          <w:ilvl w:val="0"/>
          <w:numId w:val="58"/>
        </w:numPr>
        <w:textAlignment w:val="baseline"/>
        <w:rPr>
          <w:rFonts w:eastAsia="Times New Roman" w:cstheme="minorHAnsi"/>
          <w:sz w:val="24"/>
          <w:szCs w:val="24"/>
          <w:lang w:eastAsia="en-GB"/>
        </w:rPr>
      </w:pPr>
      <w:r w:rsidRPr="009B3747">
        <w:rPr>
          <w:rFonts w:eastAsia="Times New Roman" w:cstheme="minorHAnsi"/>
          <w:color w:val="000000"/>
          <w:lang w:eastAsia="en-GB"/>
        </w:rPr>
        <w:t>Is there a statistically significant correlation between the independent variables of pupil disadvantage and pupil population and the proportions of responses to each question within sections t</w:t>
      </w:r>
      <w:r w:rsidR="00B30E97" w:rsidRPr="009B3747">
        <w:rPr>
          <w:rFonts w:eastAsia="Times New Roman" w:cstheme="minorHAnsi"/>
          <w:color w:val="000000"/>
          <w:lang w:eastAsia="en-GB"/>
        </w:rPr>
        <w:t>wo to five of the questionnaire?</w:t>
      </w:r>
    </w:p>
    <w:p w:rsidR="00991D2F" w:rsidRPr="009B3747" w:rsidRDefault="00991D2F" w:rsidP="00B30E97">
      <w:pPr>
        <w:ind w:left="720"/>
        <w:textAlignment w:val="baseline"/>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t>In order to answer the first question, Mann-Whitney U tests were conducted, a non-parametric test</w:t>
      </w:r>
      <w:r w:rsidR="00867189">
        <w:rPr>
          <w:rFonts w:eastAsia="Times New Roman" w:cstheme="minorHAnsi"/>
          <w:color w:val="000000"/>
          <w:lang w:eastAsia="en-GB"/>
        </w:rPr>
        <w:t xml:space="preserve">, </w:t>
      </w:r>
      <w:r w:rsidRPr="009B3747">
        <w:rPr>
          <w:rFonts w:eastAsia="Times New Roman" w:cstheme="minorHAnsi"/>
          <w:color w:val="000000"/>
          <w:lang w:eastAsia="en-GB"/>
        </w:rPr>
        <w:t>which enables differences between two independent samples to be examined</w:t>
      </w:r>
      <w:r w:rsidR="00B46C02">
        <w:rPr>
          <w:rFonts w:eastAsia="Times New Roman" w:cstheme="minorHAnsi"/>
          <w:color w:val="000000"/>
          <w:lang w:eastAsia="en-GB"/>
        </w:rPr>
        <w:t>,</w:t>
      </w:r>
      <w:r w:rsidRPr="009B3747">
        <w:rPr>
          <w:rFonts w:eastAsia="Times New Roman" w:cstheme="minorHAnsi"/>
          <w:color w:val="000000"/>
          <w:lang w:eastAsia="en-GB"/>
        </w:rPr>
        <w:t xml:space="preserve"> i.e</w:t>
      </w:r>
      <w:r w:rsidR="00B30E97" w:rsidRPr="009B3747">
        <w:rPr>
          <w:rFonts w:eastAsia="Times New Roman" w:cstheme="minorHAnsi"/>
          <w:color w:val="000000"/>
          <w:lang w:eastAsia="en-GB"/>
        </w:rPr>
        <w:t xml:space="preserve">. whether the ‘mean rank’ </w:t>
      </w:r>
      <w:r w:rsidRPr="009B3747">
        <w:rPr>
          <w:rFonts w:eastAsia="Times New Roman" w:cstheme="minorHAnsi"/>
          <w:color w:val="000000"/>
          <w:lang w:eastAsia="en-GB"/>
        </w:rPr>
        <w:t xml:space="preserve">of responses for a particular statement were the same or higher for an independent and dichotomous variable of interest.  For example, does one group </w:t>
      </w:r>
      <w:r w:rsidR="00B46C02">
        <w:rPr>
          <w:rFonts w:eastAsia="Times New Roman" w:cstheme="minorHAnsi"/>
          <w:color w:val="000000"/>
          <w:lang w:eastAsia="en-GB"/>
        </w:rPr>
        <w:t>(</w:t>
      </w:r>
      <w:r w:rsidRPr="009B3747">
        <w:rPr>
          <w:rFonts w:eastAsia="Times New Roman" w:cstheme="minorHAnsi"/>
          <w:color w:val="000000"/>
          <w:lang w:eastAsia="en-GB"/>
        </w:rPr>
        <w:t>i.e. head</w:t>
      </w:r>
      <w:r w:rsidR="00B46C02">
        <w:rPr>
          <w:rFonts w:eastAsia="Times New Roman" w:cstheme="minorHAnsi"/>
          <w:color w:val="000000"/>
          <w:lang w:eastAsia="en-GB"/>
        </w:rPr>
        <w:t xml:space="preserve">teachers or chairs of governors) </w:t>
      </w:r>
      <w:r w:rsidRPr="009B3747">
        <w:rPr>
          <w:rFonts w:eastAsia="Times New Roman" w:cstheme="minorHAnsi"/>
          <w:color w:val="000000"/>
          <w:lang w:eastAsia="en-GB"/>
        </w:rPr>
        <w:t>more strongly agree at a statistically significant level wit</w:t>
      </w:r>
      <w:r w:rsidR="00867189">
        <w:rPr>
          <w:rFonts w:eastAsia="Times New Roman" w:cstheme="minorHAnsi"/>
          <w:color w:val="000000"/>
          <w:lang w:eastAsia="en-GB"/>
        </w:rPr>
        <w:t>h a particular statement?</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t>The second question was addressed through use of a Chi-squared test for independence, which allows the relationship between two categorical and in this case two nominal variables to be examined (Bryman, 2016).  Chi-squared compares the observed frequencies of cases that happen in each category</w:t>
      </w:r>
      <w:r w:rsidR="00B46C02">
        <w:rPr>
          <w:rFonts w:eastAsia="Times New Roman" w:cstheme="minorHAnsi"/>
          <w:color w:val="000000"/>
          <w:lang w:eastAsia="en-GB"/>
        </w:rPr>
        <w:t xml:space="preserve"> (</w:t>
      </w:r>
      <w:r w:rsidRPr="009B3747">
        <w:rPr>
          <w:rFonts w:eastAsia="Times New Roman" w:cstheme="minorHAnsi"/>
          <w:color w:val="000000"/>
          <w:lang w:eastAsia="en-GB"/>
        </w:rPr>
        <w:t>i.e. school type</w:t>
      </w:r>
      <w:r w:rsidR="00B46C02">
        <w:rPr>
          <w:rFonts w:eastAsia="Times New Roman" w:cstheme="minorHAnsi"/>
          <w:color w:val="000000"/>
          <w:lang w:eastAsia="en-GB"/>
        </w:rPr>
        <w:t>)</w:t>
      </w:r>
      <w:r w:rsidRPr="009B3747">
        <w:rPr>
          <w:rFonts w:eastAsia="Times New Roman" w:cstheme="minorHAnsi"/>
          <w:color w:val="000000"/>
          <w:lang w:eastAsia="en-GB"/>
        </w:rPr>
        <w:t xml:space="preserve">, with values that would be expected if there was no association </w:t>
      </w:r>
      <w:r w:rsidRPr="009B3747">
        <w:rPr>
          <w:rFonts w:eastAsia="Times New Roman" w:cstheme="minorHAnsi"/>
          <w:color w:val="000000"/>
          <w:lang w:eastAsia="en-GB"/>
        </w:rPr>
        <w:lastRenderedPageBreak/>
        <w:t>bet</w:t>
      </w:r>
      <w:r w:rsidR="00B46C02">
        <w:rPr>
          <w:rFonts w:eastAsia="Times New Roman" w:cstheme="minorHAnsi"/>
          <w:color w:val="000000"/>
          <w:lang w:eastAsia="en-GB"/>
        </w:rPr>
        <w:t xml:space="preserve">ween the two variables measured, </w:t>
      </w:r>
      <w:r w:rsidRPr="009B3747">
        <w:rPr>
          <w:rFonts w:eastAsia="Times New Roman" w:cstheme="minorHAnsi"/>
          <w:color w:val="000000"/>
          <w:lang w:eastAsia="en-GB"/>
        </w:rPr>
        <w:t xml:space="preserve">i.e. school type and provision of extra-curricular physical activity opportunities (Pallant, </w:t>
      </w:r>
      <w:r w:rsidR="00FB047F" w:rsidRPr="009B3747">
        <w:rPr>
          <w:rFonts w:eastAsia="Times New Roman" w:cstheme="minorHAnsi"/>
          <w:color w:val="000000"/>
          <w:lang w:eastAsia="en-GB"/>
        </w:rPr>
        <w:t>2010</w:t>
      </w:r>
      <w:r w:rsidRPr="009B3747">
        <w:rPr>
          <w:rFonts w:eastAsia="Times New Roman" w:cstheme="minorHAnsi"/>
          <w:color w:val="000000"/>
          <w:lang w:eastAsia="en-GB"/>
        </w:rPr>
        <w:t>).</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4E33A6" w:rsidRPr="009B3747" w:rsidRDefault="00991D2F" w:rsidP="004E33A6">
      <w:pPr>
        <w:rPr>
          <w:rFonts w:eastAsia="Times New Roman" w:cstheme="minorHAnsi"/>
          <w:color w:val="000000" w:themeColor="text1"/>
          <w:lang w:eastAsia="en-GB"/>
        </w:rPr>
      </w:pPr>
      <w:r w:rsidRPr="009B3747">
        <w:rPr>
          <w:rFonts w:eastAsia="Times New Roman" w:cstheme="minorHAnsi"/>
          <w:color w:val="000000"/>
          <w:lang w:eastAsia="en-GB"/>
        </w:rPr>
        <w:t xml:space="preserve">As two of the independent variables of interest (i.e. pupil disadvantage and pupil population) were interval as opposed to nominal variables, it was not possible to conduct Mann-Whitney U or Chi-squared tests.  Consequently, the third question was addressed through performing Spearman’s </w:t>
      </w:r>
      <w:r w:rsidRPr="009B3747">
        <w:rPr>
          <w:rFonts w:eastAsia="Times New Roman" w:cstheme="minorHAnsi"/>
          <w:color w:val="000000" w:themeColor="text1"/>
          <w:lang w:eastAsia="en-GB"/>
        </w:rPr>
        <w:t>correlation coefficient, a test which measures the strength and direction of correlation between two ordinal variables or when one is variable is ordinal and the oth</w:t>
      </w:r>
      <w:r w:rsidR="004E33A6" w:rsidRPr="009B3747">
        <w:rPr>
          <w:rFonts w:eastAsia="Times New Roman" w:cstheme="minorHAnsi"/>
          <w:color w:val="000000" w:themeColor="text1"/>
          <w:lang w:eastAsia="en-GB"/>
        </w:rPr>
        <w:t xml:space="preserve">er is interval (Bryman, 2016).  Results from Spearman’s correlation coefficient tests were interpreted as follows </w:t>
      </w:r>
      <w:r w:rsidR="004E33A6" w:rsidRPr="009B3747">
        <w:rPr>
          <w:rFonts w:eastAsia="Times New Roman" w:cstheme="minorHAnsi"/>
          <w:color w:val="000000" w:themeColor="text1"/>
          <w:lang w:eastAsia="en-GB"/>
        </w:rPr>
        <w:fldChar w:fldCharType="begin" w:fldLock="1"/>
      </w:r>
      <w:r w:rsidR="00224C9C" w:rsidRPr="009B3747">
        <w:rPr>
          <w:rFonts w:eastAsia="Times New Roman" w:cstheme="minorHAnsi"/>
          <w:color w:val="000000" w:themeColor="text1"/>
          <w:lang w:eastAsia="en-GB"/>
        </w:rPr>
        <w:instrText>ADDIN CSL_CITATION { "citationItems" : [ { "id" : "ITEM-1", "itemData" : { "DOI" : "10.1037/0033-2909.112.1.155", "ISBN" : "0033-2909\\r1939-1455", "ISSN" : "0033-2909", "PMID" : "19565683", "abstract" : "One possible reason for the continued neglect of statistical power analysis in research in the behavioral sciences is the inaccessibility of or difficulty with the standard material. A convenient, although not comprehensive, presentation of required sample sizes is provided here. Effect-size indexes and conventional values for these are given for operationally defined small, medium, and large effects. The sample sizes necessary for .80 power to detect effects at these levels are tabled for eight standard statistical tests: (a) the difference between independent means, (b) the significance of a product-moment correlation, (c) the difference between independent rs, (d) the sign test, (e) the difference between independent proportions, (f) chi-square tests for goodness of fit and contin- gency tables, (g) one-way analysis of variance, and (h) the significance of a multiple or multiple partial correlation. The", "author" : [ { "dropping-particle" : "", "family" : "Cohen", "given" : "Jacob", "non-dropping-particle" : "", "parse-names" : false, "suffix" : "" } ], "container-title" : "Psychological Bulletin", "id" : "ITEM-1", "issue" : "1", "issued" : { "date-parts" : [ [ "1992", "7" ] ] }, "page" : "155-159", "title" : "Quantitative Methods in Psychology", "type" : "article-journal", "volume" : "112" }, "uris" : [ "http://www.mendeley.com/documents/?uuid=77fa090a-7763-3d5e-b229-a8dbe8558231" ] } ], "mendeley" : { "formattedCitation" : "(Cohen, 1992)", "plainTextFormattedCitation" : "(Cohen, 1992)", "previouslyFormattedCitation" : "(Cohen, 1992)" }, "properties" : { "noteIndex" : 0 }, "schema" : "https://github.com/citation-style-language/schema/raw/master/csl-citation.json" }</w:instrText>
      </w:r>
      <w:r w:rsidR="004E33A6" w:rsidRPr="009B3747">
        <w:rPr>
          <w:rFonts w:eastAsia="Times New Roman" w:cstheme="minorHAnsi"/>
          <w:color w:val="000000" w:themeColor="text1"/>
          <w:lang w:eastAsia="en-GB"/>
        </w:rPr>
        <w:fldChar w:fldCharType="separate"/>
      </w:r>
      <w:r w:rsidR="004E33A6" w:rsidRPr="009B3747">
        <w:rPr>
          <w:rFonts w:eastAsia="Times New Roman" w:cstheme="minorHAnsi"/>
          <w:noProof/>
          <w:color w:val="000000" w:themeColor="text1"/>
          <w:lang w:eastAsia="en-GB"/>
        </w:rPr>
        <w:t>(Cohen, 1992)</w:t>
      </w:r>
      <w:r w:rsidR="004E33A6" w:rsidRPr="009B3747">
        <w:rPr>
          <w:rFonts w:eastAsia="Times New Roman" w:cstheme="minorHAnsi"/>
          <w:color w:val="000000" w:themeColor="text1"/>
          <w:lang w:eastAsia="en-GB"/>
        </w:rPr>
        <w:fldChar w:fldCharType="end"/>
      </w:r>
      <w:r w:rsidR="00B30E97" w:rsidRPr="009B3747">
        <w:rPr>
          <w:rFonts w:eastAsia="Times New Roman" w:cstheme="minorHAnsi"/>
          <w:color w:val="000000" w:themeColor="text1"/>
          <w:lang w:eastAsia="en-GB"/>
        </w:rPr>
        <w:t>:</w:t>
      </w:r>
    </w:p>
    <w:p w:rsidR="004E33A6" w:rsidRPr="009B3747" w:rsidRDefault="004E33A6" w:rsidP="004E33A6">
      <w:pPr>
        <w:rPr>
          <w:rFonts w:eastAsia="Times New Roman" w:cstheme="minorHAnsi"/>
          <w:color w:val="000000" w:themeColor="text1"/>
          <w:sz w:val="24"/>
          <w:szCs w:val="24"/>
          <w:lang w:eastAsia="en-GB"/>
        </w:rPr>
      </w:pPr>
      <w:r w:rsidRPr="009B3747">
        <w:rPr>
          <w:rFonts w:eastAsia="Times New Roman" w:cstheme="minorHAnsi"/>
          <w:color w:val="000000" w:themeColor="text1"/>
          <w:sz w:val="24"/>
          <w:szCs w:val="24"/>
          <w:lang w:eastAsia="en-GB"/>
        </w:rPr>
        <w:t> </w:t>
      </w:r>
    </w:p>
    <w:p w:rsidR="004E33A6" w:rsidRPr="009B3747" w:rsidRDefault="004E33A6" w:rsidP="00C27072">
      <w:pPr>
        <w:numPr>
          <w:ilvl w:val="0"/>
          <w:numId w:val="64"/>
        </w:numPr>
        <w:textAlignment w:val="baseline"/>
        <w:rPr>
          <w:rFonts w:eastAsia="Times New Roman" w:cstheme="minorHAnsi"/>
          <w:color w:val="000000" w:themeColor="text1"/>
          <w:lang w:eastAsia="en-GB"/>
        </w:rPr>
      </w:pPr>
      <w:r w:rsidRPr="009B3747">
        <w:rPr>
          <w:rFonts w:eastAsia="Times New Roman" w:cstheme="minorHAnsi"/>
          <w:color w:val="000000" w:themeColor="text1"/>
          <w:lang w:eastAsia="en-GB"/>
        </w:rPr>
        <w:t xml:space="preserve">-0.3 to +0.3 weak correlation </w:t>
      </w:r>
    </w:p>
    <w:p w:rsidR="004E33A6" w:rsidRPr="009B3747" w:rsidRDefault="004E33A6" w:rsidP="00C27072">
      <w:pPr>
        <w:numPr>
          <w:ilvl w:val="0"/>
          <w:numId w:val="64"/>
        </w:numPr>
        <w:textAlignment w:val="baseline"/>
        <w:rPr>
          <w:rFonts w:eastAsia="Times New Roman" w:cstheme="minorHAnsi"/>
          <w:color w:val="000000" w:themeColor="text1"/>
          <w:lang w:eastAsia="en-GB"/>
        </w:rPr>
      </w:pPr>
      <w:r w:rsidRPr="009B3747">
        <w:rPr>
          <w:rFonts w:eastAsia="Times New Roman" w:cstheme="minorHAnsi"/>
          <w:color w:val="000000" w:themeColor="text1"/>
          <w:lang w:eastAsia="en-GB"/>
        </w:rPr>
        <w:t>-0.5 to -0.3 or 0.3 to 0.5 moderate correlation</w:t>
      </w:r>
    </w:p>
    <w:p w:rsidR="004E33A6" w:rsidRPr="009B3747" w:rsidRDefault="004E33A6" w:rsidP="00C27072">
      <w:pPr>
        <w:numPr>
          <w:ilvl w:val="0"/>
          <w:numId w:val="64"/>
        </w:numPr>
        <w:textAlignment w:val="baseline"/>
        <w:rPr>
          <w:rFonts w:eastAsia="Times New Roman" w:cstheme="minorHAnsi"/>
          <w:color w:val="000000" w:themeColor="text1"/>
          <w:lang w:eastAsia="en-GB"/>
        </w:rPr>
      </w:pPr>
      <w:r w:rsidRPr="009B3747">
        <w:rPr>
          <w:rFonts w:eastAsia="Times New Roman" w:cstheme="minorHAnsi"/>
          <w:color w:val="000000" w:themeColor="text1"/>
          <w:lang w:eastAsia="en-GB"/>
        </w:rPr>
        <w:t xml:space="preserve">-0.9 to -0.5 or 0.5 to 0.9 strong correlation </w:t>
      </w:r>
    </w:p>
    <w:p w:rsidR="004E33A6" w:rsidRPr="009B3747" w:rsidRDefault="004E33A6" w:rsidP="00C27072">
      <w:pPr>
        <w:numPr>
          <w:ilvl w:val="0"/>
          <w:numId w:val="64"/>
        </w:numPr>
        <w:textAlignment w:val="baseline"/>
        <w:rPr>
          <w:rFonts w:eastAsia="Times New Roman" w:cstheme="minorHAnsi"/>
          <w:color w:val="000000" w:themeColor="text1"/>
          <w:lang w:eastAsia="en-GB"/>
        </w:rPr>
      </w:pPr>
      <w:r w:rsidRPr="009B3747">
        <w:rPr>
          <w:rFonts w:eastAsia="Times New Roman" w:cstheme="minorHAnsi"/>
          <w:color w:val="000000" w:themeColor="text1"/>
          <w:lang w:eastAsia="en-GB"/>
        </w:rPr>
        <w:t xml:space="preserve">-1.0 to -0.9 or 0.9 to 1.0 very strong correlation </w:t>
      </w:r>
    </w:p>
    <w:p w:rsidR="004E33A6" w:rsidRPr="009B3747" w:rsidRDefault="004E33A6" w:rsidP="00991D2F">
      <w:pPr>
        <w:rPr>
          <w:rFonts w:eastAsia="Times New Roman" w:cstheme="minorHAnsi"/>
          <w:sz w:val="24"/>
          <w:szCs w:val="24"/>
          <w:lang w:eastAsia="en-GB"/>
        </w:rPr>
      </w:pPr>
    </w:p>
    <w:p w:rsidR="00991D2F" w:rsidRPr="009B3747" w:rsidRDefault="004E33A6" w:rsidP="00991D2F">
      <w:pPr>
        <w:rPr>
          <w:rFonts w:eastAsia="Times New Roman" w:cstheme="minorHAnsi"/>
          <w:lang w:eastAsia="en-GB"/>
        </w:rPr>
      </w:pPr>
      <w:r w:rsidRPr="009B3747">
        <w:rPr>
          <w:rFonts w:eastAsia="Times New Roman" w:cstheme="minorHAnsi"/>
          <w:lang w:eastAsia="en-GB"/>
        </w:rPr>
        <w:t>For all three non-parametric tests, r</w:t>
      </w:r>
      <w:r w:rsidR="00991D2F" w:rsidRPr="009B3747">
        <w:rPr>
          <w:rFonts w:eastAsia="Times New Roman" w:cstheme="minorHAnsi"/>
          <w:color w:val="000000"/>
          <w:lang w:eastAsia="en-GB"/>
        </w:rPr>
        <w:t>esults were interpreted as statistically significant when a p value was identified as &lt; 0.05.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CB18A0" w:rsidP="00991D2F">
      <w:pPr>
        <w:rPr>
          <w:rFonts w:eastAsia="Times New Roman" w:cstheme="minorHAnsi"/>
          <w:sz w:val="24"/>
          <w:szCs w:val="24"/>
          <w:u w:val="single"/>
          <w:lang w:eastAsia="en-GB"/>
        </w:rPr>
      </w:pPr>
      <w:r w:rsidRPr="009B3747">
        <w:rPr>
          <w:rFonts w:eastAsia="Times New Roman" w:cstheme="minorHAnsi"/>
          <w:iCs/>
          <w:color w:val="000000"/>
          <w:u w:val="single"/>
          <w:lang w:eastAsia="en-GB"/>
        </w:rPr>
        <w:t>7.8</w:t>
      </w:r>
      <w:r w:rsidR="00827CCD" w:rsidRPr="009B3747">
        <w:rPr>
          <w:rFonts w:eastAsia="Times New Roman" w:cstheme="minorHAnsi"/>
          <w:iCs/>
          <w:color w:val="000000"/>
          <w:u w:val="single"/>
          <w:lang w:eastAsia="en-GB"/>
        </w:rPr>
        <w:t xml:space="preserve">.2 </w:t>
      </w:r>
      <w:r w:rsidR="00991D2F" w:rsidRPr="009B3747">
        <w:rPr>
          <w:rFonts w:eastAsia="Times New Roman" w:cstheme="minorHAnsi"/>
          <w:iCs/>
          <w:color w:val="000000"/>
          <w:u w:val="single"/>
          <w:lang w:eastAsia="en-GB"/>
        </w:rPr>
        <w:t xml:space="preserve">Open question analysis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t>In addition to the demographic questions and closed opinion statements posed, participants were provided with four open free text questions.  Given the qualitative nature of the data obtained from these questions, it was not appropriate to utilise the same quantitative analytical methods employed for the closed questions and opinion statements.  The</w:t>
      </w:r>
      <w:r w:rsidR="00B30E97" w:rsidRPr="009B3747">
        <w:rPr>
          <w:rFonts w:eastAsia="Times New Roman" w:cstheme="minorHAnsi"/>
          <w:color w:val="000000"/>
          <w:lang w:eastAsia="en-GB"/>
        </w:rPr>
        <w:t xml:space="preserve"> four questions were as follows:</w:t>
      </w:r>
      <w:r w:rsidRPr="009B3747">
        <w:rPr>
          <w:rFonts w:eastAsia="Times New Roman" w:cstheme="minorHAnsi"/>
          <w:color w:val="000000"/>
          <w:lang w:eastAsia="en-GB"/>
        </w:rPr>
        <w:t xml:space="preserve">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C27072">
      <w:pPr>
        <w:numPr>
          <w:ilvl w:val="0"/>
          <w:numId w:val="61"/>
        </w:numPr>
        <w:textAlignment w:val="baseline"/>
        <w:rPr>
          <w:rFonts w:eastAsia="Times New Roman" w:cstheme="minorHAnsi"/>
          <w:i/>
          <w:iCs/>
          <w:color w:val="000000"/>
          <w:lang w:eastAsia="en-GB"/>
        </w:rPr>
      </w:pPr>
      <w:r w:rsidRPr="009B3747">
        <w:rPr>
          <w:rFonts w:eastAsia="Times New Roman" w:cstheme="minorHAnsi"/>
          <w:i/>
          <w:iCs/>
          <w:color w:val="000000"/>
          <w:lang w:eastAsia="en-GB"/>
        </w:rPr>
        <w:t>‘</w:t>
      </w:r>
      <w:r w:rsidRPr="009B3747">
        <w:rPr>
          <w:rFonts w:eastAsia="Times New Roman" w:cstheme="minorHAnsi"/>
          <w:i/>
          <w:iCs/>
          <w:color w:val="000000"/>
          <w:shd w:val="clear" w:color="auto" w:fill="FFFFFF"/>
          <w:lang w:eastAsia="en-GB"/>
        </w:rPr>
        <w:t>What other approaches to preventing excess weight gain in secondary school pupils are or could be effective?’</w:t>
      </w:r>
    </w:p>
    <w:p w:rsidR="00991D2F" w:rsidRPr="009B3747" w:rsidRDefault="00991D2F" w:rsidP="00827CCD">
      <w:pPr>
        <w:ind w:firstLine="60"/>
        <w:rPr>
          <w:rFonts w:eastAsia="Times New Roman" w:cstheme="minorHAnsi"/>
          <w:sz w:val="24"/>
          <w:szCs w:val="24"/>
          <w:lang w:eastAsia="en-GB"/>
        </w:rPr>
      </w:pPr>
    </w:p>
    <w:p w:rsidR="00991D2F" w:rsidRPr="009B3747" w:rsidRDefault="00991D2F" w:rsidP="00C27072">
      <w:pPr>
        <w:numPr>
          <w:ilvl w:val="0"/>
          <w:numId w:val="61"/>
        </w:numPr>
        <w:textAlignment w:val="baseline"/>
        <w:rPr>
          <w:rFonts w:eastAsia="Times New Roman" w:cstheme="minorHAnsi"/>
          <w:i/>
          <w:iCs/>
          <w:color w:val="000000"/>
          <w:lang w:eastAsia="en-GB"/>
        </w:rPr>
      </w:pPr>
      <w:r w:rsidRPr="009B3747">
        <w:rPr>
          <w:rFonts w:eastAsia="Times New Roman" w:cstheme="minorHAnsi"/>
          <w:i/>
          <w:iCs/>
          <w:color w:val="000000"/>
          <w:lang w:eastAsia="en-GB"/>
        </w:rPr>
        <w:t>‘</w:t>
      </w:r>
      <w:r w:rsidRPr="009B3747">
        <w:rPr>
          <w:rFonts w:eastAsia="Times New Roman" w:cstheme="minorHAnsi"/>
          <w:i/>
          <w:iCs/>
          <w:color w:val="000000"/>
          <w:shd w:val="clear" w:color="auto" w:fill="FFFFFF"/>
          <w:lang w:eastAsia="en-GB"/>
        </w:rPr>
        <w:t xml:space="preserve">Please describe any other barriers to your school for preventing excess weight gain in secondary school pupils’ </w:t>
      </w:r>
    </w:p>
    <w:p w:rsidR="00991D2F" w:rsidRPr="009B3747" w:rsidRDefault="00991D2F" w:rsidP="00827CCD">
      <w:pPr>
        <w:ind w:firstLine="60"/>
        <w:rPr>
          <w:rFonts w:eastAsia="Times New Roman" w:cstheme="minorHAnsi"/>
          <w:sz w:val="24"/>
          <w:szCs w:val="24"/>
          <w:lang w:eastAsia="en-GB"/>
        </w:rPr>
      </w:pPr>
    </w:p>
    <w:p w:rsidR="00991D2F" w:rsidRPr="009B3747" w:rsidRDefault="00991D2F" w:rsidP="00C27072">
      <w:pPr>
        <w:numPr>
          <w:ilvl w:val="0"/>
          <w:numId w:val="61"/>
        </w:numPr>
        <w:textAlignment w:val="baseline"/>
        <w:rPr>
          <w:rFonts w:eastAsia="Times New Roman" w:cstheme="minorHAnsi"/>
          <w:i/>
          <w:iCs/>
          <w:color w:val="000000"/>
          <w:lang w:eastAsia="en-GB"/>
        </w:rPr>
      </w:pPr>
      <w:r w:rsidRPr="009B3747">
        <w:rPr>
          <w:rFonts w:eastAsia="Times New Roman" w:cstheme="minorHAnsi"/>
          <w:i/>
          <w:iCs/>
          <w:color w:val="000000"/>
          <w:lang w:eastAsia="en-GB"/>
        </w:rPr>
        <w:t>‘</w:t>
      </w:r>
      <w:r w:rsidRPr="009B3747">
        <w:rPr>
          <w:rFonts w:eastAsia="Times New Roman" w:cstheme="minorHAnsi"/>
          <w:i/>
          <w:iCs/>
          <w:color w:val="000000"/>
          <w:shd w:val="clear" w:color="auto" w:fill="FFFFFF"/>
          <w:lang w:eastAsia="en-GB"/>
        </w:rPr>
        <w:t xml:space="preserve">Please describe any other facilitators that would help your school to prevent excess weight gain in secondary school pupils’ </w:t>
      </w:r>
    </w:p>
    <w:p w:rsidR="00991D2F" w:rsidRPr="009B3747" w:rsidRDefault="00991D2F" w:rsidP="00827CCD">
      <w:pPr>
        <w:ind w:firstLine="60"/>
        <w:rPr>
          <w:rFonts w:eastAsia="Times New Roman" w:cstheme="minorHAnsi"/>
          <w:sz w:val="24"/>
          <w:szCs w:val="24"/>
          <w:lang w:eastAsia="en-GB"/>
        </w:rPr>
      </w:pPr>
    </w:p>
    <w:p w:rsidR="00991D2F" w:rsidRPr="009B3747" w:rsidRDefault="00991D2F" w:rsidP="00C27072">
      <w:pPr>
        <w:numPr>
          <w:ilvl w:val="0"/>
          <w:numId w:val="61"/>
        </w:numPr>
        <w:shd w:val="clear" w:color="auto" w:fill="FFFFFF"/>
        <w:textAlignment w:val="baseline"/>
        <w:rPr>
          <w:rFonts w:eastAsia="Times New Roman" w:cstheme="minorHAnsi"/>
          <w:i/>
          <w:iCs/>
          <w:color w:val="000000"/>
          <w:lang w:eastAsia="en-GB"/>
        </w:rPr>
      </w:pPr>
      <w:r w:rsidRPr="009B3747">
        <w:rPr>
          <w:rFonts w:eastAsia="Times New Roman" w:cstheme="minorHAnsi"/>
          <w:i/>
          <w:iCs/>
          <w:color w:val="000000"/>
          <w:shd w:val="clear" w:color="auto" w:fill="FFFFFF"/>
          <w:lang w:eastAsia="en-GB"/>
        </w:rPr>
        <w:lastRenderedPageBreak/>
        <w:t>“Please provide any further comments you have about the prevention of excess weight gain in secondary schools”</w:t>
      </w:r>
    </w:p>
    <w:p w:rsidR="00827CCD" w:rsidRPr="009B3747" w:rsidRDefault="00827CCD" w:rsidP="00827CCD">
      <w:pPr>
        <w:shd w:val="clear" w:color="auto" w:fill="FFFFFF"/>
        <w:textAlignment w:val="baseline"/>
        <w:rPr>
          <w:rFonts w:eastAsia="Times New Roman" w:cstheme="minorHAnsi"/>
          <w:i/>
          <w:iCs/>
          <w:color w:val="000000"/>
          <w:lang w:eastAsia="en-GB"/>
        </w:rPr>
      </w:pPr>
    </w:p>
    <w:p w:rsidR="00991D2F" w:rsidRPr="009B3747" w:rsidRDefault="00991D2F" w:rsidP="00991D2F">
      <w:pPr>
        <w:rPr>
          <w:rFonts w:eastAsia="Times New Roman" w:cstheme="minorHAnsi"/>
          <w:sz w:val="24"/>
          <w:szCs w:val="24"/>
          <w:lang w:eastAsia="en-GB"/>
        </w:rPr>
      </w:pPr>
      <w:r w:rsidRPr="009B3747">
        <w:rPr>
          <w:rFonts w:eastAsia="Times New Roman" w:cstheme="minorHAnsi"/>
          <w:color w:val="000000"/>
          <w:lang w:eastAsia="en-GB"/>
        </w:rPr>
        <w:t>Whereas the fourth question enabled participants to submit any further comments they may have related to the topic under study, the first three directly corresponded to a set of closed opinion statements.  This fact coupled with the limited number of responses obtained for each open que</w:t>
      </w:r>
      <w:r w:rsidR="000A09B8" w:rsidRPr="009B3747">
        <w:rPr>
          <w:rFonts w:eastAsia="Times New Roman" w:cstheme="minorHAnsi"/>
          <w:color w:val="000000"/>
          <w:lang w:eastAsia="en-GB"/>
        </w:rPr>
        <w:t>stion (as described in chapter eight</w:t>
      </w:r>
      <w:r w:rsidR="00184F66">
        <w:rPr>
          <w:rFonts w:eastAsia="Times New Roman" w:cstheme="minorHAnsi"/>
          <w:color w:val="000000"/>
          <w:lang w:eastAsia="en-GB"/>
        </w:rPr>
        <w:t xml:space="preserve">), </w:t>
      </w:r>
      <w:r w:rsidRPr="009B3747">
        <w:rPr>
          <w:rFonts w:eastAsia="Times New Roman" w:cstheme="minorHAnsi"/>
          <w:color w:val="000000"/>
          <w:lang w:eastAsia="en-GB"/>
        </w:rPr>
        <w:t>meant undertaking a thematic analysis similar to that conducted in the qualitative phase was deemed both unnecessary and inappropriate.  Instead, the responses and resultant qualitative data was collated, reflected upon and summarised for each respective question.  Despite not a formal analysis, this process still allowed scope for discovery of diverse perspectives</w:t>
      </w:r>
      <w:r w:rsidRPr="009B3747">
        <w:rPr>
          <w:rFonts w:eastAsia="Times New Roman" w:cstheme="minorHAnsi"/>
          <w:color w:val="FF0000"/>
          <w:lang w:eastAsia="en-GB"/>
        </w:rPr>
        <w:t xml:space="preserve"> </w:t>
      </w:r>
      <w:r w:rsidRPr="009B3747">
        <w:rPr>
          <w:rFonts w:eastAsia="Times New Roman" w:cstheme="minorHAnsi"/>
          <w:color w:val="000000"/>
          <w:lang w:eastAsia="en-GB"/>
        </w:rPr>
        <w:t xml:space="preserve">(Gillham, 2000). </w:t>
      </w:r>
    </w:p>
    <w:p w:rsidR="00991D2F" w:rsidRPr="009B3747" w:rsidRDefault="00991D2F" w:rsidP="00991D2F">
      <w:pPr>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CB18A0" w:rsidP="00991D2F">
      <w:pPr>
        <w:rPr>
          <w:rFonts w:eastAsia="Times New Roman" w:cstheme="minorHAnsi"/>
          <w:b/>
          <w:bCs/>
          <w:color w:val="000000"/>
          <w:sz w:val="24"/>
          <w:szCs w:val="24"/>
          <w:u w:val="single"/>
          <w:lang w:eastAsia="en-GB"/>
        </w:rPr>
      </w:pPr>
      <w:r w:rsidRPr="009B3747">
        <w:rPr>
          <w:rFonts w:eastAsia="Times New Roman" w:cstheme="minorHAnsi"/>
          <w:b/>
          <w:bCs/>
          <w:color w:val="000000"/>
          <w:sz w:val="24"/>
          <w:szCs w:val="24"/>
          <w:u w:val="single"/>
          <w:lang w:eastAsia="en-GB"/>
        </w:rPr>
        <w:t>7.9</w:t>
      </w:r>
      <w:r w:rsidR="00827CCD" w:rsidRPr="009B3747">
        <w:rPr>
          <w:rFonts w:eastAsia="Times New Roman" w:cstheme="minorHAnsi"/>
          <w:b/>
          <w:bCs/>
          <w:color w:val="000000"/>
          <w:sz w:val="24"/>
          <w:szCs w:val="24"/>
          <w:u w:val="single"/>
          <w:lang w:eastAsia="en-GB"/>
        </w:rPr>
        <w:t xml:space="preserve"> </w:t>
      </w:r>
      <w:r w:rsidR="00991D2F" w:rsidRPr="009B3747">
        <w:rPr>
          <w:rFonts w:eastAsia="Times New Roman" w:cstheme="minorHAnsi"/>
          <w:b/>
          <w:bCs/>
          <w:color w:val="000000"/>
          <w:sz w:val="24"/>
          <w:szCs w:val="24"/>
          <w:u w:val="single"/>
          <w:lang w:eastAsia="en-GB"/>
        </w:rPr>
        <w:t>Ethical approach and procedures</w:t>
      </w:r>
    </w:p>
    <w:p w:rsidR="00827CCD" w:rsidRPr="009B3747" w:rsidRDefault="00827CCD" w:rsidP="00991D2F">
      <w:pPr>
        <w:rPr>
          <w:rFonts w:eastAsia="Times New Roman" w:cstheme="minorHAnsi"/>
          <w:sz w:val="24"/>
          <w:szCs w:val="24"/>
          <w:lang w:eastAsia="en-GB"/>
        </w:rPr>
      </w:pPr>
    </w:p>
    <w:p w:rsidR="00B30E97" w:rsidRPr="009B3747" w:rsidRDefault="00655CB8" w:rsidP="00991D2F">
      <w:pPr>
        <w:rPr>
          <w:rFonts w:eastAsia="Times New Roman" w:cstheme="minorHAnsi"/>
          <w:color w:val="000000"/>
          <w:lang w:eastAsia="en-GB"/>
        </w:rPr>
      </w:pPr>
      <w:r w:rsidRPr="009B3747">
        <w:rPr>
          <w:rFonts w:eastAsia="Times New Roman" w:cstheme="minorHAnsi"/>
          <w:color w:val="000000"/>
          <w:lang w:eastAsia="en-GB"/>
        </w:rPr>
        <w:t>As detailed in chapter five</w:t>
      </w:r>
      <w:r w:rsidR="00991D2F" w:rsidRPr="009B3747">
        <w:rPr>
          <w:rFonts w:eastAsia="Times New Roman" w:cstheme="minorHAnsi"/>
          <w:color w:val="000000"/>
          <w:lang w:eastAsia="en-GB"/>
        </w:rPr>
        <w:t>, a robust ethical approach and related p</w:t>
      </w:r>
      <w:r w:rsidRPr="009B3747">
        <w:rPr>
          <w:rFonts w:eastAsia="Times New Roman" w:cstheme="minorHAnsi"/>
          <w:color w:val="000000"/>
          <w:lang w:eastAsia="en-GB"/>
        </w:rPr>
        <w:t xml:space="preserve">rocedures guided by key </w:t>
      </w:r>
      <w:r w:rsidR="00184F66">
        <w:rPr>
          <w:rFonts w:eastAsia="Times New Roman" w:cstheme="minorHAnsi"/>
          <w:color w:val="000000"/>
          <w:lang w:eastAsia="en-GB"/>
        </w:rPr>
        <w:t xml:space="preserve">principles, </w:t>
      </w:r>
      <w:r w:rsidR="00991D2F" w:rsidRPr="009B3747">
        <w:rPr>
          <w:rFonts w:eastAsia="Times New Roman" w:cstheme="minorHAnsi"/>
          <w:color w:val="000000"/>
          <w:lang w:eastAsia="en-GB"/>
        </w:rPr>
        <w:t>were adhered to throughout both phases of the research project</w:t>
      </w:r>
      <w:r w:rsidR="00FB047F" w:rsidRPr="009B3747">
        <w:rPr>
          <w:rFonts w:eastAsia="Times New Roman" w:cstheme="minorHAnsi"/>
          <w:color w:val="000000"/>
          <w:lang w:eastAsia="en-GB"/>
        </w:rPr>
        <w:t xml:space="preserve"> </w:t>
      </w:r>
      <w:r w:rsidR="00FB047F"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"ISBN" : "0761971092", "abstract" : "Snape, D. \\&amp; Spencer, L. 2003. The foundation of qualitative research. Ritchie, J. \\&amp; Lewis, J. (eds.) Qualitative Research Practice: A Guide for Social Science Students and Researchers, 123. London \\&amp; Thousand Oaks: Sage.", "author" : [ { "dropping-particle" : "", "family" : "Snape", "given" : "Dawn", "non-dropping-particle" : "", "parse-names" : false, "suffix" : "" }, { "dropping-particle" : "", "family" : "Spencer", "given" : "Liz", "non-dropping-particle" : "", "parse-names" : false, "suffix" : "" } ], "chapter-number" : "1", "container-title" : "Qualitative Research Practice: A Guide for Social Science Students and Researchers", "id" : "ITEM-1", "issue" : "1", "issued" : { "date-parts" : [ [ "2003" ] ] }, "page" : "1-23", "publisher" : "SAGE Publications Inc.", "publisher-place" : "Thousand Oaks", "title" : "The Foundations of Qualitative Research", "type" : "chapter", "volume" : "11" }, "uris" : [ "http://www.mendeley.com/documents/?uuid=a1b90904-5f21-4348-af1f-c93c70300059" ] }, { "id" : "ITEM-2", "itemData" : { "ISBN" : "9781446209110", "abstract" : "Second edition. First edition published in 2003 and reprinted every year, ending in 2013. Providing a clear and accessible account of the qualitative research process, this book discusses the different forms and uses of qualitative research, the design, data collection, analysis and reporting. The foundations of qualitative research / Rachel Ormston, Liz Spencer, Matt Barnard, Dawn Snape -- The applications of qualitative methods to social research / Jane Ritchie and Rachel Ormston -- Design issues / Jane Lewis and Carol McNaughton Nicholls -- Ethical considerations in qualitative research / Stephen Webster, Jane Lewis and Ashley Brown -- Designing and selecting samples / Jane Ritchie, Jane Lewis, Gilliam Elam, Rosalind Tennant and Nilufer Rahim -- Designing fieldwork / Sue Arthur, Martin Mitchell, Jane Lewis and Carol McNaughton Nicholls -- In-depth interviews / Alice Yeo, Robin Legard, Jill Keegan, Kit Ward, Carol McNaughton Nicholls and Jane Lewis -- Focus groups / Helen Finch, Jane Lewis and Caroline Turley -- Observation / Carol McNaughton Nicholls, Lisa Mills and Mehul Kotecha -- Analysis: principles and processes / Liz Spencer, Jane Ritchie, Rachel Ormston, William O'Connor and Matt Barnard -- Analysis in practice / Liz Spencer, Jane Ritchie, William O'Connor, Gareth Morrell and Rachel Ormston -- Generalising from qualitative research / Jane Lewis, Jane Ritchie, Rachel Ormston and Gareth Morrell -- Writing up qualitative research / Clarissa White, Kandy Woodfield, Jane Ritchie and Rachel Ormston.", "author" : [ { "dropping-particle" : "", "family" : "Ritchie", "given" : "Jane", "non-dropping-particle" : "", "parse-names" : false, "suffix" : "" }, { "dropping-particle" : "", "family" : "Lewis", "given" : "Jane", "non-dropping-particle" : "", "parse-names" : false, "suffix" : "" }, { "dropping-particle" : "", "family" : "McNaughton Nicholls", "given" : "Carol.", "non-dropping-particle" : "", "parse-names" : false, "suffix" : "" }, { "dropping-particle" : "", "family" : "Ormston", "given" : "Rachel.", "non-dropping-particle" : "", "parse-names" : false, "suffix" : "" } ], "edition" : "2nd", "id" : "ITEM-2", "issued" : { "date-parts" : [ [ "2014" ] ] }, "number-of-pages" : "430", "publisher" : "SAGE Publications Ltd", "publisher-place" : "London", "title" : "Qualitative research practice : a guide for social science students and researchers", "type" : "book" }, "uris" : [ "http://www.mendeley.com/documents/?uuid=54782e48-e425-37de-9c30-38e6a8364708" ] }, { "id" : "ITEM-3",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"Bryman", "given" : "Alan", "non-dropping-particle" : "", "parse-names" : false, "suffix" : "" } ], "edition" : "5th", "id" : "ITEM-3", "issued" : { "date-parts" : [ [ "2016" ] ] }, "publisher" : "Open University Press", "publisher-place" : "Oxford", "title" : "Social research methods Bryman", "type" : "book" }, "uris" : [ "http://www.mendeley.com/documents/?uuid=0692fe00-046b-4dd5-8926-ccb7f7ef6057" ] } ], "mendeley" : { "formattedCitation" : "(Snape and Spencer, 2003; Ritchie et al., 2014; Bryman, 2016)", "plainTextFormattedCitation" : "(Snape and Spencer, 2003; Ritchie et al., 2014; Bryman, 2016)", "previouslyFormattedCitation" : "(Snape and Spencer, 2003; Ritchie et al., 2014; Bryman, 2016)" }, "properties" : { "noteIndex" : 0 }, "schema" : "https://github.com/citation-style-language/schema/raw/master/csl-citation.json" }</w:instrText>
      </w:r>
      <w:r w:rsidR="00FB047F" w:rsidRPr="009B3747">
        <w:rPr>
          <w:rFonts w:eastAsia="Times New Roman" w:cstheme="minorHAnsi"/>
          <w:color w:val="000000"/>
          <w:lang w:eastAsia="en-GB"/>
        </w:rPr>
        <w:fldChar w:fldCharType="separate"/>
      </w:r>
      <w:r w:rsidR="00FB047F" w:rsidRPr="009B3747">
        <w:rPr>
          <w:rFonts w:eastAsia="Times New Roman" w:cstheme="minorHAnsi"/>
          <w:noProof/>
          <w:color w:val="000000"/>
          <w:lang w:eastAsia="en-GB"/>
        </w:rPr>
        <w:t>(Snape and Spencer, 2003; Ritchie et al., 2014; Bryman, 2016)</w:t>
      </w:r>
      <w:r w:rsidR="00FB047F" w:rsidRPr="009B3747">
        <w:rPr>
          <w:rFonts w:eastAsia="Times New Roman" w:cstheme="minorHAnsi"/>
          <w:color w:val="000000"/>
          <w:lang w:eastAsia="en-GB"/>
        </w:rPr>
        <w:fldChar w:fldCharType="end"/>
      </w:r>
      <w:r w:rsidR="00FB047F" w:rsidRPr="009B3747">
        <w:rPr>
          <w:rFonts w:eastAsia="Times New Roman" w:cstheme="minorHAnsi"/>
          <w:color w:val="000000"/>
          <w:lang w:eastAsia="en-GB"/>
        </w:rPr>
        <w:t xml:space="preserve">.  </w:t>
      </w:r>
      <w:r w:rsidR="00991D2F" w:rsidRPr="009B3747">
        <w:rPr>
          <w:rFonts w:eastAsia="Times New Roman" w:cstheme="minorHAnsi"/>
          <w:color w:val="000000"/>
          <w:lang w:eastAsia="en-GB"/>
        </w:rPr>
        <w:t>Relevant to both phases was the researcher’s compliance to the University of Sheffield’s ‘Ethics Policy Governing Research Involving Human Participants, Personal Data and Human Tissue: Version 6’.  In addition, ethical approval</w:t>
      </w:r>
      <w:r w:rsidR="00FB047F" w:rsidRPr="009B3747">
        <w:rPr>
          <w:rFonts w:eastAsia="Times New Roman" w:cstheme="minorHAnsi"/>
          <w:color w:val="000000"/>
          <w:lang w:eastAsia="en-GB"/>
        </w:rPr>
        <w:t xml:space="preserve"> had been obtained from the ScHA</w:t>
      </w:r>
      <w:r w:rsidR="00991D2F" w:rsidRPr="009B3747">
        <w:rPr>
          <w:rFonts w:eastAsia="Times New Roman" w:cstheme="minorHAnsi"/>
          <w:color w:val="000000"/>
          <w:lang w:eastAsia="en-GB"/>
        </w:rPr>
        <w:t>RR Research Ethics Committee (SREC) in December 2015 to undertake the both phases of the rese</w:t>
      </w:r>
      <w:r w:rsidR="00FB047F" w:rsidRPr="009B3747">
        <w:rPr>
          <w:rFonts w:eastAsia="Times New Roman" w:cstheme="minorHAnsi"/>
          <w:color w:val="000000"/>
          <w:lang w:eastAsia="en-GB"/>
        </w:rPr>
        <w:t xml:space="preserve">arch study (number 006808 – </w:t>
      </w:r>
      <w:r w:rsidR="00991D2F" w:rsidRPr="009B3747">
        <w:rPr>
          <w:rFonts w:eastAsia="Times New Roman" w:cstheme="minorHAnsi"/>
          <w:color w:val="000000"/>
          <w:lang w:eastAsia="en-GB"/>
        </w:rPr>
        <w:t>Appendix</w:t>
      </w:r>
      <w:r w:rsidR="00503908" w:rsidRPr="009B3747">
        <w:rPr>
          <w:rFonts w:eastAsia="Times New Roman" w:cstheme="minorHAnsi"/>
          <w:color w:val="000000"/>
          <w:lang w:eastAsia="en-GB"/>
        </w:rPr>
        <w:t xml:space="preserve"> </w:t>
      </w:r>
      <w:r w:rsidR="003F4A2E" w:rsidRPr="009B3747">
        <w:rPr>
          <w:rFonts w:eastAsia="Times New Roman" w:cstheme="minorHAnsi"/>
          <w:color w:val="000000"/>
          <w:lang w:eastAsia="en-GB"/>
        </w:rPr>
        <w:t>H</w:t>
      </w:r>
      <w:r w:rsidR="00991D2F" w:rsidRPr="009B3747">
        <w:rPr>
          <w:rFonts w:eastAsia="Times New Roman" w:cstheme="minorHAnsi"/>
          <w:color w:val="000000"/>
          <w:lang w:eastAsia="en-GB"/>
        </w:rPr>
        <w:t>).  </w:t>
      </w:r>
    </w:p>
    <w:p w:rsidR="00B30E97" w:rsidRPr="009B3747" w:rsidRDefault="00B30E97" w:rsidP="00991D2F">
      <w:pPr>
        <w:rPr>
          <w:rFonts w:eastAsia="Times New Roman" w:cstheme="minorHAnsi"/>
          <w:color w:val="000000"/>
          <w:lang w:eastAsia="en-GB"/>
        </w:rPr>
      </w:pPr>
    </w:p>
    <w:p w:rsidR="00991D2F" w:rsidRPr="009B3747" w:rsidRDefault="00991D2F" w:rsidP="00991D2F">
      <w:pPr>
        <w:rPr>
          <w:rFonts w:eastAsia="Times New Roman" w:cstheme="minorHAnsi"/>
          <w:color w:val="000000"/>
          <w:lang w:eastAsia="en-GB"/>
        </w:rPr>
      </w:pPr>
      <w:r w:rsidRPr="009B3747">
        <w:rPr>
          <w:rFonts w:eastAsia="Times New Roman" w:cstheme="minorHAnsi"/>
          <w:color w:val="000000"/>
          <w:lang w:eastAsia="en-GB"/>
        </w:rPr>
        <w:t>In order to meet the requirements stipulated in this ethics approval, prior to collecting data in the quantitative phase, the researcher submitted an ethics amendment to the Chair of the SREC in November 2016.  The amendment detailed the finalised quantitative phase research aim and objectives, the specific methods proposed for approaching and recruiting participants and</w:t>
      </w:r>
      <w:r w:rsidR="00FE18C1" w:rsidRPr="009B3747">
        <w:rPr>
          <w:rFonts w:eastAsia="Times New Roman" w:cstheme="minorHAnsi"/>
          <w:color w:val="000000"/>
          <w:lang w:eastAsia="en-GB"/>
        </w:rPr>
        <w:t xml:space="preserve"> a copy of the </w:t>
      </w:r>
      <w:r w:rsidRPr="009B3747">
        <w:rPr>
          <w:rFonts w:eastAsia="Times New Roman" w:cstheme="minorHAnsi"/>
          <w:color w:val="000000"/>
          <w:lang w:eastAsia="en-GB"/>
        </w:rPr>
        <w:t>questionnaire.  Approval for this amendmen</w:t>
      </w:r>
      <w:r w:rsidR="00FB047F" w:rsidRPr="009B3747">
        <w:rPr>
          <w:rFonts w:eastAsia="Times New Roman" w:cstheme="minorHAnsi"/>
          <w:color w:val="000000"/>
          <w:lang w:eastAsia="en-GB"/>
        </w:rPr>
        <w:t>t was received in November 2016 (number 006808 – Appendix H)</w:t>
      </w:r>
    </w:p>
    <w:p w:rsidR="00FE18C1" w:rsidRPr="009B3747" w:rsidRDefault="00FE18C1" w:rsidP="00991D2F">
      <w:pPr>
        <w:rPr>
          <w:rFonts w:eastAsia="Times New Roman" w:cstheme="minorHAnsi"/>
          <w:sz w:val="24"/>
          <w:szCs w:val="24"/>
          <w:lang w:eastAsia="en-GB"/>
        </w:rPr>
      </w:pPr>
    </w:p>
    <w:p w:rsidR="00991D2F" w:rsidRPr="009B3747" w:rsidRDefault="00991D2F" w:rsidP="00991D2F">
      <w:pPr>
        <w:rPr>
          <w:rFonts w:eastAsia="Times New Roman" w:cstheme="minorHAnsi"/>
          <w:color w:val="000000"/>
          <w:lang w:eastAsia="en-GB"/>
        </w:rPr>
      </w:pPr>
      <w:r w:rsidRPr="009B3747">
        <w:rPr>
          <w:rFonts w:eastAsia="Times New Roman" w:cstheme="minorHAnsi"/>
          <w:color w:val="000000"/>
          <w:lang w:eastAsia="en-GB"/>
        </w:rPr>
        <w:t>In relation to the ethical procedures adopted specifically within the quantitative phase, the same key ethical principles</w:t>
      </w:r>
      <w:r w:rsidR="009025E2">
        <w:rPr>
          <w:rFonts w:eastAsia="Times New Roman" w:cstheme="minorHAnsi"/>
          <w:color w:val="000000"/>
          <w:lang w:eastAsia="en-GB"/>
        </w:rPr>
        <w:t>,</w:t>
      </w:r>
      <w:r w:rsidRPr="009B3747">
        <w:rPr>
          <w:rFonts w:eastAsia="Times New Roman" w:cstheme="minorHAnsi"/>
          <w:color w:val="000000"/>
          <w:lang w:eastAsia="en-GB"/>
        </w:rPr>
        <w:t xml:space="preserve"> which were presented</w:t>
      </w:r>
      <w:r w:rsidR="00FB047F" w:rsidRPr="009B3747">
        <w:rPr>
          <w:rFonts w:eastAsia="Times New Roman" w:cstheme="minorHAnsi"/>
          <w:color w:val="000000"/>
          <w:lang w:eastAsia="en-GB"/>
        </w:rPr>
        <w:t xml:space="preserve"> in the chapter five</w:t>
      </w:r>
      <w:r w:rsidR="00D37EF3" w:rsidRPr="009B3747">
        <w:rPr>
          <w:rFonts w:eastAsia="Times New Roman" w:cstheme="minorHAnsi"/>
          <w:color w:val="000000"/>
          <w:lang w:eastAsia="en-GB"/>
        </w:rPr>
        <w:t xml:space="preserve"> were adhered to.  </w:t>
      </w:r>
      <w:r w:rsidR="00FA418E" w:rsidRPr="009B3747">
        <w:rPr>
          <w:rFonts w:eastAsia="Times New Roman" w:cstheme="minorHAnsi"/>
          <w:color w:val="000000"/>
          <w:lang w:eastAsia="en-GB"/>
        </w:rPr>
        <w:t>T</w:t>
      </w:r>
      <w:r w:rsidR="00D37EF3" w:rsidRPr="009B3747">
        <w:rPr>
          <w:rFonts w:eastAsia="Times New Roman" w:cstheme="minorHAnsi"/>
          <w:color w:val="000000"/>
          <w:lang w:eastAsia="en-GB"/>
        </w:rPr>
        <w:t>able 7.2</w:t>
      </w:r>
      <w:r w:rsidR="00377EB3" w:rsidRPr="009B3747">
        <w:rPr>
          <w:rFonts w:eastAsia="Times New Roman" w:cstheme="minorHAnsi"/>
          <w:color w:val="000000"/>
          <w:lang w:eastAsia="en-GB"/>
        </w:rPr>
        <w:t xml:space="preserve"> identifies </w:t>
      </w:r>
      <w:r w:rsidRPr="009B3747">
        <w:rPr>
          <w:rFonts w:eastAsia="Times New Roman" w:cstheme="minorHAnsi"/>
          <w:color w:val="000000"/>
          <w:lang w:eastAsia="en-GB"/>
        </w:rPr>
        <w:t xml:space="preserve">how these ethical principles were addressed and adhered to within the quantitative phase. </w:t>
      </w:r>
    </w:p>
    <w:p w:rsidR="00827CCD" w:rsidRPr="009B3747" w:rsidRDefault="00827CCD" w:rsidP="00827CCD">
      <w:pPr>
        <w:spacing w:line="276" w:lineRule="auto"/>
        <w:rPr>
          <w:rFonts w:eastAsia="Times New Roman" w:cstheme="minorHAnsi"/>
          <w:sz w:val="24"/>
          <w:szCs w:val="24"/>
          <w:lang w:eastAsia="en-GB"/>
        </w:rPr>
      </w:pPr>
    </w:p>
    <w:p w:rsidR="00B30E97" w:rsidRPr="009B3747" w:rsidRDefault="00B30E97" w:rsidP="00827CCD">
      <w:pPr>
        <w:spacing w:line="276" w:lineRule="auto"/>
        <w:rPr>
          <w:rFonts w:eastAsia="Times New Roman" w:cstheme="minorHAnsi"/>
          <w:sz w:val="24"/>
          <w:szCs w:val="24"/>
          <w:lang w:eastAsia="en-GB"/>
        </w:rPr>
      </w:pPr>
    </w:p>
    <w:p w:rsidR="00991D2F" w:rsidRPr="009B3747" w:rsidRDefault="00D37EF3" w:rsidP="00827CCD">
      <w:pPr>
        <w:spacing w:line="276" w:lineRule="auto"/>
        <w:rPr>
          <w:rFonts w:eastAsia="Times New Roman" w:cstheme="minorHAnsi"/>
          <w:bCs/>
          <w:color w:val="000000"/>
          <w:u w:val="single"/>
          <w:lang w:eastAsia="en-GB"/>
        </w:rPr>
      </w:pPr>
      <w:r w:rsidRPr="009B3747">
        <w:rPr>
          <w:rFonts w:eastAsia="Times New Roman" w:cstheme="minorHAnsi"/>
          <w:bCs/>
          <w:color w:val="000000"/>
          <w:u w:val="single"/>
          <w:lang w:eastAsia="en-GB"/>
        </w:rPr>
        <w:lastRenderedPageBreak/>
        <w:t>Table 7.2</w:t>
      </w:r>
      <w:r w:rsidR="00991D2F" w:rsidRPr="009B3747">
        <w:rPr>
          <w:rFonts w:eastAsia="Times New Roman" w:cstheme="minorHAnsi"/>
          <w:bCs/>
          <w:color w:val="000000"/>
          <w:u w:val="single"/>
          <w:lang w:eastAsia="en-GB"/>
        </w:rPr>
        <w:t xml:space="preserve"> - Ethical Principles and how these were addressed in quantitative phase of the study</w:t>
      </w:r>
    </w:p>
    <w:p w:rsidR="00655CB8" w:rsidRPr="009B3747" w:rsidRDefault="00655CB8" w:rsidP="00827CCD">
      <w:pPr>
        <w:spacing w:line="276" w:lineRule="auto"/>
        <w:rPr>
          <w:rFonts w:eastAsia="Times New Roman" w:cstheme="minorHAnsi"/>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434"/>
        <w:gridCol w:w="6572"/>
      </w:tblGrid>
      <w:tr w:rsidR="00991D2F" w:rsidRPr="009B3747" w:rsidTr="00991D2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1D2F" w:rsidRPr="009B3747" w:rsidRDefault="00991D2F" w:rsidP="00827CCD">
            <w:pPr>
              <w:spacing w:line="276" w:lineRule="auto"/>
              <w:rPr>
                <w:rFonts w:eastAsia="Times New Roman" w:cstheme="minorHAnsi"/>
                <w:sz w:val="24"/>
                <w:szCs w:val="24"/>
                <w:lang w:eastAsia="en-GB"/>
              </w:rPr>
            </w:pPr>
            <w:r w:rsidRPr="009B3747">
              <w:rPr>
                <w:rFonts w:eastAsia="Times New Roman" w:cstheme="minorHAnsi"/>
                <w:color w:val="000000"/>
                <w:lang w:eastAsia="en-GB"/>
              </w:rPr>
              <w:t>Research should be worthwhile and should not make unreasonable demands on participants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1D2F" w:rsidRPr="009B3747" w:rsidRDefault="00991D2F" w:rsidP="00827CCD">
            <w:pPr>
              <w:spacing w:line="276" w:lineRule="auto"/>
              <w:rPr>
                <w:rFonts w:eastAsia="Times New Roman" w:cstheme="minorHAnsi"/>
                <w:sz w:val="24"/>
                <w:szCs w:val="24"/>
                <w:lang w:eastAsia="en-GB"/>
              </w:rPr>
            </w:pPr>
            <w:r w:rsidRPr="009B3747">
              <w:rPr>
                <w:rFonts w:eastAsia="Times New Roman" w:cstheme="minorHAnsi"/>
                <w:color w:val="000000"/>
                <w:lang w:eastAsia="en-GB"/>
              </w:rPr>
              <w:t xml:space="preserve">Firstly, it was established during the process of confirmation review (PhD upgrade) and obtaining ethics approval that the research was worthwhile and of some value given its potential for contributing to a valuable evidence base.  Secondly, during the process of ethical approval and subsequent approval of an ethical amendment, the quantitative phase and proposed methodology was viewed to not make unreasonable demands on participants.  Lastly, on the final page of the completed online questionnaire, participants were sincerely thanked for participating in the research. </w:t>
            </w:r>
          </w:p>
        </w:tc>
      </w:tr>
      <w:tr w:rsidR="00991D2F" w:rsidRPr="009B3747" w:rsidTr="00991D2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1D2F" w:rsidRPr="009B3747" w:rsidRDefault="00991D2F" w:rsidP="00827CCD">
            <w:pPr>
              <w:spacing w:line="276" w:lineRule="auto"/>
              <w:rPr>
                <w:rFonts w:eastAsia="Times New Roman" w:cstheme="minorHAnsi"/>
                <w:sz w:val="24"/>
                <w:szCs w:val="24"/>
                <w:lang w:eastAsia="en-GB"/>
              </w:rPr>
            </w:pPr>
            <w:r w:rsidRPr="009B3747">
              <w:rPr>
                <w:rFonts w:eastAsia="Times New Roman" w:cstheme="minorHAnsi"/>
                <w:color w:val="000000"/>
                <w:lang w:eastAsia="en-GB"/>
              </w:rPr>
              <w:t>Participation in research should be based on informed consent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1D2F" w:rsidRPr="009B3747" w:rsidRDefault="00991D2F" w:rsidP="00827CCD">
            <w:pPr>
              <w:spacing w:line="276" w:lineRule="auto"/>
              <w:rPr>
                <w:rFonts w:eastAsia="Times New Roman" w:cstheme="minorHAnsi"/>
                <w:color w:val="000000"/>
                <w:lang w:eastAsia="en-GB"/>
              </w:rPr>
            </w:pPr>
            <w:r w:rsidRPr="009B3747">
              <w:rPr>
                <w:rFonts w:eastAsia="Times New Roman" w:cstheme="minorHAnsi"/>
                <w:color w:val="000000"/>
                <w:lang w:eastAsia="en-GB"/>
              </w:rPr>
              <w:t xml:space="preserve">Once a potential participant access the questionnaire link, they were asked to read participant information.  This section of </w:t>
            </w:r>
            <w:r w:rsidR="00B30E97" w:rsidRPr="009B3747">
              <w:rPr>
                <w:rFonts w:eastAsia="Times New Roman" w:cstheme="minorHAnsi"/>
                <w:color w:val="000000"/>
                <w:lang w:eastAsia="en-GB"/>
              </w:rPr>
              <w:t>the questionnaire consisted of:</w:t>
            </w:r>
          </w:p>
          <w:p w:rsidR="00655CB8" w:rsidRPr="009B3747" w:rsidRDefault="00655CB8" w:rsidP="00827CCD">
            <w:pPr>
              <w:spacing w:line="276" w:lineRule="auto"/>
              <w:rPr>
                <w:rFonts w:eastAsia="Times New Roman" w:cstheme="minorHAnsi"/>
                <w:lang w:eastAsia="en-GB"/>
              </w:rPr>
            </w:pPr>
          </w:p>
          <w:p w:rsidR="00991D2F" w:rsidRPr="009B3747" w:rsidRDefault="00991D2F" w:rsidP="00C27072">
            <w:pPr>
              <w:pStyle w:val="ListParagraph"/>
              <w:numPr>
                <w:ilvl w:val="0"/>
                <w:numId w:val="119"/>
              </w:numPr>
              <w:spacing w:line="276" w:lineRule="auto"/>
              <w:rPr>
                <w:rFonts w:eastAsia="Times New Roman" w:cstheme="minorHAnsi"/>
                <w:lang w:eastAsia="en-GB"/>
              </w:rPr>
            </w:pPr>
            <w:r w:rsidRPr="009B3747">
              <w:rPr>
                <w:rFonts w:eastAsia="Times New Roman" w:cstheme="minorHAnsi"/>
                <w:color w:val="000000"/>
                <w:lang w:eastAsia="en-GB"/>
              </w:rPr>
              <w:t>An overview of the proposed research</w:t>
            </w:r>
          </w:p>
          <w:p w:rsidR="00991D2F" w:rsidRPr="009B3747" w:rsidRDefault="00991D2F" w:rsidP="00C27072">
            <w:pPr>
              <w:numPr>
                <w:ilvl w:val="0"/>
                <w:numId w:val="59"/>
              </w:numPr>
              <w:spacing w:line="276" w:lineRule="auto"/>
              <w:textAlignment w:val="baseline"/>
              <w:rPr>
                <w:rFonts w:eastAsia="Times New Roman" w:cstheme="minorHAnsi"/>
                <w:color w:val="000000"/>
                <w:lang w:eastAsia="en-GB"/>
              </w:rPr>
            </w:pPr>
            <w:r w:rsidRPr="009B3747">
              <w:rPr>
                <w:rFonts w:eastAsia="Times New Roman" w:cstheme="minorHAnsi"/>
                <w:color w:val="000000"/>
                <w:lang w:eastAsia="en-GB"/>
              </w:rPr>
              <w:t>What participation in the questionnaire involves</w:t>
            </w:r>
          </w:p>
          <w:p w:rsidR="00991D2F" w:rsidRPr="009B3747" w:rsidRDefault="00991D2F" w:rsidP="00C27072">
            <w:pPr>
              <w:numPr>
                <w:ilvl w:val="0"/>
                <w:numId w:val="59"/>
              </w:numPr>
              <w:spacing w:line="276" w:lineRule="auto"/>
              <w:textAlignment w:val="baseline"/>
              <w:rPr>
                <w:rFonts w:eastAsia="Times New Roman" w:cstheme="minorHAnsi"/>
                <w:color w:val="000000"/>
                <w:lang w:eastAsia="en-GB"/>
              </w:rPr>
            </w:pPr>
            <w:r w:rsidRPr="009B3747">
              <w:rPr>
                <w:rFonts w:eastAsia="Times New Roman" w:cstheme="minorHAnsi"/>
                <w:color w:val="000000"/>
                <w:lang w:eastAsia="en-GB"/>
              </w:rPr>
              <w:t>An explanation about voluntary participation and the right to withdraw at any point, without consequence</w:t>
            </w:r>
          </w:p>
          <w:p w:rsidR="00991D2F" w:rsidRPr="009B3747" w:rsidRDefault="00991D2F" w:rsidP="00C27072">
            <w:pPr>
              <w:numPr>
                <w:ilvl w:val="0"/>
                <w:numId w:val="59"/>
              </w:numPr>
              <w:spacing w:line="276" w:lineRule="auto"/>
              <w:textAlignment w:val="baseline"/>
              <w:rPr>
                <w:rFonts w:eastAsia="Times New Roman" w:cstheme="minorHAnsi"/>
                <w:color w:val="000000"/>
                <w:lang w:eastAsia="en-GB"/>
              </w:rPr>
            </w:pPr>
            <w:r w:rsidRPr="009B3747">
              <w:rPr>
                <w:rFonts w:eastAsia="Times New Roman" w:cstheme="minorHAnsi"/>
                <w:color w:val="000000"/>
                <w:lang w:eastAsia="en-GB"/>
              </w:rPr>
              <w:t>The data management procedures</w:t>
            </w:r>
          </w:p>
          <w:p w:rsidR="00991D2F" w:rsidRPr="009B3747" w:rsidRDefault="00991D2F" w:rsidP="00C27072">
            <w:pPr>
              <w:numPr>
                <w:ilvl w:val="0"/>
                <w:numId w:val="59"/>
              </w:numPr>
              <w:spacing w:line="276" w:lineRule="auto"/>
              <w:textAlignment w:val="baseline"/>
              <w:rPr>
                <w:rFonts w:eastAsia="Times New Roman" w:cstheme="minorHAnsi"/>
                <w:color w:val="000000"/>
                <w:lang w:eastAsia="en-GB"/>
              </w:rPr>
            </w:pPr>
            <w:r w:rsidRPr="009B3747">
              <w:rPr>
                <w:rFonts w:eastAsia="Times New Roman" w:cstheme="minorHAnsi"/>
                <w:color w:val="000000"/>
                <w:lang w:eastAsia="en-GB"/>
              </w:rPr>
              <w:t>The researchers contact email address</w:t>
            </w:r>
          </w:p>
          <w:p w:rsidR="00655CB8" w:rsidRPr="009B3747" w:rsidRDefault="00655CB8" w:rsidP="00655CB8">
            <w:pPr>
              <w:spacing w:line="276" w:lineRule="auto"/>
              <w:ind w:left="720"/>
              <w:textAlignment w:val="baseline"/>
              <w:rPr>
                <w:rFonts w:eastAsia="Times New Roman" w:cstheme="minorHAnsi"/>
                <w:color w:val="000000"/>
                <w:lang w:eastAsia="en-GB"/>
              </w:rPr>
            </w:pPr>
          </w:p>
          <w:p w:rsidR="00991D2F" w:rsidRPr="009B3747" w:rsidRDefault="00991D2F" w:rsidP="00827CCD">
            <w:pPr>
              <w:spacing w:line="276" w:lineRule="auto"/>
              <w:rPr>
                <w:rFonts w:eastAsia="Times New Roman" w:cstheme="minorHAnsi"/>
                <w:sz w:val="24"/>
                <w:szCs w:val="24"/>
                <w:lang w:eastAsia="en-GB"/>
              </w:rPr>
            </w:pPr>
            <w:r w:rsidRPr="009B3747">
              <w:rPr>
                <w:rFonts w:eastAsia="Times New Roman" w:cstheme="minorHAnsi"/>
                <w:color w:val="000000"/>
                <w:lang w:eastAsia="en-GB"/>
              </w:rPr>
              <w:t>After the participant information was presented, the first question posed to participants asked people to answer ‘yes’ or ‘no’ to the following statement – ‘I have read and understood the above information and want to participate’.</w:t>
            </w:r>
          </w:p>
          <w:p w:rsidR="00655CB8" w:rsidRPr="009B3747" w:rsidRDefault="00655CB8" w:rsidP="00827CCD">
            <w:pPr>
              <w:spacing w:line="276" w:lineRule="auto"/>
              <w:rPr>
                <w:rFonts w:eastAsia="Times New Roman" w:cstheme="minorHAnsi"/>
                <w:color w:val="000000"/>
                <w:lang w:eastAsia="en-GB"/>
              </w:rPr>
            </w:pPr>
          </w:p>
          <w:p w:rsidR="00991D2F" w:rsidRPr="009B3747" w:rsidRDefault="00991D2F" w:rsidP="00827CCD">
            <w:pPr>
              <w:spacing w:line="276" w:lineRule="auto"/>
              <w:rPr>
                <w:rFonts w:eastAsia="Times New Roman" w:cstheme="minorHAnsi"/>
                <w:sz w:val="24"/>
                <w:szCs w:val="24"/>
                <w:lang w:eastAsia="en-GB"/>
              </w:rPr>
            </w:pPr>
            <w:r w:rsidRPr="009B3747">
              <w:rPr>
                <w:rFonts w:eastAsia="Times New Roman" w:cstheme="minorHAnsi"/>
                <w:color w:val="000000"/>
                <w:lang w:eastAsia="en-GB"/>
              </w:rPr>
              <w:t>The questionnaire was designed so that participants were not able to proceed without selecting one of these options.  This was due to the wanting to minimise gaps or errors in the data in order to enhance data analysis.  However, it was made clear at the beginning of the online questionnaire th</w:t>
            </w:r>
            <w:r w:rsidR="00B46C02">
              <w:rPr>
                <w:rFonts w:eastAsia="Times New Roman" w:cstheme="minorHAnsi"/>
                <w:color w:val="000000"/>
                <w:lang w:eastAsia="en-GB"/>
              </w:rPr>
              <w:t>at participation in the research,</w:t>
            </w:r>
            <w:r w:rsidRPr="009B3747">
              <w:rPr>
                <w:rFonts w:eastAsia="Times New Roman" w:cstheme="minorHAnsi"/>
                <w:color w:val="000000"/>
                <w:lang w:eastAsia="en-GB"/>
              </w:rPr>
              <w:t xml:space="preserve"> i.e. by completing the questionnaire was entirely voluntary and in no way compulsory.</w:t>
            </w:r>
          </w:p>
        </w:tc>
      </w:tr>
      <w:tr w:rsidR="00991D2F" w:rsidRPr="009B3747" w:rsidTr="00991D2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1D2F" w:rsidRPr="009B3747" w:rsidRDefault="00991D2F" w:rsidP="00827CCD">
            <w:pPr>
              <w:spacing w:line="276" w:lineRule="auto"/>
              <w:rPr>
                <w:rFonts w:eastAsia="Times New Roman" w:cstheme="minorHAnsi"/>
                <w:sz w:val="24"/>
                <w:szCs w:val="24"/>
                <w:lang w:eastAsia="en-GB"/>
              </w:rPr>
            </w:pPr>
            <w:r w:rsidRPr="009B3747">
              <w:rPr>
                <w:rFonts w:eastAsia="Times New Roman" w:cstheme="minorHAnsi"/>
                <w:color w:val="000000"/>
                <w:lang w:eastAsia="en-GB"/>
              </w:rPr>
              <w:t>Participation should be voluntary and free from coercion or pressure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1D2F" w:rsidRPr="009B3747" w:rsidRDefault="00991D2F" w:rsidP="00827CCD">
            <w:pPr>
              <w:spacing w:line="276" w:lineRule="auto"/>
              <w:rPr>
                <w:rFonts w:eastAsia="Times New Roman" w:cstheme="minorHAnsi"/>
                <w:sz w:val="24"/>
                <w:szCs w:val="24"/>
                <w:lang w:eastAsia="en-GB"/>
              </w:rPr>
            </w:pPr>
            <w:r w:rsidRPr="009B3747">
              <w:rPr>
                <w:rFonts w:eastAsia="Times New Roman" w:cstheme="minorHAnsi"/>
                <w:color w:val="000000"/>
                <w:lang w:eastAsia="en-GB"/>
              </w:rPr>
              <w:t>Within the participant information provided at the start of the questionnaire, it was explicitly stated that if participants agreed to take part they would be doing so</w:t>
            </w:r>
            <w:r w:rsidR="0044293B">
              <w:rPr>
                <w:rFonts w:eastAsia="Times New Roman" w:cstheme="minorHAnsi"/>
                <w:color w:val="000000"/>
                <w:lang w:eastAsia="en-GB"/>
              </w:rPr>
              <w:t xml:space="preserve"> on an entirely voluntary basis, </w:t>
            </w:r>
            <w:r w:rsidRPr="009B3747">
              <w:rPr>
                <w:rFonts w:eastAsia="Times New Roman" w:cstheme="minorHAnsi"/>
                <w:color w:val="000000"/>
                <w:lang w:eastAsia="en-GB"/>
              </w:rPr>
              <w:t>and consent to participate could be retracted at any point.  This approach similarly to the qualitative procedures, hereby aimed to respect the fact that consent is dynamic in nature and a continual and evolving process rather than a single action (Pope and Mays, 2006).  </w:t>
            </w:r>
          </w:p>
          <w:p w:rsidR="00991D2F" w:rsidRPr="009B3747" w:rsidRDefault="00991D2F" w:rsidP="00827CCD">
            <w:pPr>
              <w:spacing w:line="276" w:lineRule="auto"/>
              <w:rPr>
                <w:rFonts w:eastAsia="Times New Roman" w:cstheme="minorHAnsi"/>
                <w:sz w:val="24"/>
                <w:szCs w:val="24"/>
                <w:lang w:eastAsia="en-GB"/>
              </w:rPr>
            </w:pPr>
            <w:r w:rsidRPr="009B3747">
              <w:rPr>
                <w:rFonts w:eastAsia="Times New Roman" w:cstheme="minorHAnsi"/>
                <w:color w:val="000000"/>
                <w:lang w:eastAsia="en-GB"/>
              </w:rPr>
              <w:lastRenderedPageBreak/>
              <w:t>No incentive was offered for participants to take part in the study.  In addition, whilst an explanation of the potential benefits of participation (related to the future impact of the research) were provided, in accordance with best practice (Ritchie et al, 2014), caution was used to not over claim the potential benefits and thereby indirectly pressure agreement to participate.</w:t>
            </w:r>
          </w:p>
        </w:tc>
      </w:tr>
      <w:tr w:rsidR="00991D2F" w:rsidRPr="009B3747" w:rsidTr="00991D2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1D2F" w:rsidRPr="009B3747" w:rsidRDefault="00991D2F" w:rsidP="00827CCD">
            <w:pPr>
              <w:spacing w:line="276" w:lineRule="auto"/>
              <w:rPr>
                <w:rFonts w:eastAsia="Times New Roman" w:cstheme="minorHAnsi"/>
                <w:sz w:val="24"/>
                <w:szCs w:val="24"/>
                <w:lang w:eastAsia="en-GB"/>
              </w:rPr>
            </w:pPr>
            <w:r w:rsidRPr="009B3747">
              <w:rPr>
                <w:rFonts w:eastAsia="Times New Roman" w:cstheme="minorHAnsi"/>
                <w:color w:val="000000"/>
                <w:lang w:eastAsia="en-GB"/>
              </w:rPr>
              <w:lastRenderedPageBreak/>
              <w:t>Adverse consequences of participation should be avoided and risks of harm known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18C1" w:rsidRPr="009B3747" w:rsidRDefault="00991D2F" w:rsidP="00827CCD">
            <w:pPr>
              <w:spacing w:line="276" w:lineRule="auto"/>
              <w:rPr>
                <w:rFonts w:eastAsia="Times New Roman" w:cstheme="minorHAnsi"/>
                <w:color w:val="000000"/>
                <w:lang w:eastAsia="en-GB"/>
              </w:rPr>
            </w:pPr>
            <w:r w:rsidRPr="009B3747">
              <w:rPr>
                <w:rFonts w:eastAsia="Times New Roman" w:cstheme="minorHAnsi"/>
                <w:color w:val="000000"/>
                <w:lang w:eastAsia="en-GB"/>
              </w:rPr>
              <w:t>Potential adverse consequences or risks were assessed and outlined within the ethics application to the ScHARR Ethics Committee.  It was anticipated that minimal (if any) harm would result from completing the online questionnaire.  The only potential</w:t>
            </w:r>
            <w:r w:rsidR="00B30E97" w:rsidRPr="009B3747">
              <w:rPr>
                <w:rFonts w:eastAsia="Times New Roman" w:cstheme="minorHAnsi"/>
                <w:color w:val="000000"/>
                <w:lang w:eastAsia="en-GB"/>
              </w:rPr>
              <w:t xml:space="preserve"> and minor issues proposed were:</w:t>
            </w:r>
          </w:p>
          <w:p w:rsidR="00B30E97" w:rsidRPr="009B3747" w:rsidRDefault="00B30E97" w:rsidP="00827CCD">
            <w:pPr>
              <w:spacing w:line="276" w:lineRule="auto"/>
              <w:rPr>
                <w:rFonts w:eastAsia="Times New Roman" w:cstheme="minorHAnsi"/>
                <w:sz w:val="24"/>
                <w:szCs w:val="24"/>
                <w:lang w:eastAsia="en-GB"/>
              </w:rPr>
            </w:pPr>
          </w:p>
          <w:p w:rsidR="00991D2F" w:rsidRPr="009B3747" w:rsidRDefault="00991D2F" w:rsidP="00C27072">
            <w:pPr>
              <w:numPr>
                <w:ilvl w:val="0"/>
                <w:numId w:val="60"/>
              </w:numPr>
              <w:spacing w:line="276" w:lineRule="auto"/>
              <w:textAlignment w:val="baseline"/>
              <w:rPr>
                <w:rFonts w:eastAsia="Times New Roman" w:cstheme="minorHAnsi"/>
                <w:color w:val="000000"/>
                <w:lang w:eastAsia="en-GB"/>
              </w:rPr>
            </w:pPr>
            <w:r w:rsidRPr="009B3747">
              <w:rPr>
                <w:rFonts w:eastAsia="Times New Roman" w:cstheme="minorHAnsi"/>
                <w:color w:val="000000"/>
                <w:lang w:eastAsia="en-GB"/>
              </w:rPr>
              <w:t>The time demands on participants to complete the online questionnaire (estimated to be up to 15 minutes)</w:t>
            </w:r>
          </w:p>
          <w:p w:rsidR="00991D2F" w:rsidRPr="009B3747" w:rsidRDefault="00991D2F" w:rsidP="00C27072">
            <w:pPr>
              <w:numPr>
                <w:ilvl w:val="0"/>
                <w:numId w:val="60"/>
              </w:numPr>
              <w:spacing w:line="276" w:lineRule="auto"/>
              <w:textAlignment w:val="baseline"/>
              <w:rPr>
                <w:rFonts w:eastAsia="Times New Roman" w:cstheme="minorHAnsi"/>
                <w:color w:val="000000"/>
                <w:lang w:eastAsia="en-GB"/>
              </w:rPr>
            </w:pPr>
            <w:r w:rsidRPr="009B3747">
              <w:rPr>
                <w:rFonts w:eastAsia="Times New Roman" w:cstheme="minorHAnsi"/>
                <w:color w:val="000000"/>
                <w:lang w:eastAsia="en-GB"/>
              </w:rPr>
              <w:t>Participants may feel uncomfortable about sharing or answering certain questions related to their views or experiences</w:t>
            </w:r>
          </w:p>
          <w:p w:rsidR="00991D2F" w:rsidRPr="009B3747" w:rsidRDefault="00991D2F" w:rsidP="00C27072">
            <w:pPr>
              <w:numPr>
                <w:ilvl w:val="0"/>
                <w:numId w:val="60"/>
              </w:numPr>
              <w:spacing w:line="276" w:lineRule="auto"/>
              <w:textAlignment w:val="baseline"/>
              <w:rPr>
                <w:rFonts w:eastAsia="Times New Roman" w:cstheme="minorHAnsi"/>
                <w:color w:val="000000"/>
                <w:lang w:eastAsia="en-GB"/>
              </w:rPr>
            </w:pPr>
            <w:r w:rsidRPr="009B3747">
              <w:rPr>
                <w:rFonts w:eastAsia="Times New Roman" w:cstheme="minorHAnsi"/>
                <w:color w:val="000000"/>
                <w:lang w:eastAsia="en-GB"/>
              </w:rPr>
              <w:t>Participants may feel concerned about the use of personal data</w:t>
            </w:r>
            <w:r w:rsidR="00B46C02">
              <w:rPr>
                <w:rFonts w:eastAsia="Times New Roman" w:cstheme="minorHAnsi"/>
                <w:color w:val="000000"/>
                <w:lang w:eastAsia="en-GB"/>
              </w:rPr>
              <w:t>,</w:t>
            </w:r>
            <w:r w:rsidRPr="009B3747">
              <w:rPr>
                <w:rFonts w:eastAsia="Times New Roman" w:cstheme="minorHAnsi"/>
                <w:color w:val="000000"/>
                <w:lang w:eastAsia="en-GB"/>
              </w:rPr>
              <w:t xml:space="preserve"> i.e. providing personal or school demographics</w:t>
            </w:r>
          </w:p>
          <w:p w:rsidR="00FE18C1" w:rsidRPr="009B3747" w:rsidRDefault="00FE18C1" w:rsidP="00FE18C1">
            <w:pPr>
              <w:spacing w:line="276" w:lineRule="auto"/>
              <w:ind w:left="720"/>
              <w:textAlignment w:val="baseline"/>
              <w:rPr>
                <w:rFonts w:eastAsia="Times New Roman" w:cstheme="minorHAnsi"/>
                <w:color w:val="000000"/>
                <w:lang w:eastAsia="en-GB"/>
              </w:rPr>
            </w:pPr>
          </w:p>
          <w:p w:rsidR="00991D2F" w:rsidRPr="009B3747" w:rsidRDefault="00991D2F" w:rsidP="00827CCD">
            <w:pPr>
              <w:spacing w:line="276" w:lineRule="auto"/>
              <w:rPr>
                <w:rFonts w:eastAsia="Times New Roman" w:cstheme="minorHAnsi"/>
                <w:sz w:val="24"/>
                <w:szCs w:val="24"/>
                <w:lang w:eastAsia="en-GB"/>
              </w:rPr>
            </w:pPr>
            <w:r w:rsidRPr="009B3747">
              <w:rPr>
                <w:rFonts w:eastAsia="Times New Roman" w:cstheme="minorHAnsi"/>
                <w:color w:val="000000"/>
                <w:lang w:eastAsia="en-GB"/>
              </w:rPr>
              <w:t>To address these issues, participants were assured that they were free to withdraw participation at any point without penalty or consequence.  Furthermore, within the first section of the questionnaire participants were provided with information about how the researcher would assure confidentiality and anonymity.</w:t>
            </w:r>
          </w:p>
        </w:tc>
      </w:tr>
      <w:tr w:rsidR="00991D2F" w:rsidRPr="009B3747" w:rsidTr="00991D2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1D2F" w:rsidRPr="009B3747" w:rsidRDefault="00991D2F" w:rsidP="00827CCD">
            <w:pPr>
              <w:spacing w:line="276" w:lineRule="auto"/>
              <w:rPr>
                <w:rFonts w:eastAsia="Times New Roman" w:cstheme="minorHAnsi"/>
                <w:sz w:val="24"/>
                <w:szCs w:val="24"/>
                <w:lang w:eastAsia="en-GB"/>
              </w:rPr>
            </w:pPr>
            <w:r w:rsidRPr="009B3747">
              <w:rPr>
                <w:rFonts w:eastAsia="Times New Roman" w:cstheme="minorHAnsi"/>
                <w:color w:val="000000"/>
                <w:lang w:eastAsia="en-GB"/>
              </w:rPr>
              <w:t>Confidentiality and anonymity should be respected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91D2F" w:rsidRPr="009B3747" w:rsidRDefault="00991D2F" w:rsidP="00827CCD">
            <w:pPr>
              <w:spacing w:line="276" w:lineRule="auto"/>
              <w:rPr>
                <w:rFonts w:eastAsia="Times New Roman" w:cstheme="minorHAnsi"/>
                <w:sz w:val="24"/>
                <w:szCs w:val="24"/>
                <w:lang w:eastAsia="en-GB"/>
              </w:rPr>
            </w:pPr>
            <w:r w:rsidRPr="009B3747">
              <w:rPr>
                <w:rFonts w:eastAsia="Times New Roman" w:cstheme="minorHAnsi"/>
                <w:color w:val="000000"/>
                <w:lang w:eastAsia="en-GB"/>
              </w:rPr>
              <w:t xml:space="preserve">Information about the security and non-disclosure of personal or identifying data was given to participants in the information provided in the first section of the questionnaire.  This included information regarding the fact that personal details would not be obtained or therefore shared with others and any verbatim quotations used for publication would be anonymised.  The IP addresses of participants were not collected. </w:t>
            </w:r>
          </w:p>
          <w:p w:rsidR="00991D2F" w:rsidRPr="009B3747" w:rsidRDefault="00991D2F" w:rsidP="00827CCD">
            <w:pPr>
              <w:spacing w:line="276" w:lineRule="auto"/>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827CCD">
            <w:pPr>
              <w:spacing w:line="276" w:lineRule="auto"/>
              <w:rPr>
                <w:rFonts w:eastAsia="Times New Roman" w:cstheme="minorHAnsi"/>
                <w:sz w:val="24"/>
                <w:szCs w:val="24"/>
                <w:lang w:eastAsia="en-GB"/>
              </w:rPr>
            </w:pPr>
            <w:r w:rsidRPr="009B3747">
              <w:rPr>
                <w:rFonts w:eastAsia="Times New Roman" w:cstheme="minorHAnsi"/>
                <w:color w:val="000000"/>
                <w:lang w:eastAsia="en-GB"/>
              </w:rPr>
              <w:t>Access to the data was restricted to the researcher and academic supervisors.  Although direct quotations from respondents may be published in reporting the findings of this study, these will be anonymised and care will be taken to ensure that identification of individuals is not possible.</w:t>
            </w:r>
          </w:p>
        </w:tc>
      </w:tr>
    </w:tbl>
    <w:p w:rsidR="00991D2F" w:rsidRPr="009B3747" w:rsidRDefault="00991D2F" w:rsidP="00827CCD">
      <w:pPr>
        <w:spacing w:line="276" w:lineRule="auto"/>
        <w:rPr>
          <w:rFonts w:eastAsia="Times New Roman" w:cstheme="minorHAnsi"/>
          <w:sz w:val="24"/>
          <w:szCs w:val="24"/>
          <w:lang w:eastAsia="en-GB"/>
        </w:rPr>
      </w:pPr>
      <w:r w:rsidRPr="009B3747">
        <w:rPr>
          <w:rFonts w:eastAsia="Times New Roman" w:cstheme="minorHAnsi"/>
          <w:sz w:val="24"/>
          <w:szCs w:val="24"/>
          <w:lang w:eastAsia="en-GB"/>
        </w:rPr>
        <w:t> </w:t>
      </w:r>
    </w:p>
    <w:p w:rsidR="00991D2F" w:rsidRPr="009B3747" w:rsidRDefault="00991D2F" w:rsidP="00827CCD">
      <w:pPr>
        <w:spacing w:line="276" w:lineRule="auto"/>
        <w:rPr>
          <w:rFonts w:eastAsia="Times New Roman" w:cstheme="minorHAnsi"/>
          <w:sz w:val="24"/>
          <w:szCs w:val="24"/>
          <w:lang w:eastAsia="en-GB"/>
        </w:rPr>
      </w:pPr>
      <w:r w:rsidRPr="009B3747">
        <w:rPr>
          <w:rFonts w:eastAsia="Times New Roman" w:cstheme="minorHAnsi"/>
          <w:sz w:val="24"/>
          <w:szCs w:val="24"/>
          <w:lang w:eastAsia="en-GB"/>
        </w:rPr>
        <w:t> </w:t>
      </w:r>
    </w:p>
    <w:p w:rsidR="005647C8" w:rsidRDefault="005647C8" w:rsidP="005647C8">
      <w:pPr>
        <w:spacing w:line="276" w:lineRule="auto"/>
        <w:ind w:left="2880" w:firstLine="720"/>
        <w:rPr>
          <w:rFonts w:cstheme="minorHAnsi"/>
          <w:b/>
          <w:bCs/>
          <w:color w:val="000000"/>
          <w:sz w:val="36"/>
          <w:szCs w:val="36"/>
          <w:u w:val="single"/>
        </w:rPr>
      </w:pPr>
    </w:p>
    <w:p w:rsidR="00931DD9" w:rsidRPr="009B3747" w:rsidRDefault="00BD6288" w:rsidP="005647C8">
      <w:pPr>
        <w:spacing w:line="276" w:lineRule="auto"/>
        <w:ind w:left="2880" w:firstLine="720"/>
        <w:rPr>
          <w:rFonts w:cstheme="minorHAnsi"/>
          <w:b/>
          <w:bCs/>
          <w:color w:val="000000"/>
          <w:sz w:val="36"/>
          <w:szCs w:val="36"/>
          <w:u w:val="single"/>
        </w:rPr>
      </w:pPr>
      <w:r w:rsidRPr="009B3747">
        <w:rPr>
          <w:rFonts w:cstheme="minorHAnsi"/>
          <w:b/>
          <w:bCs/>
          <w:color w:val="000000"/>
          <w:sz w:val="36"/>
          <w:szCs w:val="36"/>
          <w:u w:val="single"/>
        </w:rPr>
        <w:lastRenderedPageBreak/>
        <w:t>C</w:t>
      </w:r>
      <w:r w:rsidR="00931DD9" w:rsidRPr="009B3747">
        <w:rPr>
          <w:rFonts w:cstheme="minorHAnsi"/>
          <w:b/>
          <w:bCs/>
          <w:color w:val="000000"/>
          <w:sz w:val="36"/>
          <w:szCs w:val="36"/>
          <w:u w:val="single"/>
        </w:rPr>
        <w:t>hapter 8</w:t>
      </w:r>
    </w:p>
    <w:p w:rsidR="00931DD9" w:rsidRPr="009B3747" w:rsidRDefault="00931DD9" w:rsidP="00010668">
      <w:pPr>
        <w:spacing w:line="276" w:lineRule="auto"/>
        <w:rPr>
          <w:rFonts w:cstheme="minorHAnsi"/>
          <w:b/>
          <w:bCs/>
          <w:color w:val="000000"/>
          <w:sz w:val="32"/>
          <w:szCs w:val="32"/>
          <w:u w:val="single"/>
        </w:rPr>
      </w:pPr>
    </w:p>
    <w:p w:rsidR="00827CCD" w:rsidRPr="009B3747" w:rsidRDefault="00827CCD" w:rsidP="00010668">
      <w:pPr>
        <w:spacing w:line="276" w:lineRule="auto"/>
        <w:rPr>
          <w:rFonts w:cstheme="minorHAnsi"/>
          <w:b/>
          <w:bCs/>
          <w:color w:val="000000"/>
          <w:sz w:val="32"/>
          <w:szCs w:val="32"/>
          <w:u w:val="single"/>
        </w:rPr>
      </w:pPr>
      <w:r w:rsidRPr="009B3747">
        <w:rPr>
          <w:rFonts w:cstheme="minorHAnsi"/>
          <w:b/>
          <w:bCs/>
          <w:color w:val="000000"/>
          <w:sz w:val="32"/>
          <w:szCs w:val="32"/>
          <w:u w:val="single"/>
        </w:rPr>
        <w:t>Quantitative results</w:t>
      </w:r>
    </w:p>
    <w:p w:rsidR="00ED1954" w:rsidRPr="009B3747" w:rsidRDefault="00ED1954" w:rsidP="00827CCD">
      <w:pPr>
        <w:pStyle w:val="NormalWeb"/>
        <w:spacing w:before="0" w:beforeAutospacing="0" w:after="0" w:afterAutospacing="0" w:line="360" w:lineRule="auto"/>
        <w:rPr>
          <w:rFonts w:asciiTheme="minorHAnsi" w:hAnsiTheme="minorHAnsi" w:cstheme="minorHAnsi"/>
        </w:rPr>
      </w:pPr>
    </w:p>
    <w:p w:rsidR="00862852" w:rsidRPr="009B3747" w:rsidRDefault="00862852" w:rsidP="00827CCD">
      <w:pPr>
        <w:pStyle w:val="NormalWeb"/>
        <w:spacing w:before="0" w:beforeAutospacing="0" w:after="0" w:afterAutospacing="0" w:line="360" w:lineRule="auto"/>
        <w:rPr>
          <w:rFonts w:asciiTheme="minorHAnsi" w:hAnsiTheme="minorHAnsi" w:cstheme="minorHAnsi"/>
          <w:b/>
          <w:u w:val="single"/>
        </w:rPr>
      </w:pPr>
      <w:r w:rsidRPr="009B3747">
        <w:rPr>
          <w:rFonts w:asciiTheme="minorHAnsi" w:hAnsiTheme="minorHAnsi" w:cstheme="minorHAnsi"/>
          <w:b/>
          <w:u w:val="single"/>
        </w:rPr>
        <w:t>8.1 Introduction</w:t>
      </w:r>
    </w:p>
    <w:p w:rsidR="00862852" w:rsidRPr="009B3747" w:rsidRDefault="00862852" w:rsidP="00827CCD">
      <w:pPr>
        <w:pStyle w:val="NormalWeb"/>
        <w:spacing w:before="0" w:beforeAutospacing="0" w:after="0" w:afterAutospacing="0" w:line="360" w:lineRule="auto"/>
        <w:rPr>
          <w:rFonts w:asciiTheme="minorHAnsi" w:hAnsiTheme="minorHAnsi" w:cstheme="minorHAnsi"/>
        </w:rPr>
      </w:pP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This chapter presents the analysed results of the descriptive cross-sectio</w:t>
      </w:r>
      <w:r w:rsidR="00551065" w:rsidRPr="009B3747">
        <w:rPr>
          <w:rFonts w:eastAsia="Times New Roman" w:cstheme="minorHAnsi"/>
          <w:color w:val="000000"/>
          <w:lang w:eastAsia="en-GB"/>
        </w:rPr>
        <w:t xml:space="preserve">nal survey and is organised </w:t>
      </w:r>
      <w:r w:rsidR="00256CB0" w:rsidRPr="009B3747">
        <w:rPr>
          <w:rFonts w:eastAsia="Times New Roman" w:cstheme="minorHAnsi"/>
          <w:color w:val="000000"/>
          <w:lang w:eastAsia="en-GB"/>
        </w:rPr>
        <w:t>into</w:t>
      </w:r>
      <w:r w:rsidR="00551065" w:rsidRPr="009B3747">
        <w:rPr>
          <w:rFonts w:eastAsia="Times New Roman" w:cstheme="minorHAnsi"/>
          <w:color w:val="000000"/>
          <w:lang w:eastAsia="en-GB"/>
        </w:rPr>
        <w:t xml:space="preserve"> two overarching sections</w:t>
      </w:r>
      <w:r w:rsidR="00931DD9" w:rsidRPr="009B3747">
        <w:rPr>
          <w:rFonts w:eastAsia="Times New Roman" w:cstheme="minorHAnsi"/>
          <w:color w:val="000000"/>
          <w:lang w:eastAsia="en-GB"/>
        </w:rPr>
        <w:t>.  As with</w:t>
      </w:r>
      <w:r w:rsidR="00CA68C8" w:rsidRPr="009B3747">
        <w:rPr>
          <w:rFonts w:eastAsia="Times New Roman" w:cstheme="minorHAnsi"/>
          <w:color w:val="000000"/>
          <w:lang w:eastAsia="en-GB"/>
        </w:rPr>
        <w:t xml:space="preserve"> the qualitative findings presented in</w:t>
      </w:r>
      <w:r w:rsidR="00931DD9" w:rsidRPr="009B3747">
        <w:rPr>
          <w:rFonts w:eastAsia="Times New Roman" w:cstheme="minorHAnsi"/>
          <w:color w:val="000000"/>
          <w:lang w:eastAsia="en-GB"/>
        </w:rPr>
        <w:t xml:space="preserve"> chapter six</w:t>
      </w:r>
      <w:r w:rsidRPr="009B3747">
        <w:rPr>
          <w:rFonts w:eastAsia="Times New Roman" w:cstheme="minorHAnsi"/>
          <w:color w:val="000000"/>
          <w:lang w:eastAsia="en-GB"/>
        </w:rPr>
        <w:t>, the results from this quantitative phase of the research are reported across without theoretical discussion or connection to the relevant literature.  </w:t>
      </w:r>
    </w:p>
    <w:p w:rsidR="00ED1954" w:rsidRPr="009B3747" w:rsidRDefault="00ED1954" w:rsidP="00827CCD">
      <w:pPr>
        <w:rPr>
          <w:rFonts w:eastAsia="Times New Roman" w:cstheme="minorHAnsi"/>
          <w:color w:val="000000"/>
          <w:lang w:eastAsia="en-GB"/>
        </w:rPr>
      </w:pP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After reporting the survey response rate, the first</w:t>
      </w:r>
      <w:r w:rsidR="00862852" w:rsidRPr="009B3747">
        <w:rPr>
          <w:rFonts w:eastAsia="Times New Roman" w:cstheme="minorHAnsi"/>
          <w:color w:val="000000"/>
          <w:lang w:eastAsia="en-GB"/>
        </w:rPr>
        <w:t xml:space="preserve"> </w:t>
      </w:r>
      <w:r w:rsidR="00551065" w:rsidRPr="009B3747">
        <w:rPr>
          <w:rFonts w:eastAsia="Times New Roman" w:cstheme="minorHAnsi"/>
          <w:color w:val="000000"/>
          <w:lang w:eastAsia="en-GB"/>
        </w:rPr>
        <w:t xml:space="preserve">section </w:t>
      </w:r>
      <w:r w:rsidRPr="009B3747">
        <w:rPr>
          <w:rFonts w:eastAsia="Times New Roman" w:cstheme="minorHAnsi"/>
          <w:color w:val="000000"/>
          <w:lang w:eastAsia="en-GB"/>
        </w:rPr>
        <w:t>of this chapter provides the characteristics of the sample, both relating to participant and their respective school demographics.  Descriptive statistics (i.e. frequencies and percentages), derived from analysis in statistical software SPSS, are used to summarise the sample characteristics</w:t>
      </w:r>
      <w:r w:rsidR="00614DD5">
        <w:rPr>
          <w:rFonts w:eastAsia="Times New Roman" w:cstheme="minorHAnsi"/>
          <w:color w:val="000000"/>
          <w:lang w:eastAsia="en-GB"/>
        </w:rPr>
        <w:t>,</w:t>
      </w:r>
      <w:r w:rsidRPr="009B3747">
        <w:rPr>
          <w:rFonts w:eastAsia="Times New Roman" w:cstheme="minorHAnsi"/>
          <w:color w:val="000000"/>
          <w:lang w:eastAsia="en-GB"/>
        </w:rPr>
        <w:t xml:space="preserve"> and are presented within summary tables and an accompanying narrative.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 xml:space="preserve">The second </w:t>
      </w:r>
      <w:r w:rsidR="00551065" w:rsidRPr="009B3747">
        <w:rPr>
          <w:rFonts w:eastAsia="Times New Roman" w:cstheme="minorHAnsi"/>
          <w:color w:val="000000"/>
          <w:lang w:eastAsia="en-GB"/>
        </w:rPr>
        <w:t>overarching section</w:t>
      </w:r>
      <w:r w:rsidR="00862852" w:rsidRPr="009B3747">
        <w:rPr>
          <w:rFonts w:eastAsia="Times New Roman" w:cstheme="minorHAnsi"/>
          <w:color w:val="000000"/>
          <w:lang w:eastAsia="en-GB"/>
        </w:rPr>
        <w:t xml:space="preserve"> </w:t>
      </w:r>
      <w:r w:rsidRPr="009B3747">
        <w:rPr>
          <w:rFonts w:eastAsia="Times New Roman" w:cstheme="minorHAnsi"/>
          <w:color w:val="000000"/>
          <w:lang w:eastAsia="en-GB"/>
        </w:rPr>
        <w:t>of this chapter moves on to reporting summarised participant responses to the questions posed within the data collection tool.  Stacked bar charts are employed within this section to display the relevant descriptive statistics (i.e. response percentages)</w:t>
      </w:r>
      <w:r w:rsidR="00614DD5">
        <w:rPr>
          <w:rFonts w:eastAsia="Times New Roman" w:cstheme="minorHAnsi"/>
          <w:color w:val="000000"/>
          <w:lang w:eastAsia="en-GB"/>
        </w:rPr>
        <w:t>,</w:t>
      </w:r>
      <w:r w:rsidRPr="009B3747">
        <w:rPr>
          <w:rFonts w:eastAsia="Times New Roman" w:cstheme="minorHAnsi"/>
          <w:color w:val="000000"/>
          <w:lang w:eastAsia="en-GB"/>
        </w:rPr>
        <w:t xml:space="preserve"> in a visually engaging format.  Furthermore, for each question, results from conducting various n</w:t>
      </w:r>
      <w:r w:rsidR="002B3E12">
        <w:rPr>
          <w:rFonts w:eastAsia="Times New Roman" w:cstheme="minorHAnsi"/>
          <w:color w:val="000000"/>
          <w:lang w:eastAsia="en-GB"/>
        </w:rPr>
        <w:t xml:space="preserve">on-parametric statistical tests, </w:t>
      </w:r>
      <w:r w:rsidRPr="009B3747">
        <w:rPr>
          <w:rFonts w:eastAsia="Times New Roman" w:cstheme="minorHAnsi"/>
          <w:color w:val="000000"/>
          <w:lang w:eastAsia="en-GB"/>
        </w:rPr>
        <w:t xml:space="preserve">which examined associations and correlations between variables of interest (i.e. Mann-Whitney U, Chi-squared and Spearman’s correlation coefficient) are reported.  Where an open question accompanied a specific Likert-scale (three in total), free text responses are summarised in table form.  Finally, </w:t>
      </w:r>
      <w:r w:rsidR="00551065" w:rsidRPr="009B3747">
        <w:rPr>
          <w:rFonts w:eastAsia="Times New Roman" w:cstheme="minorHAnsi"/>
          <w:color w:val="000000"/>
          <w:lang w:eastAsia="en-GB"/>
        </w:rPr>
        <w:t xml:space="preserve">section </w:t>
      </w:r>
      <w:r w:rsidR="00862852" w:rsidRPr="009B3747">
        <w:rPr>
          <w:rFonts w:eastAsia="Times New Roman" w:cstheme="minorHAnsi"/>
          <w:color w:val="000000"/>
          <w:lang w:eastAsia="en-GB"/>
        </w:rPr>
        <w:t>two of the chapter concludes by providing a</w:t>
      </w:r>
      <w:r w:rsidRPr="009B3747">
        <w:rPr>
          <w:rFonts w:eastAsia="Times New Roman" w:cstheme="minorHAnsi"/>
          <w:color w:val="000000"/>
          <w:lang w:eastAsia="en-GB"/>
        </w:rPr>
        <w:t xml:space="preserve"> brief account of participant’s further comments relating to the topic under study</w:t>
      </w:r>
      <w:r w:rsidR="00862852" w:rsidRPr="009B3747">
        <w:rPr>
          <w:rFonts w:eastAsia="Times New Roman" w:cstheme="minorHAnsi"/>
          <w:color w:val="000000"/>
          <w:lang w:eastAsia="en-GB"/>
        </w:rPr>
        <w:t>.</w:t>
      </w:r>
    </w:p>
    <w:p w:rsidR="00827CCD" w:rsidRPr="009B3747" w:rsidRDefault="00827CCD" w:rsidP="002B3E12">
      <w:pPr>
        <w:tabs>
          <w:tab w:val="center" w:pos="4513"/>
        </w:tabs>
        <w:rPr>
          <w:rFonts w:eastAsia="Times New Roman" w:cstheme="minorHAnsi"/>
          <w:sz w:val="24"/>
          <w:szCs w:val="24"/>
          <w:lang w:eastAsia="en-GB"/>
        </w:rPr>
      </w:pPr>
      <w:r w:rsidRPr="009B3747">
        <w:rPr>
          <w:rFonts w:eastAsia="Times New Roman" w:cstheme="minorHAnsi"/>
          <w:sz w:val="24"/>
          <w:szCs w:val="24"/>
          <w:lang w:eastAsia="en-GB"/>
        </w:rPr>
        <w:t> </w:t>
      </w:r>
      <w:r w:rsidR="002B3E12">
        <w:rPr>
          <w:rFonts w:eastAsia="Times New Roman" w:cstheme="minorHAnsi"/>
          <w:sz w:val="24"/>
          <w:szCs w:val="24"/>
          <w:lang w:eastAsia="en-GB"/>
        </w:rPr>
        <w:tab/>
      </w:r>
    </w:p>
    <w:p w:rsidR="00827CCD" w:rsidRPr="009B3747" w:rsidRDefault="00551065" w:rsidP="00827CCD">
      <w:pPr>
        <w:rPr>
          <w:rFonts w:eastAsia="Times New Roman" w:cstheme="minorHAnsi"/>
          <w:sz w:val="28"/>
          <w:szCs w:val="28"/>
          <w:lang w:eastAsia="en-GB"/>
        </w:rPr>
      </w:pPr>
      <w:r w:rsidRPr="009B3747">
        <w:rPr>
          <w:rFonts w:eastAsia="Times New Roman" w:cstheme="minorHAnsi"/>
          <w:b/>
          <w:bCs/>
          <w:color w:val="000000"/>
          <w:sz w:val="28"/>
          <w:szCs w:val="28"/>
          <w:u w:val="single"/>
          <w:lang w:eastAsia="en-GB"/>
        </w:rPr>
        <w:t>Section</w:t>
      </w:r>
      <w:r w:rsidR="00862852" w:rsidRPr="009B3747">
        <w:rPr>
          <w:rFonts w:eastAsia="Times New Roman" w:cstheme="minorHAnsi"/>
          <w:b/>
          <w:bCs/>
          <w:color w:val="000000"/>
          <w:sz w:val="28"/>
          <w:szCs w:val="28"/>
          <w:u w:val="single"/>
          <w:lang w:eastAsia="en-GB"/>
        </w:rPr>
        <w:t xml:space="preserve"> 1</w:t>
      </w:r>
    </w:p>
    <w:p w:rsidR="00ED1954" w:rsidRPr="009B3747" w:rsidRDefault="00ED1954" w:rsidP="00827CCD">
      <w:pPr>
        <w:rPr>
          <w:rFonts w:eastAsia="Times New Roman" w:cstheme="minorHAnsi"/>
          <w:color w:val="000000"/>
          <w:u w:val="single"/>
          <w:lang w:eastAsia="en-GB"/>
        </w:rPr>
      </w:pPr>
    </w:p>
    <w:p w:rsidR="00827CCD" w:rsidRPr="009B3747" w:rsidRDefault="00CA68C8" w:rsidP="00827CCD">
      <w:pPr>
        <w:rPr>
          <w:rFonts w:eastAsia="Times New Roman" w:cstheme="minorHAnsi"/>
          <w:b/>
          <w:sz w:val="24"/>
          <w:szCs w:val="24"/>
          <w:lang w:eastAsia="en-GB"/>
        </w:rPr>
      </w:pPr>
      <w:r w:rsidRPr="009B3747">
        <w:rPr>
          <w:rFonts w:eastAsia="Times New Roman" w:cstheme="minorHAnsi"/>
          <w:b/>
          <w:color w:val="000000"/>
          <w:sz w:val="24"/>
          <w:szCs w:val="24"/>
          <w:u w:val="single"/>
          <w:lang w:eastAsia="en-GB"/>
        </w:rPr>
        <w:t>8.2</w:t>
      </w:r>
      <w:r w:rsidR="00827CCD" w:rsidRPr="009B3747">
        <w:rPr>
          <w:rFonts w:eastAsia="Times New Roman" w:cstheme="minorHAnsi"/>
          <w:b/>
          <w:color w:val="000000"/>
          <w:sz w:val="24"/>
          <w:szCs w:val="24"/>
          <w:u w:val="single"/>
          <w:lang w:eastAsia="en-GB"/>
        </w:rPr>
        <w:t xml:space="preserve"> - Response rate</w:t>
      </w:r>
    </w:p>
    <w:p w:rsidR="00ED1954" w:rsidRPr="009B3747" w:rsidRDefault="00ED1954" w:rsidP="00827CCD">
      <w:pPr>
        <w:rPr>
          <w:rFonts w:eastAsia="Times New Roman" w:cstheme="minorHAnsi"/>
          <w:color w:val="000000"/>
          <w:lang w:eastAsia="en-GB"/>
        </w:rPr>
      </w:pPr>
    </w:p>
    <w:p w:rsidR="00827CCD" w:rsidRPr="009B3747" w:rsidRDefault="00827CCD" w:rsidP="00827CCD">
      <w:pPr>
        <w:rPr>
          <w:rFonts w:eastAsia="Times New Roman" w:cstheme="minorHAnsi"/>
          <w:color w:val="000000"/>
          <w:lang w:eastAsia="en-GB"/>
        </w:rPr>
      </w:pPr>
      <w:r w:rsidRPr="009B3747">
        <w:rPr>
          <w:rFonts w:eastAsia="Times New Roman" w:cstheme="minorHAnsi"/>
          <w:color w:val="000000"/>
          <w:lang w:eastAsia="en-GB"/>
        </w:rPr>
        <w:t>In total 4</w:t>
      </w:r>
      <w:r w:rsidR="00CA68C8" w:rsidRPr="009B3747">
        <w:rPr>
          <w:rFonts w:eastAsia="Times New Roman" w:cstheme="minorHAnsi"/>
          <w:color w:val="000000"/>
          <w:lang w:eastAsia="en-GB"/>
        </w:rPr>
        <w:t>,</w:t>
      </w:r>
      <w:r w:rsidRPr="009B3747">
        <w:rPr>
          <w:rFonts w:eastAsia="Times New Roman" w:cstheme="minorHAnsi"/>
          <w:color w:val="000000"/>
          <w:lang w:eastAsia="en-GB"/>
        </w:rPr>
        <w:t xml:space="preserve">616 secondary schools in England were contacted via email to ask for their respective headteacher and chair of governors participation in the survey.  The first original request for </w:t>
      </w:r>
      <w:r w:rsidRPr="009B3747">
        <w:rPr>
          <w:rFonts w:eastAsia="Times New Roman" w:cstheme="minorHAnsi"/>
          <w:color w:val="000000"/>
          <w:lang w:eastAsia="en-GB"/>
        </w:rPr>
        <w:lastRenderedPageBreak/>
        <w:t>participation was emailed during February 2017</w:t>
      </w:r>
      <w:r w:rsidR="002B3E12">
        <w:rPr>
          <w:rFonts w:eastAsia="Times New Roman" w:cstheme="minorHAnsi"/>
          <w:color w:val="000000"/>
          <w:lang w:eastAsia="en-GB"/>
        </w:rPr>
        <w:t>,</w:t>
      </w:r>
      <w:r w:rsidRPr="009B3747">
        <w:rPr>
          <w:rFonts w:eastAsia="Times New Roman" w:cstheme="minorHAnsi"/>
          <w:color w:val="000000"/>
          <w:lang w:eastAsia="en-GB"/>
        </w:rPr>
        <w:t xml:space="preserve"> and two subsequent reminder emails were sent during March and April 2017.  A total of 127 responses were obtained (excluding the pilot responses), with all completing the onl</w:t>
      </w:r>
      <w:r w:rsidR="00CA68C8" w:rsidRPr="009B3747">
        <w:rPr>
          <w:rFonts w:eastAsia="Times New Roman" w:cstheme="minorHAnsi"/>
          <w:color w:val="000000"/>
          <w:lang w:eastAsia="en-GB"/>
        </w:rPr>
        <w:t>ine questionnaire in full.  N</w:t>
      </w:r>
      <w:r w:rsidRPr="009B3747">
        <w:rPr>
          <w:rFonts w:eastAsia="Times New Roman" w:cstheme="minorHAnsi"/>
          <w:color w:val="000000"/>
          <w:lang w:eastAsia="en-GB"/>
        </w:rPr>
        <w:t xml:space="preserve">o missing or incomplete responses </w:t>
      </w:r>
      <w:r w:rsidR="00CA68C8" w:rsidRPr="009B3747">
        <w:rPr>
          <w:rFonts w:eastAsia="Times New Roman" w:cstheme="minorHAnsi"/>
          <w:color w:val="000000"/>
          <w:lang w:eastAsia="en-GB"/>
        </w:rPr>
        <w:t xml:space="preserve">were </w:t>
      </w:r>
      <w:r w:rsidRPr="009B3747">
        <w:rPr>
          <w:rFonts w:eastAsia="Times New Roman" w:cstheme="minorHAnsi"/>
          <w:color w:val="000000"/>
          <w:lang w:eastAsia="en-GB"/>
        </w:rPr>
        <w:t>identified.  The number of complete responses received resul</w:t>
      </w:r>
      <w:r w:rsidR="00CA68C8" w:rsidRPr="009B3747">
        <w:rPr>
          <w:rFonts w:eastAsia="Times New Roman" w:cstheme="minorHAnsi"/>
          <w:color w:val="000000"/>
          <w:lang w:eastAsia="en-GB"/>
        </w:rPr>
        <w:t>ted in a response rate of 2.8%.</w:t>
      </w:r>
    </w:p>
    <w:p w:rsidR="00ED1954" w:rsidRPr="009B3747" w:rsidRDefault="00ED1954" w:rsidP="00827CCD">
      <w:pPr>
        <w:rPr>
          <w:rFonts w:eastAsia="Times New Roman" w:cstheme="minorHAnsi"/>
          <w:sz w:val="24"/>
          <w:szCs w:val="24"/>
          <w:lang w:eastAsia="en-GB"/>
        </w:rPr>
      </w:pPr>
    </w:p>
    <w:p w:rsidR="00827CCD" w:rsidRPr="009B3747" w:rsidRDefault="00827CCD" w:rsidP="00827CCD">
      <w:pPr>
        <w:rPr>
          <w:rFonts w:eastAsia="Times New Roman" w:cstheme="minorHAnsi"/>
          <w:color w:val="000000"/>
          <w:lang w:eastAsia="en-GB"/>
        </w:rPr>
      </w:pPr>
      <w:r w:rsidRPr="009B3747">
        <w:rPr>
          <w:rFonts w:eastAsia="Times New Roman" w:cstheme="minorHAnsi"/>
          <w:color w:val="000000"/>
          <w:lang w:eastAsia="en-GB"/>
        </w:rPr>
        <w:t>Whilst the response rate is extremely low, as highlighted previous</w:t>
      </w:r>
      <w:r w:rsidR="00CA68C8" w:rsidRPr="009B3747">
        <w:rPr>
          <w:rFonts w:eastAsia="Times New Roman" w:cstheme="minorHAnsi"/>
          <w:color w:val="000000"/>
          <w:lang w:eastAsia="en-GB"/>
        </w:rPr>
        <w:t xml:space="preserve">ly in </w:t>
      </w:r>
      <w:r w:rsidR="00ED1954" w:rsidRPr="009B3747">
        <w:rPr>
          <w:rFonts w:eastAsia="Times New Roman" w:cstheme="minorHAnsi"/>
          <w:color w:val="000000"/>
          <w:lang w:eastAsia="en-GB"/>
        </w:rPr>
        <w:t>chapter 7</w:t>
      </w:r>
      <w:r w:rsidR="00CA68C8" w:rsidRPr="009B3747">
        <w:rPr>
          <w:rFonts w:eastAsia="Times New Roman" w:cstheme="minorHAnsi"/>
          <w:color w:val="000000"/>
          <w:lang w:eastAsia="en-GB"/>
        </w:rPr>
        <w:t>,</w:t>
      </w:r>
      <w:r w:rsidRPr="009B3747">
        <w:rPr>
          <w:rFonts w:eastAsia="Times New Roman" w:cstheme="minorHAnsi"/>
          <w:color w:val="000000"/>
          <w:lang w:eastAsia="en-GB"/>
        </w:rPr>
        <w:t xml:space="preserve"> it was entirely anticipated given the researcher’s previous c</w:t>
      </w:r>
      <w:r w:rsidR="00ED1954" w:rsidRPr="009B3747">
        <w:rPr>
          <w:rFonts w:eastAsia="Times New Roman" w:cstheme="minorHAnsi"/>
          <w:color w:val="000000"/>
          <w:lang w:eastAsia="en-GB"/>
        </w:rPr>
        <w:t xml:space="preserve">hallenges in engaging the study population.  </w:t>
      </w:r>
      <w:r w:rsidRPr="009B3747">
        <w:rPr>
          <w:rFonts w:eastAsia="Times New Roman" w:cstheme="minorHAnsi"/>
          <w:color w:val="000000"/>
          <w:lang w:eastAsia="en-GB"/>
        </w:rPr>
        <w:t xml:space="preserve">Furthermore, as </w:t>
      </w:r>
      <w:r w:rsidR="00CA68C8" w:rsidRPr="009B3747">
        <w:rPr>
          <w:rFonts w:eastAsia="Times New Roman" w:cstheme="minorHAnsi"/>
          <w:color w:val="000000"/>
          <w:lang w:eastAsia="en-GB"/>
        </w:rPr>
        <w:t xml:space="preserve">discussed, </w:t>
      </w:r>
      <w:r w:rsidRPr="009B3747">
        <w:rPr>
          <w:rFonts w:eastAsia="Times New Roman" w:cstheme="minorHAnsi"/>
          <w:color w:val="000000"/>
          <w:lang w:eastAsia="en-GB"/>
        </w:rPr>
        <w:t>the purpose of the survey was not to achieve a representative sample in which to generalise results.  The survey was employed to provide additional evidence to supplement and enhance the findings from the main qualitative phase, enabling an enriched data set for interpretation at the poi</w:t>
      </w:r>
      <w:r w:rsidR="00CA68C8" w:rsidRPr="009B3747">
        <w:rPr>
          <w:rFonts w:eastAsia="Times New Roman" w:cstheme="minorHAnsi"/>
          <w:color w:val="000000"/>
          <w:lang w:eastAsia="en-GB"/>
        </w:rPr>
        <w:t>nt of discussion</w:t>
      </w:r>
      <w:r w:rsidRPr="009B3747">
        <w:rPr>
          <w:rFonts w:eastAsia="Times New Roman" w:cstheme="minorHAnsi"/>
          <w:color w:val="000000"/>
          <w:lang w:eastAsia="en-GB"/>
        </w:rPr>
        <w:t>.  </w:t>
      </w:r>
    </w:p>
    <w:p w:rsidR="00ED1954" w:rsidRPr="009B3747" w:rsidRDefault="00ED1954" w:rsidP="00827CCD">
      <w:pPr>
        <w:rPr>
          <w:rFonts w:eastAsia="Times New Roman" w:cstheme="minorHAnsi"/>
          <w:color w:val="000000"/>
          <w:u w:val="single"/>
          <w:lang w:eastAsia="en-GB"/>
        </w:rPr>
      </w:pPr>
    </w:p>
    <w:p w:rsidR="00827CCD" w:rsidRPr="009B3747" w:rsidRDefault="00CA68C8" w:rsidP="00827CCD">
      <w:pPr>
        <w:rPr>
          <w:rFonts w:eastAsia="Times New Roman" w:cstheme="minorHAnsi"/>
          <w:b/>
          <w:sz w:val="24"/>
          <w:szCs w:val="24"/>
          <w:lang w:eastAsia="en-GB"/>
        </w:rPr>
      </w:pPr>
      <w:r w:rsidRPr="009B3747">
        <w:rPr>
          <w:rFonts w:eastAsia="Times New Roman" w:cstheme="minorHAnsi"/>
          <w:b/>
          <w:color w:val="000000"/>
          <w:sz w:val="24"/>
          <w:szCs w:val="24"/>
          <w:u w:val="single"/>
          <w:lang w:eastAsia="en-GB"/>
        </w:rPr>
        <w:t>8.3</w:t>
      </w:r>
      <w:r w:rsidR="00827CCD" w:rsidRPr="009B3747">
        <w:rPr>
          <w:rFonts w:eastAsia="Times New Roman" w:cstheme="minorHAnsi"/>
          <w:b/>
          <w:color w:val="000000"/>
          <w:sz w:val="24"/>
          <w:szCs w:val="24"/>
          <w:u w:val="single"/>
          <w:lang w:eastAsia="en-GB"/>
        </w:rPr>
        <w:t xml:space="preserve"> - Characteristics of the sample</w:t>
      </w:r>
    </w:p>
    <w:p w:rsidR="00ED1954" w:rsidRPr="009B3747" w:rsidRDefault="00ED1954" w:rsidP="00827CCD">
      <w:pPr>
        <w:rPr>
          <w:rFonts w:eastAsia="Times New Roman" w:cstheme="minorHAnsi"/>
          <w:color w:val="000000"/>
          <w:lang w:eastAsia="en-GB"/>
        </w:rPr>
      </w:pPr>
    </w:p>
    <w:p w:rsidR="00827CCD" w:rsidRPr="009B3747" w:rsidRDefault="00CA68C8" w:rsidP="00827CCD">
      <w:pPr>
        <w:rPr>
          <w:rFonts w:eastAsia="Times New Roman" w:cstheme="minorHAnsi"/>
          <w:sz w:val="24"/>
          <w:szCs w:val="24"/>
          <w:u w:val="single"/>
          <w:lang w:eastAsia="en-GB"/>
        </w:rPr>
      </w:pPr>
      <w:r w:rsidRPr="009B3747">
        <w:rPr>
          <w:rFonts w:eastAsia="Times New Roman" w:cstheme="minorHAnsi"/>
          <w:iCs/>
          <w:color w:val="000000"/>
          <w:u w:val="single"/>
          <w:lang w:eastAsia="en-GB"/>
        </w:rPr>
        <w:t>8.3</w:t>
      </w:r>
      <w:r w:rsidR="00ED1954" w:rsidRPr="009B3747">
        <w:rPr>
          <w:rFonts w:eastAsia="Times New Roman" w:cstheme="minorHAnsi"/>
          <w:iCs/>
          <w:color w:val="000000"/>
          <w:u w:val="single"/>
          <w:lang w:eastAsia="en-GB"/>
        </w:rPr>
        <w:t xml:space="preserve">.1 </w:t>
      </w:r>
      <w:r w:rsidR="00827CCD" w:rsidRPr="009B3747">
        <w:rPr>
          <w:rFonts w:eastAsia="Times New Roman" w:cstheme="minorHAnsi"/>
          <w:iCs/>
          <w:color w:val="000000"/>
          <w:u w:val="single"/>
          <w:lang w:eastAsia="en-GB"/>
        </w:rPr>
        <w:t>Participant demographics</w:t>
      </w:r>
    </w:p>
    <w:p w:rsidR="00CA68C8" w:rsidRPr="009B3747" w:rsidRDefault="00CA68C8" w:rsidP="00827CCD">
      <w:pPr>
        <w:rPr>
          <w:rFonts w:eastAsia="Times New Roman" w:cstheme="minorHAnsi"/>
          <w:color w:val="000000"/>
          <w:lang w:eastAsia="en-GB"/>
        </w:rPr>
      </w:pPr>
    </w:p>
    <w:p w:rsidR="00827CCD" w:rsidRPr="009B3747" w:rsidRDefault="00CA68C8" w:rsidP="00827CCD">
      <w:pPr>
        <w:rPr>
          <w:rFonts w:eastAsia="Times New Roman" w:cstheme="minorHAnsi"/>
          <w:color w:val="000000"/>
          <w:lang w:eastAsia="en-GB"/>
        </w:rPr>
      </w:pPr>
      <w:r w:rsidRPr="009B3747">
        <w:rPr>
          <w:rFonts w:eastAsia="Times New Roman" w:cstheme="minorHAnsi"/>
          <w:color w:val="000000"/>
          <w:lang w:eastAsia="en-GB"/>
        </w:rPr>
        <w:t xml:space="preserve">Table 8.1, presents a summary of </w:t>
      </w:r>
      <w:r w:rsidR="00827CCD" w:rsidRPr="009B3747">
        <w:rPr>
          <w:rFonts w:eastAsia="Times New Roman" w:cstheme="minorHAnsi"/>
          <w:color w:val="000000"/>
          <w:lang w:eastAsia="en-GB"/>
        </w:rPr>
        <w:t>participant demographics, pro</w:t>
      </w:r>
      <w:r w:rsidRPr="009B3747">
        <w:rPr>
          <w:rFonts w:eastAsia="Times New Roman" w:cstheme="minorHAnsi"/>
          <w:color w:val="000000"/>
          <w:lang w:eastAsia="en-GB"/>
        </w:rPr>
        <w:t>viding both the frequency (</w:t>
      </w:r>
      <w:r w:rsidR="00827CCD" w:rsidRPr="009B3747">
        <w:rPr>
          <w:rFonts w:eastAsia="Times New Roman" w:cstheme="minorHAnsi"/>
          <w:color w:val="000000"/>
          <w:lang w:eastAsia="en-GB"/>
        </w:rPr>
        <w:t>n = actual number of participant responses) and the r</w:t>
      </w:r>
      <w:r w:rsidRPr="009B3747">
        <w:rPr>
          <w:rFonts w:eastAsia="Times New Roman" w:cstheme="minorHAnsi"/>
          <w:color w:val="000000"/>
          <w:lang w:eastAsia="en-GB"/>
        </w:rPr>
        <w:t>elative proportions (</w:t>
      </w:r>
      <w:r w:rsidR="00827CCD" w:rsidRPr="009B3747">
        <w:rPr>
          <w:rFonts w:eastAsia="Times New Roman" w:cstheme="minorHAnsi"/>
          <w:color w:val="000000"/>
          <w:lang w:eastAsia="en-GB"/>
        </w:rPr>
        <w:t>% = percentage) of responses received for each question.  Demographic information related to gender, age and length of service in role are presented specifically for each participant role type</w:t>
      </w:r>
      <w:r w:rsidR="00B46C02">
        <w:rPr>
          <w:rFonts w:eastAsia="Times New Roman" w:cstheme="minorHAnsi"/>
          <w:color w:val="000000"/>
          <w:lang w:eastAsia="en-GB"/>
        </w:rPr>
        <w:t>,</w:t>
      </w:r>
      <w:r w:rsidR="00827CCD" w:rsidRPr="009B3747">
        <w:rPr>
          <w:rFonts w:eastAsia="Times New Roman" w:cstheme="minorHAnsi"/>
          <w:color w:val="000000"/>
          <w:lang w:eastAsia="en-GB"/>
        </w:rPr>
        <w:t xml:space="preserve"> i.e. headteacher and chair of governors.  </w:t>
      </w:r>
    </w:p>
    <w:p w:rsidR="00ED1954" w:rsidRPr="009B3747" w:rsidRDefault="00ED1954" w:rsidP="00827CCD">
      <w:pPr>
        <w:rPr>
          <w:rFonts w:eastAsia="Times New Roman" w:cstheme="minorHAnsi"/>
          <w:color w:val="000000"/>
          <w:lang w:eastAsia="en-GB"/>
        </w:rPr>
      </w:pP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The majority (70.9%) of the 127 survey respondents identified themselves as a secondary school headteacher (H), with chairs of governors (CG) therefore forming just under a third (29.1%) of total participa</w:t>
      </w:r>
      <w:r w:rsidR="00CA68C8" w:rsidRPr="009B3747">
        <w:rPr>
          <w:rFonts w:eastAsia="Times New Roman" w:cstheme="minorHAnsi"/>
          <w:color w:val="000000"/>
          <w:lang w:eastAsia="en-GB"/>
        </w:rPr>
        <w:t xml:space="preserve">tion.  Within the final sample, </w:t>
      </w:r>
      <w:r w:rsidRPr="009B3747">
        <w:rPr>
          <w:rFonts w:eastAsia="Times New Roman" w:cstheme="minorHAnsi"/>
          <w:color w:val="000000"/>
          <w:lang w:eastAsia="en-GB"/>
        </w:rPr>
        <w:t xml:space="preserve">50.4% of participants were male and 49.6% female.  Of the 126 respondents who reported their age (one preferred not to say), 80.4% were aged between 41-60 years, with 51-60 years yielding the largest proportion of responses for both role types (H = 53.3% and CG = 43.2%).  The range of age categories differed between the role types, with </w:t>
      </w:r>
      <w:r w:rsidR="00CA68C8" w:rsidRPr="009B3747">
        <w:rPr>
          <w:rFonts w:eastAsia="Times New Roman" w:cstheme="minorHAnsi"/>
          <w:color w:val="000000"/>
          <w:lang w:eastAsia="en-GB"/>
        </w:rPr>
        <w:t xml:space="preserve">most </w:t>
      </w:r>
      <w:r w:rsidRPr="009B3747">
        <w:rPr>
          <w:rFonts w:eastAsia="Times New Roman" w:cstheme="minorHAnsi"/>
          <w:color w:val="000000"/>
          <w:lang w:eastAsia="en-GB"/>
        </w:rPr>
        <w:t>he</w:t>
      </w:r>
      <w:r w:rsidR="00256CB0" w:rsidRPr="009B3747">
        <w:rPr>
          <w:rFonts w:eastAsia="Times New Roman" w:cstheme="minorHAnsi"/>
          <w:color w:val="000000"/>
          <w:lang w:eastAsia="en-GB"/>
        </w:rPr>
        <w:t>adteachers selecting between 31 to 70 years</w:t>
      </w:r>
      <w:r w:rsidRPr="009B3747">
        <w:rPr>
          <w:rFonts w:eastAsia="Times New Roman" w:cstheme="minorHAnsi"/>
          <w:color w:val="000000"/>
          <w:lang w:eastAsia="en-GB"/>
        </w:rPr>
        <w:t xml:space="preserve"> and </w:t>
      </w:r>
      <w:r w:rsidR="00FA6E32" w:rsidRPr="009B3747">
        <w:rPr>
          <w:rFonts w:eastAsia="Times New Roman" w:cstheme="minorHAnsi"/>
          <w:color w:val="000000"/>
          <w:lang w:eastAsia="en-GB"/>
        </w:rPr>
        <w:t xml:space="preserve">most </w:t>
      </w:r>
      <w:r w:rsidRPr="009B3747">
        <w:rPr>
          <w:rFonts w:eastAsia="Times New Roman" w:cstheme="minorHAnsi"/>
          <w:color w:val="000000"/>
          <w:lang w:eastAsia="en-GB"/>
        </w:rPr>
        <w:t xml:space="preserve">chairs of governors </w:t>
      </w:r>
      <w:r w:rsidR="00FA6E32" w:rsidRPr="009B3747">
        <w:rPr>
          <w:rFonts w:eastAsia="Times New Roman" w:cstheme="minorHAnsi"/>
          <w:color w:val="000000"/>
          <w:lang w:eastAsia="en-GB"/>
        </w:rPr>
        <w:t xml:space="preserve">selecting between </w:t>
      </w:r>
      <w:r w:rsidR="00256CB0" w:rsidRPr="009B3747">
        <w:rPr>
          <w:rFonts w:eastAsia="Times New Roman" w:cstheme="minorHAnsi"/>
          <w:color w:val="000000"/>
          <w:lang w:eastAsia="en-GB"/>
        </w:rPr>
        <w:t xml:space="preserve">41 to </w:t>
      </w:r>
      <w:r w:rsidRPr="009B3747">
        <w:rPr>
          <w:rFonts w:eastAsia="Times New Roman" w:cstheme="minorHAnsi"/>
          <w:color w:val="000000"/>
          <w:lang w:eastAsia="en-GB"/>
        </w:rPr>
        <w:t>80 years.</w:t>
      </w:r>
    </w:p>
    <w:p w:rsidR="00ED1954" w:rsidRPr="009B3747" w:rsidRDefault="00ED1954" w:rsidP="00827CCD">
      <w:pPr>
        <w:rPr>
          <w:rFonts w:eastAsia="Times New Roman" w:cstheme="minorHAnsi"/>
          <w:color w:val="000000"/>
          <w:lang w:eastAsia="en-GB"/>
        </w:rPr>
      </w:pPr>
    </w:p>
    <w:p w:rsidR="00827CCD" w:rsidRPr="009B3747" w:rsidRDefault="00827CCD" w:rsidP="00827CCD">
      <w:pPr>
        <w:rPr>
          <w:rFonts w:eastAsia="Times New Roman" w:cstheme="minorHAnsi"/>
          <w:color w:val="000000"/>
          <w:lang w:eastAsia="en-GB"/>
        </w:rPr>
      </w:pPr>
      <w:r w:rsidRPr="009B3747">
        <w:rPr>
          <w:rFonts w:eastAsia="Times New Roman" w:cstheme="minorHAnsi"/>
          <w:color w:val="000000"/>
          <w:lang w:eastAsia="en-GB"/>
        </w:rPr>
        <w:t xml:space="preserve">Almost </w:t>
      </w:r>
      <w:r w:rsidR="001A382F">
        <w:rPr>
          <w:rFonts w:eastAsia="Times New Roman" w:cstheme="minorHAnsi"/>
          <w:color w:val="000000"/>
          <w:lang w:eastAsia="en-GB"/>
        </w:rPr>
        <w:t>two</w:t>
      </w:r>
      <w:r w:rsidRPr="009B3747">
        <w:rPr>
          <w:rFonts w:eastAsia="Times New Roman" w:cstheme="minorHAnsi"/>
          <w:color w:val="000000"/>
          <w:lang w:eastAsia="en-GB"/>
        </w:rPr>
        <w:t xml:space="preserve"> </w:t>
      </w:r>
      <w:r w:rsidR="00FA6E32" w:rsidRPr="009B3747">
        <w:rPr>
          <w:rFonts w:eastAsia="Times New Roman" w:cstheme="minorHAnsi"/>
          <w:color w:val="000000"/>
          <w:lang w:eastAsia="en-GB"/>
        </w:rPr>
        <w:t>third</w:t>
      </w:r>
      <w:r w:rsidR="001A382F">
        <w:rPr>
          <w:rFonts w:eastAsia="Times New Roman" w:cstheme="minorHAnsi"/>
          <w:color w:val="000000"/>
          <w:lang w:eastAsia="en-GB"/>
        </w:rPr>
        <w:t>s</w:t>
      </w:r>
      <w:r w:rsidR="00FA6E32" w:rsidRPr="009B3747">
        <w:rPr>
          <w:rFonts w:eastAsia="Times New Roman" w:cstheme="minorHAnsi"/>
          <w:color w:val="000000"/>
          <w:lang w:eastAsia="en-GB"/>
        </w:rPr>
        <w:t xml:space="preserve"> (64.6%) of participants </w:t>
      </w:r>
      <w:r w:rsidRPr="009B3747">
        <w:rPr>
          <w:rFonts w:eastAsia="Times New Roman" w:cstheme="minorHAnsi"/>
          <w:color w:val="000000"/>
          <w:lang w:eastAsia="en-GB"/>
        </w:rPr>
        <w:t>at the point of completing the questionnaire had been within their respective role for between one and ten years.  For both role types</w:t>
      </w:r>
      <w:r w:rsidR="002B3E12">
        <w:rPr>
          <w:rFonts w:eastAsia="Times New Roman" w:cstheme="minorHAnsi"/>
          <w:color w:val="000000"/>
          <w:lang w:eastAsia="en-GB"/>
        </w:rPr>
        <w:t>,</w:t>
      </w:r>
      <w:r w:rsidRPr="009B3747">
        <w:rPr>
          <w:rFonts w:eastAsia="Times New Roman" w:cstheme="minorHAnsi"/>
          <w:color w:val="000000"/>
          <w:lang w:eastAsia="en-GB"/>
        </w:rPr>
        <w:t xml:space="preserve"> the length of service </w:t>
      </w:r>
      <w:r w:rsidRPr="009B3747">
        <w:rPr>
          <w:rFonts w:eastAsia="Times New Roman" w:cstheme="minorHAnsi"/>
          <w:color w:val="000000"/>
          <w:lang w:eastAsia="en-GB"/>
        </w:rPr>
        <w:lastRenderedPageBreak/>
        <w:t>category with the largest proportion of responses received was 1-5 years (H = 37.8% and CG = 43.2%).  </w:t>
      </w:r>
    </w:p>
    <w:p w:rsidR="006308EA" w:rsidRPr="009B3747" w:rsidRDefault="006308EA" w:rsidP="00827CCD">
      <w:pPr>
        <w:rPr>
          <w:rFonts w:eastAsia="Times New Roman" w:cstheme="minorHAnsi"/>
          <w:color w:val="000000"/>
          <w:lang w:eastAsia="en-GB"/>
        </w:rPr>
      </w:pPr>
    </w:p>
    <w:p w:rsidR="00ED1954" w:rsidRPr="009B3747" w:rsidRDefault="00FA6E32" w:rsidP="00827CCD">
      <w:pPr>
        <w:rPr>
          <w:rFonts w:eastAsia="Times New Roman" w:cstheme="minorHAnsi"/>
          <w:iCs/>
          <w:color w:val="000000"/>
          <w:u w:val="single"/>
          <w:lang w:eastAsia="en-GB"/>
        </w:rPr>
      </w:pPr>
      <w:r w:rsidRPr="009B3747">
        <w:rPr>
          <w:rFonts w:eastAsia="Times New Roman" w:cstheme="minorHAnsi"/>
          <w:iCs/>
          <w:color w:val="000000"/>
          <w:u w:val="single"/>
          <w:lang w:eastAsia="en-GB"/>
        </w:rPr>
        <w:t>Table 8.1</w:t>
      </w:r>
      <w:r w:rsidR="00827CCD" w:rsidRPr="009B3747">
        <w:rPr>
          <w:rFonts w:eastAsia="Times New Roman" w:cstheme="minorHAnsi"/>
          <w:iCs/>
          <w:color w:val="000000"/>
          <w:u w:val="single"/>
          <w:lang w:eastAsia="en-GB"/>
        </w:rPr>
        <w:t xml:space="preserve"> - Participants demographics of</w:t>
      </w:r>
      <w:r w:rsidRPr="009B3747">
        <w:rPr>
          <w:rFonts w:eastAsia="Times New Roman" w:cstheme="minorHAnsi"/>
          <w:iCs/>
          <w:color w:val="000000"/>
          <w:u w:val="single"/>
          <w:lang w:eastAsia="en-GB"/>
        </w:rPr>
        <w:t xml:space="preserve"> final sample </w:t>
      </w:r>
    </w:p>
    <w:p w:rsidR="00256CB0" w:rsidRPr="009B3747" w:rsidRDefault="00256CB0" w:rsidP="00827CCD">
      <w:pPr>
        <w:rPr>
          <w:rFonts w:eastAsia="Times New Roman" w:cstheme="minorHAnsi"/>
          <w:iCs/>
          <w:color w:val="000000"/>
          <w:u w:val="single"/>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799"/>
        <w:gridCol w:w="1456"/>
        <w:gridCol w:w="1345"/>
        <w:gridCol w:w="1728"/>
      </w:tblGrid>
      <w:tr w:rsidR="00827CCD" w:rsidRPr="009B3747" w:rsidTr="00827CCD">
        <w:trPr>
          <w:trHeight w:val="1200"/>
        </w:trPr>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827CCD" w:rsidRPr="009B3747" w:rsidRDefault="00827CCD" w:rsidP="00ED1954">
            <w:pPr>
              <w:spacing w:line="240" w:lineRule="auto"/>
              <w:rPr>
                <w:rFonts w:eastAsia="Times New Roman" w:cstheme="minorHAnsi"/>
                <w:b/>
                <w:sz w:val="24"/>
                <w:szCs w:val="24"/>
                <w:lang w:eastAsia="en-GB"/>
              </w:rPr>
            </w:pPr>
            <w:r w:rsidRPr="009B3747">
              <w:rPr>
                <w:rFonts w:eastAsia="Times New Roman" w:cstheme="minorHAnsi"/>
                <w:b/>
                <w:color w:val="000000"/>
                <w:sz w:val="20"/>
                <w:szCs w:val="20"/>
                <w:lang w:eastAsia="en-GB"/>
              </w:rPr>
              <w:t>Participant characteristic</w:t>
            </w: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827CCD" w:rsidRPr="009B3747" w:rsidRDefault="00827CCD" w:rsidP="00ED1954">
            <w:pPr>
              <w:spacing w:line="240" w:lineRule="auto"/>
              <w:jc w:val="center"/>
              <w:rPr>
                <w:rFonts w:eastAsia="Times New Roman" w:cstheme="minorHAnsi"/>
                <w:b/>
                <w:sz w:val="24"/>
                <w:szCs w:val="24"/>
                <w:lang w:eastAsia="en-GB"/>
              </w:rPr>
            </w:pPr>
            <w:r w:rsidRPr="009B3747">
              <w:rPr>
                <w:rFonts w:eastAsia="Times New Roman" w:cstheme="minorHAnsi"/>
                <w:b/>
                <w:color w:val="000000"/>
                <w:sz w:val="20"/>
                <w:szCs w:val="20"/>
                <w:lang w:eastAsia="en-GB"/>
              </w:rPr>
              <w:t>All participants</w:t>
            </w:r>
          </w:p>
          <w:p w:rsidR="00827CCD" w:rsidRPr="009B3747" w:rsidRDefault="00827CCD" w:rsidP="00ED1954">
            <w:pPr>
              <w:spacing w:line="240" w:lineRule="auto"/>
              <w:jc w:val="center"/>
              <w:rPr>
                <w:rFonts w:eastAsia="Times New Roman" w:cstheme="minorHAnsi"/>
                <w:b/>
                <w:sz w:val="24"/>
                <w:szCs w:val="24"/>
                <w:lang w:eastAsia="en-GB"/>
              </w:rPr>
            </w:pPr>
            <w:r w:rsidRPr="009B3747">
              <w:rPr>
                <w:rFonts w:eastAsia="Times New Roman" w:cstheme="minorHAnsi"/>
                <w:b/>
                <w:color w:val="000000"/>
                <w:sz w:val="20"/>
                <w:szCs w:val="20"/>
                <w:lang w:eastAsia="en-GB"/>
              </w:rPr>
              <w:t>(n = 127)</w:t>
            </w:r>
          </w:p>
          <w:p w:rsidR="00827CCD" w:rsidRPr="009B3747" w:rsidRDefault="00827CCD" w:rsidP="00ED1954">
            <w:pPr>
              <w:spacing w:line="240" w:lineRule="auto"/>
              <w:jc w:val="center"/>
              <w:rPr>
                <w:rFonts w:eastAsia="Times New Roman" w:cstheme="minorHAnsi"/>
                <w:b/>
                <w:sz w:val="24"/>
                <w:szCs w:val="24"/>
                <w:lang w:eastAsia="en-GB"/>
              </w:rPr>
            </w:pPr>
            <w:r w:rsidRPr="009B3747">
              <w:rPr>
                <w:rFonts w:eastAsia="Times New Roman" w:cstheme="minorHAnsi"/>
                <w:b/>
                <w:color w:val="000000"/>
                <w:sz w:val="20"/>
                <w:szCs w:val="20"/>
                <w:lang w:eastAsia="en-GB"/>
              </w:rPr>
              <w:t>n (%)</w:t>
            </w: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827CCD" w:rsidRPr="009B3747" w:rsidRDefault="00827CCD" w:rsidP="00ED1954">
            <w:pPr>
              <w:spacing w:line="240" w:lineRule="auto"/>
              <w:jc w:val="center"/>
              <w:rPr>
                <w:rFonts w:eastAsia="Times New Roman" w:cstheme="minorHAnsi"/>
                <w:b/>
                <w:sz w:val="24"/>
                <w:szCs w:val="24"/>
                <w:lang w:eastAsia="en-GB"/>
              </w:rPr>
            </w:pPr>
            <w:r w:rsidRPr="009B3747">
              <w:rPr>
                <w:rFonts w:eastAsia="Times New Roman" w:cstheme="minorHAnsi"/>
                <w:b/>
                <w:color w:val="000000"/>
                <w:sz w:val="20"/>
                <w:szCs w:val="20"/>
                <w:lang w:eastAsia="en-GB"/>
              </w:rPr>
              <w:t>Headteachers</w:t>
            </w:r>
          </w:p>
          <w:p w:rsidR="00827CCD" w:rsidRPr="009B3747" w:rsidRDefault="00827CCD" w:rsidP="00ED1954">
            <w:pPr>
              <w:spacing w:line="240" w:lineRule="auto"/>
              <w:jc w:val="center"/>
              <w:rPr>
                <w:rFonts w:eastAsia="Times New Roman" w:cstheme="minorHAnsi"/>
                <w:b/>
                <w:sz w:val="24"/>
                <w:szCs w:val="24"/>
                <w:lang w:eastAsia="en-GB"/>
              </w:rPr>
            </w:pPr>
            <w:r w:rsidRPr="009B3747">
              <w:rPr>
                <w:rFonts w:eastAsia="Times New Roman" w:cstheme="minorHAnsi"/>
                <w:b/>
                <w:color w:val="000000"/>
                <w:sz w:val="20"/>
                <w:szCs w:val="20"/>
                <w:lang w:eastAsia="en-GB"/>
              </w:rPr>
              <w:t>(n = 90)</w:t>
            </w:r>
          </w:p>
          <w:p w:rsidR="00827CCD" w:rsidRPr="009B3747" w:rsidRDefault="00827CCD" w:rsidP="00ED1954">
            <w:pPr>
              <w:spacing w:line="240" w:lineRule="auto"/>
              <w:jc w:val="center"/>
              <w:rPr>
                <w:rFonts w:eastAsia="Times New Roman" w:cstheme="minorHAnsi"/>
                <w:b/>
                <w:sz w:val="24"/>
                <w:szCs w:val="24"/>
                <w:lang w:eastAsia="en-GB"/>
              </w:rPr>
            </w:pPr>
            <w:r w:rsidRPr="009B3747">
              <w:rPr>
                <w:rFonts w:eastAsia="Times New Roman" w:cstheme="minorHAnsi"/>
                <w:b/>
                <w:color w:val="000000"/>
                <w:sz w:val="20"/>
                <w:szCs w:val="20"/>
                <w:lang w:eastAsia="en-GB"/>
              </w:rPr>
              <w:t>n (%)</w:t>
            </w: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827CCD" w:rsidRPr="009B3747" w:rsidRDefault="00827CCD" w:rsidP="00ED1954">
            <w:pPr>
              <w:spacing w:line="240" w:lineRule="auto"/>
              <w:jc w:val="center"/>
              <w:rPr>
                <w:rFonts w:eastAsia="Times New Roman" w:cstheme="minorHAnsi"/>
                <w:b/>
                <w:sz w:val="24"/>
                <w:szCs w:val="24"/>
                <w:lang w:eastAsia="en-GB"/>
              </w:rPr>
            </w:pPr>
            <w:r w:rsidRPr="009B3747">
              <w:rPr>
                <w:rFonts w:eastAsia="Times New Roman" w:cstheme="minorHAnsi"/>
                <w:b/>
                <w:color w:val="000000"/>
                <w:sz w:val="20"/>
                <w:szCs w:val="20"/>
                <w:lang w:eastAsia="en-GB"/>
              </w:rPr>
              <w:t>Chair of governors</w:t>
            </w:r>
          </w:p>
          <w:p w:rsidR="00827CCD" w:rsidRPr="009B3747" w:rsidRDefault="00827CCD" w:rsidP="00ED1954">
            <w:pPr>
              <w:spacing w:line="240" w:lineRule="auto"/>
              <w:jc w:val="center"/>
              <w:rPr>
                <w:rFonts w:eastAsia="Times New Roman" w:cstheme="minorHAnsi"/>
                <w:b/>
                <w:sz w:val="24"/>
                <w:szCs w:val="24"/>
                <w:lang w:eastAsia="en-GB"/>
              </w:rPr>
            </w:pPr>
            <w:r w:rsidRPr="009B3747">
              <w:rPr>
                <w:rFonts w:eastAsia="Times New Roman" w:cstheme="minorHAnsi"/>
                <w:b/>
                <w:color w:val="000000"/>
                <w:sz w:val="20"/>
                <w:szCs w:val="20"/>
                <w:lang w:eastAsia="en-GB"/>
              </w:rPr>
              <w:t>(n=37 )</w:t>
            </w:r>
          </w:p>
          <w:p w:rsidR="00827CCD" w:rsidRPr="009B3747" w:rsidRDefault="00827CCD" w:rsidP="00ED1954">
            <w:pPr>
              <w:spacing w:line="240" w:lineRule="auto"/>
              <w:jc w:val="center"/>
              <w:rPr>
                <w:rFonts w:eastAsia="Times New Roman" w:cstheme="minorHAnsi"/>
                <w:b/>
                <w:sz w:val="24"/>
                <w:szCs w:val="24"/>
                <w:lang w:eastAsia="en-GB"/>
              </w:rPr>
            </w:pPr>
            <w:r w:rsidRPr="009B3747">
              <w:rPr>
                <w:rFonts w:eastAsia="Times New Roman" w:cstheme="minorHAnsi"/>
                <w:b/>
                <w:color w:val="000000"/>
                <w:sz w:val="20"/>
                <w:szCs w:val="20"/>
                <w:lang w:eastAsia="en-GB"/>
              </w:rPr>
              <w:t>n (%)</w:t>
            </w:r>
          </w:p>
        </w:tc>
      </w:tr>
      <w:tr w:rsidR="00827CCD" w:rsidRPr="009B3747" w:rsidTr="00827CCD">
        <w:trPr>
          <w:trHeight w:val="9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ED1954">
            <w:pPr>
              <w:spacing w:line="240" w:lineRule="auto"/>
              <w:rPr>
                <w:rFonts w:eastAsia="Times New Roman" w:cstheme="minorHAnsi"/>
                <w:b/>
                <w:sz w:val="24"/>
                <w:szCs w:val="24"/>
                <w:lang w:eastAsia="en-GB"/>
              </w:rPr>
            </w:pPr>
            <w:r w:rsidRPr="009B3747">
              <w:rPr>
                <w:rFonts w:eastAsia="Times New Roman" w:cstheme="minorHAnsi"/>
                <w:b/>
                <w:color w:val="000000"/>
                <w:sz w:val="20"/>
                <w:szCs w:val="20"/>
                <w:lang w:eastAsia="en-GB"/>
              </w:rPr>
              <w:t>Gender</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Male</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Female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D1954" w:rsidRPr="009B3747" w:rsidRDefault="00ED1954" w:rsidP="00ED1954">
            <w:pPr>
              <w:spacing w:line="240" w:lineRule="auto"/>
              <w:jc w:val="center"/>
              <w:rPr>
                <w:rFonts w:eastAsia="Times New Roman" w:cstheme="minorHAnsi"/>
                <w:color w:val="000000"/>
                <w:sz w:val="20"/>
                <w:szCs w:val="20"/>
                <w:lang w:eastAsia="en-GB"/>
              </w:rPr>
            </w:pP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64 (50.3)</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63 (49.6)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D1954" w:rsidRPr="009B3747" w:rsidRDefault="00ED1954" w:rsidP="00ED1954">
            <w:pPr>
              <w:spacing w:line="240" w:lineRule="auto"/>
              <w:jc w:val="center"/>
              <w:rPr>
                <w:rFonts w:eastAsia="Times New Roman" w:cstheme="minorHAnsi"/>
                <w:color w:val="000000"/>
                <w:sz w:val="20"/>
                <w:szCs w:val="20"/>
                <w:lang w:eastAsia="en-GB"/>
              </w:rPr>
            </w:pP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43 (47.8)</w:t>
            </w:r>
          </w:p>
          <w:p w:rsidR="00827CCD" w:rsidRPr="009B3747" w:rsidRDefault="00827CCD" w:rsidP="00ED1954">
            <w:pPr>
              <w:spacing w:line="240" w:lineRule="auto"/>
              <w:jc w:val="center"/>
              <w:rPr>
                <w:rFonts w:eastAsia="Times New Roman" w:cstheme="minorHAnsi"/>
                <w:color w:val="000000"/>
                <w:sz w:val="20"/>
                <w:szCs w:val="20"/>
                <w:lang w:eastAsia="en-GB"/>
              </w:rPr>
            </w:pPr>
            <w:r w:rsidRPr="009B3747">
              <w:rPr>
                <w:rFonts w:eastAsia="Times New Roman" w:cstheme="minorHAnsi"/>
                <w:color w:val="000000"/>
                <w:sz w:val="20"/>
                <w:szCs w:val="20"/>
                <w:lang w:eastAsia="en-GB"/>
              </w:rPr>
              <w:t>47 (42.2)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D1954" w:rsidRPr="009B3747" w:rsidRDefault="00ED1954" w:rsidP="00ED1954">
            <w:pPr>
              <w:spacing w:line="240" w:lineRule="auto"/>
              <w:jc w:val="center"/>
              <w:rPr>
                <w:rFonts w:eastAsia="Times New Roman" w:cstheme="minorHAnsi"/>
                <w:color w:val="000000"/>
                <w:sz w:val="20"/>
                <w:szCs w:val="20"/>
                <w:lang w:eastAsia="en-GB"/>
              </w:rPr>
            </w:pP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21 (56.8)</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16 (43.2)</w:t>
            </w:r>
          </w:p>
        </w:tc>
      </w:tr>
      <w:tr w:rsidR="00827CCD" w:rsidRPr="009B3747" w:rsidTr="00827CCD">
        <w:trPr>
          <w:trHeight w:val="2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ED1954">
            <w:pPr>
              <w:spacing w:line="240" w:lineRule="auto"/>
              <w:rPr>
                <w:rFonts w:eastAsia="Times New Roman" w:cstheme="minorHAnsi"/>
                <w:b/>
                <w:sz w:val="24"/>
                <w:szCs w:val="24"/>
                <w:lang w:eastAsia="en-GB"/>
              </w:rPr>
            </w:pPr>
            <w:r w:rsidRPr="009B3747">
              <w:rPr>
                <w:rFonts w:eastAsia="Times New Roman" w:cstheme="minorHAnsi"/>
                <w:b/>
                <w:color w:val="000000"/>
                <w:sz w:val="20"/>
                <w:szCs w:val="20"/>
                <w:lang w:eastAsia="en-GB"/>
              </w:rPr>
              <w:t>Age (in years)</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21-30</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31-40</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41-50</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51-60</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61-70</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71-80</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81+</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Prefer not to say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D1954" w:rsidRPr="009B3747" w:rsidRDefault="00ED1954" w:rsidP="00ED1954">
            <w:pPr>
              <w:spacing w:line="240" w:lineRule="auto"/>
              <w:jc w:val="center"/>
              <w:rPr>
                <w:rFonts w:eastAsia="Times New Roman" w:cstheme="minorHAnsi"/>
                <w:color w:val="000000"/>
                <w:sz w:val="20"/>
                <w:szCs w:val="20"/>
                <w:lang w:eastAsia="en-GB"/>
              </w:rPr>
            </w:pP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9 (7.1)</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38 (29.9)</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64 (50.4)</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10 (7.9)</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5 (3.9)</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1 (0.8)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D1954" w:rsidRPr="009B3747" w:rsidRDefault="00ED1954" w:rsidP="00ED1954">
            <w:pPr>
              <w:spacing w:line="240" w:lineRule="auto"/>
              <w:jc w:val="center"/>
              <w:rPr>
                <w:rFonts w:eastAsia="Times New Roman" w:cstheme="minorHAnsi"/>
                <w:color w:val="000000"/>
                <w:sz w:val="20"/>
                <w:szCs w:val="20"/>
                <w:lang w:eastAsia="en-GB"/>
              </w:rPr>
            </w:pP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9 (10)</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30 (33.3)</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48 (53.3)</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2 (2.2)</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1 (1.1)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D1954" w:rsidRPr="009B3747" w:rsidRDefault="00ED1954" w:rsidP="00ED1954">
            <w:pPr>
              <w:spacing w:line="240" w:lineRule="auto"/>
              <w:jc w:val="center"/>
              <w:rPr>
                <w:rFonts w:eastAsia="Times New Roman" w:cstheme="minorHAnsi"/>
                <w:color w:val="000000"/>
                <w:sz w:val="20"/>
                <w:szCs w:val="20"/>
                <w:lang w:eastAsia="en-GB"/>
              </w:rPr>
            </w:pP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8 (21.6)</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16 (43.2)</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8 (21.6)</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5 (13.5)</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w:t>
            </w:r>
          </w:p>
        </w:tc>
      </w:tr>
      <w:tr w:rsidR="00827CCD" w:rsidRPr="009B3747" w:rsidTr="00827CCD">
        <w:trPr>
          <w:trHeight w:val="23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ED1954">
            <w:pPr>
              <w:spacing w:line="240" w:lineRule="auto"/>
              <w:rPr>
                <w:rFonts w:eastAsia="Times New Roman" w:cstheme="minorHAnsi"/>
                <w:b/>
                <w:sz w:val="24"/>
                <w:szCs w:val="24"/>
                <w:lang w:eastAsia="en-GB"/>
              </w:rPr>
            </w:pPr>
            <w:r w:rsidRPr="009B3747">
              <w:rPr>
                <w:rFonts w:eastAsia="Times New Roman" w:cstheme="minorHAnsi"/>
                <w:b/>
                <w:color w:val="000000"/>
                <w:sz w:val="20"/>
                <w:szCs w:val="20"/>
                <w:lang w:eastAsia="en-GB"/>
              </w:rPr>
              <w:t>Length of time in role (in years)</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Less than 1</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1-5</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6-10</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11-15</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16-20</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21-25</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26+</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Prefer not to say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D1954" w:rsidRPr="009B3747" w:rsidRDefault="00ED1954" w:rsidP="00ED1954">
            <w:pPr>
              <w:spacing w:line="240" w:lineRule="auto"/>
              <w:jc w:val="center"/>
              <w:rPr>
                <w:rFonts w:eastAsia="Times New Roman" w:cstheme="minorHAnsi"/>
                <w:color w:val="000000"/>
                <w:sz w:val="20"/>
                <w:szCs w:val="20"/>
                <w:lang w:eastAsia="en-GB"/>
              </w:rPr>
            </w:pP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15 (11.8)</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50 (39.4)</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32 (25.2)</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11 (8.7)</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11 (8.7)</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4 (3.1)</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3 (2.4)</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1 (0.8)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D1954" w:rsidRPr="009B3747" w:rsidRDefault="00ED1954" w:rsidP="00ED1954">
            <w:pPr>
              <w:spacing w:line="240" w:lineRule="auto"/>
              <w:jc w:val="center"/>
              <w:rPr>
                <w:rFonts w:eastAsia="Times New Roman" w:cstheme="minorHAnsi"/>
                <w:color w:val="000000"/>
                <w:sz w:val="20"/>
                <w:szCs w:val="20"/>
                <w:lang w:eastAsia="en-GB"/>
              </w:rPr>
            </w:pP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11 (12.2)</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34 (37.8)</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22 (24.4)</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9 (10)</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10 (11.1)</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2 (2.2)</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1 (1.1)</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1 (1.1)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D1954" w:rsidRPr="009B3747" w:rsidRDefault="00ED1954" w:rsidP="00ED1954">
            <w:pPr>
              <w:spacing w:line="240" w:lineRule="auto"/>
              <w:jc w:val="center"/>
              <w:rPr>
                <w:rFonts w:eastAsia="Times New Roman" w:cstheme="minorHAnsi"/>
                <w:color w:val="000000"/>
                <w:sz w:val="20"/>
                <w:szCs w:val="20"/>
                <w:lang w:eastAsia="en-GB"/>
              </w:rPr>
            </w:pP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4 (10.8)</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16 (43.2)</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10 (27)</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2 (5.4)</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1 (2.7)</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2 (5.4)</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2 (5.4)</w:t>
            </w:r>
          </w:p>
          <w:p w:rsidR="00827CCD" w:rsidRPr="009B3747" w:rsidRDefault="00827CCD" w:rsidP="00ED1954">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w:t>
            </w:r>
          </w:p>
        </w:tc>
      </w:tr>
    </w:tbl>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Whilst it is not possible to access national statistics on the demographics of chairs of governors, the Department for Education (DfE), publishes a yearly census of the workforce in English state funded schools.  The most recent release (DfE, 2016), identified that the gender split of headteachers within state-funded secondary schools was 61% males and 39% females.  In respect to headteachers from state-funded secondary schools in the final sample (</w:t>
      </w:r>
      <w:r w:rsidR="00FA6E32" w:rsidRPr="009B3747">
        <w:rPr>
          <w:rFonts w:eastAsia="Times New Roman" w:cstheme="minorHAnsi"/>
          <w:color w:val="000000"/>
          <w:lang w:eastAsia="en-GB"/>
        </w:rPr>
        <w:t>n=</w:t>
      </w:r>
      <w:r w:rsidRPr="009B3747">
        <w:rPr>
          <w:rFonts w:eastAsia="Times New Roman" w:cstheme="minorHAnsi"/>
          <w:color w:val="000000"/>
          <w:lang w:eastAsia="en-GB"/>
        </w:rPr>
        <w:t>71), a greater proportion were female (55%) than male (45%).  This suggests that females were overrepresented in the sample.      </w:t>
      </w:r>
    </w:p>
    <w:p w:rsidR="00827CCD" w:rsidRPr="009B3747" w:rsidRDefault="00827CCD" w:rsidP="00256CB0">
      <w:pPr>
        <w:tabs>
          <w:tab w:val="left" w:pos="1860"/>
        </w:tabs>
        <w:rPr>
          <w:rFonts w:eastAsia="Times New Roman" w:cstheme="minorHAnsi"/>
          <w:sz w:val="24"/>
          <w:szCs w:val="24"/>
          <w:lang w:eastAsia="en-GB"/>
        </w:rPr>
      </w:pPr>
      <w:r w:rsidRPr="009B3747">
        <w:rPr>
          <w:rFonts w:eastAsia="Times New Roman" w:cstheme="minorHAnsi"/>
          <w:sz w:val="24"/>
          <w:szCs w:val="24"/>
          <w:lang w:eastAsia="en-GB"/>
        </w:rPr>
        <w:t>  </w:t>
      </w:r>
      <w:r w:rsidR="00256CB0" w:rsidRPr="009B3747">
        <w:rPr>
          <w:rFonts w:eastAsia="Times New Roman" w:cstheme="minorHAnsi"/>
          <w:sz w:val="24"/>
          <w:szCs w:val="24"/>
          <w:lang w:eastAsia="en-GB"/>
        </w:rPr>
        <w:tab/>
      </w:r>
    </w:p>
    <w:p w:rsidR="00256CB0" w:rsidRPr="009B3747" w:rsidRDefault="00256CB0" w:rsidP="00256CB0">
      <w:pPr>
        <w:tabs>
          <w:tab w:val="left" w:pos="1860"/>
        </w:tabs>
        <w:rPr>
          <w:rFonts w:eastAsia="Times New Roman" w:cstheme="minorHAnsi"/>
          <w:sz w:val="24"/>
          <w:szCs w:val="24"/>
          <w:lang w:eastAsia="en-GB"/>
        </w:rPr>
      </w:pPr>
    </w:p>
    <w:p w:rsidR="00256CB0" w:rsidRPr="009B3747" w:rsidRDefault="00256CB0" w:rsidP="00256CB0">
      <w:pPr>
        <w:tabs>
          <w:tab w:val="left" w:pos="1860"/>
        </w:tabs>
        <w:rPr>
          <w:rFonts w:eastAsia="Times New Roman" w:cstheme="minorHAnsi"/>
          <w:sz w:val="24"/>
          <w:szCs w:val="24"/>
          <w:lang w:eastAsia="en-GB"/>
        </w:rPr>
      </w:pPr>
    </w:p>
    <w:p w:rsidR="00827CCD" w:rsidRPr="009B3747" w:rsidRDefault="00871BA1" w:rsidP="00827CCD">
      <w:pPr>
        <w:rPr>
          <w:rFonts w:eastAsia="Times New Roman" w:cstheme="minorHAnsi"/>
          <w:sz w:val="24"/>
          <w:szCs w:val="24"/>
          <w:u w:val="single"/>
          <w:lang w:eastAsia="en-GB"/>
        </w:rPr>
      </w:pPr>
      <w:r w:rsidRPr="009B3747">
        <w:rPr>
          <w:rFonts w:eastAsia="Times New Roman" w:cstheme="minorHAnsi"/>
          <w:iCs/>
          <w:color w:val="000000"/>
          <w:u w:val="single"/>
          <w:lang w:eastAsia="en-GB"/>
        </w:rPr>
        <w:lastRenderedPageBreak/>
        <w:t>8.3</w:t>
      </w:r>
      <w:r w:rsidR="00ED1954" w:rsidRPr="009B3747">
        <w:rPr>
          <w:rFonts w:eastAsia="Times New Roman" w:cstheme="minorHAnsi"/>
          <w:iCs/>
          <w:color w:val="000000"/>
          <w:u w:val="single"/>
          <w:lang w:eastAsia="en-GB"/>
        </w:rPr>
        <w:t xml:space="preserve">.2 </w:t>
      </w:r>
      <w:r w:rsidR="00827CCD" w:rsidRPr="009B3747">
        <w:rPr>
          <w:rFonts w:eastAsia="Times New Roman" w:cstheme="minorHAnsi"/>
          <w:iCs/>
          <w:color w:val="000000"/>
          <w:u w:val="single"/>
          <w:lang w:eastAsia="en-GB"/>
        </w:rPr>
        <w:t xml:space="preserve">- Demographics of </w:t>
      </w:r>
      <w:r w:rsidR="00FA6E32" w:rsidRPr="009B3747">
        <w:rPr>
          <w:rFonts w:eastAsia="Times New Roman" w:cstheme="minorHAnsi"/>
          <w:iCs/>
          <w:color w:val="000000"/>
          <w:u w:val="single"/>
          <w:lang w:eastAsia="en-GB"/>
        </w:rPr>
        <w:t>the participants’ schools</w:t>
      </w:r>
    </w:p>
    <w:p w:rsidR="00ED1954" w:rsidRPr="009B3747" w:rsidRDefault="00ED1954" w:rsidP="00827CCD">
      <w:pPr>
        <w:rPr>
          <w:rFonts w:eastAsia="Times New Roman" w:cstheme="minorHAnsi"/>
          <w:color w:val="000000"/>
          <w:lang w:eastAsia="en-GB"/>
        </w:rPr>
      </w:pPr>
    </w:p>
    <w:p w:rsidR="00827CCD" w:rsidRPr="009B3747" w:rsidRDefault="00827CCD" w:rsidP="00827CCD">
      <w:pPr>
        <w:rPr>
          <w:rFonts w:eastAsia="Times New Roman" w:cstheme="minorHAnsi"/>
          <w:color w:val="000000"/>
          <w:lang w:eastAsia="en-GB"/>
        </w:rPr>
      </w:pPr>
      <w:r w:rsidRPr="009B3747">
        <w:rPr>
          <w:rFonts w:eastAsia="Times New Roman" w:cstheme="minorHAnsi"/>
          <w:color w:val="000000"/>
          <w:lang w:eastAsia="en-GB"/>
        </w:rPr>
        <w:t xml:space="preserve">Participants were posed a range of questions related to the characteristics of the school </w:t>
      </w:r>
      <w:r w:rsidR="00FA6E32" w:rsidRPr="009B3747">
        <w:rPr>
          <w:rFonts w:eastAsia="Times New Roman" w:cstheme="minorHAnsi"/>
          <w:color w:val="000000"/>
          <w:lang w:eastAsia="en-GB"/>
        </w:rPr>
        <w:t>they were either employed at or elected to</w:t>
      </w:r>
      <w:r w:rsidRPr="009B3747">
        <w:rPr>
          <w:rFonts w:eastAsia="Times New Roman" w:cstheme="minorHAnsi"/>
          <w:color w:val="000000"/>
          <w:lang w:eastAsia="en-GB"/>
        </w:rPr>
        <w:t>.  As detailed in the last section of the questionnaire, the questions focused on school types, percentage of pupils receiving free school meals (both currently and in the previous six years), Ofsted performance rating and s</w:t>
      </w:r>
      <w:r w:rsidR="006B3384" w:rsidRPr="009B3747">
        <w:rPr>
          <w:rFonts w:eastAsia="Times New Roman" w:cstheme="minorHAnsi"/>
          <w:color w:val="000000"/>
          <w:lang w:eastAsia="en-GB"/>
        </w:rPr>
        <w:t>c</w:t>
      </w:r>
      <w:r w:rsidR="00FA6E32" w:rsidRPr="009B3747">
        <w:rPr>
          <w:rFonts w:eastAsia="Times New Roman" w:cstheme="minorHAnsi"/>
          <w:color w:val="000000"/>
          <w:lang w:eastAsia="en-GB"/>
        </w:rPr>
        <w:t>hool pupil population.  Table 8.2</w:t>
      </w:r>
      <w:r w:rsidR="006B3384" w:rsidRPr="009B3747">
        <w:rPr>
          <w:rFonts w:eastAsia="Times New Roman" w:cstheme="minorHAnsi"/>
          <w:color w:val="000000"/>
          <w:lang w:eastAsia="en-GB"/>
        </w:rPr>
        <w:t xml:space="preserve"> </w:t>
      </w:r>
      <w:r w:rsidRPr="009B3747">
        <w:rPr>
          <w:rFonts w:eastAsia="Times New Roman" w:cstheme="minorHAnsi"/>
          <w:color w:val="000000"/>
          <w:lang w:eastAsia="en-GB"/>
        </w:rPr>
        <w:t>presents a summary of the responses received to these questions an</w:t>
      </w:r>
      <w:r w:rsidR="006B3384" w:rsidRPr="009B3747">
        <w:rPr>
          <w:rFonts w:eastAsia="Times New Roman" w:cstheme="minorHAnsi"/>
          <w:color w:val="000000"/>
          <w:lang w:eastAsia="en-GB"/>
        </w:rPr>
        <w:t xml:space="preserve">d as </w:t>
      </w:r>
      <w:r w:rsidR="00FA6E32" w:rsidRPr="009B3747">
        <w:rPr>
          <w:rFonts w:eastAsia="Times New Roman" w:cstheme="minorHAnsi"/>
          <w:color w:val="000000"/>
          <w:lang w:eastAsia="en-GB"/>
        </w:rPr>
        <w:t>in table 8.1</w:t>
      </w:r>
      <w:r w:rsidRPr="009B3747">
        <w:rPr>
          <w:rFonts w:eastAsia="Times New Roman" w:cstheme="minorHAnsi"/>
          <w:color w:val="000000"/>
          <w:lang w:eastAsia="en-GB"/>
        </w:rPr>
        <w:t>, descriptive statistics are provided for both</w:t>
      </w:r>
      <w:r w:rsidR="00FA6E32" w:rsidRPr="009B3747">
        <w:rPr>
          <w:rFonts w:eastAsia="Times New Roman" w:cstheme="minorHAnsi"/>
          <w:color w:val="000000"/>
          <w:lang w:eastAsia="en-GB"/>
        </w:rPr>
        <w:t xml:space="preserve"> frequency (</w:t>
      </w:r>
      <w:r w:rsidRPr="009B3747">
        <w:rPr>
          <w:rFonts w:eastAsia="Times New Roman" w:cstheme="minorHAnsi"/>
          <w:color w:val="000000"/>
          <w:lang w:eastAsia="en-GB"/>
        </w:rPr>
        <w:t xml:space="preserve">n = actual number of participant responses) and the relative proportions </w:t>
      </w:r>
      <w:r w:rsidR="00FA6E32" w:rsidRPr="009B3747">
        <w:rPr>
          <w:rFonts w:eastAsia="Times New Roman" w:cstheme="minorHAnsi"/>
          <w:color w:val="000000"/>
          <w:lang w:eastAsia="en-GB"/>
        </w:rPr>
        <w:t>(</w:t>
      </w:r>
      <w:r w:rsidRPr="009B3747">
        <w:rPr>
          <w:rFonts w:eastAsia="Times New Roman" w:cstheme="minorHAnsi"/>
          <w:color w:val="000000"/>
          <w:lang w:eastAsia="en-GB"/>
        </w:rPr>
        <w:t>% = percentage) of responses received for each question.  </w:t>
      </w:r>
    </w:p>
    <w:p w:rsidR="005969E6" w:rsidRPr="009B3747" w:rsidRDefault="005969E6" w:rsidP="00827CCD">
      <w:pPr>
        <w:rPr>
          <w:rFonts w:eastAsia="Times New Roman" w:cstheme="minorHAnsi"/>
          <w:sz w:val="24"/>
          <w:szCs w:val="24"/>
          <w:lang w:eastAsia="en-GB"/>
        </w:rPr>
      </w:pP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In total</w:t>
      </w:r>
      <w:r w:rsidR="00FA6E32" w:rsidRPr="009B3747">
        <w:rPr>
          <w:rFonts w:eastAsia="Times New Roman" w:cstheme="minorHAnsi"/>
          <w:color w:val="000000"/>
          <w:lang w:eastAsia="en-GB"/>
        </w:rPr>
        <w:t>,</w:t>
      </w:r>
      <w:r w:rsidRPr="009B3747">
        <w:rPr>
          <w:rFonts w:eastAsia="Times New Roman" w:cstheme="minorHAnsi"/>
          <w:color w:val="000000"/>
          <w:lang w:eastAsia="en-GB"/>
        </w:rPr>
        <w:t xml:space="preserve"> 84.3% of participants in the final sample reported to represent a state funded secondary </w:t>
      </w:r>
      <w:r w:rsidR="00FA6E32" w:rsidRPr="009B3747">
        <w:rPr>
          <w:rFonts w:eastAsia="Times New Roman" w:cstheme="minorHAnsi"/>
          <w:color w:val="000000"/>
          <w:lang w:eastAsia="en-GB"/>
        </w:rPr>
        <w:t>school (i.e. academy, community or</w:t>
      </w:r>
      <w:r w:rsidRPr="009B3747">
        <w:rPr>
          <w:rFonts w:eastAsia="Times New Roman" w:cstheme="minorHAnsi"/>
          <w:color w:val="000000"/>
          <w:lang w:eastAsia="en-GB"/>
        </w:rPr>
        <w:t xml:space="preserve"> foundation school).  The remaining 15.7% of survey respondents reported t</w:t>
      </w:r>
      <w:r w:rsidR="00B46C02">
        <w:rPr>
          <w:rFonts w:eastAsia="Times New Roman" w:cstheme="minorHAnsi"/>
          <w:color w:val="000000"/>
          <w:lang w:eastAsia="en-GB"/>
        </w:rPr>
        <w:t xml:space="preserve">heir school type as independent, </w:t>
      </w:r>
      <w:r w:rsidRPr="009B3747">
        <w:rPr>
          <w:rFonts w:eastAsia="Times New Roman" w:cstheme="minorHAnsi"/>
          <w:color w:val="000000"/>
          <w:lang w:eastAsia="en-GB"/>
        </w:rPr>
        <w:t>i.e. non-state funded school.  Only 21% of headteachers and 2.7% of chairs of governors who participated were from non-state funded schools.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color w:val="000000"/>
          <w:lang w:eastAsia="en-GB"/>
        </w:rPr>
      </w:pPr>
      <w:r w:rsidRPr="009B3747">
        <w:rPr>
          <w:rFonts w:eastAsia="Times New Roman" w:cstheme="minorHAnsi"/>
          <w:color w:val="000000"/>
          <w:lang w:eastAsia="en-GB"/>
        </w:rPr>
        <w:t>Of the participants from state-funded secondary schools (</w:t>
      </w:r>
      <w:r w:rsidR="00FA6E32" w:rsidRPr="009B3747">
        <w:rPr>
          <w:rFonts w:eastAsia="Times New Roman" w:cstheme="minorHAnsi"/>
          <w:color w:val="000000"/>
          <w:lang w:eastAsia="en-GB"/>
        </w:rPr>
        <w:t>n=</w:t>
      </w:r>
      <w:r w:rsidRPr="009B3747">
        <w:rPr>
          <w:rFonts w:eastAsia="Times New Roman" w:cstheme="minorHAnsi"/>
          <w:color w:val="000000"/>
          <w:lang w:eastAsia="en-GB"/>
        </w:rPr>
        <w:t>107), 60.8% selected ‘Academy’ as their school’s type, with ‘Community’ being the second highest school type represented (17.8%).  When comparing this to the national profile of school types, academy schools (converter mainstream and sponsor-led) made up 58.6% of all state-funded secondary schools in Eng</w:t>
      </w:r>
      <w:r w:rsidR="00551065" w:rsidRPr="009B3747">
        <w:rPr>
          <w:rFonts w:eastAsia="Times New Roman" w:cstheme="minorHAnsi"/>
          <w:color w:val="000000"/>
          <w:lang w:eastAsia="en-GB"/>
        </w:rPr>
        <w:t xml:space="preserve">land </w:t>
      </w:r>
      <w:r w:rsidR="00551065"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"Department for Education", "given" : "", "non-dropping-particle" : "", "parse-names" : false, "suffix" : "" } ], "id" : "ITEM-1", "issued" : { "date-parts" : [ [ "2016" ] ] }, "publisher-place" : "London", "title" : "Schools, pupils and their characteristics", "type" : "report" }, "uris" : [ "http://www.mendeley.com/documents/?uuid=cb0a9280-f43f-4230-89f2-4d21d4c41146" ] } ], "mendeley" : { "formattedCitation" : "(Department for Education, 2016b)", "plainTextFormattedCitation" : "(Department for Education, 2016b)", "previouslyFormattedCitation" : "(Department for Education, 2016b)" }, "properties" : { "noteIndex" : 0 }, "schema" : "https://github.com/citation-style-language/schema/raw/master/csl-citation.json" }</w:instrText>
      </w:r>
      <w:r w:rsidR="00551065" w:rsidRPr="009B3747">
        <w:rPr>
          <w:rFonts w:eastAsia="Times New Roman" w:cstheme="minorHAnsi"/>
          <w:color w:val="000000"/>
          <w:lang w:eastAsia="en-GB"/>
        </w:rPr>
        <w:fldChar w:fldCharType="separate"/>
      </w:r>
      <w:r w:rsidR="00551065" w:rsidRPr="009B3747">
        <w:rPr>
          <w:rFonts w:eastAsia="Times New Roman" w:cstheme="minorHAnsi"/>
          <w:noProof/>
          <w:color w:val="000000"/>
          <w:lang w:eastAsia="en-GB"/>
        </w:rPr>
        <w:t>(Department for Education, 2016b)</w:t>
      </w:r>
      <w:r w:rsidR="00551065" w:rsidRPr="009B3747">
        <w:rPr>
          <w:rFonts w:eastAsia="Times New Roman" w:cstheme="minorHAnsi"/>
          <w:color w:val="000000"/>
          <w:lang w:eastAsia="en-GB"/>
        </w:rPr>
        <w:fldChar w:fldCharType="end"/>
      </w:r>
      <w:r w:rsidR="00551065" w:rsidRPr="009B3747">
        <w:rPr>
          <w:rFonts w:eastAsia="Times New Roman" w:cstheme="minorHAnsi"/>
          <w:color w:val="000000"/>
          <w:lang w:eastAsia="en-GB"/>
        </w:rPr>
        <w:t>.</w:t>
      </w:r>
      <w:r w:rsidRPr="009B3747">
        <w:rPr>
          <w:rFonts w:eastAsia="Times New Roman" w:cstheme="minorHAnsi"/>
          <w:color w:val="000000"/>
          <w:lang w:eastAsia="en-GB"/>
        </w:rPr>
        <w:t xml:space="preserve">  This indicates that for participants who were representing state funded secondary schools (84.3%), the ratio of academy and non-academy school types (nearly 2:1) was close to the national picture.  </w:t>
      </w:r>
    </w:p>
    <w:p w:rsidR="00BA6623" w:rsidRPr="009B3747" w:rsidRDefault="00BA6623" w:rsidP="00827CCD">
      <w:pPr>
        <w:rPr>
          <w:rFonts w:eastAsia="Times New Roman" w:cstheme="minorHAnsi"/>
          <w:color w:val="000000"/>
          <w:lang w:eastAsia="en-GB"/>
        </w:rPr>
      </w:pP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Used as a proxy for pupil disadvantage, two questions were posed regarding the free school meal percentages of participant’s schools.  In total</w:t>
      </w:r>
      <w:r w:rsidR="00FA6E32" w:rsidRPr="009B3747">
        <w:rPr>
          <w:rFonts w:eastAsia="Times New Roman" w:cstheme="minorHAnsi"/>
          <w:color w:val="000000"/>
          <w:lang w:eastAsia="en-GB"/>
        </w:rPr>
        <w:t>,</w:t>
      </w:r>
      <w:r w:rsidRPr="009B3747">
        <w:rPr>
          <w:rFonts w:eastAsia="Times New Roman" w:cstheme="minorHAnsi"/>
          <w:color w:val="000000"/>
          <w:lang w:eastAsia="en-GB"/>
        </w:rPr>
        <w:t xml:space="preserve"> aside from those who selected ‘Unsure’ (10%), 44.1% of remaining participants represented schools where the percentage of pupils currently receiving free school meals was under 15%.  The vast majority (94.4%) of the 18 non-state funded schools represented had a free school meal percentage of below 15%, in comparison to 39.4% of state funded schools.  Over half (55.9%) of participants were either employed or elected at schools with a current free school meal percentage of 16% or above, the vast majority (98.4%) of which were state-funded schools.   In January 2016, the Department for Education reported that 13.2% of state funded secondary school pupils were eligible for and claiming free school meals, which indicates that schools represented within the final sample had a broadly higher free school meal percentage than the national picture.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lastRenderedPageBreak/>
        <w:t> </w:t>
      </w:r>
    </w:p>
    <w:p w:rsidR="00827CCD" w:rsidRPr="009B3747" w:rsidRDefault="00827CCD" w:rsidP="00256CB0">
      <w:pPr>
        <w:keepLines/>
        <w:widowControl w:val="0"/>
        <w:rPr>
          <w:rFonts w:eastAsia="Times New Roman" w:cstheme="minorHAnsi"/>
          <w:color w:val="000000"/>
          <w:lang w:eastAsia="en-GB"/>
        </w:rPr>
      </w:pPr>
      <w:r w:rsidRPr="009B3747">
        <w:rPr>
          <w:rFonts w:eastAsia="Times New Roman" w:cstheme="minorHAnsi"/>
          <w:color w:val="000000"/>
          <w:lang w:eastAsia="en-GB"/>
        </w:rPr>
        <w:t xml:space="preserve">The second question related to pupil eligibility for free school meals </w:t>
      </w:r>
      <w:r w:rsidR="00FA6E32" w:rsidRPr="009B3747">
        <w:rPr>
          <w:rFonts w:eastAsia="Times New Roman" w:cstheme="minorHAnsi"/>
          <w:color w:val="000000"/>
          <w:lang w:eastAsia="en-GB"/>
        </w:rPr>
        <w:t>in the previous six years (</w:t>
      </w:r>
      <w:r w:rsidRPr="009B3747">
        <w:rPr>
          <w:rFonts w:eastAsia="Times New Roman" w:cstheme="minorHAnsi"/>
          <w:color w:val="000000"/>
          <w:lang w:eastAsia="en-GB"/>
        </w:rPr>
        <w:t>Ever 6 FSM pupils), a measure used for determining a school’s allocation of pupil</w:t>
      </w:r>
      <w:r w:rsidR="00256CB0" w:rsidRPr="009B3747">
        <w:rPr>
          <w:rFonts w:eastAsia="Times New Roman" w:cstheme="minorHAnsi"/>
          <w:color w:val="000000"/>
          <w:lang w:eastAsia="en-GB"/>
        </w:rPr>
        <w:t xml:space="preserve"> premium f</w:t>
      </w:r>
      <w:r w:rsidR="00655CB8" w:rsidRPr="009B3747">
        <w:rPr>
          <w:rFonts w:eastAsia="Times New Roman" w:cstheme="minorHAnsi"/>
          <w:color w:val="000000"/>
          <w:lang w:eastAsia="en-GB"/>
        </w:rPr>
        <w:t>unding</w:t>
      </w:r>
      <w:r w:rsidRPr="009B3747">
        <w:rPr>
          <w:rFonts w:eastAsia="Times New Roman" w:cstheme="minorHAnsi"/>
          <w:color w:val="000000"/>
          <w:lang w:eastAsia="en-GB"/>
        </w:rPr>
        <w:t>.  Compared to the previous question, a higher percentage of participants (15%) chose ‘Unsure’ as their answer.  Of those who responded the largest proportion (24.4%) of responses were identified within the 0-10% category (of which 5</w:t>
      </w:r>
      <w:r w:rsidR="00256CB0" w:rsidRPr="009B3747">
        <w:rPr>
          <w:rFonts w:eastAsia="Times New Roman" w:cstheme="minorHAnsi"/>
          <w:color w:val="000000"/>
          <w:lang w:eastAsia="en-GB"/>
        </w:rPr>
        <w:t xml:space="preserve">4.8% were from non-state funded </w:t>
      </w:r>
      <w:r w:rsidRPr="009B3747">
        <w:rPr>
          <w:rFonts w:eastAsia="Times New Roman" w:cstheme="minorHAnsi"/>
          <w:color w:val="000000"/>
          <w:lang w:eastAsia="en-GB"/>
        </w:rPr>
        <w:t>schools).  However, when school type is considered, 94.4% of non-state funded schools had an Ever 6 FSM pupil percentage of 0-10% compared to 15% of state funded schools.  The category chosen most frequently by state-funded schools was 21-30%.  It was not possible to identify publically accessible information regarding the secondary school percentage average of Ever 6 FSM.</w:t>
      </w:r>
    </w:p>
    <w:p w:rsidR="00ED1954" w:rsidRPr="009B3747" w:rsidRDefault="00ED1954" w:rsidP="00827CCD">
      <w:pPr>
        <w:rPr>
          <w:rFonts w:eastAsia="Times New Roman" w:cstheme="minorHAnsi"/>
          <w:sz w:val="24"/>
          <w:szCs w:val="24"/>
          <w:lang w:eastAsia="en-GB"/>
        </w:rPr>
      </w:pPr>
    </w:p>
    <w:p w:rsidR="006308EA" w:rsidRPr="009B3747" w:rsidRDefault="00827CCD" w:rsidP="00827CCD">
      <w:pPr>
        <w:rPr>
          <w:rFonts w:eastAsia="Times New Roman" w:cstheme="minorHAnsi"/>
          <w:color w:val="000000"/>
          <w:lang w:eastAsia="en-GB"/>
        </w:rPr>
      </w:pPr>
      <w:r w:rsidRPr="009B3747">
        <w:rPr>
          <w:rFonts w:eastAsia="Times New Roman" w:cstheme="minorHAnsi"/>
          <w:color w:val="000000"/>
          <w:lang w:eastAsia="en-GB"/>
        </w:rPr>
        <w:t>Nearly half of respondents (49.6%) reported that their school had a current Ofsted performance rating of ‘Good’ and just under a third (29.1%) selected ‘Outstanding’ as their school’s rating.  The categories of ‘Requires Improvement’ and ‘Inadequate’ were represented by 12.6% and 2.4% or participants respectively.  The remaining participants were either awaiting an Ofsted inspection (5.5%) or in the case of one participant (0.8%) unsure of their current rating.  </w:t>
      </w:r>
    </w:p>
    <w:p w:rsidR="006308EA" w:rsidRPr="009B3747" w:rsidRDefault="006308EA" w:rsidP="00827CCD">
      <w:pPr>
        <w:rPr>
          <w:rFonts w:eastAsia="Times New Roman" w:cstheme="minorHAnsi"/>
          <w:color w:val="000000"/>
          <w:lang w:eastAsia="en-GB"/>
        </w:rPr>
      </w:pPr>
    </w:p>
    <w:p w:rsidR="00827CCD" w:rsidRPr="009B3747" w:rsidRDefault="00827CCD" w:rsidP="00827CCD">
      <w:pPr>
        <w:rPr>
          <w:rFonts w:eastAsia="Times New Roman" w:cstheme="minorHAnsi"/>
          <w:color w:val="000000"/>
          <w:lang w:eastAsia="en-GB"/>
        </w:rPr>
      </w:pPr>
      <w:r w:rsidRPr="009B3747">
        <w:rPr>
          <w:rFonts w:eastAsia="Times New Roman" w:cstheme="minorHAnsi"/>
          <w:color w:val="000000"/>
          <w:lang w:eastAsia="en-GB"/>
        </w:rPr>
        <w:t>The only publically available information on Ofsted performance ratings across England, is based on state-funded schools only.  Consequently, when non-state funded schools are removed from the final sample, aside from two schools</w:t>
      </w:r>
      <w:r w:rsidR="009025E2">
        <w:rPr>
          <w:rFonts w:eastAsia="Times New Roman" w:cstheme="minorHAnsi"/>
          <w:color w:val="000000"/>
          <w:lang w:eastAsia="en-GB"/>
        </w:rPr>
        <w:t>,</w:t>
      </w:r>
      <w:r w:rsidRPr="009B3747">
        <w:rPr>
          <w:rFonts w:eastAsia="Times New Roman" w:cstheme="minorHAnsi"/>
          <w:color w:val="000000"/>
          <w:lang w:eastAsia="en-GB"/>
        </w:rPr>
        <w:t xml:space="preserve"> which were ‘Yet to be inspected’ the following Ofsted performance ratings were identified - ‘Outstanding’ - 28.6%, ‘Good’ - 54.3%, ‘Requires improvement’ - 14.3% and ‘Inadequate’ - 2.8%.  When compared to the national picture, as of December 2016, 23% of state-funded secondary schools in England were rated as ‘Outstanding’, 56% as ‘Good’, 16% as ‘Requires improvement’ and 5% as ‘Inadequate’ (Ofsted, 2017).  This indicates that the final sub-sample of state-funded secondary schools were overrepresented by ‘Outstanding’ schools and marginally underrepresented by the other three categories.    </w:t>
      </w:r>
    </w:p>
    <w:p w:rsidR="00ED1954" w:rsidRPr="009B3747" w:rsidRDefault="00ED1954" w:rsidP="00827CCD">
      <w:pPr>
        <w:rPr>
          <w:rFonts w:eastAsia="Times New Roman" w:cstheme="minorHAnsi"/>
          <w:sz w:val="24"/>
          <w:szCs w:val="24"/>
          <w:lang w:eastAsia="en-GB"/>
        </w:rPr>
      </w:pP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 xml:space="preserve">In regards to the pupil population of the </w:t>
      </w:r>
      <w:r w:rsidR="00655CB8" w:rsidRPr="009B3747">
        <w:rPr>
          <w:rFonts w:eastAsia="Times New Roman" w:cstheme="minorHAnsi"/>
          <w:color w:val="000000"/>
          <w:lang w:eastAsia="en-GB"/>
        </w:rPr>
        <w:t>schools</w:t>
      </w:r>
      <w:r w:rsidRPr="009B3747">
        <w:rPr>
          <w:rFonts w:eastAsia="Times New Roman" w:cstheme="minorHAnsi"/>
          <w:color w:val="000000"/>
          <w:lang w:eastAsia="en-GB"/>
        </w:rPr>
        <w:t xml:space="preserve"> represented, the largest number of responses were attributed to pupil numbers of between 501-1</w:t>
      </w:r>
      <w:r w:rsidR="00FA6E32" w:rsidRPr="009B3747">
        <w:rPr>
          <w:rFonts w:eastAsia="Times New Roman" w:cstheme="minorHAnsi"/>
          <w:color w:val="000000"/>
          <w:lang w:eastAsia="en-GB"/>
        </w:rPr>
        <w:t>,</w:t>
      </w:r>
      <w:r w:rsidRPr="009B3747">
        <w:rPr>
          <w:rFonts w:eastAsia="Times New Roman" w:cstheme="minorHAnsi"/>
          <w:color w:val="000000"/>
          <w:lang w:eastAsia="en-GB"/>
        </w:rPr>
        <w:t>000 (37.8%) and 1001-1</w:t>
      </w:r>
      <w:r w:rsidR="00FA6E32" w:rsidRPr="009B3747">
        <w:rPr>
          <w:rFonts w:eastAsia="Times New Roman" w:cstheme="minorHAnsi"/>
          <w:color w:val="000000"/>
          <w:lang w:eastAsia="en-GB"/>
        </w:rPr>
        <w:t>,</w:t>
      </w:r>
      <w:r w:rsidRPr="009B3747">
        <w:rPr>
          <w:rFonts w:eastAsia="Times New Roman" w:cstheme="minorHAnsi"/>
          <w:color w:val="000000"/>
          <w:lang w:eastAsia="en-GB"/>
        </w:rPr>
        <w:t>500 (36.2%).  The DfE reports that the average size of a state funded secondary school in England is 939 pupils (DfE, 2016).  The vast majority (80%) of participants from non-state funde</w:t>
      </w:r>
      <w:r w:rsidR="00E53112" w:rsidRPr="009B3747">
        <w:rPr>
          <w:rFonts w:eastAsia="Times New Roman" w:cstheme="minorHAnsi"/>
          <w:color w:val="000000"/>
          <w:lang w:eastAsia="en-GB"/>
        </w:rPr>
        <w:t xml:space="preserve">d secondary schools (n=20) </w:t>
      </w:r>
      <w:r w:rsidRPr="009B3747">
        <w:rPr>
          <w:rFonts w:eastAsia="Times New Roman" w:cstheme="minorHAnsi"/>
          <w:color w:val="000000"/>
          <w:lang w:eastAsia="en-GB"/>
        </w:rPr>
        <w:t>had 500 pupil</w:t>
      </w:r>
      <w:r w:rsidR="00E53112" w:rsidRPr="009B3747">
        <w:rPr>
          <w:rFonts w:eastAsia="Times New Roman" w:cstheme="minorHAnsi"/>
          <w:color w:val="000000"/>
          <w:lang w:eastAsia="en-GB"/>
        </w:rPr>
        <w:t>s</w:t>
      </w:r>
      <w:r w:rsidRPr="009B3747">
        <w:rPr>
          <w:rFonts w:eastAsia="Times New Roman" w:cstheme="minorHAnsi"/>
          <w:color w:val="000000"/>
          <w:lang w:eastAsia="en-GB"/>
        </w:rPr>
        <w:t xml:space="preserve"> or less attending their schools.  </w:t>
      </w:r>
    </w:p>
    <w:p w:rsidR="006308EA" w:rsidRPr="009B3747" w:rsidRDefault="006308EA" w:rsidP="00827CCD">
      <w:pPr>
        <w:rPr>
          <w:rFonts w:eastAsia="Times New Roman" w:cstheme="minorHAnsi"/>
          <w:color w:val="000000"/>
          <w:u w:val="single"/>
          <w:lang w:eastAsia="en-GB"/>
        </w:rPr>
      </w:pPr>
    </w:p>
    <w:p w:rsidR="006308EA" w:rsidRPr="009B3747" w:rsidRDefault="006308EA" w:rsidP="00827CCD">
      <w:pPr>
        <w:rPr>
          <w:rFonts w:eastAsia="Times New Roman" w:cstheme="minorHAnsi"/>
          <w:color w:val="000000"/>
          <w:u w:val="single"/>
          <w:lang w:eastAsia="en-GB"/>
        </w:rPr>
      </w:pPr>
    </w:p>
    <w:p w:rsidR="00E53112" w:rsidRPr="009B3747" w:rsidRDefault="00E53112" w:rsidP="00827CCD">
      <w:pPr>
        <w:rPr>
          <w:rFonts w:eastAsia="Times New Roman" w:cstheme="minorHAnsi"/>
          <w:color w:val="000000"/>
          <w:u w:val="single"/>
          <w:lang w:eastAsia="en-GB"/>
        </w:rPr>
      </w:pPr>
      <w:r w:rsidRPr="009B3747">
        <w:rPr>
          <w:rFonts w:eastAsia="Times New Roman" w:cstheme="minorHAnsi"/>
          <w:color w:val="000000"/>
          <w:u w:val="single"/>
          <w:lang w:eastAsia="en-GB"/>
        </w:rPr>
        <w:lastRenderedPageBreak/>
        <w:t>Table 8.2</w:t>
      </w:r>
      <w:r w:rsidR="006B3384" w:rsidRPr="009B3747">
        <w:rPr>
          <w:rFonts w:eastAsia="Times New Roman" w:cstheme="minorHAnsi"/>
          <w:color w:val="000000"/>
          <w:u w:val="single"/>
          <w:lang w:eastAsia="en-GB"/>
        </w:rPr>
        <w:t xml:space="preserve"> </w:t>
      </w:r>
      <w:r w:rsidR="00827CCD" w:rsidRPr="009B3747">
        <w:rPr>
          <w:rFonts w:eastAsia="Times New Roman" w:cstheme="minorHAnsi"/>
          <w:color w:val="000000"/>
          <w:u w:val="single"/>
          <w:lang w:eastAsia="en-GB"/>
        </w:rPr>
        <w:t xml:space="preserve">- School demographics represented by participants </w:t>
      </w:r>
    </w:p>
    <w:p w:rsidR="00256CB0" w:rsidRPr="009B3747" w:rsidRDefault="00256CB0" w:rsidP="00827CCD">
      <w:pPr>
        <w:rPr>
          <w:rFonts w:eastAsia="Times New Roman" w:cstheme="minorHAnsi"/>
          <w:color w:val="000000"/>
          <w:u w:val="single"/>
          <w:lang w:eastAsia="en-GB"/>
        </w:rPr>
      </w:pPr>
    </w:p>
    <w:tbl>
      <w:tblPr>
        <w:tblW w:w="9056" w:type="dxa"/>
        <w:tblCellMar>
          <w:top w:w="15" w:type="dxa"/>
          <w:left w:w="15" w:type="dxa"/>
          <w:bottom w:w="15" w:type="dxa"/>
          <w:right w:w="15" w:type="dxa"/>
        </w:tblCellMar>
        <w:tblLook w:val="04A0" w:firstRow="1" w:lastRow="0" w:firstColumn="1" w:lastColumn="0" w:noHBand="0" w:noVBand="1"/>
      </w:tblPr>
      <w:tblGrid>
        <w:gridCol w:w="5660"/>
        <w:gridCol w:w="2262"/>
        <w:gridCol w:w="1134"/>
      </w:tblGrid>
      <w:tr w:rsidR="00827CCD" w:rsidRPr="009B3747" w:rsidTr="006308EA">
        <w:trPr>
          <w:trHeight w:val="1160"/>
        </w:trPr>
        <w:tc>
          <w:tcPr>
            <w:tcW w:w="5660"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827CCD" w:rsidRPr="009B3747" w:rsidRDefault="00827CCD" w:rsidP="00ED1954">
            <w:pPr>
              <w:spacing w:line="240" w:lineRule="auto"/>
              <w:rPr>
                <w:rFonts w:eastAsia="Times New Roman" w:cstheme="minorHAnsi"/>
                <w:b/>
                <w:sz w:val="24"/>
                <w:szCs w:val="24"/>
                <w:lang w:eastAsia="en-GB"/>
              </w:rPr>
            </w:pPr>
            <w:r w:rsidRPr="009B3747">
              <w:rPr>
                <w:rFonts w:eastAsia="Times New Roman" w:cstheme="minorHAnsi"/>
                <w:b/>
                <w:color w:val="000000"/>
                <w:sz w:val="20"/>
                <w:szCs w:val="20"/>
                <w:lang w:eastAsia="en-GB"/>
              </w:rPr>
              <w:t>School characteristic</w:t>
            </w:r>
          </w:p>
        </w:tc>
        <w:tc>
          <w:tcPr>
            <w:tcW w:w="2262"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827CCD" w:rsidRPr="009B3747" w:rsidRDefault="00827CCD" w:rsidP="00ED1954">
            <w:pPr>
              <w:spacing w:line="240" w:lineRule="auto"/>
              <w:rPr>
                <w:rFonts w:eastAsia="Times New Roman" w:cstheme="minorHAnsi"/>
                <w:b/>
                <w:sz w:val="24"/>
                <w:szCs w:val="24"/>
                <w:lang w:eastAsia="en-GB"/>
              </w:rPr>
            </w:pPr>
            <w:r w:rsidRPr="009B3747">
              <w:rPr>
                <w:rFonts w:eastAsia="Times New Roman" w:cstheme="minorHAnsi"/>
                <w:b/>
                <w:color w:val="000000"/>
                <w:sz w:val="20"/>
                <w:szCs w:val="20"/>
                <w:lang w:eastAsia="en-GB"/>
              </w:rPr>
              <w:t>Number of responses</w:t>
            </w:r>
          </w:p>
          <w:p w:rsidR="00827CCD" w:rsidRPr="009B3747" w:rsidRDefault="00827CCD" w:rsidP="00ED1954">
            <w:pPr>
              <w:spacing w:line="240" w:lineRule="auto"/>
              <w:rPr>
                <w:rFonts w:eastAsia="Times New Roman" w:cstheme="minorHAnsi"/>
                <w:b/>
                <w:sz w:val="24"/>
                <w:szCs w:val="24"/>
                <w:lang w:eastAsia="en-GB"/>
              </w:rPr>
            </w:pPr>
            <w:r w:rsidRPr="009B3747">
              <w:rPr>
                <w:rFonts w:eastAsia="Times New Roman" w:cstheme="minorHAnsi"/>
                <w:b/>
                <w:color w:val="000000"/>
                <w:sz w:val="20"/>
                <w:szCs w:val="20"/>
                <w:lang w:eastAsia="en-GB"/>
              </w:rPr>
              <w:t>Total = 127</w:t>
            </w:r>
          </w:p>
          <w:p w:rsidR="00827CCD" w:rsidRPr="009B3747" w:rsidRDefault="00827CCD" w:rsidP="00ED1954">
            <w:pPr>
              <w:spacing w:line="240" w:lineRule="auto"/>
              <w:rPr>
                <w:rFonts w:eastAsia="Times New Roman" w:cstheme="minorHAnsi"/>
                <w:b/>
                <w:sz w:val="24"/>
                <w:szCs w:val="24"/>
                <w:lang w:eastAsia="en-GB"/>
              </w:rPr>
            </w:pPr>
            <w:r w:rsidRPr="009B3747">
              <w:rPr>
                <w:rFonts w:eastAsia="Times New Roman" w:cstheme="minorHAnsi"/>
                <w:b/>
                <w:color w:val="000000"/>
                <w:sz w:val="20"/>
                <w:szCs w:val="20"/>
                <w:lang w:eastAsia="en-GB"/>
              </w:rPr>
              <w:t>n</w:t>
            </w: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827CCD" w:rsidRPr="009B3747" w:rsidRDefault="00827CCD" w:rsidP="00ED1954">
            <w:pPr>
              <w:spacing w:line="240" w:lineRule="auto"/>
              <w:rPr>
                <w:rFonts w:eastAsia="Times New Roman" w:cstheme="minorHAnsi"/>
                <w:b/>
                <w:sz w:val="24"/>
                <w:szCs w:val="24"/>
                <w:lang w:eastAsia="en-GB"/>
              </w:rPr>
            </w:pPr>
            <w:r w:rsidRPr="009B3747">
              <w:rPr>
                <w:rFonts w:eastAsia="Times New Roman" w:cstheme="minorHAnsi"/>
                <w:b/>
                <w:color w:val="000000"/>
                <w:sz w:val="20"/>
                <w:szCs w:val="20"/>
                <w:lang w:eastAsia="en-GB"/>
              </w:rPr>
              <w:t>Percentage</w:t>
            </w:r>
          </w:p>
          <w:p w:rsidR="00827CCD" w:rsidRPr="009B3747" w:rsidRDefault="00827CCD" w:rsidP="00ED1954">
            <w:pPr>
              <w:spacing w:line="240" w:lineRule="auto"/>
              <w:rPr>
                <w:rFonts w:eastAsia="Times New Roman" w:cstheme="minorHAnsi"/>
                <w:b/>
                <w:sz w:val="24"/>
                <w:szCs w:val="24"/>
                <w:lang w:eastAsia="en-GB"/>
              </w:rPr>
            </w:pPr>
            <w:r w:rsidRPr="009B3747">
              <w:rPr>
                <w:rFonts w:eastAsia="Times New Roman" w:cstheme="minorHAnsi"/>
                <w:b/>
                <w:color w:val="000000"/>
                <w:sz w:val="20"/>
                <w:szCs w:val="20"/>
                <w:lang w:eastAsia="en-GB"/>
              </w:rPr>
              <w:t>%</w:t>
            </w:r>
          </w:p>
        </w:tc>
      </w:tr>
      <w:tr w:rsidR="00827CCD" w:rsidRPr="009B3747" w:rsidTr="006308EA">
        <w:trPr>
          <w:trHeight w:val="2423"/>
        </w:trPr>
        <w:tc>
          <w:tcPr>
            <w:tcW w:w="5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ED1954">
            <w:pPr>
              <w:spacing w:line="240" w:lineRule="auto"/>
              <w:rPr>
                <w:rFonts w:eastAsia="Times New Roman" w:cstheme="minorHAnsi"/>
                <w:b/>
                <w:sz w:val="24"/>
                <w:szCs w:val="24"/>
                <w:lang w:eastAsia="en-GB"/>
              </w:rPr>
            </w:pPr>
            <w:r w:rsidRPr="009B3747">
              <w:rPr>
                <w:rFonts w:eastAsia="Times New Roman" w:cstheme="minorHAnsi"/>
                <w:b/>
                <w:color w:val="000000"/>
                <w:sz w:val="20"/>
                <w:szCs w:val="20"/>
                <w:lang w:eastAsia="en-GB"/>
              </w:rPr>
              <w:t>School type</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Academy</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Community</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Foundation</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Free</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Grammar</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Independent</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Voluntary aided</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Voluntary controlled</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Other</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D1954" w:rsidRPr="009B3747" w:rsidRDefault="00ED1954" w:rsidP="00ED1954">
            <w:pPr>
              <w:spacing w:line="240" w:lineRule="auto"/>
              <w:rPr>
                <w:rFonts w:eastAsia="Times New Roman" w:cstheme="minorHAnsi"/>
                <w:sz w:val="24"/>
                <w:szCs w:val="24"/>
                <w:lang w:eastAsia="en-GB"/>
              </w:rPr>
            </w:pP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65</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19</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10</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3</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7</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20</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3</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D1954" w:rsidRPr="009B3747" w:rsidRDefault="00ED1954" w:rsidP="00ED1954">
            <w:pPr>
              <w:spacing w:line="240" w:lineRule="auto"/>
              <w:rPr>
                <w:rFonts w:eastAsia="Times New Roman" w:cstheme="minorHAnsi"/>
                <w:color w:val="000000"/>
                <w:sz w:val="20"/>
                <w:szCs w:val="20"/>
                <w:lang w:eastAsia="en-GB"/>
              </w:rPr>
            </w:pP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51.2</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15</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7.9</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2.4</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5.5</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15.7</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2.4</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w:t>
            </w:r>
          </w:p>
        </w:tc>
      </w:tr>
      <w:tr w:rsidR="00827CCD" w:rsidRPr="009B3747" w:rsidTr="006308EA">
        <w:trPr>
          <w:trHeight w:val="3170"/>
        </w:trPr>
        <w:tc>
          <w:tcPr>
            <w:tcW w:w="5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ED1954">
            <w:pPr>
              <w:spacing w:line="240" w:lineRule="auto"/>
              <w:rPr>
                <w:rFonts w:eastAsia="Times New Roman" w:cstheme="minorHAnsi"/>
                <w:b/>
                <w:sz w:val="24"/>
                <w:szCs w:val="24"/>
                <w:lang w:eastAsia="en-GB"/>
              </w:rPr>
            </w:pPr>
            <w:r w:rsidRPr="009B3747">
              <w:rPr>
                <w:rFonts w:eastAsia="Times New Roman" w:cstheme="minorHAnsi"/>
                <w:b/>
                <w:color w:val="000000"/>
                <w:sz w:val="20"/>
                <w:szCs w:val="20"/>
                <w:lang w:eastAsia="en-GB"/>
              </w:rPr>
              <w:t>Percentage of pupils currently receiving free school meals (FSM)</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0-5</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6-10</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11-15</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16-20</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21-25</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26-30</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31-35</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36-40</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41-45</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46-50</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51+</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Unsure</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25</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20</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11</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17</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12</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10</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10</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3</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2</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2</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5</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19.7</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15.7</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8.7</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13.4</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9.4</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7.9</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7.9</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2.4</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1.6</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1.6</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3.9</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7.9</w:t>
            </w:r>
          </w:p>
        </w:tc>
      </w:tr>
      <w:tr w:rsidR="00827CCD" w:rsidRPr="009B3747" w:rsidTr="006308EA">
        <w:trPr>
          <w:trHeight w:val="2580"/>
        </w:trPr>
        <w:tc>
          <w:tcPr>
            <w:tcW w:w="5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ED1954">
            <w:pPr>
              <w:spacing w:line="240" w:lineRule="auto"/>
              <w:rPr>
                <w:rFonts w:eastAsia="Times New Roman" w:cstheme="minorHAnsi"/>
                <w:b/>
                <w:sz w:val="24"/>
                <w:szCs w:val="24"/>
                <w:lang w:eastAsia="en-GB"/>
              </w:rPr>
            </w:pPr>
            <w:r w:rsidRPr="009B3747">
              <w:rPr>
                <w:rFonts w:eastAsia="Times New Roman" w:cstheme="minorHAnsi"/>
                <w:b/>
                <w:color w:val="000000"/>
                <w:sz w:val="20"/>
                <w:szCs w:val="20"/>
                <w:lang w:eastAsia="en-GB"/>
              </w:rPr>
              <w:t>Percentage of pupils eligible for free school meals (FSM) at any time during the past 6 years -</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0-10</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11-20</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21-30</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31-40</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41-50</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51+</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Unsure</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sz w:val="24"/>
                <w:szCs w:val="24"/>
                <w:lang w:eastAsia="en-GB"/>
              </w:rPr>
              <w:t>  </w:t>
            </w:r>
          </w:p>
          <w:p w:rsidR="00ED1954" w:rsidRPr="009B3747" w:rsidRDefault="00ED1954" w:rsidP="00ED1954">
            <w:pPr>
              <w:spacing w:line="240" w:lineRule="auto"/>
              <w:rPr>
                <w:rFonts w:eastAsia="Times New Roman" w:cstheme="minorHAnsi"/>
                <w:sz w:val="24"/>
                <w:szCs w:val="24"/>
                <w:lang w:eastAsia="en-GB"/>
              </w:rPr>
            </w:pP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31</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20</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27</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14</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5</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11</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D1954" w:rsidRPr="009B3747" w:rsidRDefault="00ED1954" w:rsidP="00ED1954">
            <w:pPr>
              <w:spacing w:line="240" w:lineRule="auto"/>
              <w:rPr>
                <w:rFonts w:eastAsia="Times New Roman" w:cstheme="minorHAnsi"/>
                <w:sz w:val="24"/>
                <w:szCs w:val="24"/>
                <w:lang w:eastAsia="en-GB"/>
              </w:rPr>
            </w:pP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24.4</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15.7</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21.3</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11</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3.9</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8.7</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15</w:t>
            </w:r>
          </w:p>
        </w:tc>
      </w:tr>
      <w:tr w:rsidR="00827CCD" w:rsidRPr="009B3747" w:rsidTr="006308EA">
        <w:trPr>
          <w:trHeight w:val="1723"/>
        </w:trPr>
        <w:tc>
          <w:tcPr>
            <w:tcW w:w="5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ED1954">
            <w:pPr>
              <w:spacing w:line="240" w:lineRule="auto"/>
              <w:rPr>
                <w:rFonts w:eastAsia="Times New Roman" w:cstheme="minorHAnsi"/>
                <w:b/>
                <w:sz w:val="24"/>
                <w:szCs w:val="24"/>
                <w:lang w:eastAsia="en-GB"/>
              </w:rPr>
            </w:pPr>
            <w:r w:rsidRPr="009B3747">
              <w:rPr>
                <w:rFonts w:eastAsia="Times New Roman" w:cstheme="minorHAnsi"/>
                <w:b/>
                <w:color w:val="000000"/>
                <w:sz w:val="20"/>
                <w:szCs w:val="20"/>
                <w:lang w:eastAsia="en-GB"/>
              </w:rPr>
              <w:t>Most recent Ofsted rating</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1 - Outstanding</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2 - Good</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3 - Requires improvement</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4 - Inadequate</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Yet to be inspected</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Unsure</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37</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63</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16</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3</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7</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29.1</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49.6</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12.6</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2.4</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5.5</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0.8</w:t>
            </w:r>
          </w:p>
        </w:tc>
      </w:tr>
      <w:tr w:rsidR="00827CCD" w:rsidRPr="009B3747" w:rsidTr="006308EA">
        <w:trPr>
          <w:trHeight w:val="1812"/>
        </w:trPr>
        <w:tc>
          <w:tcPr>
            <w:tcW w:w="5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ED1954">
            <w:pPr>
              <w:spacing w:line="240" w:lineRule="auto"/>
              <w:rPr>
                <w:rFonts w:eastAsia="Times New Roman" w:cstheme="minorHAnsi"/>
                <w:b/>
                <w:sz w:val="24"/>
                <w:szCs w:val="24"/>
                <w:lang w:eastAsia="en-GB"/>
              </w:rPr>
            </w:pPr>
            <w:r w:rsidRPr="009B3747">
              <w:rPr>
                <w:rFonts w:eastAsia="Times New Roman" w:cstheme="minorHAnsi"/>
                <w:b/>
                <w:color w:val="000000"/>
                <w:sz w:val="20"/>
                <w:szCs w:val="20"/>
                <w:lang w:eastAsia="en-GB"/>
              </w:rPr>
              <w:lastRenderedPageBreak/>
              <w:t>Number of pupils attending the school</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0-250</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251-500</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501-1000</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1001-1500</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1501-2000</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2000+</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17</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10</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48</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4</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6</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13.4</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7.9</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37.8</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36.2</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4.7</w:t>
            </w:r>
          </w:p>
          <w:p w:rsidR="00827CCD" w:rsidRPr="009B3747" w:rsidRDefault="00827CCD" w:rsidP="00ED1954">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w:t>
            </w:r>
          </w:p>
        </w:tc>
      </w:tr>
    </w:tbl>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b/>
          <w:bCs/>
          <w:color w:val="000000"/>
          <w:sz w:val="26"/>
          <w:szCs w:val="26"/>
          <w:u w:val="single"/>
          <w:lang w:eastAsia="en-GB"/>
        </w:rPr>
      </w:pPr>
      <w:r w:rsidRPr="009B3747">
        <w:rPr>
          <w:rFonts w:eastAsia="Times New Roman" w:cstheme="minorHAnsi"/>
          <w:b/>
          <w:bCs/>
          <w:color w:val="000000"/>
          <w:sz w:val="26"/>
          <w:szCs w:val="26"/>
          <w:u w:val="single"/>
          <w:lang w:eastAsia="en-GB"/>
        </w:rPr>
        <w:t>Section 2</w:t>
      </w:r>
    </w:p>
    <w:p w:rsidR="00ED1954" w:rsidRPr="009B3747" w:rsidRDefault="00ED1954" w:rsidP="00827CCD">
      <w:pPr>
        <w:rPr>
          <w:rFonts w:eastAsia="Times New Roman" w:cstheme="minorHAnsi"/>
          <w:b/>
          <w:bCs/>
          <w:color w:val="000000"/>
          <w:u w:val="single"/>
          <w:lang w:eastAsia="en-GB"/>
        </w:rPr>
      </w:pPr>
    </w:p>
    <w:p w:rsidR="00ED1954" w:rsidRPr="009B3747" w:rsidRDefault="00E53112" w:rsidP="00827CCD">
      <w:pPr>
        <w:rPr>
          <w:rFonts w:eastAsia="Times New Roman" w:cstheme="minorHAnsi"/>
          <w:b/>
          <w:bCs/>
          <w:color w:val="000000"/>
          <w:sz w:val="24"/>
          <w:szCs w:val="24"/>
          <w:u w:val="single"/>
          <w:lang w:eastAsia="en-GB"/>
        </w:rPr>
      </w:pPr>
      <w:r w:rsidRPr="009B3747">
        <w:rPr>
          <w:rFonts w:eastAsia="Times New Roman" w:cstheme="minorHAnsi"/>
          <w:b/>
          <w:bCs/>
          <w:color w:val="000000"/>
          <w:sz w:val="24"/>
          <w:szCs w:val="24"/>
          <w:u w:val="single"/>
          <w:lang w:eastAsia="en-GB"/>
        </w:rPr>
        <w:t>8.4</w:t>
      </w:r>
      <w:r w:rsidR="00256CB0" w:rsidRPr="009B3747">
        <w:rPr>
          <w:rFonts w:eastAsia="Times New Roman" w:cstheme="minorHAnsi"/>
          <w:b/>
          <w:bCs/>
          <w:color w:val="000000"/>
          <w:sz w:val="24"/>
          <w:szCs w:val="24"/>
          <w:u w:val="single"/>
          <w:lang w:eastAsia="en-GB"/>
        </w:rPr>
        <w:t xml:space="preserve"> </w:t>
      </w:r>
      <w:r w:rsidR="00ED1954" w:rsidRPr="009B3747">
        <w:rPr>
          <w:rFonts w:eastAsia="Times New Roman" w:cstheme="minorHAnsi"/>
          <w:b/>
          <w:bCs/>
          <w:color w:val="000000"/>
          <w:sz w:val="24"/>
          <w:szCs w:val="24"/>
          <w:u w:val="single"/>
          <w:lang w:eastAsia="en-GB"/>
        </w:rPr>
        <w:t>Descriptive and inferential statistics</w:t>
      </w:r>
    </w:p>
    <w:p w:rsidR="00ED1954" w:rsidRPr="009B3747" w:rsidRDefault="00ED1954" w:rsidP="00827CCD">
      <w:pPr>
        <w:rPr>
          <w:rFonts w:eastAsia="Times New Roman" w:cstheme="minorHAnsi"/>
          <w:b/>
          <w:bCs/>
          <w:color w:val="000000"/>
          <w:u w:val="single"/>
          <w:lang w:eastAsia="en-GB"/>
        </w:rPr>
      </w:pPr>
    </w:p>
    <w:p w:rsidR="00827CCD" w:rsidRPr="009B3747" w:rsidRDefault="00827CCD" w:rsidP="00827CCD">
      <w:pPr>
        <w:rPr>
          <w:rFonts w:eastAsia="Times New Roman" w:cstheme="minorHAnsi"/>
          <w:color w:val="000000"/>
          <w:lang w:eastAsia="en-GB"/>
        </w:rPr>
      </w:pPr>
      <w:r w:rsidRPr="009B3747">
        <w:rPr>
          <w:rFonts w:eastAsia="Times New Roman" w:cstheme="minorHAnsi"/>
          <w:color w:val="000000"/>
          <w:lang w:eastAsia="en-GB"/>
        </w:rPr>
        <w:t>The second section of th</w:t>
      </w:r>
      <w:r w:rsidR="00E53112" w:rsidRPr="009B3747">
        <w:rPr>
          <w:rFonts w:eastAsia="Times New Roman" w:cstheme="minorHAnsi"/>
          <w:color w:val="000000"/>
          <w:lang w:eastAsia="en-GB"/>
        </w:rPr>
        <w:t>is quantitative results chapter</w:t>
      </w:r>
      <w:r w:rsidRPr="009B3747">
        <w:rPr>
          <w:rFonts w:eastAsia="Times New Roman" w:cstheme="minorHAnsi"/>
          <w:color w:val="000000"/>
          <w:lang w:eastAsia="en-GB"/>
        </w:rPr>
        <w:t xml:space="preserve"> presents the responses to questions and opinion statements</w:t>
      </w:r>
      <w:r w:rsidR="009025E2">
        <w:rPr>
          <w:rFonts w:eastAsia="Times New Roman" w:cstheme="minorHAnsi"/>
          <w:color w:val="000000"/>
          <w:lang w:eastAsia="en-GB"/>
        </w:rPr>
        <w:t>,</w:t>
      </w:r>
      <w:r w:rsidRPr="009B3747">
        <w:rPr>
          <w:rFonts w:eastAsia="Times New Roman" w:cstheme="minorHAnsi"/>
          <w:color w:val="000000"/>
          <w:lang w:eastAsia="en-GB"/>
        </w:rPr>
        <w:t xml:space="preserve"> which were derived from the four themes of the qualitative findings </w:t>
      </w:r>
      <w:r w:rsidR="00ED1954" w:rsidRPr="009B3747">
        <w:rPr>
          <w:rFonts w:eastAsia="Times New Roman" w:cstheme="minorHAnsi"/>
          <w:color w:val="000000"/>
          <w:lang w:eastAsia="en-GB"/>
        </w:rPr>
        <w:t>–</w:t>
      </w:r>
    </w:p>
    <w:p w:rsidR="00ED1954" w:rsidRPr="009B3747" w:rsidRDefault="00ED1954" w:rsidP="00827CCD">
      <w:pPr>
        <w:rPr>
          <w:rFonts w:eastAsia="Times New Roman" w:cstheme="minorHAnsi"/>
          <w:sz w:val="24"/>
          <w:szCs w:val="24"/>
          <w:lang w:eastAsia="en-GB"/>
        </w:rPr>
      </w:pPr>
    </w:p>
    <w:p w:rsidR="00827CCD" w:rsidRPr="009B3747" w:rsidRDefault="00827CCD" w:rsidP="00C27072">
      <w:pPr>
        <w:numPr>
          <w:ilvl w:val="0"/>
          <w:numId w:val="62"/>
        </w:numPr>
        <w:textAlignment w:val="baseline"/>
        <w:rPr>
          <w:rFonts w:eastAsia="Times New Roman" w:cstheme="minorHAnsi"/>
          <w:color w:val="000000"/>
          <w:lang w:eastAsia="en-GB"/>
        </w:rPr>
      </w:pPr>
      <w:r w:rsidRPr="009B3747">
        <w:rPr>
          <w:rFonts w:eastAsia="Times New Roman" w:cstheme="minorHAnsi"/>
          <w:color w:val="000000"/>
          <w:lang w:eastAsia="en-GB"/>
        </w:rPr>
        <w:t>Perceptions of adolescent obesity and lifestyle behaviours</w:t>
      </w:r>
    </w:p>
    <w:p w:rsidR="00827CCD" w:rsidRPr="009B3747" w:rsidRDefault="00827CCD" w:rsidP="00C27072">
      <w:pPr>
        <w:numPr>
          <w:ilvl w:val="0"/>
          <w:numId w:val="62"/>
        </w:numPr>
        <w:textAlignment w:val="baseline"/>
        <w:rPr>
          <w:rFonts w:eastAsia="Times New Roman" w:cstheme="minorHAnsi"/>
          <w:color w:val="000000"/>
          <w:lang w:eastAsia="en-GB"/>
        </w:rPr>
      </w:pPr>
      <w:r w:rsidRPr="009B3747">
        <w:rPr>
          <w:rFonts w:eastAsia="Times New Roman" w:cstheme="minorHAnsi"/>
          <w:color w:val="000000"/>
          <w:lang w:eastAsia="en-GB"/>
        </w:rPr>
        <w:t>Influence of place</w:t>
      </w:r>
    </w:p>
    <w:p w:rsidR="00827CCD" w:rsidRPr="009B3747" w:rsidRDefault="00827CCD" w:rsidP="00C27072">
      <w:pPr>
        <w:numPr>
          <w:ilvl w:val="0"/>
          <w:numId w:val="62"/>
        </w:numPr>
        <w:textAlignment w:val="baseline"/>
        <w:rPr>
          <w:rFonts w:eastAsia="Times New Roman" w:cstheme="minorHAnsi"/>
          <w:color w:val="000000"/>
          <w:lang w:eastAsia="en-GB"/>
        </w:rPr>
      </w:pPr>
      <w:r w:rsidRPr="009B3747">
        <w:rPr>
          <w:rFonts w:eastAsia="Times New Roman" w:cstheme="minorHAnsi"/>
          <w:color w:val="000000"/>
          <w:lang w:eastAsia="en-GB"/>
        </w:rPr>
        <w:t>Shared responsibility, collective solutions</w:t>
      </w:r>
    </w:p>
    <w:p w:rsidR="00827CCD" w:rsidRPr="009B3747" w:rsidRDefault="00827CCD" w:rsidP="00C27072">
      <w:pPr>
        <w:numPr>
          <w:ilvl w:val="0"/>
          <w:numId w:val="62"/>
        </w:numPr>
        <w:textAlignment w:val="baseline"/>
        <w:rPr>
          <w:rFonts w:eastAsia="Times New Roman" w:cstheme="minorHAnsi"/>
          <w:color w:val="000000"/>
          <w:lang w:eastAsia="en-GB"/>
        </w:rPr>
      </w:pPr>
      <w:r w:rsidRPr="009B3747">
        <w:rPr>
          <w:rFonts w:eastAsia="Times New Roman" w:cstheme="minorHAnsi"/>
          <w:color w:val="000000"/>
          <w:lang w:eastAsia="en-GB"/>
        </w:rPr>
        <w:t>Secondary school setting</w:t>
      </w:r>
    </w:p>
    <w:p w:rsidR="00ED1954" w:rsidRPr="009B3747" w:rsidRDefault="00ED1954" w:rsidP="00ED1954">
      <w:pPr>
        <w:ind w:left="720"/>
        <w:textAlignment w:val="baseline"/>
        <w:rPr>
          <w:rFonts w:eastAsia="Times New Roman" w:cstheme="minorHAnsi"/>
          <w:color w:val="000000"/>
          <w:lang w:eastAsia="en-GB"/>
        </w:rPr>
      </w:pP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The resultant outcomes of this analysis for each individual questionnaire and opinion statement and relevant to their respective qualitative theme are reported.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 xml:space="preserve">The summarised responses (presented as proportions i.e. percentages) are displayed visually in stacked bar charts, in order to be able to simply and quickly identify key features, patterns and trends in the data.  An accompanying narrative, highlights key features of the results obtained.  Furthermore, outcomes of conducting the chosen non-parametric statistical tests </w:t>
      </w:r>
      <w:r w:rsidR="00E53112" w:rsidRPr="009B3747">
        <w:rPr>
          <w:rFonts w:eastAsia="Times New Roman" w:cstheme="minorHAnsi"/>
          <w:color w:val="000000"/>
          <w:lang w:eastAsia="en-GB"/>
        </w:rPr>
        <w:t>are reported.</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2B3E12" w:rsidRDefault="00827CCD" w:rsidP="00827CCD">
      <w:pPr>
        <w:rPr>
          <w:rFonts w:eastAsia="Times New Roman" w:cstheme="minorHAnsi"/>
          <w:color w:val="000000"/>
          <w:lang w:eastAsia="en-GB"/>
        </w:rPr>
      </w:pPr>
      <w:r w:rsidRPr="009B3747">
        <w:rPr>
          <w:rFonts w:eastAsia="Times New Roman" w:cstheme="minorHAnsi"/>
          <w:color w:val="000000"/>
          <w:lang w:eastAsia="en-GB"/>
        </w:rPr>
        <w:t xml:space="preserve">For each question posed, the researcher was interested in identifying the existence of associations or correlations between the responses received and the independent variables of </w:t>
      </w:r>
      <w:r w:rsidR="002B3E12">
        <w:rPr>
          <w:rFonts w:eastAsia="Times New Roman" w:cstheme="minorHAnsi"/>
          <w:color w:val="000000"/>
          <w:lang w:eastAsia="en-GB"/>
        </w:rPr>
        <w:t>–</w:t>
      </w:r>
      <w:r w:rsidRPr="009B3747">
        <w:rPr>
          <w:rFonts w:eastAsia="Times New Roman" w:cstheme="minorHAnsi"/>
          <w:color w:val="000000"/>
          <w:lang w:eastAsia="en-GB"/>
        </w:rPr>
        <w:t xml:space="preserve">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C27072">
      <w:pPr>
        <w:numPr>
          <w:ilvl w:val="0"/>
          <w:numId w:val="63"/>
        </w:numPr>
        <w:textAlignment w:val="baseline"/>
        <w:rPr>
          <w:rFonts w:eastAsia="Times New Roman" w:cstheme="minorHAnsi"/>
          <w:color w:val="000000"/>
          <w:lang w:eastAsia="en-GB"/>
        </w:rPr>
      </w:pPr>
      <w:r w:rsidRPr="009B3747">
        <w:rPr>
          <w:rFonts w:eastAsia="Times New Roman" w:cstheme="minorHAnsi"/>
          <w:color w:val="000000"/>
          <w:lang w:eastAsia="en-GB"/>
        </w:rPr>
        <w:t>Participant role type</w:t>
      </w:r>
    </w:p>
    <w:p w:rsidR="00827CCD" w:rsidRPr="009B3747" w:rsidRDefault="00827CCD" w:rsidP="00C27072">
      <w:pPr>
        <w:numPr>
          <w:ilvl w:val="0"/>
          <w:numId w:val="63"/>
        </w:numPr>
        <w:textAlignment w:val="baseline"/>
        <w:rPr>
          <w:rFonts w:eastAsia="Times New Roman" w:cstheme="minorHAnsi"/>
          <w:color w:val="000000"/>
          <w:lang w:eastAsia="en-GB"/>
        </w:rPr>
      </w:pPr>
      <w:r w:rsidRPr="009B3747">
        <w:rPr>
          <w:rFonts w:eastAsia="Times New Roman" w:cstheme="minorHAnsi"/>
          <w:color w:val="000000"/>
          <w:lang w:eastAsia="en-GB"/>
        </w:rPr>
        <w:t>School type</w:t>
      </w:r>
    </w:p>
    <w:p w:rsidR="00827CCD" w:rsidRPr="009B3747" w:rsidRDefault="00827CCD" w:rsidP="00C27072">
      <w:pPr>
        <w:numPr>
          <w:ilvl w:val="0"/>
          <w:numId w:val="63"/>
        </w:numPr>
        <w:textAlignment w:val="baseline"/>
        <w:rPr>
          <w:rFonts w:eastAsia="Times New Roman" w:cstheme="minorHAnsi"/>
          <w:color w:val="000000"/>
          <w:lang w:eastAsia="en-GB"/>
        </w:rPr>
      </w:pPr>
      <w:r w:rsidRPr="009B3747">
        <w:rPr>
          <w:rFonts w:eastAsia="Times New Roman" w:cstheme="minorHAnsi"/>
          <w:color w:val="000000"/>
          <w:lang w:eastAsia="en-GB"/>
        </w:rPr>
        <w:t xml:space="preserve">Participant gender </w:t>
      </w:r>
    </w:p>
    <w:p w:rsidR="00827CCD" w:rsidRPr="009B3747" w:rsidRDefault="00827CCD" w:rsidP="00C27072">
      <w:pPr>
        <w:numPr>
          <w:ilvl w:val="0"/>
          <w:numId w:val="63"/>
        </w:numPr>
        <w:textAlignment w:val="baseline"/>
        <w:rPr>
          <w:rFonts w:eastAsia="Times New Roman" w:cstheme="minorHAnsi"/>
          <w:color w:val="000000"/>
          <w:lang w:eastAsia="en-GB"/>
        </w:rPr>
      </w:pPr>
      <w:r w:rsidRPr="009B3747">
        <w:rPr>
          <w:rFonts w:eastAsia="Times New Roman" w:cstheme="minorHAnsi"/>
          <w:color w:val="000000"/>
          <w:lang w:eastAsia="en-GB"/>
        </w:rPr>
        <w:lastRenderedPageBreak/>
        <w:t>School pupil disadvantage (based on two questions related to free school meal percentages)</w:t>
      </w:r>
    </w:p>
    <w:p w:rsidR="00827CCD" w:rsidRPr="009B3747" w:rsidRDefault="00827CCD" w:rsidP="00C27072">
      <w:pPr>
        <w:numPr>
          <w:ilvl w:val="0"/>
          <w:numId w:val="63"/>
        </w:numPr>
        <w:textAlignment w:val="baseline"/>
        <w:rPr>
          <w:rFonts w:eastAsia="Times New Roman" w:cstheme="minorHAnsi"/>
          <w:color w:val="000000"/>
          <w:lang w:eastAsia="en-GB"/>
        </w:rPr>
      </w:pPr>
      <w:r w:rsidRPr="009B3747">
        <w:rPr>
          <w:rFonts w:eastAsia="Times New Roman" w:cstheme="minorHAnsi"/>
          <w:color w:val="000000"/>
          <w:lang w:eastAsia="en-GB"/>
        </w:rPr>
        <w:t xml:space="preserve">School pupil population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 xml:space="preserve">To address this </w:t>
      </w:r>
      <w:r w:rsidR="00E53112" w:rsidRPr="009B3747">
        <w:rPr>
          <w:rFonts w:eastAsia="Times New Roman" w:cstheme="minorHAnsi"/>
          <w:color w:val="000000"/>
          <w:lang w:eastAsia="en-GB"/>
        </w:rPr>
        <w:t xml:space="preserve">and as discussed in chapter seven, </w:t>
      </w:r>
      <w:r w:rsidRPr="009B3747">
        <w:rPr>
          <w:rFonts w:eastAsia="Times New Roman" w:cstheme="minorHAnsi"/>
          <w:color w:val="000000"/>
          <w:lang w:eastAsia="en-GB"/>
        </w:rPr>
        <w:t>dependent on the type of data each question collected (i.e. nominal or ordinal), the researcher employed three different non</w:t>
      </w:r>
      <w:r w:rsidR="00E53112" w:rsidRPr="009B3747">
        <w:rPr>
          <w:rFonts w:eastAsia="Times New Roman" w:cstheme="minorHAnsi"/>
          <w:color w:val="000000"/>
          <w:lang w:eastAsia="en-GB"/>
        </w:rPr>
        <w:t xml:space="preserve">-parametric tests.  Results </w:t>
      </w:r>
      <w:r w:rsidRPr="009B3747">
        <w:rPr>
          <w:rFonts w:eastAsia="Times New Roman" w:cstheme="minorHAnsi"/>
          <w:color w:val="000000"/>
          <w:lang w:eastAsia="en-GB"/>
        </w:rPr>
        <w:t>were interpreted as statistically significant for all three non-parametric tests when a p value was identified as &lt; 0.05.  Only statistically significant results are described in the b</w:t>
      </w:r>
      <w:r w:rsidR="0051772A" w:rsidRPr="009B3747">
        <w:rPr>
          <w:rFonts w:eastAsia="Times New Roman" w:cstheme="minorHAnsi"/>
          <w:color w:val="000000"/>
          <w:lang w:eastAsia="en-GB"/>
        </w:rPr>
        <w:t>elow section</w:t>
      </w:r>
      <w:r w:rsidR="00E53112" w:rsidRPr="009B3747">
        <w:rPr>
          <w:rFonts w:eastAsia="Times New Roman" w:cstheme="minorHAnsi"/>
          <w:color w:val="000000"/>
          <w:lang w:eastAsia="en-GB"/>
        </w:rPr>
        <w:t>,</w:t>
      </w:r>
      <w:r w:rsidR="0051772A" w:rsidRPr="009B3747">
        <w:rPr>
          <w:rFonts w:eastAsia="Times New Roman" w:cstheme="minorHAnsi"/>
          <w:color w:val="000000"/>
          <w:lang w:eastAsia="en-GB"/>
        </w:rPr>
        <w:t xml:space="preserve"> </w:t>
      </w:r>
      <w:r w:rsidR="003F4A2E" w:rsidRPr="009B3747">
        <w:rPr>
          <w:rFonts w:eastAsia="Times New Roman" w:cstheme="minorHAnsi"/>
          <w:color w:val="000000"/>
          <w:lang w:eastAsia="en-GB"/>
        </w:rPr>
        <w:t xml:space="preserve">however Appendix L </w:t>
      </w:r>
      <w:r w:rsidRPr="009B3747">
        <w:rPr>
          <w:rFonts w:eastAsia="Times New Roman" w:cstheme="minorHAnsi"/>
          <w:color w:val="000000"/>
          <w:lang w:eastAsia="en-GB"/>
        </w:rPr>
        <w:t>details resultant values of Spearman's correlation coefficient tests, in addition to the p values for all statistical tests conducted.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71BA1" w:rsidP="00827CCD">
      <w:pPr>
        <w:rPr>
          <w:rFonts w:eastAsia="Times New Roman" w:cstheme="minorHAnsi"/>
          <w:sz w:val="24"/>
          <w:szCs w:val="24"/>
          <w:u w:val="single"/>
          <w:lang w:eastAsia="en-GB"/>
        </w:rPr>
      </w:pPr>
      <w:r w:rsidRPr="009B3747">
        <w:rPr>
          <w:rFonts w:eastAsia="Times New Roman" w:cstheme="minorHAnsi"/>
          <w:iCs/>
          <w:color w:val="000000"/>
          <w:u w:val="single"/>
          <w:lang w:eastAsia="en-GB"/>
        </w:rPr>
        <w:t>8.4</w:t>
      </w:r>
      <w:r w:rsidR="00ED1954" w:rsidRPr="009B3747">
        <w:rPr>
          <w:rFonts w:eastAsia="Times New Roman" w:cstheme="minorHAnsi"/>
          <w:iCs/>
          <w:color w:val="000000"/>
          <w:u w:val="single"/>
          <w:lang w:eastAsia="en-GB"/>
        </w:rPr>
        <w:t xml:space="preserve">.1 </w:t>
      </w:r>
      <w:r w:rsidR="00827CCD" w:rsidRPr="009B3747">
        <w:rPr>
          <w:rFonts w:eastAsia="Times New Roman" w:cstheme="minorHAnsi"/>
          <w:iCs/>
          <w:color w:val="000000"/>
          <w:u w:val="single"/>
          <w:lang w:eastAsia="en-GB"/>
        </w:rPr>
        <w:t>Perceptions of adolescent obesity and lifestyle behaviours</w:t>
      </w:r>
    </w:p>
    <w:p w:rsidR="00ED1954" w:rsidRPr="009B3747" w:rsidRDefault="00ED1954" w:rsidP="00827CCD">
      <w:pPr>
        <w:rPr>
          <w:rFonts w:eastAsia="Times New Roman" w:cstheme="minorHAnsi"/>
          <w:color w:val="000000"/>
          <w:lang w:eastAsia="en-GB"/>
        </w:rPr>
      </w:pPr>
    </w:p>
    <w:p w:rsidR="00827CCD" w:rsidRPr="009B3747" w:rsidRDefault="00E53112" w:rsidP="00827CCD">
      <w:pPr>
        <w:rPr>
          <w:rFonts w:eastAsia="Times New Roman" w:cstheme="minorHAnsi"/>
          <w:sz w:val="24"/>
          <w:szCs w:val="24"/>
          <w:lang w:eastAsia="en-GB"/>
        </w:rPr>
      </w:pPr>
      <w:r w:rsidRPr="009B3747">
        <w:rPr>
          <w:rFonts w:eastAsia="Times New Roman" w:cstheme="minorHAnsi"/>
          <w:color w:val="000000"/>
          <w:lang w:eastAsia="en-GB"/>
        </w:rPr>
        <w:t>As presented in figure 8.1</w:t>
      </w:r>
      <w:r w:rsidR="00827CCD" w:rsidRPr="009B3747">
        <w:rPr>
          <w:rFonts w:eastAsia="Times New Roman" w:cstheme="minorHAnsi"/>
          <w:color w:val="000000"/>
          <w:lang w:eastAsia="en-GB"/>
        </w:rPr>
        <w:t>, whilst just over half of participants (52%) either agreed or strongly agreed with the statement that ‘I am concerned about levels of excess weight’, a much greater majority (85.8%) either agreed or strongly agreed with the statement ‘I am concerned about unhealthy dietary habits’.  Similarly, in comparison to the concern regarding excess weight, again a larger proportion of participants agreed or strongly that they were concerned about levels of sedentary behaviour (71.6%).  Nearly two thirds of participants (65.4%), agreed or strongly agreed that unhealthy dietary habits were of greater concern to them than levels of excess weight.  In comparison, a smaller proportion (44.9%) of participants agreed or strongly agreed that sedentary behaviour was a greater concern than levels of excess weight.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Results from a series of Mann-Whitney U tests indicated that out of the fiv</w:t>
      </w:r>
      <w:r w:rsidR="00E53112" w:rsidRPr="009B3747">
        <w:rPr>
          <w:rFonts w:eastAsia="Times New Roman" w:cstheme="minorHAnsi"/>
          <w:color w:val="000000"/>
          <w:lang w:eastAsia="en-GB"/>
        </w:rPr>
        <w:t>e statements listed in figure 8.1</w:t>
      </w:r>
      <w:r w:rsidRPr="009B3747">
        <w:rPr>
          <w:rFonts w:eastAsia="Times New Roman" w:cstheme="minorHAnsi"/>
          <w:color w:val="000000"/>
          <w:lang w:eastAsia="en-GB"/>
        </w:rPr>
        <w:t xml:space="preserve">, there was a statistically significant difference between headteachers and chairs of governors in terms of strength of agreement to </w:t>
      </w:r>
      <w:r w:rsidR="002E65A4" w:rsidRPr="009B3747">
        <w:rPr>
          <w:rFonts w:eastAsia="Times New Roman" w:cstheme="minorHAnsi"/>
          <w:color w:val="000000"/>
          <w:lang w:eastAsia="en-GB"/>
        </w:rPr>
        <w:t xml:space="preserve">the following two statements: 1) </w:t>
      </w:r>
      <w:r w:rsidRPr="009B3747">
        <w:rPr>
          <w:rFonts w:eastAsia="Times New Roman" w:cstheme="minorHAnsi"/>
          <w:color w:val="000000"/>
          <w:lang w:eastAsia="en-GB"/>
        </w:rPr>
        <w:t xml:space="preserve">‘I am concerned about unhealthy dietary habits’ (p = 0.01) and </w:t>
      </w:r>
      <w:r w:rsidR="002E65A4" w:rsidRPr="009B3747">
        <w:rPr>
          <w:rFonts w:eastAsia="Times New Roman" w:cstheme="minorHAnsi"/>
          <w:color w:val="000000"/>
          <w:lang w:eastAsia="en-GB"/>
        </w:rPr>
        <w:t xml:space="preserve">2) </w:t>
      </w:r>
      <w:r w:rsidRPr="009B3747">
        <w:rPr>
          <w:rFonts w:eastAsia="Times New Roman" w:cstheme="minorHAnsi"/>
          <w:color w:val="000000"/>
          <w:lang w:eastAsia="en-GB"/>
        </w:rPr>
        <w:t>‘Unhealthy dietary habits are a greater concern to me than levels of excess weight’ (p=0.03).  Headteachers agreed more strongly with both statements compared to chairs of governors.  There was however no statistically significant difference between</w:t>
      </w:r>
      <w:r w:rsidR="002B3E12">
        <w:rPr>
          <w:rFonts w:eastAsia="Times New Roman" w:cstheme="minorHAnsi"/>
          <w:color w:val="000000"/>
          <w:lang w:eastAsia="en-GB"/>
        </w:rPr>
        <w:t xml:space="preserve"> </w:t>
      </w:r>
      <w:r w:rsidRPr="009B3747">
        <w:rPr>
          <w:rFonts w:eastAsia="Times New Roman" w:cstheme="minorHAnsi"/>
          <w:color w:val="000000"/>
          <w:lang w:eastAsia="en-GB"/>
        </w:rPr>
        <w:t>role types for the remaining three statements or when school type or gender were tested as the independent variable.</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Spearman’s Correlation Coefficient was conducted to measure the strength and direction of association between the s</w:t>
      </w:r>
      <w:r w:rsidR="00E53112" w:rsidRPr="009B3747">
        <w:rPr>
          <w:rFonts w:eastAsia="Times New Roman" w:cstheme="minorHAnsi"/>
          <w:color w:val="000000"/>
          <w:lang w:eastAsia="en-GB"/>
        </w:rPr>
        <w:t>tatements presented in figure 8.1</w:t>
      </w:r>
      <w:r w:rsidRPr="009B3747">
        <w:rPr>
          <w:rFonts w:eastAsia="Times New Roman" w:cstheme="minorHAnsi"/>
          <w:color w:val="000000"/>
          <w:lang w:eastAsia="en-GB"/>
        </w:rPr>
        <w:t xml:space="preserve"> and pupil population and pupil disadvantage.  Two school demographic questions were utilised as a proxy for measuring pupil </w:t>
      </w:r>
      <w:r w:rsidRPr="009B3747">
        <w:rPr>
          <w:rFonts w:eastAsia="Times New Roman" w:cstheme="minorHAnsi"/>
          <w:color w:val="000000"/>
          <w:lang w:eastAsia="en-GB"/>
        </w:rPr>
        <w:lastRenderedPageBreak/>
        <w:t xml:space="preserve">disadvantage (as per the Department of Education) - % of pupils currently receiving free school meals (Q1) and % of pupils who have been eligible at any time for free school meals in the last six years (Q2).  Results indicated a moderate positive correlation between pupil disadvantage and the concern about levels of excess weight in secondary school pupils (Q1 - r = .329, p = 0.01/ Q2 - r = .337, p = 0.00) and unhealthy dietary </w:t>
      </w:r>
      <w:r w:rsidR="00B46C02">
        <w:rPr>
          <w:rFonts w:eastAsia="Times New Roman" w:cstheme="minorHAnsi"/>
          <w:color w:val="000000"/>
          <w:lang w:eastAsia="en-GB"/>
        </w:rPr>
        <w:t>habits (Q2 - r = .309, p = 0.01),</w:t>
      </w:r>
      <w:r w:rsidRPr="009B3747">
        <w:rPr>
          <w:rFonts w:eastAsia="Times New Roman" w:cstheme="minorHAnsi"/>
          <w:color w:val="000000"/>
          <w:lang w:eastAsia="en-GB"/>
        </w:rPr>
        <w:t xml:space="preserve"> i.e. the </w:t>
      </w:r>
      <w:r w:rsidR="00F43B91" w:rsidRPr="009B3747">
        <w:rPr>
          <w:rFonts w:eastAsia="Times New Roman" w:cstheme="minorHAnsi"/>
          <w:color w:val="000000"/>
          <w:lang w:eastAsia="en-GB"/>
        </w:rPr>
        <w:t>higher the disadvantage reported</w:t>
      </w:r>
      <w:r w:rsidRPr="009B3747">
        <w:rPr>
          <w:rFonts w:eastAsia="Times New Roman" w:cstheme="minorHAnsi"/>
          <w:color w:val="000000"/>
          <w:lang w:eastAsia="en-GB"/>
        </w:rPr>
        <w:t>, the stronger the concern indicated.  A weak yet statistically significant positive correlation existed between pupil disadvantage and the concern regarding levels of sedentary behaviour (Q1 - r = .244, p = 0.02/ Q2 - r = .211, p = 0.02).  There was no statistically significant correlation evidenced between school pupil population and the statements presented in the below figure.</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noProof/>
          <w:color w:val="000000"/>
          <w:lang w:eastAsia="en-GB"/>
        </w:rPr>
        <w:drawing>
          <wp:inline distT="0" distB="0" distL="0" distR="0">
            <wp:extent cx="5734050" cy="3314700"/>
            <wp:effectExtent l="0" t="0" r="0" b="0"/>
            <wp:docPr id="48" name="Picture 48" descr="https://lh4.googleusercontent.com/niVokgYKProtTnrQiQ3y5m2VY9-eXXRLkCy1hI8AR9O9GlHUAzpwZv36Md5aMKeKVb1DJP6Cg92x16sfPYXE9iv-gW_uYO15tzu_ker8d1SGKCcDXzYIAdeEQ4A-U-tQ-SmzvY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niVokgYKProtTnrQiQ3y5m2VY9-eXXRLkCy1hI8AR9O9GlHUAzpwZv36Md5aMKeKVb1DJP6Cg92x16sfPYXE9iv-gW_uYO15tzu_ker8d1SGKCcDXzYIAdeEQ4A-U-tQ-SmzvYu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3314700"/>
                    </a:xfrm>
                    <a:prstGeom prst="rect">
                      <a:avLst/>
                    </a:prstGeom>
                    <a:noFill/>
                    <a:ln>
                      <a:noFill/>
                    </a:ln>
                  </pic:spPr>
                </pic:pic>
              </a:graphicData>
            </a:graphic>
          </wp:inline>
        </w:drawing>
      </w:r>
    </w:p>
    <w:p w:rsidR="006C1368" w:rsidRPr="009B3747" w:rsidRDefault="002E65A4" w:rsidP="002E65A4">
      <w:pPr>
        <w:ind w:left="1440"/>
        <w:rPr>
          <w:rFonts w:eastAsia="Times New Roman" w:cstheme="minorHAnsi"/>
          <w:color w:val="000000"/>
          <w:sz w:val="20"/>
          <w:szCs w:val="20"/>
          <w:u w:val="single"/>
          <w:lang w:eastAsia="en-GB"/>
        </w:rPr>
      </w:pPr>
      <w:r w:rsidRPr="009B3747">
        <w:rPr>
          <w:rFonts w:eastAsia="Times New Roman" w:cstheme="minorHAnsi"/>
          <w:color w:val="000000"/>
          <w:sz w:val="20"/>
          <w:szCs w:val="20"/>
          <w:lang w:eastAsia="en-GB"/>
        </w:rPr>
        <w:t xml:space="preserve">        </w:t>
      </w:r>
      <w:r w:rsidR="006C1368" w:rsidRPr="009B3747">
        <w:rPr>
          <w:rFonts w:eastAsia="Times New Roman" w:cstheme="minorHAnsi"/>
          <w:color w:val="000000"/>
          <w:sz w:val="20"/>
          <w:szCs w:val="20"/>
          <w:u w:val="single"/>
          <w:lang w:eastAsia="en-GB"/>
        </w:rPr>
        <w:t>Figure 8.1 – Responses to questions presented in section three of the questionnaire (Q1)</w:t>
      </w:r>
    </w:p>
    <w:p w:rsidR="006C1368" w:rsidRPr="009B3747" w:rsidRDefault="006C1368" w:rsidP="00827CCD">
      <w:pPr>
        <w:rPr>
          <w:rFonts w:eastAsia="Times New Roman" w:cstheme="minorHAnsi"/>
          <w:sz w:val="24"/>
          <w:szCs w:val="24"/>
          <w:lang w:eastAsia="en-GB"/>
        </w:rPr>
      </w:pPr>
    </w:p>
    <w:p w:rsidR="00827CCD" w:rsidRPr="009B3747" w:rsidRDefault="005969E6" w:rsidP="00827CCD">
      <w:pPr>
        <w:rPr>
          <w:rFonts w:eastAsia="Times New Roman" w:cstheme="minorHAnsi"/>
          <w:color w:val="000000"/>
          <w:lang w:eastAsia="en-GB"/>
        </w:rPr>
      </w:pPr>
      <w:r w:rsidRPr="009B3747">
        <w:rPr>
          <w:rFonts w:eastAsia="Times New Roman" w:cstheme="minorHAnsi"/>
          <w:color w:val="000000"/>
          <w:lang w:eastAsia="en-GB"/>
        </w:rPr>
        <w:t>Figure 8</w:t>
      </w:r>
      <w:r w:rsidR="006C1368" w:rsidRPr="009B3747">
        <w:rPr>
          <w:rFonts w:eastAsia="Times New Roman" w:cstheme="minorHAnsi"/>
          <w:color w:val="000000"/>
          <w:lang w:eastAsia="en-GB"/>
        </w:rPr>
        <w:t>.2</w:t>
      </w:r>
      <w:r w:rsidR="00827CCD" w:rsidRPr="009B3747">
        <w:rPr>
          <w:rFonts w:eastAsia="Times New Roman" w:cstheme="minorHAnsi"/>
          <w:color w:val="000000"/>
          <w:lang w:eastAsia="en-GB"/>
        </w:rPr>
        <w:t>, disp</w:t>
      </w:r>
      <w:r w:rsidR="00ED1954" w:rsidRPr="009B3747">
        <w:rPr>
          <w:rFonts w:eastAsia="Times New Roman" w:cstheme="minorHAnsi"/>
          <w:color w:val="000000"/>
          <w:lang w:eastAsia="en-GB"/>
        </w:rPr>
        <w:t>lays participants responses to</w:t>
      </w:r>
      <w:r w:rsidR="00827CCD" w:rsidRPr="009B3747">
        <w:rPr>
          <w:rFonts w:eastAsia="Times New Roman" w:cstheme="minorHAnsi"/>
          <w:color w:val="000000"/>
          <w:lang w:eastAsia="en-GB"/>
        </w:rPr>
        <w:t xml:space="preserve"> the question ‘What percentage of pupils at your secondary school do you </w:t>
      </w:r>
      <w:r w:rsidR="00B46C02">
        <w:rPr>
          <w:rFonts w:eastAsia="Times New Roman" w:cstheme="minorHAnsi"/>
          <w:color w:val="000000"/>
          <w:lang w:eastAsia="en-GB"/>
        </w:rPr>
        <w:t xml:space="preserve">estimate to be of excess weight, </w:t>
      </w:r>
      <w:r w:rsidR="00827CCD" w:rsidRPr="009B3747">
        <w:rPr>
          <w:rFonts w:eastAsia="Times New Roman" w:cstheme="minorHAnsi"/>
          <w:color w:val="000000"/>
          <w:lang w:eastAsia="en-GB"/>
        </w:rPr>
        <w:t>i.e. overweight or obese?’.  In total 46.5% of participants answered 0-10%, 29.1% answered 11-20% and 11.8% answered 21-30%.  Collectively, this means that the vast majority of participants (87.4%) deem excess weight prevalence in their secondary school pupil population to be less than a third.</w:t>
      </w:r>
    </w:p>
    <w:p w:rsidR="005969E6" w:rsidRPr="009B3747" w:rsidRDefault="005969E6" w:rsidP="00827CCD">
      <w:pPr>
        <w:rPr>
          <w:rFonts w:eastAsia="Times New Roman" w:cstheme="minorHAnsi"/>
          <w:sz w:val="24"/>
          <w:szCs w:val="24"/>
          <w:lang w:eastAsia="en-GB"/>
        </w:rPr>
      </w:pP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 xml:space="preserve">Results from conducting Mann-Whitney U tests did not identify a relationship between estimated prevalence of excess weight and either participant role type (p = 0.89) or school type (p = 0.07).  There was however a statistically significant difference in how males and females estimated </w:t>
      </w:r>
      <w:r w:rsidRPr="009B3747">
        <w:rPr>
          <w:rFonts w:eastAsia="Times New Roman" w:cstheme="minorHAnsi"/>
          <w:color w:val="000000"/>
          <w:lang w:eastAsia="en-GB"/>
        </w:rPr>
        <w:lastRenderedPageBreak/>
        <w:t>the prevalence of excess weight in their secondary school pupils (p = 0.007), with male participants approximating a higher percentage value than female participants.</w:t>
      </w:r>
    </w:p>
    <w:p w:rsidR="00655CB8"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noProof/>
          <w:color w:val="000000"/>
          <w:lang w:eastAsia="en-GB"/>
        </w:rPr>
        <w:drawing>
          <wp:inline distT="0" distB="0" distL="0" distR="0">
            <wp:extent cx="5305425" cy="3295650"/>
            <wp:effectExtent l="0" t="0" r="9525" b="0"/>
            <wp:docPr id="47" name="Picture 47" descr="https://lh3.googleusercontent.com/jXE_LLLKrtaKdCVktpTLQLHnyinRFoWw7YoUtN_g3Qw50LvIfhPWtF41eRC0HdwP5rCXj31LjGtR9yyvLveRWw4PjG4l9feencdIol64sp1GFFGHxKEmzD8I7buWWHoygpnwQ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jXE_LLLKrtaKdCVktpTLQLHnyinRFoWw7YoUtN_g3Qw50LvIfhPWtF41eRC0HdwP5rCXj31LjGtR9yyvLveRWw4PjG4l9feencdIol64sp1GFFGHxKEmzD8I7buWWHoygpnwQC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5425" cy="3295650"/>
                    </a:xfrm>
                    <a:prstGeom prst="rect">
                      <a:avLst/>
                    </a:prstGeom>
                    <a:noFill/>
                    <a:ln>
                      <a:noFill/>
                    </a:ln>
                  </pic:spPr>
                </pic:pic>
              </a:graphicData>
            </a:graphic>
          </wp:inline>
        </w:drawing>
      </w:r>
    </w:p>
    <w:p w:rsidR="006C1368" w:rsidRPr="009B3747" w:rsidRDefault="006C1368" w:rsidP="006C1368">
      <w:pPr>
        <w:ind w:left="1440"/>
        <w:rPr>
          <w:rFonts w:eastAsia="Times New Roman" w:cstheme="minorHAnsi"/>
          <w:color w:val="000000"/>
          <w:sz w:val="20"/>
          <w:szCs w:val="20"/>
          <w:u w:val="single"/>
          <w:lang w:eastAsia="en-GB"/>
        </w:rPr>
      </w:pPr>
      <w:r w:rsidRPr="009B3747">
        <w:rPr>
          <w:rFonts w:eastAsia="Times New Roman" w:cstheme="minorHAnsi"/>
          <w:color w:val="000000"/>
          <w:sz w:val="20"/>
          <w:szCs w:val="20"/>
          <w:u w:val="single"/>
          <w:lang w:eastAsia="en-GB"/>
        </w:rPr>
        <w:t>Figure 8.2 – Responses to questions presented in section three of the questionnaire (Q2)</w:t>
      </w:r>
    </w:p>
    <w:p w:rsidR="006C1368" w:rsidRPr="009B3747" w:rsidRDefault="006C1368" w:rsidP="00827CCD">
      <w:pPr>
        <w:rPr>
          <w:rFonts w:eastAsia="Times New Roman" w:cstheme="minorHAnsi"/>
          <w:color w:val="000000"/>
          <w:lang w:eastAsia="en-GB"/>
        </w:rPr>
      </w:pP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 xml:space="preserve">Results from conducting Spearman’s correlation coefficient tests indicated a weak yet statistically significant association between pupil disadvantage and estimated prevalence of excess weight in secondary school pupils (Q1 - r = .270, p = 0.005/ Q2 - r = .280, p = 0.002).  There was no statistically significant correlation evidenced between school pupil population and the above question.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5969E6" w:rsidP="00827CCD">
      <w:pPr>
        <w:rPr>
          <w:rFonts w:eastAsia="Times New Roman" w:cstheme="minorHAnsi"/>
          <w:sz w:val="24"/>
          <w:szCs w:val="24"/>
          <w:lang w:eastAsia="en-GB"/>
        </w:rPr>
      </w:pPr>
      <w:r w:rsidRPr="009B3747">
        <w:rPr>
          <w:rFonts w:eastAsia="Times New Roman" w:cstheme="minorHAnsi"/>
          <w:color w:val="000000"/>
          <w:lang w:eastAsia="en-GB"/>
        </w:rPr>
        <w:t xml:space="preserve">Displayed in figure </w:t>
      </w:r>
      <w:r w:rsidR="006C1368" w:rsidRPr="009B3747">
        <w:rPr>
          <w:rFonts w:eastAsia="Times New Roman" w:cstheme="minorHAnsi"/>
          <w:color w:val="000000"/>
          <w:lang w:eastAsia="en-GB"/>
        </w:rPr>
        <w:t>8.3</w:t>
      </w:r>
      <w:r w:rsidR="00827CCD" w:rsidRPr="009B3747">
        <w:rPr>
          <w:rFonts w:eastAsia="Times New Roman" w:cstheme="minorHAnsi"/>
          <w:color w:val="000000"/>
          <w:lang w:eastAsia="en-GB"/>
        </w:rPr>
        <w:t>, is the level of agreement participants attributed to whether visual assessment is an accurate method to identify excess weight in secondary school pupils.  More survey respondents disagreed or strongly disagreed (44.1%) to this particular statement than agreed or strongly agreed (37%)</w:t>
      </w:r>
      <w:r w:rsidR="00D348EF">
        <w:rPr>
          <w:rFonts w:eastAsia="Times New Roman" w:cstheme="minorHAnsi"/>
          <w:color w:val="000000"/>
          <w:lang w:eastAsia="en-GB"/>
        </w:rPr>
        <w:t>,</w:t>
      </w:r>
      <w:r w:rsidR="00827CCD" w:rsidRPr="009B3747">
        <w:rPr>
          <w:rFonts w:eastAsia="Times New Roman" w:cstheme="minorHAnsi"/>
          <w:color w:val="000000"/>
          <w:lang w:eastAsia="en-GB"/>
        </w:rPr>
        <w:t xml:space="preserve"> and just under a fifth of participants (18.9%) remained neutral.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Results from employing Mann-Whitney U tests, indicated that there was no statistically significant difference between the independent variables of role type (p = 0.51), school type (p = 0.90) or gender (p = 0.79) and resultant strength of agreement</w:t>
      </w:r>
      <w:r w:rsidR="00D348EF">
        <w:rPr>
          <w:rFonts w:eastAsia="Times New Roman" w:cstheme="minorHAnsi"/>
          <w:color w:val="000000"/>
          <w:lang w:eastAsia="en-GB"/>
        </w:rPr>
        <w:t xml:space="preserve"> to</w:t>
      </w:r>
      <w:r w:rsidRPr="009B3747">
        <w:rPr>
          <w:rFonts w:eastAsia="Times New Roman" w:cstheme="minorHAnsi"/>
          <w:color w:val="000000"/>
          <w:lang w:eastAsia="en-GB"/>
        </w:rPr>
        <w:t xml:space="preserve"> the </w:t>
      </w:r>
      <w:r w:rsidR="005969E6" w:rsidRPr="009B3747">
        <w:rPr>
          <w:rFonts w:eastAsia="Times New Roman" w:cstheme="minorHAnsi"/>
          <w:color w:val="000000"/>
          <w:lang w:eastAsia="en-GB"/>
        </w:rPr>
        <w:t>statement displayed in fi</w:t>
      </w:r>
      <w:r w:rsidR="006C1368" w:rsidRPr="009B3747">
        <w:rPr>
          <w:rFonts w:eastAsia="Times New Roman" w:cstheme="minorHAnsi"/>
          <w:color w:val="000000"/>
          <w:lang w:eastAsia="en-GB"/>
        </w:rPr>
        <w:t>gure 8.3</w:t>
      </w:r>
      <w:r w:rsidRPr="009B3747">
        <w:rPr>
          <w:rFonts w:eastAsia="Times New Roman" w:cstheme="minorHAnsi"/>
          <w:color w:val="000000"/>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Results from conducting Spearman’s correlation coefficient tests indicated no statistically significant correlation between either pupil disadvantage, school pupil population and the responses to the below statement.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lastRenderedPageBreak/>
        <w:t> </w:t>
      </w:r>
      <w:r w:rsidRPr="009B3747">
        <w:rPr>
          <w:rFonts w:eastAsia="Times New Roman" w:cstheme="minorHAnsi"/>
          <w:noProof/>
          <w:color w:val="000000"/>
          <w:lang w:eastAsia="en-GB"/>
        </w:rPr>
        <w:drawing>
          <wp:inline distT="0" distB="0" distL="0" distR="0">
            <wp:extent cx="5314950" cy="2009775"/>
            <wp:effectExtent l="0" t="0" r="0" b="9525"/>
            <wp:docPr id="46" name="Picture 46" descr="https://lh3.googleusercontent.com/Oc31RCjvQ6s1F5FsUMFot59zsjsESzr8HVS75fbuh0m_reWjyES3zoxyR1JipnBBoKkguAtqxuuloLMcUBh_HOlcpFvLsS7UVOQMn47QiWQ7zGdgzNYLLxihNEgh0IvRhduXvM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Oc31RCjvQ6s1F5FsUMFot59zsjsESzr8HVS75fbuh0m_reWjyES3zoxyR1JipnBBoKkguAtqxuuloLMcUBh_HOlcpFvLsS7UVOQMn47QiWQ7zGdgzNYLLxihNEgh0IvRhduXvM0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4950" cy="2009775"/>
                    </a:xfrm>
                    <a:prstGeom prst="rect">
                      <a:avLst/>
                    </a:prstGeom>
                    <a:noFill/>
                    <a:ln>
                      <a:noFill/>
                    </a:ln>
                  </pic:spPr>
                </pic:pic>
              </a:graphicData>
            </a:graphic>
          </wp:inline>
        </w:drawing>
      </w:r>
    </w:p>
    <w:p w:rsidR="006C1368" w:rsidRPr="009B3747" w:rsidRDefault="00256CB0" w:rsidP="00256CB0">
      <w:pPr>
        <w:ind w:left="720"/>
        <w:rPr>
          <w:rFonts w:eastAsia="Times New Roman" w:cstheme="minorHAnsi"/>
          <w:color w:val="000000"/>
          <w:sz w:val="20"/>
          <w:szCs w:val="20"/>
          <w:u w:val="single"/>
          <w:lang w:eastAsia="en-GB"/>
        </w:rPr>
      </w:pPr>
      <w:r w:rsidRPr="009B3747">
        <w:rPr>
          <w:rFonts w:eastAsia="Times New Roman" w:cstheme="minorHAnsi"/>
          <w:sz w:val="20"/>
          <w:szCs w:val="20"/>
          <w:lang w:eastAsia="en-GB"/>
        </w:rPr>
        <w:t xml:space="preserve">          </w:t>
      </w:r>
      <w:r w:rsidR="006C1368" w:rsidRPr="009B3747">
        <w:rPr>
          <w:rFonts w:eastAsia="Times New Roman" w:cstheme="minorHAnsi"/>
          <w:color w:val="000000"/>
          <w:sz w:val="20"/>
          <w:szCs w:val="20"/>
          <w:u w:val="single"/>
          <w:lang w:eastAsia="en-GB"/>
        </w:rPr>
        <w:t>Figure 8.3 – Responses to questions presented in section three of the questionnaire (Q3)</w:t>
      </w:r>
    </w:p>
    <w:p w:rsidR="00827CCD" w:rsidRPr="009B3747" w:rsidRDefault="00827CCD" w:rsidP="00827CCD">
      <w:pPr>
        <w:rPr>
          <w:rFonts w:eastAsia="Times New Roman" w:cstheme="minorHAnsi"/>
          <w:sz w:val="24"/>
          <w:szCs w:val="24"/>
          <w:lang w:eastAsia="en-GB"/>
        </w:rPr>
      </w:pPr>
    </w:p>
    <w:p w:rsidR="00827CCD" w:rsidRPr="009B3747" w:rsidRDefault="006C1368" w:rsidP="00827CCD">
      <w:pPr>
        <w:rPr>
          <w:rFonts w:eastAsia="Times New Roman" w:cstheme="minorHAnsi"/>
          <w:sz w:val="24"/>
          <w:szCs w:val="24"/>
          <w:lang w:eastAsia="en-GB"/>
        </w:rPr>
      </w:pPr>
      <w:r w:rsidRPr="009B3747">
        <w:rPr>
          <w:rFonts w:eastAsia="Times New Roman" w:cstheme="minorHAnsi"/>
          <w:color w:val="000000"/>
          <w:lang w:eastAsia="en-GB"/>
        </w:rPr>
        <w:t>Figure 8.4</w:t>
      </w:r>
      <w:r w:rsidR="00827CCD" w:rsidRPr="009B3747">
        <w:rPr>
          <w:rFonts w:eastAsia="Times New Roman" w:cstheme="minorHAnsi"/>
          <w:color w:val="000000"/>
          <w:lang w:eastAsia="en-GB"/>
        </w:rPr>
        <w:t xml:space="preserve"> below, displays summarised responses to five statements relating to dietary, physical activity and sedentary behaviour of secondary school pupils.  Regarding dietary behaviours, just over two thirds of participants (66.7%) agreed or strongly agreed that secondary school pupils consume too much junk food.  Approximately a half (51.2%) disagreed or strongly disagreed that secondary school pupils eat a healthy breakfast and the majority (73.2%) agreed or strongly agreed that too many sugary drinks are consumed.  Over a third of participants (41%) disagreed or strongly disagreed that secondary school pupils undertake enough physical activity and a marginal majority (54.3%) agreed or strongly secondary school pupils spend too long being sedentary.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noProof/>
          <w:color w:val="000000"/>
          <w:lang w:eastAsia="en-GB"/>
        </w:rPr>
        <w:drawing>
          <wp:inline distT="0" distB="0" distL="0" distR="0">
            <wp:extent cx="5314950" cy="3533775"/>
            <wp:effectExtent l="0" t="0" r="0" b="9525"/>
            <wp:docPr id="45" name="Picture 45" descr="https://lh6.googleusercontent.com/S2utch7UCMDvTnG3absFFCpamwEjB1b-05x0NXm-HBMLC9FpLAMsEcFDZutm47EBMSb3ocu8a1FxWbTo5Rbpj0lU5A96MqjLW-w81dYdE-_oIWXbW-jyTohHjX8PDC4DAzpW4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S2utch7UCMDvTnG3absFFCpamwEjB1b-05x0NXm-HBMLC9FpLAMsEcFDZutm47EBMSb3ocu8a1FxWbTo5Rbpj0lU5A96MqjLW-w81dYdE-_oIWXbW-jyTohHjX8PDC4DAzpW4iN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4950" cy="3533775"/>
                    </a:xfrm>
                    <a:prstGeom prst="rect">
                      <a:avLst/>
                    </a:prstGeom>
                    <a:noFill/>
                    <a:ln>
                      <a:noFill/>
                    </a:ln>
                  </pic:spPr>
                </pic:pic>
              </a:graphicData>
            </a:graphic>
          </wp:inline>
        </w:drawing>
      </w:r>
    </w:p>
    <w:p w:rsidR="006C1368" w:rsidRPr="009B3747" w:rsidRDefault="00256CB0" w:rsidP="006C1368">
      <w:pPr>
        <w:ind w:left="720"/>
        <w:rPr>
          <w:rFonts w:eastAsia="Times New Roman" w:cstheme="minorHAnsi"/>
          <w:color w:val="000000"/>
          <w:sz w:val="20"/>
          <w:szCs w:val="20"/>
          <w:u w:val="single"/>
          <w:lang w:eastAsia="en-GB"/>
        </w:rPr>
      </w:pPr>
      <w:r w:rsidRPr="009B3747">
        <w:rPr>
          <w:rFonts w:eastAsia="Times New Roman" w:cstheme="minorHAnsi"/>
          <w:color w:val="000000"/>
          <w:sz w:val="20"/>
          <w:szCs w:val="20"/>
          <w:lang w:eastAsia="en-GB"/>
        </w:rPr>
        <w:t xml:space="preserve">          </w:t>
      </w:r>
      <w:r w:rsidR="006C1368" w:rsidRPr="009B3747">
        <w:rPr>
          <w:rFonts w:eastAsia="Times New Roman" w:cstheme="minorHAnsi"/>
          <w:color w:val="000000"/>
          <w:sz w:val="20"/>
          <w:szCs w:val="20"/>
          <w:u w:val="single"/>
          <w:lang w:eastAsia="en-GB"/>
        </w:rPr>
        <w:t>Figure 8.4 – Responses to questions presented in section three of the questionnaire (Q4)</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lastRenderedPageBreak/>
        <w:t xml:space="preserve">Results from Mann-Whitney U tests undertaken, indicated that in the case of role type, apart from statement three (‘Undertake enough physical activity’), there was a statistically significant difference in the strength of agreement between headteachers and chairs of governors on the remaining </w:t>
      </w:r>
      <w:r w:rsidR="00D63B65" w:rsidRPr="009B3747">
        <w:rPr>
          <w:rFonts w:eastAsia="Times New Roman" w:cstheme="minorHAnsi"/>
          <w:color w:val="000000"/>
          <w:lang w:eastAsia="en-GB"/>
        </w:rPr>
        <w:t>four statements (</w:t>
      </w:r>
      <w:r w:rsidR="003F4A2E" w:rsidRPr="009B3747">
        <w:rPr>
          <w:rFonts w:eastAsia="Times New Roman" w:cstheme="minorHAnsi"/>
          <w:color w:val="000000"/>
          <w:lang w:eastAsia="en-GB"/>
        </w:rPr>
        <w:t>Appendix L</w:t>
      </w:r>
      <w:r w:rsidR="00D63B65" w:rsidRPr="009B3747">
        <w:rPr>
          <w:rFonts w:eastAsia="Times New Roman" w:cstheme="minorHAnsi"/>
          <w:color w:val="000000"/>
          <w:lang w:eastAsia="en-GB"/>
        </w:rPr>
        <w:t xml:space="preserve"> for p values</w:t>
      </w:r>
      <w:r w:rsidRPr="009B3747">
        <w:rPr>
          <w:rFonts w:eastAsia="Times New Roman" w:cstheme="minorHAnsi"/>
          <w:color w:val="000000"/>
          <w:lang w:eastAsia="en-GB"/>
        </w:rPr>
        <w:t>).  Headteachers more strongly agreed that secondary school pupils - ‘Consume too much junk food’ (p = 0.05), ‘Consume too many sugary drinks’ (p = 0.01) and ‘Spend too long being sedentary’ (p = 0.03). Headteachers also more strongly disagreed that secondary school pupils - ‘Eat a healthy breakfast’ (p = 0.02).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In relation to school type</w:t>
      </w:r>
      <w:r w:rsidR="00C34425">
        <w:rPr>
          <w:rFonts w:eastAsia="Times New Roman" w:cstheme="minorHAnsi"/>
          <w:color w:val="000000"/>
          <w:lang w:eastAsia="en-GB"/>
        </w:rPr>
        <w:t>,</w:t>
      </w:r>
      <w:r w:rsidRPr="009B3747">
        <w:rPr>
          <w:rFonts w:eastAsia="Times New Roman" w:cstheme="minorHAnsi"/>
          <w:color w:val="000000"/>
          <w:lang w:eastAsia="en-GB"/>
        </w:rPr>
        <w:t xml:space="preserve"> results from Mann-Whitney U tests indicated that there was a statistically significant difference in strength of agreement between state and non-state funded schools for two </w:t>
      </w:r>
      <w:r w:rsidR="005969E6" w:rsidRPr="009B3747">
        <w:rPr>
          <w:rFonts w:eastAsia="Times New Roman" w:cstheme="minorHAnsi"/>
          <w:color w:val="000000"/>
          <w:lang w:eastAsia="en-GB"/>
        </w:rPr>
        <w:t>statements di</w:t>
      </w:r>
      <w:r w:rsidR="00903202" w:rsidRPr="009B3747">
        <w:rPr>
          <w:rFonts w:eastAsia="Times New Roman" w:cstheme="minorHAnsi"/>
          <w:color w:val="000000"/>
          <w:lang w:eastAsia="en-GB"/>
        </w:rPr>
        <w:t>splayed in figure 8.4</w:t>
      </w:r>
      <w:r w:rsidRPr="009B3747">
        <w:rPr>
          <w:rFonts w:eastAsia="Times New Roman" w:cstheme="minorHAnsi"/>
          <w:color w:val="000000"/>
          <w:lang w:eastAsia="en-GB"/>
        </w:rPr>
        <w:t>.  State-funded schools disagreed more strongly that secondary school pupils ‘Eat a healthy breakfast’ (p = 0.02) and ‘Undertake enough physical activity’ (p = 0.001).  There wasn’t a statistically significant difference regarding strength of agreement between the above five statements and gender of participants.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color w:val="000000"/>
          <w:lang w:eastAsia="en-GB"/>
        </w:rPr>
      </w:pPr>
      <w:r w:rsidRPr="009B3747">
        <w:rPr>
          <w:rFonts w:eastAsia="Times New Roman" w:cstheme="minorHAnsi"/>
          <w:color w:val="000000"/>
          <w:lang w:eastAsia="en-GB"/>
        </w:rPr>
        <w:t>Results from conducting Spearman’s correlation coefficient tests indicated a moderate positive correlation between pupil disadvantage and the following statement - ‘Consume too much junk food’ (Q1 - r = .313, p = 0.001/ Q2 - r = .368, p = 0.00).  A moderate negative correlation between pupil disadvantage and the following statements was identified - ‘Eat a healthy breakfast’ (Q1 - r = -.373, p = 0.00/ Q2 - r = -.385, p = 0.00) and ‘Undertake enough physical activity’ (Q1 - r = -.309, p = 0.001/ Q2 - r = -.323, p = 0.00).  A weak yet statistically significant correlation was evidenced for pupil disadvantage and the opinion that secondary school pupils ‘Spend too long being sedentary’ (Q1 - r = .235, p = 0.01/ Q2 - r = .245, p = 0.008).  There was no statistically significant correlation evidenced between school pupil population and the above statements.</w:t>
      </w:r>
    </w:p>
    <w:p w:rsidR="005969E6" w:rsidRPr="009B3747" w:rsidRDefault="005969E6" w:rsidP="00827CCD">
      <w:pPr>
        <w:rPr>
          <w:rFonts w:eastAsia="Times New Roman" w:cstheme="minorHAnsi"/>
          <w:sz w:val="24"/>
          <w:szCs w:val="24"/>
          <w:lang w:eastAsia="en-GB"/>
        </w:rPr>
      </w:pP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The last figure related to the theme of perceptions of adolescent obesity and lifestyle behaviours, displays summarised responses to statements regarding pupils in receipt of free school meals.  In the case of each statement the largest proportion of responses was attributed to the neutral position</w:t>
      </w:r>
      <w:r w:rsidR="00B46C02">
        <w:rPr>
          <w:rFonts w:eastAsia="Times New Roman" w:cstheme="minorHAnsi"/>
          <w:color w:val="000000"/>
          <w:lang w:eastAsia="en-GB"/>
        </w:rPr>
        <w:t>,</w:t>
      </w:r>
      <w:r w:rsidRPr="009B3747">
        <w:rPr>
          <w:rFonts w:eastAsia="Times New Roman" w:cstheme="minorHAnsi"/>
          <w:color w:val="000000"/>
          <w:lang w:eastAsia="en-GB"/>
        </w:rPr>
        <w:t xml:space="preserve"> i.e. Neither agree or disagree.  Compared to statements below regarding excess weight and physical activity, there was greater agreement by participants (37.8%) that pupils who receive free school meals (compared to those who don’t) ‘have unhealthier dietary habits’.  Just over a fifth (21.3%) agreed or strongly agreed that free school meal pupils are more likely to be of excess weight and 18.1% agreed or strongly agreed that they do less physical activity.  </w:t>
      </w:r>
    </w:p>
    <w:p w:rsidR="00827CCD" w:rsidRPr="009B3747" w:rsidRDefault="002E65A4" w:rsidP="00827CCD">
      <w:pPr>
        <w:rPr>
          <w:rFonts w:eastAsia="Times New Roman" w:cstheme="minorHAnsi"/>
          <w:sz w:val="24"/>
          <w:szCs w:val="24"/>
          <w:lang w:eastAsia="en-GB"/>
        </w:rPr>
      </w:pPr>
      <w:r w:rsidRPr="009B3747">
        <w:rPr>
          <w:rFonts w:eastAsia="Times New Roman" w:cstheme="minorHAnsi"/>
          <w:noProof/>
          <w:color w:val="000000"/>
          <w:lang w:eastAsia="en-GB"/>
        </w:rPr>
        <w:lastRenderedPageBreak/>
        <w:drawing>
          <wp:anchor distT="0" distB="0" distL="114300" distR="114300" simplePos="0" relativeHeight="251687936" behindDoc="1" locked="0" layoutInCell="1" allowOverlap="1">
            <wp:simplePos x="0" y="0"/>
            <wp:positionH relativeFrom="column">
              <wp:posOffset>314325</wp:posOffset>
            </wp:positionH>
            <wp:positionV relativeFrom="paragraph">
              <wp:posOffset>0</wp:posOffset>
            </wp:positionV>
            <wp:extent cx="4695825" cy="2781300"/>
            <wp:effectExtent l="0" t="0" r="9525" b="0"/>
            <wp:wrapTight wrapText="bothSides">
              <wp:wrapPolygon edited="0">
                <wp:start x="0" y="0"/>
                <wp:lineTo x="0" y="21452"/>
                <wp:lineTo x="21556" y="21452"/>
                <wp:lineTo x="21556" y="0"/>
                <wp:lineTo x="0" y="0"/>
              </wp:wrapPolygon>
            </wp:wrapTight>
            <wp:docPr id="44" name="Picture 44" descr="https://lh3.googleusercontent.com/nt_5v2eCUaUitEITySULVQFxVBVmZjK6VO1nKZQE0ODPxt4A9t_dt9kszsvEjvRYsrwruoFdR64nhLaoANZB1pmhjRsoPWLtPDz77reIDHLlynMl9woQn2bcm9sig0nzWPVVjo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nt_5v2eCUaUitEITySULVQFxVBVmZjK6VO1nKZQE0ODPxt4A9t_dt9kszsvEjvRYsrwruoFdR64nhLaoANZB1pmhjRsoPWLtPDz77reIDHLlynMl9woQn2bcm9sig0nzWPVVjokQ"/>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5825"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CCD" w:rsidRPr="009B3747">
        <w:rPr>
          <w:rFonts w:eastAsia="Times New Roman" w:cstheme="minorHAnsi"/>
          <w:sz w:val="24"/>
          <w:szCs w:val="24"/>
          <w:lang w:eastAsia="en-GB"/>
        </w:rPr>
        <w:t> </w:t>
      </w:r>
    </w:p>
    <w:p w:rsidR="002E65A4" w:rsidRPr="009B3747" w:rsidRDefault="00256CB0" w:rsidP="00903202">
      <w:pPr>
        <w:rPr>
          <w:rFonts w:eastAsia="Times New Roman" w:cstheme="minorHAnsi"/>
          <w:color w:val="000000"/>
          <w:sz w:val="20"/>
          <w:szCs w:val="20"/>
          <w:lang w:eastAsia="en-GB"/>
        </w:rPr>
      </w:pPr>
      <w:r w:rsidRPr="009B3747">
        <w:rPr>
          <w:rFonts w:eastAsia="Times New Roman" w:cstheme="minorHAnsi"/>
          <w:color w:val="000000"/>
          <w:sz w:val="20"/>
          <w:szCs w:val="20"/>
          <w:lang w:eastAsia="en-GB"/>
        </w:rPr>
        <w:t xml:space="preserve">      </w:t>
      </w:r>
    </w:p>
    <w:p w:rsidR="002E65A4" w:rsidRPr="009B3747" w:rsidRDefault="002E65A4" w:rsidP="00903202">
      <w:pPr>
        <w:rPr>
          <w:rFonts w:eastAsia="Times New Roman" w:cstheme="minorHAnsi"/>
          <w:color w:val="000000"/>
          <w:sz w:val="20"/>
          <w:szCs w:val="20"/>
          <w:lang w:eastAsia="en-GB"/>
        </w:rPr>
      </w:pPr>
    </w:p>
    <w:p w:rsidR="002E65A4" w:rsidRPr="009B3747" w:rsidRDefault="002E65A4" w:rsidP="00903202">
      <w:pPr>
        <w:rPr>
          <w:rFonts w:eastAsia="Times New Roman" w:cstheme="minorHAnsi"/>
          <w:color w:val="000000"/>
          <w:sz w:val="20"/>
          <w:szCs w:val="20"/>
          <w:lang w:eastAsia="en-GB"/>
        </w:rPr>
      </w:pPr>
    </w:p>
    <w:p w:rsidR="002E65A4" w:rsidRPr="009B3747" w:rsidRDefault="002E65A4" w:rsidP="00903202">
      <w:pPr>
        <w:rPr>
          <w:rFonts w:eastAsia="Times New Roman" w:cstheme="minorHAnsi"/>
          <w:color w:val="000000"/>
          <w:sz w:val="20"/>
          <w:szCs w:val="20"/>
          <w:lang w:eastAsia="en-GB"/>
        </w:rPr>
      </w:pPr>
    </w:p>
    <w:p w:rsidR="002E65A4" w:rsidRPr="009B3747" w:rsidRDefault="002E65A4" w:rsidP="00903202">
      <w:pPr>
        <w:rPr>
          <w:rFonts w:eastAsia="Times New Roman" w:cstheme="minorHAnsi"/>
          <w:color w:val="000000"/>
          <w:sz w:val="20"/>
          <w:szCs w:val="20"/>
          <w:lang w:eastAsia="en-GB"/>
        </w:rPr>
      </w:pPr>
    </w:p>
    <w:p w:rsidR="002E65A4" w:rsidRPr="009B3747" w:rsidRDefault="002E65A4" w:rsidP="00903202">
      <w:pPr>
        <w:rPr>
          <w:rFonts w:eastAsia="Times New Roman" w:cstheme="minorHAnsi"/>
          <w:color w:val="000000"/>
          <w:sz w:val="20"/>
          <w:szCs w:val="20"/>
          <w:lang w:eastAsia="en-GB"/>
        </w:rPr>
      </w:pPr>
    </w:p>
    <w:p w:rsidR="002E65A4" w:rsidRPr="009B3747" w:rsidRDefault="002E65A4" w:rsidP="00903202">
      <w:pPr>
        <w:rPr>
          <w:rFonts w:eastAsia="Times New Roman" w:cstheme="minorHAnsi"/>
          <w:color w:val="000000"/>
          <w:sz w:val="20"/>
          <w:szCs w:val="20"/>
          <w:lang w:eastAsia="en-GB"/>
        </w:rPr>
      </w:pPr>
    </w:p>
    <w:p w:rsidR="002E65A4" w:rsidRPr="009B3747" w:rsidRDefault="002E65A4" w:rsidP="00903202">
      <w:pPr>
        <w:rPr>
          <w:rFonts w:eastAsia="Times New Roman" w:cstheme="minorHAnsi"/>
          <w:color w:val="000000"/>
          <w:sz w:val="20"/>
          <w:szCs w:val="20"/>
          <w:lang w:eastAsia="en-GB"/>
        </w:rPr>
      </w:pPr>
    </w:p>
    <w:p w:rsidR="002E65A4" w:rsidRPr="009B3747" w:rsidRDefault="002E65A4" w:rsidP="00903202">
      <w:pPr>
        <w:rPr>
          <w:rFonts w:eastAsia="Times New Roman" w:cstheme="minorHAnsi"/>
          <w:color w:val="000000"/>
          <w:sz w:val="20"/>
          <w:szCs w:val="20"/>
          <w:lang w:eastAsia="en-GB"/>
        </w:rPr>
      </w:pPr>
    </w:p>
    <w:p w:rsidR="002E65A4" w:rsidRPr="009B3747" w:rsidRDefault="002E65A4" w:rsidP="00903202">
      <w:pPr>
        <w:rPr>
          <w:rFonts w:eastAsia="Times New Roman" w:cstheme="minorHAnsi"/>
          <w:color w:val="000000"/>
          <w:sz w:val="20"/>
          <w:szCs w:val="20"/>
          <w:lang w:eastAsia="en-GB"/>
        </w:rPr>
      </w:pPr>
    </w:p>
    <w:p w:rsidR="002E65A4" w:rsidRPr="009B3747" w:rsidRDefault="002E65A4" w:rsidP="00903202">
      <w:pPr>
        <w:rPr>
          <w:rFonts w:eastAsia="Times New Roman" w:cstheme="minorHAnsi"/>
          <w:color w:val="000000"/>
          <w:sz w:val="20"/>
          <w:szCs w:val="20"/>
          <w:lang w:eastAsia="en-GB"/>
        </w:rPr>
      </w:pPr>
    </w:p>
    <w:p w:rsidR="00903202" w:rsidRPr="009B3747" w:rsidRDefault="00903202" w:rsidP="002E65A4">
      <w:pPr>
        <w:ind w:firstLine="720"/>
        <w:rPr>
          <w:rFonts w:eastAsia="Times New Roman" w:cstheme="minorHAnsi"/>
          <w:color w:val="000000"/>
          <w:sz w:val="20"/>
          <w:szCs w:val="20"/>
          <w:u w:val="single"/>
          <w:lang w:eastAsia="en-GB"/>
        </w:rPr>
      </w:pPr>
      <w:r w:rsidRPr="009B3747">
        <w:rPr>
          <w:rFonts w:eastAsia="Times New Roman" w:cstheme="minorHAnsi"/>
          <w:color w:val="000000"/>
          <w:sz w:val="20"/>
          <w:szCs w:val="20"/>
          <w:u w:val="single"/>
          <w:lang w:eastAsia="en-GB"/>
        </w:rPr>
        <w:t>Figure 8.5 – Responses to questions presented in section three of the questionnaire (Q5)</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Results from conducting Mann-Whitney U tests, evidenced that there was no statistically significant difference between role types, school types and the strength of agreement with the above three statements (</w:t>
      </w:r>
      <w:r w:rsidR="00903202" w:rsidRPr="009B3747">
        <w:rPr>
          <w:rFonts w:eastAsia="Times New Roman" w:cstheme="minorHAnsi"/>
          <w:color w:val="000000"/>
          <w:lang w:eastAsia="en-GB"/>
        </w:rPr>
        <w:t>Appendix L</w:t>
      </w:r>
      <w:r w:rsidRPr="009B3747">
        <w:rPr>
          <w:rFonts w:eastAsia="Times New Roman" w:cstheme="minorHAnsi"/>
          <w:color w:val="000000"/>
          <w:lang w:eastAsia="en-GB"/>
        </w:rPr>
        <w:t xml:space="preserve"> for p values).  However, there was a statistically significant difference identified between genders and the strength of agreement</w:t>
      </w:r>
      <w:r w:rsidR="00C34425">
        <w:rPr>
          <w:rFonts w:eastAsia="Times New Roman" w:cstheme="minorHAnsi"/>
          <w:color w:val="000000"/>
          <w:lang w:eastAsia="en-GB"/>
        </w:rPr>
        <w:t>,</w:t>
      </w:r>
      <w:r w:rsidRPr="009B3747">
        <w:rPr>
          <w:rFonts w:eastAsia="Times New Roman" w:cstheme="minorHAnsi"/>
          <w:color w:val="000000"/>
          <w:lang w:eastAsia="en-GB"/>
        </w:rPr>
        <w:t xml:space="preserve"> for </w:t>
      </w:r>
      <w:r w:rsidR="00C34425">
        <w:rPr>
          <w:rFonts w:eastAsia="Times New Roman" w:cstheme="minorHAnsi"/>
          <w:color w:val="000000"/>
          <w:lang w:eastAsia="en-GB"/>
        </w:rPr>
        <w:t>two of the above statements.  Males agreed</w:t>
      </w:r>
      <w:r w:rsidRPr="009B3747">
        <w:rPr>
          <w:rFonts w:eastAsia="Times New Roman" w:cstheme="minorHAnsi"/>
          <w:color w:val="000000"/>
          <w:lang w:eastAsia="en-GB"/>
        </w:rPr>
        <w:t xml:space="preserve"> more strongly that pupils who receive free school meals compared to those who don’t - ‘Are more likely to be of excess weight’ (p = 0.006) and ‘Do less physical activity’ (p = 0.003).  Having conducted Spearman’s correlation coefficient, no statistically significant correlation was evidenced between pupil disadvantage, school pupil population and the above statements.</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  </w:t>
      </w:r>
    </w:p>
    <w:p w:rsidR="00827CCD" w:rsidRPr="009B3747" w:rsidRDefault="00871BA1" w:rsidP="00827CCD">
      <w:pPr>
        <w:rPr>
          <w:rFonts w:eastAsia="Times New Roman" w:cstheme="minorHAnsi"/>
          <w:iCs/>
          <w:color w:val="000000"/>
          <w:u w:val="single"/>
          <w:lang w:eastAsia="en-GB"/>
        </w:rPr>
      </w:pPr>
      <w:r w:rsidRPr="009B3747">
        <w:rPr>
          <w:rFonts w:eastAsia="Times New Roman" w:cstheme="minorHAnsi"/>
          <w:iCs/>
          <w:color w:val="000000"/>
          <w:u w:val="single"/>
          <w:lang w:eastAsia="en-GB"/>
        </w:rPr>
        <w:t>8.4</w:t>
      </w:r>
      <w:r w:rsidR="005969E6" w:rsidRPr="009B3747">
        <w:rPr>
          <w:rFonts w:eastAsia="Times New Roman" w:cstheme="minorHAnsi"/>
          <w:iCs/>
          <w:color w:val="000000"/>
          <w:u w:val="single"/>
          <w:lang w:eastAsia="en-GB"/>
        </w:rPr>
        <w:t xml:space="preserve">.2 </w:t>
      </w:r>
      <w:r w:rsidR="00827CCD" w:rsidRPr="009B3747">
        <w:rPr>
          <w:rFonts w:eastAsia="Times New Roman" w:cstheme="minorHAnsi"/>
          <w:iCs/>
          <w:color w:val="000000"/>
          <w:u w:val="single"/>
          <w:lang w:eastAsia="en-GB"/>
        </w:rPr>
        <w:t>Influence of place</w:t>
      </w:r>
    </w:p>
    <w:p w:rsidR="005969E6" w:rsidRPr="009B3747" w:rsidRDefault="005969E6" w:rsidP="00827CCD">
      <w:pPr>
        <w:rPr>
          <w:rFonts w:eastAsia="Times New Roman" w:cstheme="minorHAnsi"/>
          <w:sz w:val="24"/>
          <w:szCs w:val="24"/>
          <w:lang w:eastAsia="en-GB"/>
        </w:rPr>
      </w:pP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Two overarching questions were derived from the second theme within the qualitative findings, each presenting a range of statements related to the influence of place on adolescent obesity, lif</w:t>
      </w:r>
      <w:r w:rsidR="005969E6" w:rsidRPr="009B3747">
        <w:rPr>
          <w:rFonts w:eastAsia="Times New Roman" w:cstheme="minorHAnsi"/>
          <w:color w:val="000000"/>
          <w:lang w:eastAsia="en-GB"/>
        </w:rPr>
        <w:t>estyle behaviours</w:t>
      </w:r>
      <w:r w:rsidRPr="009B3747">
        <w:rPr>
          <w:rFonts w:eastAsia="Times New Roman" w:cstheme="minorHAnsi"/>
          <w:color w:val="000000"/>
          <w:lang w:eastAsia="en-GB"/>
        </w:rPr>
        <w:t> and o</w:t>
      </w:r>
      <w:r w:rsidR="00871BA1" w:rsidRPr="009B3747">
        <w:rPr>
          <w:rFonts w:eastAsia="Times New Roman" w:cstheme="minorHAnsi"/>
          <w:color w:val="000000"/>
          <w:lang w:eastAsia="en-GB"/>
        </w:rPr>
        <w:t>besity prevention (see figure 8.6</w:t>
      </w:r>
      <w:r w:rsidRPr="009B3747">
        <w:rPr>
          <w:rFonts w:eastAsia="Times New Roman" w:cstheme="minorHAnsi"/>
          <w:color w:val="000000"/>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D63B65" w:rsidP="00827CCD">
      <w:pPr>
        <w:rPr>
          <w:rFonts w:eastAsia="Times New Roman" w:cstheme="minorHAnsi"/>
          <w:sz w:val="24"/>
          <w:szCs w:val="24"/>
          <w:lang w:eastAsia="en-GB"/>
        </w:rPr>
      </w:pPr>
      <w:r w:rsidRPr="009B3747">
        <w:rPr>
          <w:rFonts w:eastAsia="Times New Roman" w:cstheme="minorHAnsi"/>
          <w:color w:val="000000"/>
          <w:lang w:eastAsia="en-GB"/>
        </w:rPr>
        <w:t>A</w:t>
      </w:r>
      <w:r w:rsidR="00827CCD" w:rsidRPr="009B3747">
        <w:rPr>
          <w:rFonts w:eastAsia="Times New Roman" w:cstheme="minorHAnsi"/>
          <w:color w:val="000000"/>
          <w:lang w:eastAsia="en-GB"/>
        </w:rPr>
        <w:t xml:space="preserve"> significant majority of participants agreed or strongly agreed with the first two statements presented</w:t>
      </w:r>
      <w:r w:rsidRPr="009B3747">
        <w:rPr>
          <w:rFonts w:eastAsia="Times New Roman" w:cstheme="minorHAnsi"/>
          <w:color w:val="000000"/>
          <w:lang w:eastAsia="en-GB"/>
        </w:rPr>
        <w:t xml:space="preserve"> in figure 8.6</w:t>
      </w:r>
      <w:r w:rsidR="00827CCD" w:rsidRPr="009B3747">
        <w:rPr>
          <w:rFonts w:eastAsia="Times New Roman" w:cstheme="minorHAnsi"/>
          <w:color w:val="000000"/>
          <w:lang w:eastAsia="en-GB"/>
        </w:rPr>
        <w:t xml:space="preserve"> (88.2% and 82.6% respectively).  In comparison, a more even distribution of responses are evident in the four remaining statements, in addition to a larger proportion of participants opting for a neutral position (i.e. neither agree or disagree).  The statement below with the largest proportion of participant disagreement (40.9% disagreed or strongly disagreed) centred on - ‘Parents have the required knowledge to prevent excess weight gain in children’.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lastRenderedPageBreak/>
        <w:t> </w:t>
      </w:r>
    </w:p>
    <w:p w:rsidR="00827CCD" w:rsidRPr="009B3747" w:rsidRDefault="00827CCD" w:rsidP="00827CCD">
      <w:pPr>
        <w:rPr>
          <w:rFonts w:eastAsia="Times New Roman" w:cstheme="minorHAnsi"/>
          <w:color w:val="000000"/>
          <w:lang w:eastAsia="en-GB"/>
        </w:rPr>
      </w:pPr>
      <w:r w:rsidRPr="009B3747">
        <w:rPr>
          <w:rFonts w:eastAsia="Times New Roman" w:cstheme="minorHAnsi"/>
          <w:color w:val="000000"/>
          <w:lang w:eastAsia="en-GB"/>
        </w:rPr>
        <w:t xml:space="preserve">Following a series of Mann-Whitney U tests being conducted it was identified that there was no statistically significant difference between role types, school types or gender and the strength of agreement with each of the five statements displayed in </w:t>
      </w:r>
      <w:r w:rsidR="00AC01C5" w:rsidRPr="009B3747">
        <w:rPr>
          <w:rFonts w:eastAsia="Times New Roman" w:cstheme="minorHAnsi"/>
          <w:color w:val="000000"/>
          <w:lang w:eastAsia="en-GB"/>
        </w:rPr>
        <w:t>the figure ab</w:t>
      </w:r>
      <w:r w:rsidR="00D63B65" w:rsidRPr="009B3747">
        <w:rPr>
          <w:rFonts w:eastAsia="Times New Roman" w:cstheme="minorHAnsi"/>
          <w:color w:val="000000"/>
          <w:lang w:eastAsia="en-GB"/>
        </w:rPr>
        <w:t>ove (</w:t>
      </w:r>
      <w:r w:rsidR="003F4A2E" w:rsidRPr="009B3747">
        <w:rPr>
          <w:rFonts w:eastAsia="Times New Roman" w:cstheme="minorHAnsi"/>
          <w:color w:val="000000"/>
          <w:lang w:eastAsia="en-GB"/>
        </w:rPr>
        <w:t xml:space="preserve">Appendix L </w:t>
      </w:r>
      <w:r w:rsidRPr="009B3747">
        <w:rPr>
          <w:rFonts w:eastAsia="Times New Roman" w:cstheme="minorHAnsi"/>
          <w:color w:val="000000"/>
          <w:lang w:eastAsia="en-GB"/>
        </w:rPr>
        <w:t>for p values).</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 xml:space="preserve">Results from conducting Spearman’s correlation coefficient tests indicated a weak yet statistically significant negative correlation between the following two statements and one measure of pupil disadvantage - ‘Parents have the required knowledge to prevent excess weight gain in their children’ (Q2 - r = -.185, p = 0.04) and ‘Parents are aware of the risks of excess weight gain in secondary school pupils’ (Q2 - r = -.189, p = 0.04).  There was no statistically significant correlation evidenced between school pupil population and statements within this question.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r w:rsidRPr="009B3747">
        <w:rPr>
          <w:rFonts w:eastAsia="Times New Roman" w:cstheme="minorHAnsi"/>
          <w:noProof/>
          <w:color w:val="000000"/>
          <w:lang w:eastAsia="en-GB"/>
        </w:rPr>
        <w:drawing>
          <wp:inline distT="0" distB="0" distL="0" distR="0">
            <wp:extent cx="5886450" cy="3476625"/>
            <wp:effectExtent l="0" t="0" r="0" b="9525"/>
            <wp:docPr id="43" name="Picture 43" descr="https://lh6.googleusercontent.com/w3Fx5pieXKV6i0YoZra-gZ6eFs7Y5yL5M5RxNNBzil_5bsIonyLfcjmSEBy3wsBd7XqGeAvRIBbL6vVZfZMlWG5UlC6fTw_jrprfvbmf7wmnuPoeiG7aj8A62W-dREzBJZJUnA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w3Fx5pieXKV6i0YoZra-gZ6eFs7Y5yL5M5RxNNBzil_5bsIonyLfcjmSEBy3wsBd7XqGeAvRIBbL6vVZfZMlWG5UlC6fTw_jrprfvbmf7wmnuPoeiG7aj8A62W-dREzBJZJUnA1J"/>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6450" cy="3476625"/>
                    </a:xfrm>
                    <a:prstGeom prst="rect">
                      <a:avLst/>
                    </a:prstGeom>
                    <a:noFill/>
                    <a:ln>
                      <a:noFill/>
                    </a:ln>
                  </pic:spPr>
                </pic:pic>
              </a:graphicData>
            </a:graphic>
          </wp:inline>
        </w:drawing>
      </w:r>
    </w:p>
    <w:p w:rsidR="00871BA1" w:rsidRPr="009B3747" w:rsidRDefault="00871BA1" w:rsidP="00871BA1">
      <w:pPr>
        <w:ind w:left="1440"/>
        <w:rPr>
          <w:rFonts w:eastAsia="Times New Roman" w:cstheme="minorHAnsi"/>
          <w:color w:val="000000"/>
          <w:sz w:val="20"/>
          <w:szCs w:val="20"/>
          <w:u w:val="single"/>
          <w:lang w:eastAsia="en-GB"/>
        </w:rPr>
      </w:pPr>
      <w:r w:rsidRPr="009B3747">
        <w:rPr>
          <w:rFonts w:eastAsia="Times New Roman" w:cstheme="minorHAnsi"/>
          <w:color w:val="000000"/>
          <w:sz w:val="20"/>
          <w:szCs w:val="20"/>
          <w:lang w:eastAsia="en-GB"/>
        </w:rPr>
        <w:t xml:space="preserve">           </w:t>
      </w:r>
      <w:r w:rsidRPr="009B3747">
        <w:rPr>
          <w:rFonts w:eastAsia="Times New Roman" w:cstheme="minorHAnsi"/>
          <w:color w:val="000000"/>
          <w:sz w:val="20"/>
          <w:szCs w:val="20"/>
          <w:u w:val="single"/>
          <w:lang w:eastAsia="en-GB"/>
        </w:rPr>
        <w:t>Figure 8.6 – Responses to questions presented in section five of the questionnaire (Q1)</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Summarised responses to opinion statements regarding the wider food environment are</w:t>
      </w:r>
      <w:r w:rsidR="00871BA1" w:rsidRPr="009B3747">
        <w:rPr>
          <w:rFonts w:eastAsia="Times New Roman" w:cstheme="minorHAnsi"/>
          <w:color w:val="000000"/>
          <w:lang w:eastAsia="en-GB"/>
        </w:rPr>
        <w:t xml:space="preserve"> presented in the next figure 8.7</w:t>
      </w:r>
      <w:r w:rsidRPr="009B3747">
        <w:rPr>
          <w:rFonts w:eastAsia="Times New Roman" w:cstheme="minorHAnsi"/>
          <w:color w:val="000000"/>
          <w:lang w:eastAsia="en-GB"/>
        </w:rPr>
        <w:t xml:space="preserve"> below.  A significant majority of participants were concerned about the marketing of junk food to children and young people (88.2% agreed or strongly agreed) and believed that the food industry prioritises profits over the health of children and young people (83.5% agreed or strongly agreed).  Just under two thirds of survey respondents (62.2% agreed or strongly agreed) </w:t>
      </w:r>
      <w:r w:rsidRPr="009B3747">
        <w:rPr>
          <w:rFonts w:eastAsia="Times New Roman" w:cstheme="minorHAnsi"/>
          <w:color w:val="000000"/>
          <w:lang w:eastAsia="en-GB"/>
        </w:rPr>
        <w:lastRenderedPageBreak/>
        <w:t>believed that unhealthy eating is associated with poverty, almost a half (47.2% agreed or strongly agreed) indicated concern about the availability of junk food near to their secondary school.  </w:t>
      </w:r>
    </w:p>
    <w:p w:rsidR="005969E6" w:rsidRPr="009B3747" w:rsidRDefault="005969E6" w:rsidP="00827CCD">
      <w:pPr>
        <w:rPr>
          <w:rFonts w:eastAsia="Times New Roman" w:cstheme="minorHAnsi"/>
          <w:color w:val="000000"/>
          <w:lang w:eastAsia="en-GB"/>
        </w:rPr>
      </w:pPr>
    </w:p>
    <w:p w:rsidR="00827CCD" w:rsidRPr="009B3747" w:rsidRDefault="00827CCD" w:rsidP="00827CCD">
      <w:pPr>
        <w:rPr>
          <w:rFonts w:eastAsia="Times New Roman" w:cstheme="minorHAnsi"/>
          <w:sz w:val="24"/>
          <w:szCs w:val="24"/>
          <w:lang w:eastAsia="en-GB"/>
        </w:rPr>
      </w:pPr>
      <w:r w:rsidRPr="009B3747">
        <w:rPr>
          <w:rFonts w:eastAsia="Times New Roman" w:cstheme="minorHAnsi"/>
          <w:noProof/>
          <w:color w:val="000000"/>
          <w:lang w:eastAsia="en-GB"/>
        </w:rPr>
        <w:drawing>
          <wp:inline distT="0" distB="0" distL="0" distR="0">
            <wp:extent cx="5734050" cy="3771900"/>
            <wp:effectExtent l="0" t="0" r="0" b="0"/>
            <wp:docPr id="42" name="Picture 42" descr="https://lh3.googleusercontent.com/79E09D19v7iEfWhoMcRUQRGtYnEKzpAX9UYwjbPRf_5KbgLVvAA_T2y27-cs_24KIprEn_0QYP62_RA5fxE_ytTxsbXSObdCJhs91OgrOA2tepbLHwQUQEBudslE-acUUviVDh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79E09D19v7iEfWhoMcRUQRGtYnEKzpAX9UYwjbPRf_5KbgLVvAA_T2y27-cs_24KIprEn_0QYP62_RA5fxE_ytTxsbXSObdCJhs91OgrOA2tepbLHwQUQEBudslE-acUUviVDhW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3771900"/>
                    </a:xfrm>
                    <a:prstGeom prst="rect">
                      <a:avLst/>
                    </a:prstGeom>
                    <a:noFill/>
                    <a:ln>
                      <a:noFill/>
                    </a:ln>
                  </pic:spPr>
                </pic:pic>
              </a:graphicData>
            </a:graphic>
          </wp:inline>
        </w:drawing>
      </w:r>
    </w:p>
    <w:p w:rsidR="00D63B65" w:rsidRPr="009B3747" w:rsidRDefault="00D63B65" w:rsidP="00D63B65">
      <w:pPr>
        <w:ind w:left="1440"/>
        <w:rPr>
          <w:rFonts w:eastAsia="Times New Roman" w:cstheme="minorHAnsi"/>
          <w:color w:val="000000"/>
          <w:sz w:val="20"/>
          <w:szCs w:val="20"/>
          <w:u w:val="single"/>
          <w:lang w:eastAsia="en-GB"/>
        </w:rPr>
      </w:pPr>
      <w:r w:rsidRPr="009B3747">
        <w:rPr>
          <w:rFonts w:eastAsia="Times New Roman" w:cstheme="minorHAnsi"/>
          <w:color w:val="000000"/>
          <w:sz w:val="20"/>
          <w:szCs w:val="20"/>
          <w:lang w:eastAsia="en-GB"/>
        </w:rPr>
        <w:t xml:space="preserve">          </w:t>
      </w:r>
      <w:r w:rsidRPr="009B3747">
        <w:rPr>
          <w:rFonts w:eastAsia="Times New Roman" w:cstheme="minorHAnsi"/>
          <w:color w:val="000000"/>
          <w:sz w:val="20"/>
          <w:szCs w:val="20"/>
          <w:u w:val="single"/>
          <w:lang w:eastAsia="en-GB"/>
        </w:rPr>
        <w:t>Figure 8.7 – Responses to questions presented in section five of the questionnaire (Q2)</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 xml:space="preserve">Results from conducting Mann-Whitney U tests indicated that there was no statistically significant difference between role types or gender and the strength of agreement with the </w:t>
      </w:r>
      <w:r w:rsidR="005969E6" w:rsidRPr="009B3747">
        <w:rPr>
          <w:rFonts w:eastAsia="Times New Roman" w:cstheme="minorHAnsi"/>
          <w:color w:val="000000"/>
          <w:lang w:eastAsia="en-GB"/>
        </w:rPr>
        <w:t>s</w:t>
      </w:r>
      <w:r w:rsidR="00D63B65" w:rsidRPr="009B3747">
        <w:rPr>
          <w:rFonts w:eastAsia="Times New Roman" w:cstheme="minorHAnsi"/>
          <w:color w:val="000000"/>
          <w:lang w:eastAsia="en-GB"/>
        </w:rPr>
        <w:t>tatements presented in figure 8.7 (</w:t>
      </w:r>
      <w:r w:rsidR="003F4A2E" w:rsidRPr="009B3747">
        <w:rPr>
          <w:rFonts w:eastAsia="Times New Roman" w:cstheme="minorHAnsi"/>
          <w:color w:val="000000"/>
          <w:lang w:eastAsia="en-GB"/>
        </w:rPr>
        <w:t>Appendix L</w:t>
      </w:r>
      <w:r w:rsidRPr="009B3747">
        <w:rPr>
          <w:rFonts w:eastAsia="Times New Roman" w:cstheme="minorHAnsi"/>
          <w:color w:val="000000"/>
          <w:lang w:eastAsia="en-GB"/>
        </w:rPr>
        <w:t xml:space="preserve"> for p values).  Furthermore, whilst four of the above five statements did not evidence a statistically significant difference between school types, participants from state funded schools in comparison to those from non-state funded schools more strongly agreed (at a statistically significant level - P = 0.02) with the statement ‘Unhealthy eating is associated with poverty’.</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color w:val="000000"/>
          <w:lang w:eastAsia="en-GB"/>
        </w:rPr>
      </w:pPr>
      <w:r w:rsidRPr="009B3747">
        <w:rPr>
          <w:rFonts w:eastAsia="Times New Roman" w:cstheme="minorHAnsi"/>
          <w:color w:val="000000"/>
          <w:lang w:eastAsia="en-GB"/>
        </w:rPr>
        <w:t xml:space="preserve">Following Spearman’s correlation coefficient tests being undertaken, results indicated a weak positive correlation between the following statements and both measures of pupil disadvantage - ‘I am concerned about the availability of junk food near to my secondary school’ (Q1 - r = .234, p = 0.001/ Q2 - r = .252, p = 0.006).  There was a weak positive correlation between ‘Unhealthy eating is associated with poverty’ and one measure of pupil disadvantage (Q1 - r = .231, p = 0.001) There was </w:t>
      </w:r>
      <w:r w:rsidRPr="009B3747">
        <w:rPr>
          <w:rFonts w:eastAsia="Times New Roman" w:cstheme="minorHAnsi"/>
          <w:color w:val="000000"/>
          <w:lang w:eastAsia="en-GB"/>
        </w:rPr>
        <w:lastRenderedPageBreak/>
        <w:t xml:space="preserve">no statistically significant correlation evidenced between school pupil population and statements within this question. </w:t>
      </w:r>
    </w:p>
    <w:p w:rsidR="005969E6" w:rsidRPr="009B3747" w:rsidRDefault="005969E6" w:rsidP="00827CCD">
      <w:pPr>
        <w:rPr>
          <w:rFonts w:eastAsia="Times New Roman" w:cstheme="minorHAnsi"/>
          <w:sz w:val="24"/>
          <w:szCs w:val="24"/>
          <w:lang w:eastAsia="en-GB"/>
        </w:rPr>
      </w:pPr>
    </w:p>
    <w:p w:rsidR="00827CCD" w:rsidRPr="00C34425" w:rsidRDefault="00C34425" w:rsidP="00827CCD">
      <w:pPr>
        <w:rPr>
          <w:rFonts w:eastAsia="Times New Roman" w:cstheme="minorHAnsi"/>
          <w:iCs/>
          <w:color w:val="000000"/>
          <w:u w:val="single"/>
          <w:lang w:eastAsia="en-GB"/>
        </w:rPr>
      </w:pPr>
      <w:r>
        <w:rPr>
          <w:rFonts w:eastAsia="Times New Roman" w:cstheme="minorHAnsi"/>
          <w:iCs/>
          <w:color w:val="000000"/>
          <w:u w:val="single"/>
          <w:lang w:eastAsia="en-GB"/>
        </w:rPr>
        <w:t xml:space="preserve">8.4.3 </w:t>
      </w:r>
      <w:r w:rsidR="00827CCD" w:rsidRPr="009B3747">
        <w:rPr>
          <w:rFonts w:eastAsia="Times New Roman" w:cstheme="minorHAnsi"/>
          <w:iCs/>
          <w:color w:val="000000"/>
          <w:u w:val="single"/>
          <w:lang w:eastAsia="en-GB"/>
        </w:rPr>
        <w:t>Shared responsibility, collective solutions</w:t>
      </w:r>
    </w:p>
    <w:p w:rsidR="00655CB8" w:rsidRPr="009B3747" w:rsidRDefault="00655CB8" w:rsidP="00827CCD">
      <w:pPr>
        <w:rPr>
          <w:rFonts w:eastAsia="Times New Roman" w:cstheme="minorHAnsi"/>
          <w:color w:val="000000"/>
          <w:lang w:eastAsia="en-GB"/>
        </w:rPr>
      </w:pPr>
    </w:p>
    <w:p w:rsidR="00827CCD" w:rsidRPr="009B3747" w:rsidRDefault="00D63B65" w:rsidP="00827CCD">
      <w:pPr>
        <w:rPr>
          <w:rFonts w:eastAsia="Times New Roman" w:cstheme="minorHAnsi"/>
          <w:sz w:val="24"/>
          <w:szCs w:val="24"/>
          <w:lang w:eastAsia="en-GB"/>
        </w:rPr>
      </w:pPr>
      <w:r w:rsidRPr="009B3747">
        <w:rPr>
          <w:rFonts w:eastAsia="Times New Roman" w:cstheme="minorHAnsi"/>
          <w:color w:val="000000"/>
          <w:lang w:eastAsia="en-GB"/>
        </w:rPr>
        <w:t>Figure 8.8 relates</w:t>
      </w:r>
      <w:r w:rsidR="00827CCD" w:rsidRPr="009B3747">
        <w:rPr>
          <w:rFonts w:eastAsia="Times New Roman" w:cstheme="minorHAnsi"/>
          <w:color w:val="000000"/>
          <w:lang w:eastAsia="en-GB"/>
        </w:rPr>
        <w:t xml:space="preserve"> to the qualitative theme of ‘Shared responsibility, collective solutions’ </w:t>
      </w:r>
      <w:r w:rsidR="00C34425">
        <w:rPr>
          <w:rFonts w:eastAsia="Times New Roman" w:cstheme="minorHAnsi"/>
          <w:color w:val="000000"/>
          <w:lang w:eastAsia="en-GB"/>
        </w:rPr>
        <w:t xml:space="preserve">and </w:t>
      </w:r>
      <w:r w:rsidR="00827CCD" w:rsidRPr="009B3747">
        <w:rPr>
          <w:rFonts w:eastAsia="Times New Roman" w:cstheme="minorHAnsi"/>
          <w:color w:val="000000"/>
          <w:lang w:eastAsia="en-GB"/>
        </w:rPr>
        <w:t xml:space="preserve">displays </w:t>
      </w:r>
      <w:r w:rsidR="00655CB8" w:rsidRPr="009B3747">
        <w:rPr>
          <w:rFonts w:eastAsia="Times New Roman" w:cstheme="minorHAnsi"/>
          <w:color w:val="000000"/>
          <w:lang w:eastAsia="en-GB"/>
        </w:rPr>
        <w:t>participants’</w:t>
      </w:r>
      <w:r w:rsidR="00C34425">
        <w:rPr>
          <w:rFonts w:eastAsia="Times New Roman" w:cstheme="minorHAnsi"/>
          <w:color w:val="000000"/>
          <w:lang w:eastAsia="en-GB"/>
        </w:rPr>
        <w:t xml:space="preserve"> opinions regarding</w:t>
      </w:r>
      <w:r w:rsidR="00827CCD" w:rsidRPr="009B3747">
        <w:rPr>
          <w:rFonts w:eastAsia="Times New Roman" w:cstheme="minorHAnsi"/>
          <w:color w:val="000000"/>
          <w:lang w:eastAsia="en-GB"/>
        </w:rPr>
        <w:t xml:space="preserve"> who has responsibility for preventing excess weight gain in secondary school pupils.  For each</w:t>
      </w:r>
      <w:r w:rsidRPr="009B3747">
        <w:rPr>
          <w:rFonts w:eastAsia="Times New Roman" w:cstheme="minorHAnsi"/>
          <w:color w:val="000000"/>
          <w:lang w:eastAsia="en-GB"/>
        </w:rPr>
        <w:t xml:space="preserve"> category presented in figure 8.8</w:t>
      </w:r>
      <w:r w:rsidR="00B46C02">
        <w:rPr>
          <w:rFonts w:eastAsia="Times New Roman" w:cstheme="minorHAnsi"/>
          <w:color w:val="000000"/>
          <w:lang w:eastAsia="en-GB"/>
        </w:rPr>
        <w:t>,</w:t>
      </w:r>
      <w:r w:rsidR="00827CCD" w:rsidRPr="009B3747">
        <w:rPr>
          <w:rFonts w:eastAsia="Times New Roman" w:cstheme="minorHAnsi"/>
          <w:color w:val="000000"/>
          <w:lang w:eastAsia="en-GB"/>
        </w:rPr>
        <w:t xml:space="preserve"> i.e. parents or government, the majority of participants agreed or strongly agreed that all have a responsibility for excess weight prevention.  The three responses with the largest proportion of agreement were - parents (99.2% agreed or strongly agreed), secondary school pupils themselves (97.6% agreed or strongly agreed) and the food industry (92.9% agreed or strongly agreed).  Whilst the majority of participants did agree or strongly agree that secondary schools (80.3%) and primary schools (82.7%) have a responsibility, the largest proportion of disagreement can be attributed to these two categories (8.6% and 7.9% respectively disagreed or strongly disagreed).</w:t>
      </w:r>
    </w:p>
    <w:p w:rsidR="005969E6" w:rsidRPr="009B3747" w:rsidRDefault="005969E6" w:rsidP="00827CCD">
      <w:pPr>
        <w:rPr>
          <w:rFonts w:eastAsia="Times New Roman" w:cstheme="minorHAnsi"/>
          <w:color w:val="000000"/>
          <w:lang w:eastAsia="en-GB"/>
        </w:rPr>
      </w:pPr>
    </w:p>
    <w:p w:rsidR="00827CCD" w:rsidRPr="009B3747" w:rsidRDefault="00827CCD" w:rsidP="00827CCD">
      <w:pPr>
        <w:rPr>
          <w:rFonts w:eastAsia="Times New Roman" w:cstheme="minorHAnsi"/>
          <w:sz w:val="24"/>
          <w:szCs w:val="24"/>
          <w:lang w:eastAsia="en-GB"/>
        </w:rPr>
      </w:pPr>
      <w:r w:rsidRPr="009B3747">
        <w:rPr>
          <w:rFonts w:eastAsia="Times New Roman" w:cstheme="minorHAnsi"/>
          <w:noProof/>
          <w:color w:val="000000"/>
          <w:lang w:eastAsia="en-GB"/>
        </w:rPr>
        <w:drawing>
          <wp:inline distT="0" distB="0" distL="0" distR="0">
            <wp:extent cx="5734050" cy="3076575"/>
            <wp:effectExtent l="0" t="0" r="0" b="9525"/>
            <wp:docPr id="41" name="Picture 41" descr="https://lh6.googleusercontent.com/c87chUIf4pfVTsEiZO3hHkyK4SepT4G5QmD_ejiNLIBXbwfgVIVlMOIXYKDZVakhz6tUFYQ484liZMBr5PPAN-YroAemmWjDl8f8A709TEjz6S5uKRkEg8KpsyKjjnWC_Bv5FI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c87chUIf4pfVTsEiZO3hHkyK4SepT4G5QmD_ejiNLIBXbwfgVIVlMOIXYKDZVakhz6tUFYQ484liZMBr5PPAN-YroAemmWjDl8f8A709TEjz6S5uKRkEg8KpsyKjjnWC_Bv5FId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3076575"/>
                    </a:xfrm>
                    <a:prstGeom prst="rect">
                      <a:avLst/>
                    </a:prstGeom>
                    <a:noFill/>
                    <a:ln>
                      <a:noFill/>
                    </a:ln>
                  </pic:spPr>
                </pic:pic>
              </a:graphicData>
            </a:graphic>
          </wp:inline>
        </w:drawing>
      </w:r>
    </w:p>
    <w:p w:rsidR="00D63B65" w:rsidRPr="009B3747" w:rsidRDefault="00D63B65" w:rsidP="00D63B65">
      <w:pPr>
        <w:ind w:left="1440"/>
        <w:rPr>
          <w:rFonts w:eastAsia="Times New Roman" w:cstheme="minorHAnsi"/>
          <w:color w:val="000000"/>
          <w:sz w:val="20"/>
          <w:szCs w:val="20"/>
          <w:u w:val="single"/>
          <w:lang w:eastAsia="en-GB"/>
        </w:rPr>
      </w:pPr>
      <w:r w:rsidRPr="009B3747">
        <w:rPr>
          <w:rFonts w:eastAsia="Times New Roman" w:cstheme="minorHAnsi"/>
          <w:color w:val="000000"/>
          <w:sz w:val="20"/>
          <w:szCs w:val="20"/>
          <w:lang w:eastAsia="en-GB"/>
        </w:rPr>
        <w:t xml:space="preserve">           </w:t>
      </w:r>
      <w:r w:rsidRPr="009B3747">
        <w:rPr>
          <w:rFonts w:eastAsia="Times New Roman" w:cstheme="minorHAnsi"/>
          <w:color w:val="000000"/>
          <w:sz w:val="20"/>
          <w:szCs w:val="20"/>
          <w:u w:val="single"/>
          <w:lang w:eastAsia="en-GB"/>
        </w:rPr>
        <w:t>Figure 8.8 – Responses to questions presented in section five of the questionnaire (Q3)</w:t>
      </w:r>
    </w:p>
    <w:p w:rsidR="005969E6" w:rsidRPr="009B3747" w:rsidRDefault="005969E6" w:rsidP="00827CCD">
      <w:pPr>
        <w:rPr>
          <w:rFonts w:eastAsia="Times New Roman" w:cstheme="minorHAnsi"/>
          <w:color w:val="000000"/>
          <w:lang w:eastAsia="en-GB"/>
        </w:rPr>
      </w:pP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Mann-Whitney U tests were conducted to identify statistically significant differences in the strength of agreement with each statement for different groups (i.e. role types, school types and genders).  There were two statisti</w:t>
      </w:r>
      <w:r w:rsidR="00256CB0" w:rsidRPr="009B3747">
        <w:rPr>
          <w:rFonts w:eastAsia="Times New Roman" w:cstheme="minorHAnsi"/>
          <w:color w:val="000000"/>
          <w:lang w:eastAsia="en-GB"/>
        </w:rPr>
        <w:t xml:space="preserve">cally significant differences: </w:t>
      </w:r>
      <w:r w:rsidRPr="009B3747">
        <w:rPr>
          <w:rFonts w:eastAsia="Times New Roman" w:cstheme="minorHAnsi"/>
          <w:color w:val="000000"/>
          <w:lang w:eastAsia="en-GB"/>
        </w:rPr>
        <w:t xml:space="preserve">1) Headteachers agreed more strongly </w:t>
      </w:r>
      <w:r w:rsidRPr="009B3747">
        <w:rPr>
          <w:rFonts w:eastAsia="Times New Roman" w:cstheme="minorHAnsi"/>
          <w:color w:val="000000"/>
          <w:lang w:eastAsia="en-GB"/>
        </w:rPr>
        <w:lastRenderedPageBreak/>
        <w:t>that parents have a responsibility (P = 0.01) and 2) Participants from non-state funded secondary schools agreed more strongly that secondary school pupils themselves have a responsibility.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Following Spearman’s correlation coefficient tests being conducted, only one indicated a statistically significant result.  A weak negative correlation existed between the perceptions of secondary school pupils having responsibility themselves for preventing excess weight and a school’s pupil population</w:t>
      </w:r>
      <w:r w:rsidR="00B46C02">
        <w:rPr>
          <w:rFonts w:eastAsia="Times New Roman" w:cstheme="minorHAnsi"/>
          <w:color w:val="000000"/>
          <w:lang w:eastAsia="en-GB"/>
        </w:rPr>
        <w:t xml:space="preserve">, </w:t>
      </w:r>
      <w:r w:rsidRPr="009B3747">
        <w:rPr>
          <w:rFonts w:eastAsia="Times New Roman" w:cstheme="minorHAnsi"/>
          <w:color w:val="000000"/>
          <w:lang w:eastAsia="en-GB"/>
        </w:rPr>
        <w:t>i.e. the smaller the school pupil population, the stronger the agreement with the statement.</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As presented in fi</w:t>
      </w:r>
      <w:r w:rsidR="00D63B65" w:rsidRPr="009B3747">
        <w:rPr>
          <w:rFonts w:eastAsia="Times New Roman" w:cstheme="minorHAnsi"/>
          <w:color w:val="000000"/>
          <w:lang w:eastAsia="en-GB"/>
        </w:rPr>
        <w:t>gure 8.9</w:t>
      </w:r>
      <w:r w:rsidRPr="009B3747">
        <w:rPr>
          <w:rFonts w:eastAsia="Times New Roman" w:cstheme="minorHAnsi"/>
          <w:color w:val="000000"/>
          <w:lang w:eastAsia="en-GB"/>
        </w:rPr>
        <w:t xml:space="preserve"> below, participants opinions were sought regarding which approaches to excess weight prevention in secondary school pupils are effective.  The top three approaches with the largest proportion of agreement, were - ‘Providing opportunities to be active (98.4% agreed or strongly agreed), ‘Providing opportunities to develop healthy eating habits’ (96.8% agreed or strongly agreed) and ‘National public awareness campaigns’ (88.9% agreed or strongly agreed).  Whilst the majority of participants agreed or strongly agreed that taxation (66.2%) and legislation (73.2%) are effective, these statements also received the largest proportion of disagreement compared to other approaches listed (taxation - 16.5% disagreed or strongly disagreed and legislation - 13.4% disagreed or strongly disagreed).  </w:t>
      </w:r>
    </w:p>
    <w:p w:rsidR="005969E6" w:rsidRPr="009B3747" w:rsidRDefault="005969E6" w:rsidP="00827CCD">
      <w:pPr>
        <w:rPr>
          <w:rFonts w:eastAsia="Times New Roman" w:cstheme="minorHAnsi"/>
          <w:color w:val="000000"/>
          <w:lang w:eastAsia="en-GB"/>
        </w:rPr>
      </w:pPr>
    </w:p>
    <w:p w:rsidR="00827CCD" w:rsidRPr="009B3747" w:rsidRDefault="00827CCD" w:rsidP="00827CCD">
      <w:pPr>
        <w:rPr>
          <w:rFonts w:eastAsia="Times New Roman" w:cstheme="minorHAnsi"/>
          <w:sz w:val="24"/>
          <w:szCs w:val="24"/>
          <w:lang w:eastAsia="en-GB"/>
        </w:rPr>
      </w:pPr>
      <w:r w:rsidRPr="009B3747">
        <w:rPr>
          <w:rFonts w:eastAsia="Times New Roman" w:cstheme="minorHAnsi"/>
          <w:noProof/>
          <w:color w:val="000000"/>
          <w:lang w:eastAsia="en-GB"/>
        </w:rPr>
        <w:drawing>
          <wp:inline distT="0" distB="0" distL="0" distR="0">
            <wp:extent cx="5629275" cy="3629025"/>
            <wp:effectExtent l="0" t="0" r="9525" b="9525"/>
            <wp:docPr id="40" name="Picture 40" descr="https://lh5.googleusercontent.com/RP1BzAPDzK2hk2Jj6OCZ6hURGxUBNDK7VgsB6jFJgOwghPjSWBpB_mwDb6U1HYDrY4aTTIG7og2wxw46-_Zl0xWwJgs9BASRiCQ_KnNaOi5LrrWrKeDQcvRWocD8dtgJjHKLy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RP1BzAPDzK2hk2Jj6OCZ6hURGxUBNDK7VgsB6jFJgOwghPjSWBpB_mwDb6U1HYDrY4aTTIG7og2wxw46-_Zl0xWwJgs9BASRiCQ_KnNaOi5LrrWrKeDQcvRWocD8dtgJjHKLyco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9275" cy="3629025"/>
                    </a:xfrm>
                    <a:prstGeom prst="rect">
                      <a:avLst/>
                    </a:prstGeom>
                    <a:noFill/>
                    <a:ln>
                      <a:noFill/>
                    </a:ln>
                  </pic:spPr>
                </pic:pic>
              </a:graphicData>
            </a:graphic>
          </wp:inline>
        </w:drawing>
      </w:r>
    </w:p>
    <w:p w:rsidR="00D63B65" w:rsidRPr="009B3747" w:rsidRDefault="00D63B65" w:rsidP="00D63B65">
      <w:pPr>
        <w:ind w:left="1440"/>
        <w:rPr>
          <w:rFonts w:eastAsia="Times New Roman" w:cstheme="minorHAnsi"/>
          <w:color w:val="000000"/>
          <w:sz w:val="20"/>
          <w:szCs w:val="20"/>
          <w:u w:val="single"/>
          <w:lang w:eastAsia="en-GB"/>
        </w:rPr>
      </w:pPr>
      <w:r w:rsidRPr="009B3747">
        <w:rPr>
          <w:rFonts w:eastAsia="Times New Roman" w:cstheme="minorHAnsi"/>
          <w:color w:val="000000"/>
          <w:sz w:val="20"/>
          <w:szCs w:val="20"/>
          <w:lang w:eastAsia="en-GB"/>
        </w:rPr>
        <w:t xml:space="preserve">        </w:t>
      </w:r>
      <w:r w:rsidRPr="009B3747">
        <w:rPr>
          <w:rFonts w:eastAsia="Times New Roman" w:cstheme="minorHAnsi"/>
          <w:color w:val="000000"/>
          <w:sz w:val="20"/>
          <w:szCs w:val="20"/>
          <w:u w:val="single"/>
          <w:lang w:eastAsia="en-GB"/>
        </w:rPr>
        <w:t>Figure 8.9 – Responses to questions presented in section five of the questionnaire (Q4)</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lastRenderedPageBreak/>
        <w:t>Following Mann-Whitney U tests being performed, two statistically significant differences in the strength of agreement with each statement for different groups were observed - 1) Headteachers agreed more strongly (at a statistically significant level  - p = 0.02) that providing education in s</w:t>
      </w:r>
      <w:r w:rsidR="00C34425">
        <w:rPr>
          <w:rFonts w:eastAsia="Times New Roman" w:cstheme="minorHAnsi"/>
          <w:color w:val="000000"/>
          <w:lang w:eastAsia="en-GB"/>
        </w:rPr>
        <w:t xml:space="preserve">chools is an effective approach, </w:t>
      </w:r>
      <w:r w:rsidRPr="009B3747">
        <w:rPr>
          <w:rFonts w:eastAsia="Times New Roman" w:cstheme="minorHAnsi"/>
          <w:color w:val="000000"/>
          <w:lang w:eastAsia="en-GB"/>
        </w:rPr>
        <w:t>and 2) Males agreed more strongly (at a statistically significant level - p = 0.04) that restricting opportunities to develop unhealthy eating habits is an effective approach.</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Following Spearman’s correlation coefficient tests being conducted, two results indicated a statistically significant finding.  A weak negative correlation existed between a school’s pupil population and the strength of agreement with the provision of education in schools (r = .184, p = 0.038) and the provision of opportunities to be active (r = -.195, p = 0.028).</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 xml:space="preserve">In addition to the question and accompanying </w:t>
      </w:r>
      <w:r w:rsidR="000E5B04" w:rsidRPr="009B3747">
        <w:rPr>
          <w:rFonts w:eastAsia="Times New Roman" w:cstheme="minorHAnsi"/>
          <w:color w:val="000000"/>
          <w:lang w:eastAsia="en-GB"/>
        </w:rPr>
        <w:t>Likert</w:t>
      </w:r>
      <w:r w:rsidRPr="009B3747">
        <w:rPr>
          <w:rFonts w:eastAsia="Times New Roman" w:cstheme="minorHAnsi"/>
          <w:color w:val="000000"/>
          <w:lang w:eastAsia="en-GB"/>
        </w:rPr>
        <w:t xml:space="preserve"> scales regarding facilitators, participants were presented with the following open optional question -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i/>
          <w:iCs/>
          <w:color w:val="000000"/>
          <w:shd w:val="clear" w:color="auto" w:fill="FFFFFF"/>
          <w:lang w:eastAsia="en-GB"/>
        </w:rPr>
      </w:pPr>
      <w:r w:rsidRPr="009B3747">
        <w:rPr>
          <w:rFonts w:eastAsia="Times New Roman" w:cstheme="minorHAnsi"/>
          <w:i/>
          <w:iCs/>
          <w:color w:val="000000"/>
          <w:lang w:eastAsia="en-GB"/>
        </w:rPr>
        <w:t>‘</w:t>
      </w:r>
      <w:r w:rsidRPr="009B3747">
        <w:rPr>
          <w:rFonts w:eastAsia="Times New Roman" w:cstheme="minorHAnsi"/>
          <w:i/>
          <w:iCs/>
          <w:color w:val="000000"/>
          <w:shd w:val="clear" w:color="auto" w:fill="FFFFFF"/>
          <w:lang w:eastAsia="en-GB"/>
        </w:rPr>
        <w:t>What other approaches to preventing excess weight gain in secondary school pupils are or could be effective?’</w:t>
      </w:r>
    </w:p>
    <w:p w:rsidR="005969E6" w:rsidRPr="009B3747" w:rsidRDefault="005969E6" w:rsidP="00827CCD">
      <w:pPr>
        <w:rPr>
          <w:rFonts w:eastAsia="Times New Roman" w:cstheme="minorHAnsi"/>
          <w:i/>
          <w:iCs/>
          <w:color w:val="000000"/>
          <w:shd w:val="clear" w:color="auto" w:fill="FFFFFF"/>
          <w:lang w:eastAsia="en-GB"/>
        </w:rPr>
      </w:pP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shd w:val="clear" w:color="auto" w:fill="FFFFFF"/>
          <w:lang w:eastAsia="en-GB"/>
        </w:rPr>
        <w:t xml:space="preserve">In total 17 responses were received and reflected upon, with the researcher analysing the resultant </w:t>
      </w:r>
      <w:r w:rsidR="00D63B65" w:rsidRPr="009B3747">
        <w:rPr>
          <w:rFonts w:eastAsia="Times New Roman" w:cstheme="minorHAnsi"/>
          <w:color w:val="000000"/>
          <w:shd w:val="clear" w:color="auto" w:fill="FFFFFF"/>
          <w:lang w:eastAsia="en-GB"/>
        </w:rPr>
        <w:t>text for commonality.  Table 8.3</w:t>
      </w:r>
      <w:r w:rsidR="005969E6" w:rsidRPr="009B3747">
        <w:rPr>
          <w:rFonts w:eastAsia="Times New Roman" w:cstheme="minorHAnsi"/>
          <w:color w:val="000000"/>
          <w:shd w:val="clear" w:color="auto" w:fill="FFFFFF"/>
          <w:lang w:eastAsia="en-GB"/>
        </w:rPr>
        <w:t xml:space="preserve"> </w:t>
      </w:r>
      <w:r w:rsidRPr="009B3747">
        <w:rPr>
          <w:rFonts w:eastAsia="Times New Roman" w:cstheme="minorHAnsi"/>
          <w:color w:val="000000"/>
          <w:shd w:val="clear" w:color="auto" w:fill="FFFFFF"/>
          <w:lang w:eastAsia="en-GB"/>
        </w:rPr>
        <w:t xml:space="preserve">therefore presents a summary of the ‘other approaches’ provided by participations, in addition to verbatim quotations which aim to illustrate the findings. </w:t>
      </w:r>
    </w:p>
    <w:p w:rsidR="005969E6" w:rsidRPr="009B3747" w:rsidRDefault="005969E6" w:rsidP="00827CCD">
      <w:pPr>
        <w:rPr>
          <w:rFonts w:eastAsia="Times New Roman" w:cstheme="minorHAnsi"/>
          <w:lang w:eastAsia="en-GB"/>
        </w:rPr>
      </w:pPr>
    </w:p>
    <w:p w:rsidR="005969E6" w:rsidRPr="009B3747" w:rsidRDefault="00D63B65" w:rsidP="006308EA">
      <w:pPr>
        <w:rPr>
          <w:rFonts w:eastAsia="Times New Roman" w:cstheme="minorHAnsi"/>
          <w:u w:val="single"/>
          <w:lang w:eastAsia="en-GB"/>
        </w:rPr>
      </w:pPr>
      <w:r w:rsidRPr="009B3747">
        <w:rPr>
          <w:rFonts w:eastAsia="Times New Roman" w:cstheme="minorHAnsi"/>
          <w:u w:val="single"/>
          <w:lang w:eastAsia="en-GB"/>
        </w:rPr>
        <w:t>Table 8.3</w:t>
      </w:r>
      <w:r w:rsidR="00827CCD" w:rsidRPr="009B3747">
        <w:rPr>
          <w:rFonts w:eastAsia="Times New Roman" w:cstheme="minorHAnsi"/>
          <w:u w:val="single"/>
          <w:lang w:eastAsia="en-GB"/>
        </w:rPr>
        <w:t> </w:t>
      </w:r>
      <w:r w:rsidR="005969E6" w:rsidRPr="009B3747">
        <w:rPr>
          <w:rFonts w:eastAsia="Times New Roman" w:cstheme="minorHAnsi"/>
          <w:u w:val="single"/>
          <w:lang w:eastAsia="en-GB"/>
        </w:rPr>
        <w:t>– Responses to open questi</w:t>
      </w:r>
      <w:r w:rsidR="006308EA" w:rsidRPr="009B3747">
        <w:rPr>
          <w:rFonts w:eastAsia="Times New Roman" w:cstheme="minorHAnsi"/>
          <w:u w:val="single"/>
          <w:lang w:eastAsia="en-GB"/>
        </w:rPr>
        <w:t>on regarding ‘other approaches’</w:t>
      </w:r>
    </w:p>
    <w:p w:rsidR="00256CB0" w:rsidRPr="009B3747" w:rsidRDefault="00256CB0" w:rsidP="006308EA">
      <w:pPr>
        <w:rPr>
          <w:rFonts w:eastAsia="Times New Roman" w:cstheme="minorHAnsi"/>
          <w:u w:val="single"/>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4101"/>
        <w:gridCol w:w="4905"/>
      </w:tblGrid>
      <w:tr w:rsidR="00827CCD" w:rsidRPr="009B3747" w:rsidTr="000332E6">
        <w:tc>
          <w:tcPr>
            <w:tcW w:w="4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0332E6">
            <w:pPr>
              <w:spacing w:line="240" w:lineRule="auto"/>
              <w:rPr>
                <w:rFonts w:eastAsia="Times New Roman" w:cstheme="minorHAnsi"/>
                <w:sz w:val="24"/>
                <w:szCs w:val="24"/>
                <w:lang w:eastAsia="en-GB"/>
              </w:rPr>
            </w:pPr>
            <w:r w:rsidRPr="009B3747">
              <w:rPr>
                <w:rFonts w:eastAsia="Times New Roman" w:cstheme="minorHAnsi"/>
                <w:b/>
                <w:bCs/>
                <w:color w:val="000000"/>
                <w:sz w:val="20"/>
                <w:szCs w:val="20"/>
                <w:shd w:val="clear" w:color="auto" w:fill="FFFFFF"/>
                <w:lang w:eastAsia="en-GB"/>
              </w:rPr>
              <w:t>Other approaches</w:t>
            </w:r>
          </w:p>
        </w:tc>
        <w:tc>
          <w:tcPr>
            <w:tcW w:w="4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0332E6">
            <w:pPr>
              <w:spacing w:line="240" w:lineRule="auto"/>
              <w:rPr>
                <w:rFonts w:eastAsia="Times New Roman" w:cstheme="minorHAnsi"/>
                <w:sz w:val="24"/>
                <w:szCs w:val="24"/>
                <w:lang w:eastAsia="en-GB"/>
              </w:rPr>
            </w:pPr>
            <w:r w:rsidRPr="009B3747">
              <w:rPr>
                <w:rFonts w:eastAsia="Times New Roman" w:cstheme="minorHAnsi"/>
                <w:b/>
                <w:bCs/>
                <w:color w:val="000000"/>
                <w:sz w:val="20"/>
                <w:szCs w:val="20"/>
                <w:shd w:val="clear" w:color="auto" w:fill="FFFFFF"/>
                <w:lang w:eastAsia="en-GB"/>
              </w:rPr>
              <w:t>Verbatim quotation</w:t>
            </w:r>
          </w:p>
        </w:tc>
      </w:tr>
      <w:tr w:rsidR="00827CCD" w:rsidRPr="009B3747" w:rsidTr="000332E6">
        <w:tc>
          <w:tcPr>
            <w:tcW w:w="4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C27072">
            <w:pPr>
              <w:numPr>
                <w:ilvl w:val="0"/>
                <w:numId w:val="65"/>
              </w:numPr>
              <w:spacing w:line="240" w:lineRule="auto"/>
              <w:ind w:left="375"/>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Increased resources for physical activity and sport provision both inside and outside of the secondary school setting</w:t>
            </w:r>
          </w:p>
          <w:p w:rsidR="00F738CC" w:rsidRPr="009B3747" w:rsidRDefault="00F738CC" w:rsidP="000332E6">
            <w:pPr>
              <w:spacing w:line="240" w:lineRule="auto"/>
              <w:rPr>
                <w:rFonts w:eastAsia="Times New Roman" w:cstheme="minorHAnsi"/>
                <w:color w:val="000000"/>
                <w:sz w:val="20"/>
                <w:szCs w:val="20"/>
                <w:lang w:eastAsia="en-GB"/>
              </w:rPr>
            </w:pPr>
          </w:p>
          <w:p w:rsidR="00827CCD" w:rsidRPr="009B3747" w:rsidRDefault="00827CCD" w:rsidP="000332E6">
            <w:pPr>
              <w:spacing w:line="240" w:lineRule="auto"/>
              <w:rPr>
                <w:rFonts w:eastAsia="Times New Roman" w:cstheme="minorHAnsi"/>
                <w:sz w:val="24"/>
                <w:szCs w:val="24"/>
                <w:lang w:eastAsia="en-GB"/>
              </w:rPr>
            </w:pPr>
            <w:r w:rsidRPr="009B3747">
              <w:rPr>
                <w:rFonts w:eastAsia="Times New Roman" w:cstheme="minorHAnsi"/>
                <w:sz w:val="24"/>
                <w:szCs w:val="24"/>
                <w:lang w:eastAsia="en-GB"/>
              </w:rPr>
              <w:t> </w:t>
            </w:r>
          </w:p>
          <w:p w:rsidR="00007AD7" w:rsidRPr="009B3747" w:rsidRDefault="00007AD7" w:rsidP="00C27072">
            <w:pPr>
              <w:pStyle w:val="ListParagraph"/>
              <w:numPr>
                <w:ilvl w:val="0"/>
                <w:numId w:val="66"/>
              </w:numPr>
              <w:tabs>
                <w:tab w:val="clear" w:pos="720"/>
                <w:tab w:val="num" w:pos="360"/>
              </w:tabs>
              <w:spacing w:line="240" w:lineRule="auto"/>
              <w:ind w:left="316" w:hanging="284"/>
              <w:rPr>
                <w:rFonts w:eastAsia="Times New Roman" w:cstheme="minorHAnsi"/>
                <w:sz w:val="20"/>
                <w:szCs w:val="20"/>
                <w:lang w:eastAsia="en-GB"/>
              </w:rPr>
            </w:pPr>
            <w:r w:rsidRPr="009B3747">
              <w:rPr>
                <w:rFonts w:eastAsia="Times New Roman" w:cstheme="minorHAnsi"/>
                <w:sz w:val="20"/>
                <w:szCs w:val="20"/>
                <w:lang w:eastAsia="en-GB"/>
              </w:rPr>
              <w:t>Increased education for all stakeholders</w:t>
            </w:r>
            <w:r w:rsidR="00B46C02">
              <w:rPr>
                <w:rFonts w:eastAsia="Times New Roman" w:cstheme="minorHAnsi"/>
                <w:sz w:val="20"/>
                <w:szCs w:val="20"/>
                <w:lang w:eastAsia="en-GB"/>
              </w:rPr>
              <w:t xml:space="preserve"> (</w:t>
            </w:r>
            <w:r w:rsidRPr="009B3747">
              <w:rPr>
                <w:rFonts w:eastAsia="Times New Roman" w:cstheme="minorHAnsi"/>
                <w:sz w:val="20"/>
                <w:szCs w:val="20"/>
                <w:lang w:eastAsia="en-GB"/>
              </w:rPr>
              <w:t>i.e. schools, parents and adolescents</w:t>
            </w:r>
            <w:r w:rsidR="00B46C02">
              <w:rPr>
                <w:rFonts w:eastAsia="Times New Roman" w:cstheme="minorHAnsi"/>
                <w:sz w:val="20"/>
                <w:szCs w:val="20"/>
                <w:lang w:eastAsia="en-GB"/>
              </w:rPr>
              <w:t>)</w:t>
            </w:r>
            <w:r w:rsidRPr="009B3747">
              <w:rPr>
                <w:rFonts w:eastAsia="Times New Roman" w:cstheme="minorHAnsi"/>
                <w:sz w:val="20"/>
                <w:szCs w:val="20"/>
                <w:lang w:eastAsia="en-GB"/>
              </w:rPr>
              <w:t xml:space="preserve"> </w:t>
            </w:r>
          </w:p>
          <w:p w:rsidR="00007AD7" w:rsidRPr="009B3747" w:rsidRDefault="00007AD7" w:rsidP="00007AD7">
            <w:pPr>
              <w:pStyle w:val="ListParagraph"/>
              <w:spacing w:line="240" w:lineRule="auto"/>
              <w:ind w:left="316"/>
              <w:rPr>
                <w:rFonts w:eastAsia="Times New Roman" w:cstheme="minorHAnsi"/>
                <w:sz w:val="20"/>
                <w:szCs w:val="20"/>
                <w:lang w:eastAsia="en-GB"/>
              </w:rPr>
            </w:pPr>
          </w:p>
          <w:p w:rsidR="00827CCD" w:rsidRPr="009B3747" w:rsidRDefault="00827CCD" w:rsidP="00C27072">
            <w:pPr>
              <w:pStyle w:val="ListParagraph"/>
              <w:numPr>
                <w:ilvl w:val="0"/>
                <w:numId w:val="66"/>
              </w:numPr>
              <w:tabs>
                <w:tab w:val="clear" w:pos="720"/>
                <w:tab w:val="num" w:pos="360"/>
              </w:tabs>
              <w:spacing w:line="240" w:lineRule="auto"/>
              <w:ind w:left="316" w:hanging="284"/>
              <w:rPr>
                <w:rFonts w:eastAsia="Times New Roman" w:cstheme="minorHAnsi"/>
                <w:sz w:val="20"/>
                <w:szCs w:val="20"/>
                <w:lang w:eastAsia="en-GB"/>
              </w:rPr>
            </w:pPr>
            <w:r w:rsidRPr="009B3747">
              <w:rPr>
                <w:rFonts w:eastAsia="Times New Roman" w:cstheme="minorHAnsi"/>
                <w:color w:val="000000"/>
                <w:sz w:val="20"/>
                <w:szCs w:val="20"/>
                <w:lang w:eastAsia="en-GB"/>
              </w:rPr>
              <w:t xml:space="preserve">Increased accessibility to and funding for school nursing and support services </w:t>
            </w:r>
            <w:r w:rsidR="00B46C02">
              <w:rPr>
                <w:rFonts w:eastAsia="Times New Roman" w:cstheme="minorHAnsi"/>
                <w:color w:val="000000"/>
                <w:sz w:val="20"/>
                <w:szCs w:val="20"/>
                <w:lang w:eastAsia="en-GB"/>
              </w:rPr>
              <w:t>(</w:t>
            </w:r>
            <w:r w:rsidRPr="009B3747">
              <w:rPr>
                <w:rFonts w:eastAsia="Times New Roman" w:cstheme="minorHAnsi"/>
                <w:color w:val="000000"/>
                <w:sz w:val="20"/>
                <w:szCs w:val="20"/>
                <w:lang w:eastAsia="en-GB"/>
              </w:rPr>
              <w:t>i.e. dietetics</w:t>
            </w:r>
            <w:r w:rsidR="00B46C02">
              <w:rPr>
                <w:rFonts w:eastAsia="Times New Roman" w:cstheme="minorHAnsi"/>
                <w:color w:val="000000"/>
                <w:sz w:val="20"/>
                <w:szCs w:val="20"/>
                <w:lang w:eastAsia="en-GB"/>
              </w:rPr>
              <w:t>)</w:t>
            </w:r>
          </w:p>
          <w:p w:rsidR="00827CCD" w:rsidRPr="009B3747" w:rsidRDefault="00827CCD" w:rsidP="000332E6">
            <w:pPr>
              <w:spacing w:line="240" w:lineRule="auto"/>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C27072">
            <w:pPr>
              <w:numPr>
                <w:ilvl w:val="0"/>
                <w:numId w:val="67"/>
              </w:numPr>
              <w:spacing w:line="240" w:lineRule="auto"/>
              <w:ind w:left="375"/>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Improve the safety or the perceived parental safety of communities</w:t>
            </w:r>
          </w:p>
          <w:p w:rsidR="000332E6" w:rsidRPr="009B3747" w:rsidRDefault="000332E6" w:rsidP="000332E6">
            <w:pPr>
              <w:spacing w:line="240" w:lineRule="auto"/>
              <w:textAlignment w:val="baseline"/>
              <w:rPr>
                <w:rFonts w:eastAsia="Times New Roman" w:cstheme="minorHAnsi"/>
                <w:color w:val="000000"/>
                <w:sz w:val="20"/>
                <w:szCs w:val="20"/>
                <w:lang w:eastAsia="en-GB"/>
              </w:rPr>
            </w:pPr>
          </w:p>
          <w:p w:rsidR="000332E6" w:rsidRPr="009B3747" w:rsidRDefault="000332E6" w:rsidP="000332E6">
            <w:pPr>
              <w:spacing w:line="240" w:lineRule="auto"/>
              <w:textAlignment w:val="baseline"/>
              <w:rPr>
                <w:rFonts w:eastAsia="Times New Roman" w:cstheme="minorHAnsi"/>
                <w:color w:val="000000"/>
                <w:sz w:val="20"/>
                <w:szCs w:val="20"/>
                <w:lang w:eastAsia="en-GB"/>
              </w:rPr>
            </w:pPr>
          </w:p>
          <w:p w:rsidR="00827CCD" w:rsidRPr="009B3747" w:rsidRDefault="00827CCD" w:rsidP="00C27072">
            <w:pPr>
              <w:numPr>
                <w:ilvl w:val="0"/>
                <w:numId w:val="68"/>
              </w:numPr>
              <w:spacing w:line="240" w:lineRule="auto"/>
              <w:ind w:left="375"/>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 xml:space="preserve">Cheaper food for schools and free provision of meals for pupils during the school day </w:t>
            </w:r>
          </w:p>
        </w:tc>
        <w:tc>
          <w:tcPr>
            <w:tcW w:w="4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C27072">
            <w:pPr>
              <w:numPr>
                <w:ilvl w:val="0"/>
                <w:numId w:val="69"/>
              </w:numPr>
              <w:spacing w:line="240" w:lineRule="auto"/>
              <w:ind w:left="345" w:right="240"/>
              <w:textAlignment w:val="baseline"/>
              <w:rPr>
                <w:rFonts w:eastAsia="Times New Roman" w:cstheme="minorHAnsi"/>
                <w:color w:val="000000"/>
                <w:sz w:val="20"/>
                <w:szCs w:val="20"/>
                <w:lang w:eastAsia="en-GB"/>
              </w:rPr>
            </w:pPr>
            <w:r w:rsidRPr="009B3747">
              <w:rPr>
                <w:rFonts w:eastAsia="Times New Roman" w:cstheme="minorHAnsi"/>
                <w:i/>
                <w:color w:val="000000"/>
                <w:sz w:val="20"/>
                <w:szCs w:val="20"/>
                <w:lang w:eastAsia="en-GB"/>
              </w:rPr>
              <w:lastRenderedPageBreak/>
              <w:t>“The government could fund sports clubs in schools run by local club leaders in sports/activities not commonly available in the school curriculum.”</w:t>
            </w:r>
            <w:r w:rsidR="000332E6" w:rsidRPr="009B3747">
              <w:rPr>
                <w:rFonts w:eastAsia="Times New Roman" w:cstheme="minorHAnsi"/>
                <w:color w:val="000000"/>
                <w:sz w:val="20"/>
                <w:szCs w:val="20"/>
                <w:lang w:eastAsia="en-GB"/>
              </w:rPr>
              <w:t xml:space="preserve"> </w:t>
            </w:r>
            <w:r w:rsidR="000332E6" w:rsidRPr="009B3747">
              <w:rPr>
                <w:rFonts w:eastAsia="Times New Roman" w:cstheme="minorHAnsi"/>
                <w:b/>
                <w:color w:val="000000"/>
                <w:sz w:val="20"/>
                <w:szCs w:val="20"/>
                <w:lang w:eastAsia="en-GB"/>
              </w:rPr>
              <w:t>(Headteacher)</w:t>
            </w:r>
          </w:p>
          <w:p w:rsidR="00007AD7" w:rsidRPr="009B3747" w:rsidRDefault="00827CCD" w:rsidP="00F738CC">
            <w:pPr>
              <w:spacing w:line="240" w:lineRule="auto"/>
              <w:ind w:right="-15"/>
              <w:rPr>
                <w:rFonts w:eastAsia="Times New Roman" w:cstheme="minorHAnsi"/>
                <w:color w:val="000000"/>
                <w:sz w:val="20"/>
                <w:szCs w:val="20"/>
                <w:lang w:eastAsia="en-GB"/>
              </w:rPr>
            </w:pPr>
            <w:r w:rsidRPr="009B3747">
              <w:rPr>
                <w:rFonts w:eastAsia="Times New Roman" w:cstheme="minorHAnsi"/>
                <w:sz w:val="24"/>
                <w:szCs w:val="24"/>
                <w:lang w:eastAsia="en-GB"/>
              </w:rPr>
              <w:t> </w:t>
            </w:r>
          </w:p>
          <w:p w:rsidR="00007AD7" w:rsidRPr="009B3747" w:rsidRDefault="00007AD7" w:rsidP="00C27072">
            <w:pPr>
              <w:numPr>
                <w:ilvl w:val="0"/>
                <w:numId w:val="70"/>
              </w:numPr>
              <w:spacing w:line="240" w:lineRule="auto"/>
              <w:ind w:left="345" w:right="-15"/>
              <w:textAlignment w:val="baseline"/>
              <w:rPr>
                <w:rFonts w:eastAsia="Times New Roman" w:cstheme="minorHAnsi"/>
                <w:color w:val="000000"/>
                <w:sz w:val="20"/>
                <w:szCs w:val="20"/>
                <w:lang w:eastAsia="en-GB"/>
              </w:rPr>
            </w:pPr>
            <w:r w:rsidRPr="009B3747">
              <w:rPr>
                <w:rFonts w:eastAsia="Times New Roman" w:cstheme="minorHAnsi"/>
                <w:i/>
                <w:sz w:val="20"/>
                <w:szCs w:val="20"/>
                <w:lang w:eastAsia="en-GB"/>
              </w:rPr>
              <w:t>“Education around other</w:t>
            </w:r>
            <w:r w:rsidR="00B46C02">
              <w:rPr>
                <w:rFonts w:eastAsia="Times New Roman" w:cstheme="minorHAnsi"/>
                <w:i/>
                <w:sz w:val="20"/>
                <w:szCs w:val="20"/>
                <w:lang w:eastAsia="en-GB"/>
              </w:rPr>
              <w:t xml:space="preserve"> factors contributing to this, </w:t>
            </w:r>
            <w:r w:rsidRPr="009B3747">
              <w:rPr>
                <w:rFonts w:eastAsia="Times New Roman" w:cstheme="minorHAnsi"/>
                <w:i/>
                <w:sz w:val="20"/>
                <w:szCs w:val="20"/>
                <w:lang w:eastAsia="en-GB"/>
              </w:rPr>
              <w:t xml:space="preserve">i.e. mental health, </w:t>
            </w:r>
            <w:r w:rsidR="004B590A" w:rsidRPr="009B3747">
              <w:rPr>
                <w:rFonts w:eastAsia="Times New Roman" w:cstheme="minorHAnsi"/>
                <w:i/>
                <w:sz w:val="20"/>
                <w:szCs w:val="20"/>
                <w:lang w:eastAsia="en-GB"/>
              </w:rPr>
              <w:t>self-esteem</w:t>
            </w:r>
            <w:r w:rsidRPr="009B3747">
              <w:rPr>
                <w:rFonts w:eastAsia="Times New Roman" w:cstheme="minorHAnsi"/>
                <w:i/>
                <w:sz w:val="20"/>
                <w:szCs w:val="20"/>
                <w:lang w:eastAsia="en-GB"/>
              </w:rPr>
              <w:t>, disability and a lack of money for activity.”</w:t>
            </w:r>
            <w:r w:rsidRPr="009B3747">
              <w:rPr>
                <w:rFonts w:eastAsia="Times New Roman" w:cstheme="minorHAnsi"/>
                <w:b/>
                <w:sz w:val="20"/>
                <w:szCs w:val="20"/>
                <w:lang w:eastAsia="en-GB"/>
              </w:rPr>
              <w:t xml:space="preserve"> (Headteacher)</w:t>
            </w:r>
          </w:p>
          <w:p w:rsidR="00007AD7" w:rsidRPr="009B3747" w:rsidRDefault="00007AD7" w:rsidP="000332E6">
            <w:pPr>
              <w:spacing w:line="240" w:lineRule="auto"/>
              <w:ind w:right="-15"/>
              <w:rPr>
                <w:rFonts w:eastAsia="Times New Roman" w:cstheme="minorHAnsi"/>
                <w:sz w:val="20"/>
                <w:szCs w:val="20"/>
                <w:lang w:eastAsia="en-GB"/>
              </w:rPr>
            </w:pPr>
          </w:p>
          <w:p w:rsidR="00007AD7" w:rsidRPr="009B3747" w:rsidRDefault="00827CCD" w:rsidP="00C27072">
            <w:pPr>
              <w:numPr>
                <w:ilvl w:val="0"/>
                <w:numId w:val="71"/>
              </w:numPr>
              <w:spacing w:line="240" w:lineRule="auto"/>
              <w:ind w:left="345" w:right="-15"/>
              <w:textAlignment w:val="baseline"/>
              <w:rPr>
                <w:rFonts w:eastAsia="Times New Roman" w:cstheme="minorHAnsi"/>
                <w:color w:val="000000"/>
                <w:sz w:val="20"/>
                <w:szCs w:val="20"/>
                <w:lang w:eastAsia="en-GB"/>
              </w:rPr>
            </w:pPr>
            <w:r w:rsidRPr="009B3747">
              <w:rPr>
                <w:rFonts w:eastAsia="Times New Roman" w:cstheme="minorHAnsi"/>
                <w:i/>
                <w:color w:val="000000"/>
                <w:sz w:val="20"/>
                <w:szCs w:val="20"/>
                <w:lang w:eastAsia="en-GB"/>
              </w:rPr>
              <w:t>“Easy availability of school nurse and support services.”</w:t>
            </w:r>
            <w:r w:rsidR="00BD6288" w:rsidRPr="009B3747">
              <w:rPr>
                <w:rFonts w:eastAsia="Times New Roman" w:cstheme="minorHAnsi"/>
                <w:color w:val="000000"/>
                <w:sz w:val="20"/>
                <w:szCs w:val="20"/>
                <w:lang w:eastAsia="en-GB"/>
              </w:rPr>
              <w:t xml:space="preserve"> </w:t>
            </w:r>
            <w:r w:rsidR="000332E6" w:rsidRPr="009B3747">
              <w:rPr>
                <w:rFonts w:eastAsia="Times New Roman" w:cstheme="minorHAnsi"/>
                <w:b/>
                <w:color w:val="000000"/>
                <w:sz w:val="20"/>
                <w:szCs w:val="20"/>
                <w:lang w:eastAsia="en-GB"/>
              </w:rPr>
              <w:t>(Headteacher)</w:t>
            </w:r>
          </w:p>
          <w:p w:rsidR="00007AD7" w:rsidRPr="009B3747" w:rsidRDefault="00007AD7" w:rsidP="00007AD7">
            <w:pPr>
              <w:spacing w:line="240" w:lineRule="auto"/>
              <w:ind w:left="345" w:right="-15"/>
              <w:textAlignment w:val="baseline"/>
              <w:rPr>
                <w:rFonts w:eastAsia="Times New Roman" w:cstheme="minorHAnsi"/>
                <w:color w:val="000000"/>
                <w:sz w:val="20"/>
                <w:szCs w:val="20"/>
                <w:lang w:eastAsia="en-GB"/>
              </w:rPr>
            </w:pPr>
          </w:p>
          <w:p w:rsidR="00827CCD" w:rsidRPr="009B3747" w:rsidRDefault="00827CCD" w:rsidP="00C27072">
            <w:pPr>
              <w:numPr>
                <w:ilvl w:val="0"/>
                <w:numId w:val="71"/>
              </w:numPr>
              <w:spacing w:line="240" w:lineRule="auto"/>
              <w:ind w:left="345" w:right="-15"/>
              <w:textAlignment w:val="baseline"/>
              <w:rPr>
                <w:rFonts w:eastAsia="Times New Roman" w:cstheme="minorHAnsi"/>
                <w:color w:val="000000"/>
                <w:sz w:val="20"/>
                <w:szCs w:val="20"/>
                <w:lang w:eastAsia="en-GB"/>
              </w:rPr>
            </w:pPr>
            <w:r w:rsidRPr="009B3747">
              <w:rPr>
                <w:rFonts w:eastAsia="Times New Roman" w:cstheme="minorHAnsi"/>
                <w:i/>
                <w:color w:val="000000"/>
                <w:sz w:val="20"/>
                <w:szCs w:val="20"/>
                <w:lang w:eastAsia="en-GB"/>
              </w:rPr>
              <w:t xml:space="preserve">“Make the streets and parks and playing fields safe places for children and teenagers to go.” </w:t>
            </w:r>
            <w:r w:rsidR="000332E6" w:rsidRPr="009B3747">
              <w:rPr>
                <w:rFonts w:eastAsia="Times New Roman" w:cstheme="minorHAnsi"/>
                <w:b/>
                <w:color w:val="000000"/>
                <w:sz w:val="20"/>
                <w:szCs w:val="20"/>
                <w:lang w:eastAsia="en-GB"/>
              </w:rPr>
              <w:t>(Headteacher)</w:t>
            </w:r>
          </w:p>
          <w:p w:rsidR="00827CCD" w:rsidRPr="009B3747" w:rsidRDefault="00827CCD" w:rsidP="000332E6">
            <w:pPr>
              <w:spacing w:line="240" w:lineRule="auto"/>
              <w:ind w:right="-15"/>
              <w:rPr>
                <w:rFonts w:eastAsia="Times New Roman" w:cstheme="minorHAnsi"/>
                <w:sz w:val="24"/>
                <w:szCs w:val="24"/>
                <w:lang w:eastAsia="en-GB"/>
              </w:rPr>
            </w:pPr>
            <w:r w:rsidRPr="009B3747">
              <w:rPr>
                <w:rFonts w:eastAsia="Times New Roman" w:cstheme="minorHAnsi"/>
                <w:sz w:val="24"/>
                <w:szCs w:val="24"/>
                <w:lang w:eastAsia="en-GB"/>
              </w:rPr>
              <w:lastRenderedPageBreak/>
              <w:t> </w:t>
            </w:r>
          </w:p>
          <w:p w:rsidR="00827CCD" w:rsidRPr="009B3747" w:rsidRDefault="00827CCD" w:rsidP="00C27072">
            <w:pPr>
              <w:numPr>
                <w:ilvl w:val="0"/>
                <w:numId w:val="72"/>
              </w:numPr>
              <w:spacing w:line="240" w:lineRule="auto"/>
              <w:ind w:left="345" w:right="-15"/>
              <w:textAlignment w:val="baseline"/>
              <w:rPr>
                <w:rFonts w:eastAsia="Times New Roman" w:cstheme="minorHAnsi"/>
                <w:color w:val="000000"/>
                <w:sz w:val="20"/>
                <w:szCs w:val="20"/>
                <w:lang w:eastAsia="en-GB"/>
              </w:rPr>
            </w:pPr>
            <w:r w:rsidRPr="009B3747">
              <w:rPr>
                <w:rFonts w:eastAsia="Times New Roman" w:cstheme="minorHAnsi"/>
                <w:i/>
                <w:color w:val="000000"/>
                <w:sz w:val="20"/>
                <w:szCs w:val="20"/>
                <w:lang w:eastAsia="en-GB"/>
              </w:rPr>
              <w:t>“Providing breakfast and/or lunch for all, free of charge.”</w:t>
            </w:r>
            <w:r w:rsidR="000332E6" w:rsidRPr="009B3747">
              <w:rPr>
                <w:rFonts w:eastAsia="Times New Roman" w:cstheme="minorHAnsi"/>
                <w:color w:val="000000"/>
                <w:sz w:val="20"/>
                <w:szCs w:val="20"/>
                <w:lang w:eastAsia="en-GB"/>
              </w:rPr>
              <w:t xml:space="preserve"> </w:t>
            </w:r>
            <w:r w:rsidR="000332E6" w:rsidRPr="009B3747">
              <w:rPr>
                <w:rFonts w:eastAsia="Times New Roman" w:cstheme="minorHAnsi"/>
                <w:b/>
                <w:color w:val="000000"/>
                <w:sz w:val="20"/>
                <w:szCs w:val="20"/>
                <w:lang w:eastAsia="en-GB"/>
              </w:rPr>
              <w:t>(Headteacher)</w:t>
            </w:r>
          </w:p>
        </w:tc>
      </w:tr>
    </w:tbl>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lastRenderedPageBreak/>
        <w:t>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The last figure</w:t>
      </w:r>
      <w:r w:rsidR="000E5B04" w:rsidRPr="009B3747">
        <w:rPr>
          <w:rFonts w:eastAsia="Times New Roman" w:cstheme="minorHAnsi"/>
          <w:color w:val="000000"/>
          <w:lang w:eastAsia="en-GB"/>
        </w:rPr>
        <w:t xml:space="preserve"> 8.10 presented </w:t>
      </w:r>
      <w:r w:rsidRPr="009B3747">
        <w:rPr>
          <w:rFonts w:eastAsia="Times New Roman" w:cstheme="minorHAnsi"/>
          <w:color w:val="000000"/>
          <w:lang w:eastAsia="en-GB"/>
        </w:rPr>
        <w:t>within the theme of ‘Shared responsibility, collective solutions’, displays summarised responses related to who secondary schools should work in partnership with to help prevent excess weight gain in secondary school pupils.  The majority of survey respondents either agreed or strongly agreed that partnership working should occur wi</w:t>
      </w:r>
      <w:r w:rsidR="009228D2" w:rsidRPr="009B3747">
        <w:rPr>
          <w:rFonts w:eastAsia="Times New Roman" w:cstheme="minorHAnsi"/>
          <w:color w:val="000000"/>
          <w:lang w:eastAsia="en-GB"/>
        </w:rPr>
        <w:t>th all those listed in figure 16</w:t>
      </w:r>
      <w:r w:rsidRPr="009B3747">
        <w:rPr>
          <w:rFonts w:eastAsia="Times New Roman" w:cstheme="minorHAnsi"/>
          <w:color w:val="000000"/>
          <w:lang w:eastAsia="en-GB"/>
        </w:rPr>
        <w:t>.  The top three partners who received the largest proportion of agreement were School nurses (92.1%), Local Authority Public Health teams (90.5%) and the Department of Health (87.4%).  Celebrities as a category produced the most even distribution of responses, in addition to the largest proportion of neutral responses (29.9% neither agreed or disagreed)</w:t>
      </w:r>
      <w:r w:rsidR="00C34425">
        <w:rPr>
          <w:rFonts w:eastAsia="Times New Roman" w:cstheme="minorHAnsi"/>
          <w:color w:val="000000"/>
          <w:lang w:eastAsia="en-GB"/>
        </w:rPr>
        <w:t>,</w:t>
      </w:r>
      <w:r w:rsidRPr="009B3747">
        <w:rPr>
          <w:rFonts w:eastAsia="Times New Roman" w:cstheme="minorHAnsi"/>
          <w:color w:val="000000"/>
          <w:lang w:eastAsia="en-GB"/>
        </w:rPr>
        <w:t xml:space="preserve"> and disagreement (18.9% disagreed or strongly disagreed).</w:t>
      </w:r>
    </w:p>
    <w:p w:rsidR="009228D2" w:rsidRPr="009B3747" w:rsidRDefault="009228D2" w:rsidP="00827CCD">
      <w:pPr>
        <w:rPr>
          <w:rFonts w:eastAsia="Times New Roman" w:cstheme="minorHAnsi"/>
          <w:color w:val="000000"/>
          <w:lang w:eastAsia="en-GB"/>
        </w:rPr>
      </w:pPr>
    </w:p>
    <w:p w:rsidR="00827CCD" w:rsidRPr="009B3747" w:rsidRDefault="00827CCD" w:rsidP="00827CCD">
      <w:pPr>
        <w:rPr>
          <w:rFonts w:eastAsia="Times New Roman" w:cstheme="minorHAnsi"/>
          <w:sz w:val="24"/>
          <w:szCs w:val="24"/>
          <w:lang w:eastAsia="en-GB"/>
        </w:rPr>
      </w:pPr>
      <w:r w:rsidRPr="009B3747">
        <w:rPr>
          <w:rFonts w:eastAsia="Times New Roman" w:cstheme="minorHAnsi"/>
          <w:noProof/>
          <w:color w:val="000000"/>
          <w:lang w:eastAsia="en-GB"/>
        </w:rPr>
        <w:drawing>
          <wp:inline distT="0" distB="0" distL="0" distR="0">
            <wp:extent cx="5457825" cy="3409950"/>
            <wp:effectExtent l="0" t="0" r="9525" b="0"/>
            <wp:docPr id="39" name="Picture 39" descr="https://lh5.googleusercontent.com/Na_vLRDUfZTwZRVG7jgX-cbaVkR89kqN23viaj2NMX63O4nmr9ryjbWRO5uXt4LftnMIcrggdLI11tDc3hqID0zOg6A9npKl3U12DhWO_87vhbg4tjIgHKGxHMY3c_5LJz2X3W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Na_vLRDUfZTwZRVG7jgX-cbaVkR89kqN23viaj2NMX63O4nmr9ryjbWRO5uXt4LftnMIcrggdLI11tDc3hqID0zOg6A9npKl3U12DhWO_87vhbg4tjIgHKGxHMY3c_5LJz2X3Wh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7825" cy="3409950"/>
                    </a:xfrm>
                    <a:prstGeom prst="rect">
                      <a:avLst/>
                    </a:prstGeom>
                    <a:noFill/>
                    <a:ln>
                      <a:noFill/>
                    </a:ln>
                  </pic:spPr>
                </pic:pic>
              </a:graphicData>
            </a:graphic>
          </wp:inline>
        </w:drawing>
      </w:r>
    </w:p>
    <w:p w:rsidR="000E5B04" w:rsidRPr="009B3747" w:rsidRDefault="000E5B04" w:rsidP="000E5B04">
      <w:pPr>
        <w:ind w:left="1440"/>
        <w:rPr>
          <w:rFonts w:eastAsia="Times New Roman" w:cstheme="minorHAnsi"/>
          <w:color w:val="000000"/>
          <w:sz w:val="20"/>
          <w:szCs w:val="20"/>
          <w:u w:val="single"/>
          <w:lang w:eastAsia="en-GB"/>
        </w:rPr>
      </w:pPr>
      <w:r w:rsidRPr="009B3747">
        <w:rPr>
          <w:rFonts w:eastAsia="Times New Roman" w:cstheme="minorHAnsi"/>
          <w:color w:val="000000"/>
          <w:sz w:val="20"/>
          <w:szCs w:val="20"/>
          <w:lang w:eastAsia="en-GB"/>
        </w:rPr>
        <w:t xml:space="preserve"> </w:t>
      </w:r>
      <w:r w:rsidRPr="009B3747">
        <w:rPr>
          <w:rFonts w:eastAsia="Times New Roman" w:cstheme="minorHAnsi"/>
          <w:color w:val="000000"/>
          <w:sz w:val="20"/>
          <w:szCs w:val="20"/>
          <w:u w:val="single"/>
          <w:lang w:eastAsia="en-GB"/>
        </w:rPr>
        <w:t>Figure 8.10 - Responses to questions presented in section five of the questionnaire (Q6)</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Following the use of Mann-Whitney U tests, only one statistically significant difference between groups and the statements displayed in the above figure was detected (related to gender) following the use of Mann-Whitney U tests.  Males agreed more strongly than females that schools should work in partnership with the Department of Health (P = 0.03).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lastRenderedPageBreak/>
        <w:t xml:space="preserve">Following Spearman’s correlation coefficient tests being conducted, two results indicated a statistically significant finding.  There was a weak positive correlation evidenced between one measure of pupil disadvantage and the strength of agreement related to partnership working with General Practitioners - (Q2 - r = .187, p = 0.044).  A weak negative correlation was identified between school pupil population and the strength of agreement related to partnership working with local authority public health teams (r = -.207, p = 0.020) and local community organisations </w:t>
      </w:r>
      <w:r w:rsidRPr="009B3747">
        <w:rPr>
          <w:rFonts w:eastAsia="Times New Roman" w:cstheme="minorHAnsi"/>
          <w:color w:val="000000"/>
          <w:sz w:val="20"/>
          <w:szCs w:val="20"/>
          <w:lang w:eastAsia="en-GB"/>
        </w:rPr>
        <w:t>(r = -.210, p = 0.018).</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674552" w:rsidP="00827CCD">
      <w:pPr>
        <w:rPr>
          <w:rFonts w:eastAsia="Times New Roman" w:cstheme="minorHAnsi"/>
          <w:sz w:val="24"/>
          <w:szCs w:val="24"/>
          <w:u w:val="single"/>
          <w:lang w:eastAsia="en-GB"/>
        </w:rPr>
      </w:pPr>
      <w:r w:rsidRPr="009B3747">
        <w:rPr>
          <w:rFonts w:eastAsia="Times New Roman" w:cstheme="minorHAnsi"/>
          <w:iCs/>
          <w:color w:val="000000"/>
          <w:u w:val="single"/>
          <w:lang w:eastAsia="en-GB"/>
        </w:rPr>
        <w:t>8.4</w:t>
      </w:r>
      <w:r w:rsidR="009228D2" w:rsidRPr="009B3747">
        <w:rPr>
          <w:rFonts w:eastAsia="Times New Roman" w:cstheme="minorHAnsi"/>
          <w:iCs/>
          <w:color w:val="000000"/>
          <w:u w:val="single"/>
          <w:lang w:eastAsia="en-GB"/>
        </w:rPr>
        <w:t xml:space="preserve">.4 </w:t>
      </w:r>
      <w:r w:rsidR="00827CCD" w:rsidRPr="009B3747">
        <w:rPr>
          <w:rFonts w:eastAsia="Times New Roman" w:cstheme="minorHAnsi"/>
          <w:iCs/>
          <w:color w:val="000000"/>
          <w:u w:val="single"/>
          <w:lang w:eastAsia="en-GB"/>
        </w:rPr>
        <w:t xml:space="preserve">Secondary school setting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F</w:t>
      </w:r>
      <w:r w:rsidR="00674552" w:rsidRPr="009B3747">
        <w:rPr>
          <w:rFonts w:eastAsia="Times New Roman" w:cstheme="minorHAnsi"/>
          <w:color w:val="000000"/>
          <w:lang w:eastAsia="en-GB"/>
        </w:rPr>
        <w:t>igure 8.11</w:t>
      </w:r>
      <w:r w:rsidRPr="009B3747">
        <w:rPr>
          <w:rFonts w:eastAsia="Times New Roman" w:cstheme="minorHAnsi"/>
          <w:color w:val="000000"/>
          <w:lang w:eastAsia="en-GB"/>
        </w:rPr>
        <w:t>, presents summarised responses to a series of five statements relating to the theme of the ‘Secondary school setting’.  A majority of participants deemed improving dietary habits (73.2%) and improving physical activity habits (69.3%) of secondary school pupils to be a priority.  In contrast a smaller proportion (37%) agreed or strongly agreed with the statement that preventing excess weight gain in secondary school pupils is a priority.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For 44.9% of survey respondents, they agreed or strongly agreed that there are more important issues to deal with than excess weight prevention in secondary school pupils, although over a third (37%) selected a neutral position (neither agreed or disag</w:t>
      </w:r>
      <w:r w:rsidR="009228D2" w:rsidRPr="009B3747">
        <w:rPr>
          <w:rFonts w:eastAsia="Times New Roman" w:cstheme="minorHAnsi"/>
          <w:color w:val="000000"/>
          <w:lang w:eastAsia="en-GB"/>
        </w:rPr>
        <w:t>r</w:t>
      </w:r>
      <w:r w:rsidR="00674552" w:rsidRPr="009B3747">
        <w:rPr>
          <w:rFonts w:eastAsia="Times New Roman" w:cstheme="minorHAnsi"/>
          <w:color w:val="000000"/>
          <w:lang w:eastAsia="en-GB"/>
        </w:rPr>
        <w:t>eed).  As displayed in figure 8.11</w:t>
      </w:r>
      <w:r w:rsidRPr="009B3747">
        <w:rPr>
          <w:rFonts w:eastAsia="Times New Roman" w:cstheme="minorHAnsi"/>
          <w:color w:val="000000"/>
          <w:lang w:eastAsia="en-GB"/>
        </w:rPr>
        <w:t>, the statement obtaining the largest majority of agreement (81.9% agreeing or strongly agreeing), centred on the opinion that school staff should role model healthy lifestyles to secondary school pupils.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Mann-Whitney U tests were conducted to identify statistically significant differences in the strength of agreement with each statement for different groups (i.e. role types, school types and genders).  Only one statistically significant difference was identified related to role type.  Headteachers agreed more strongly than chairs of governors that school staff should role model healthy lifestyles to secondary school pupils (P = 0.02).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Having conducted Spearman’s correlation coefficient, no statistically significant correlation was evidenced between pupil disadvantage, school pupil population and the below statements.</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ind w:left="-300"/>
        <w:rPr>
          <w:rFonts w:eastAsia="Times New Roman" w:cstheme="minorHAnsi"/>
          <w:sz w:val="24"/>
          <w:szCs w:val="24"/>
          <w:lang w:eastAsia="en-GB"/>
        </w:rPr>
      </w:pPr>
      <w:r w:rsidRPr="009B3747">
        <w:rPr>
          <w:rFonts w:eastAsia="Times New Roman" w:cstheme="minorHAnsi"/>
          <w:b/>
          <w:bCs/>
          <w:color w:val="000000"/>
          <w:lang w:eastAsia="en-GB"/>
        </w:rPr>
        <w:lastRenderedPageBreak/>
        <w:t>  </w:t>
      </w:r>
      <w:r w:rsidRPr="009B3747">
        <w:rPr>
          <w:rFonts w:eastAsia="Times New Roman" w:cstheme="minorHAnsi"/>
          <w:b/>
          <w:bCs/>
          <w:noProof/>
          <w:color w:val="000000"/>
          <w:lang w:eastAsia="en-GB"/>
        </w:rPr>
        <w:drawing>
          <wp:inline distT="0" distB="0" distL="0" distR="0">
            <wp:extent cx="5734050" cy="3019425"/>
            <wp:effectExtent l="0" t="0" r="0" b="9525"/>
            <wp:docPr id="38" name="Picture 38" descr="https://lh3.googleusercontent.com/TGfc3-xXjpXt0CGpTEgy9zgFKBwskZDoyDjNZTLTdusUPMtv1uh_R-GQmplVK4tFPabGvtjRJj8smfP4XgXJ40mlCjEl9LEXMynXV8b3YpJeeBQUr3DoiVEIoR5K8LsCMTxck2y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TGfc3-xXjpXt0CGpTEgy9zgFKBwskZDoyDjNZTLTdusUPMtv1uh_R-GQmplVK4tFPabGvtjRJj8smfP4XgXJ40mlCjEl9LEXMynXV8b3YpJeeBQUr3DoiVEIoR5K8LsCMTxck2y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3019425"/>
                    </a:xfrm>
                    <a:prstGeom prst="rect">
                      <a:avLst/>
                    </a:prstGeom>
                    <a:noFill/>
                    <a:ln>
                      <a:noFill/>
                    </a:ln>
                  </pic:spPr>
                </pic:pic>
              </a:graphicData>
            </a:graphic>
          </wp:inline>
        </w:drawing>
      </w:r>
    </w:p>
    <w:p w:rsidR="00674552" w:rsidRPr="009B3747" w:rsidRDefault="00674552" w:rsidP="00674552">
      <w:pPr>
        <w:ind w:left="1440"/>
        <w:rPr>
          <w:rFonts w:eastAsia="Times New Roman" w:cstheme="minorHAnsi"/>
          <w:color w:val="000000"/>
          <w:sz w:val="20"/>
          <w:szCs w:val="20"/>
          <w:u w:val="single"/>
          <w:lang w:eastAsia="en-GB"/>
        </w:rPr>
      </w:pPr>
      <w:r w:rsidRPr="009B3747">
        <w:rPr>
          <w:rFonts w:eastAsia="Times New Roman" w:cstheme="minorHAnsi"/>
          <w:iCs/>
          <w:color w:val="000000"/>
          <w:sz w:val="20"/>
          <w:szCs w:val="20"/>
          <w:lang w:eastAsia="en-GB"/>
        </w:rPr>
        <w:t xml:space="preserve">     </w:t>
      </w:r>
      <w:r w:rsidRPr="009B3747">
        <w:rPr>
          <w:rFonts w:eastAsia="Times New Roman" w:cstheme="minorHAnsi"/>
          <w:iCs/>
          <w:color w:val="000000"/>
          <w:sz w:val="20"/>
          <w:szCs w:val="20"/>
          <w:u w:val="single"/>
          <w:lang w:eastAsia="en-GB"/>
        </w:rPr>
        <w:t xml:space="preserve">Figure 8.11 - </w:t>
      </w:r>
      <w:r w:rsidRPr="009B3747">
        <w:rPr>
          <w:rFonts w:eastAsia="Times New Roman" w:cstheme="minorHAnsi"/>
          <w:color w:val="000000"/>
          <w:sz w:val="20"/>
          <w:szCs w:val="20"/>
          <w:u w:val="single"/>
          <w:lang w:eastAsia="en-GB"/>
        </w:rPr>
        <w:t>Responses to questions presented in section four of the questionnaire (Q1)</w:t>
      </w:r>
    </w:p>
    <w:p w:rsidR="00827CCD" w:rsidRPr="009B3747" w:rsidRDefault="00827CCD" w:rsidP="00827CCD">
      <w:pPr>
        <w:rPr>
          <w:rFonts w:eastAsia="Times New Roman" w:cstheme="minorHAnsi"/>
          <w:lang w:eastAsia="en-GB"/>
        </w:rPr>
      </w:pPr>
      <w:r w:rsidRPr="009B3747">
        <w:rPr>
          <w:rFonts w:eastAsia="Times New Roman" w:cstheme="minorHAnsi"/>
          <w:lang w:eastAsia="en-GB"/>
        </w:rPr>
        <w:t> </w:t>
      </w:r>
    </w:p>
    <w:p w:rsidR="00827CCD" w:rsidRPr="009B3747" w:rsidRDefault="00674552" w:rsidP="00827CCD">
      <w:pPr>
        <w:rPr>
          <w:rFonts w:eastAsia="Times New Roman" w:cstheme="minorHAnsi"/>
          <w:sz w:val="24"/>
          <w:szCs w:val="24"/>
          <w:lang w:eastAsia="en-GB"/>
        </w:rPr>
      </w:pPr>
      <w:r w:rsidRPr="009B3747">
        <w:rPr>
          <w:rFonts w:eastAsia="Times New Roman" w:cstheme="minorHAnsi"/>
          <w:lang w:eastAsia="en-GB"/>
        </w:rPr>
        <w:t xml:space="preserve">Figure 8.12 </w:t>
      </w:r>
      <w:r w:rsidR="00827CCD" w:rsidRPr="009B3747">
        <w:rPr>
          <w:rFonts w:eastAsia="Times New Roman" w:cstheme="minorHAnsi"/>
          <w:color w:val="000000"/>
          <w:lang w:eastAsia="en-GB"/>
        </w:rPr>
        <w:t>below displays summarised responses to a series of statements</w:t>
      </w:r>
      <w:r w:rsidR="009025E2">
        <w:rPr>
          <w:rFonts w:eastAsia="Times New Roman" w:cstheme="minorHAnsi"/>
          <w:color w:val="000000"/>
          <w:lang w:eastAsia="en-GB"/>
        </w:rPr>
        <w:t>,</w:t>
      </w:r>
      <w:r w:rsidR="00827CCD" w:rsidRPr="009B3747">
        <w:rPr>
          <w:rFonts w:eastAsia="Times New Roman" w:cstheme="minorHAnsi"/>
          <w:color w:val="000000"/>
          <w:lang w:eastAsia="en-GB"/>
        </w:rPr>
        <w:t xml:space="preserve"> which continue to relate to the theme of the secondary school setting.  A significant majority of participants believed that secondary schools are an important setting for preventing excess weight gain in secondary school pupils (78% agreed or strongly agreed) and are able to positively influence both the dietary (76.4</w:t>
      </w:r>
      <w:r w:rsidR="00C34425">
        <w:rPr>
          <w:rFonts w:eastAsia="Times New Roman" w:cstheme="minorHAnsi"/>
          <w:color w:val="000000"/>
          <w:lang w:eastAsia="en-GB"/>
        </w:rPr>
        <w:t>%</w:t>
      </w:r>
      <w:r w:rsidR="00827CCD" w:rsidRPr="009B3747">
        <w:rPr>
          <w:rFonts w:eastAsia="Times New Roman" w:cstheme="minorHAnsi"/>
          <w:color w:val="000000"/>
          <w:lang w:eastAsia="en-GB"/>
        </w:rPr>
        <w:t xml:space="preserve"> agreed or strongly agreed) and physical activity (87.4% agreed or strongly agreed) habits of pupils.  A larger majority of participants (93.7% agreed or strongly agreed), believed that secondary schools should use a whole-school approach to develop life-long healthy eating and physical activity practices.  Less than half of survey respondents (40.2%) disagreed or strongly disagreed with the statement that secondary schools are not able to prevent excess weight gain in secondary school pupils, with a further 33.8% remaining neutral on this position (neither agreeing or disagreeing).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Results from conducting Mann-Whitney U tests indicated that there was no statistically significant difference between role types or school type and the strength of agreement with the a</w:t>
      </w:r>
      <w:r w:rsidR="002B40DD" w:rsidRPr="009B3747">
        <w:rPr>
          <w:rFonts w:eastAsia="Times New Roman" w:cstheme="minorHAnsi"/>
          <w:color w:val="000000"/>
          <w:lang w:eastAsia="en-GB"/>
        </w:rPr>
        <w:t>bove statement</w:t>
      </w:r>
      <w:r w:rsidR="00674552" w:rsidRPr="009B3747">
        <w:rPr>
          <w:rFonts w:eastAsia="Times New Roman" w:cstheme="minorHAnsi"/>
          <w:color w:val="000000"/>
          <w:lang w:eastAsia="en-GB"/>
        </w:rPr>
        <w:t>s (</w:t>
      </w:r>
      <w:r w:rsidR="002B40DD" w:rsidRPr="009B3747">
        <w:rPr>
          <w:rFonts w:eastAsia="Times New Roman" w:cstheme="minorHAnsi"/>
          <w:color w:val="000000"/>
          <w:lang w:eastAsia="en-GB"/>
        </w:rPr>
        <w:t xml:space="preserve">Appendix </w:t>
      </w:r>
      <w:r w:rsidR="003F4A2E" w:rsidRPr="009B3747">
        <w:rPr>
          <w:rFonts w:eastAsia="Times New Roman" w:cstheme="minorHAnsi"/>
          <w:color w:val="000000"/>
          <w:lang w:eastAsia="en-GB"/>
        </w:rPr>
        <w:t>L</w:t>
      </w:r>
      <w:r w:rsidR="002B40DD" w:rsidRPr="009B3747">
        <w:rPr>
          <w:rFonts w:eastAsia="Times New Roman" w:cstheme="minorHAnsi"/>
          <w:color w:val="000000"/>
          <w:lang w:eastAsia="en-GB"/>
        </w:rPr>
        <w:t xml:space="preserve"> </w:t>
      </w:r>
      <w:r w:rsidRPr="009B3747">
        <w:rPr>
          <w:rFonts w:eastAsia="Times New Roman" w:cstheme="minorHAnsi"/>
          <w:color w:val="000000"/>
          <w:lang w:eastAsia="en-GB"/>
        </w:rPr>
        <w:t>for p values).  Only one statement indicated a statistically significant difference for genders.  Males in comparison to females more strongly agreed with the statement that secondary schools are an important setting for preventing excess weight in secondary school pupils (p = 0.033).</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p>
    <w:p w:rsidR="00827CCD" w:rsidRPr="009B3747" w:rsidRDefault="00256CB0" w:rsidP="00827CCD">
      <w:pPr>
        <w:ind w:left="-735"/>
        <w:rPr>
          <w:rFonts w:eastAsia="Times New Roman" w:cstheme="minorHAnsi"/>
          <w:sz w:val="24"/>
          <w:szCs w:val="24"/>
          <w:lang w:eastAsia="en-GB"/>
        </w:rPr>
      </w:pPr>
      <w:r w:rsidRPr="009B3747">
        <w:rPr>
          <w:rFonts w:eastAsia="Times New Roman" w:cstheme="minorHAnsi"/>
          <w:b/>
          <w:bCs/>
          <w:noProof/>
          <w:color w:val="000000"/>
          <w:lang w:eastAsia="en-GB"/>
        </w:rPr>
        <w:lastRenderedPageBreak/>
        <w:drawing>
          <wp:anchor distT="0" distB="0" distL="114300" distR="114300" simplePos="0" relativeHeight="251683840" behindDoc="1" locked="0" layoutInCell="1" allowOverlap="1">
            <wp:simplePos x="0" y="0"/>
            <wp:positionH relativeFrom="column">
              <wp:posOffset>-276225</wp:posOffset>
            </wp:positionH>
            <wp:positionV relativeFrom="paragraph">
              <wp:posOffset>257175</wp:posOffset>
            </wp:positionV>
            <wp:extent cx="5892800" cy="3876675"/>
            <wp:effectExtent l="0" t="0" r="0" b="9525"/>
            <wp:wrapTight wrapText="bothSides">
              <wp:wrapPolygon edited="0">
                <wp:start x="0" y="0"/>
                <wp:lineTo x="0" y="21547"/>
                <wp:lineTo x="21507" y="21547"/>
                <wp:lineTo x="21507" y="0"/>
                <wp:lineTo x="0" y="0"/>
              </wp:wrapPolygon>
            </wp:wrapTight>
            <wp:docPr id="37" name="Picture 37" descr="https://lh5.googleusercontent.com/arUJ3cXKMGRXuNgTifrt4d6T_HHM7VwpgVWR_6pUyvNZoEg26p_KXTGpEdgFaXdHfO0BsoLb5ogGsgQwzEg9RS6W_Hupv7qsGom9Ay3GvsirbAtMaVJLgKOKU9LA2fToRPTfVz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arUJ3cXKMGRXuNgTifrt4d6T_HHM7VwpgVWR_6pUyvNZoEg26p_KXTGpEdgFaXdHfO0BsoLb5ogGsgQwzEg9RS6W_Hupv7qsGom9Ay3GvsirbAtMaVJLgKOKU9LA2fToRPTfVzw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2800" cy="387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27CCD" w:rsidRPr="009B3747">
        <w:rPr>
          <w:rFonts w:eastAsia="Times New Roman" w:cstheme="minorHAnsi"/>
          <w:b/>
          <w:bCs/>
          <w:color w:val="000000"/>
          <w:lang w:eastAsia="en-GB"/>
        </w:rPr>
        <w:t>            </w:t>
      </w:r>
    </w:p>
    <w:p w:rsidR="00674552" w:rsidRPr="009B3747" w:rsidRDefault="00827CCD" w:rsidP="00674552">
      <w:pPr>
        <w:rPr>
          <w:rFonts w:eastAsia="Times New Roman" w:cstheme="minorHAnsi"/>
          <w:color w:val="000000"/>
          <w:sz w:val="20"/>
          <w:szCs w:val="20"/>
          <w:u w:val="single"/>
          <w:lang w:eastAsia="en-GB"/>
        </w:rPr>
      </w:pPr>
      <w:r w:rsidRPr="009B3747">
        <w:rPr>
          <w:rFonts w:eastAsia="Times New Roman" w:cstheme="minorHAnsi"/>
          <w:sz w:val="20"/>
          <w:szCs w:val="20"/>
          <w:lang w:eastAsia="en-GB"/>
        </w:rPr>
        <w:t> </w:t>
      </w:r>
      <w:r w:rsidR="00674552" w:rsidRPr="009B3747">
        <w:rPr>
          <w:rFonts w:eastAsia="Times New Roman" w:cstheme="minorHAnsi"/>
          <w:sz w:val="20"/>
          <w:szCs w:val="20"/>
          <w:lang w:eastAsia="en-GB"/>
        </w:rPr>
        <w:tab/>
      </w:r>
      <w:r w:rsidR="00674552" w:rsidRPr="009B3747">
        <w:rPr>
          <w:rFonts w:eastAsia="Times New Roman" w:cstheme="minorHAnsi"/>
          <w:sz w:val="20"/>
          <w:szCs w:val="20"/>
          <w:lang w:eastAsia="en-GB"/>
        </w:rPr>
        <w:tab/>
      </w:r>
      <w:r w:rsidR="002E65A4" w:rsidRPr="009B3747">
        <w:rPr>
          <w:rFonts w:eastAsia="Times New Roman" w:cstheme="minorHAnsi"/>
          <w:sz w:val="20"/>
          <w:szCs w:val="20"/>
          <w:lang w:eastAsia="en-GB"/>
        </w:rPr>
        <w:t xml:space="preserve">  </w:t>
      </w:r>
      <w:r w:rsidR="00674552" w:rsidRPr="009B3747">
        <w:rPr>
          <w:rFonts w:eastAsia="Times New Roman" w:cstheme="minorHAnsi"/>
          <w:color w:val="000000"/>
          <w:sz w:val="20"/>
          <w:szCs w:val="20"/>
          <w:u w:val="single"/>
          <w:lang w:eastAsia="en-GB"/>
        </w:rPr>
        <w:t>Figure 8.12 – Responses to questions presented in section four of the questionnaire (Q2)</w:t>
      </w:r>
    </w:p>
    <w:p w:rsidR="00C34425" w:rsidRDefault="00C34425" w:rsidP="00827CCD">
      <w:pPr>
        <w:rPr>
          <w:rFonts w:eastAsia="Times New Roman" w:cstheme="minorHAnsi"/>
          <w:sz w:val="24"/>
          <w:szCs w:val="24"/>
          <w:lang w:eastAsia="en-GB"/>
        </w:rPr>
      </w:pP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Following Spearman’s correlation coefficient tests being conducted, two results indicated a statistically significant finding.  There was a weak negative correlation evidenced between one measure of pupil disadvantage and the strength of agreement related to t</w:t>
      </w:r>
      <w:r w:rsidR="009228D2" w:rsidRPr="009B3747">
        <w:rPr>
          <w:rFonts w:eastAsia="Times New Roman" w:cstheme="minorHAnsi"/>
          <w:color w:val="000000"/>
          <w:lang w:eastAsia="en-GB"/>
        </w:rPr>
        <w:t>he fourth statement in figure 18</w:t>
      </w:r>
      <w:r w:rsidR="00B46C02">
        <w:rPr>
          <w:rFonts w:eastAsia="Times New Roman" w:cstheme="minorHAnsi"/>
          <w:color w:val="000000"/>
          <w:lang w:eastAsia="en-GB"/>
        </w:rPr>
        <w:t xml:space="preserve"> above (i</w:t>
      </w:r>
      <w:r w:rsidRPr="009B3747">
        <w:rPr>
          <w:rFonts w:eastAsia="Times New Roman" w:cstheme="minorHAnsi"/>
          <w:color w:val="000000"/>
          <w:lang w:eastAsia="en-GB"/>
        </w:rPr>
        <w:t>.e. Should use a whole school approach..) - (Q1 - r = -.217, p = 0.024).  A weak negative correlation was identified between school pupil population and the strength of agreement related t</w:t>
      </w:r>
      <w:r w:rsidR="00821B2E" w:rsidRPr="009B3747">
        <w:rPr>
          <w:rFonts w:eastAsia="Times New Roman" w:cstheme="minorHAnsi"/>
          <w:color w:val="000000"/>
          <w:lang w:eastAsia="en-GB"/>
        </w:rPr>
        <w:t>he second statement in figure 8.12</w:t>
      </w:r>
      <w:r w:rsidRPr="009B3747">
        <w:rPr>
          <w:rFonts w:eastAsia="Times New Roman" w:cstheme="minorHAnsi"/>
          <w:color w:val="000000"/>
          <w:lang w:eastAsia="en-GB"/>
        </w:rPr>
        <w:t xml:space="preserve"> (i.e. Should prioritise..) - (r = -.189, p = 0.033).</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 xml:space="preserve">The </w:t>
      </w:r>
      <w:r w:rsidR="009228D2" w:rsidRPr="009B3747">
        <w:rPr>
          <w:rFonts w:eastAsia="Times New Roman" w:cstheme="minorHAnsi"/>
          <w:color w:val="000000"/>
          <w:lang w:eastAsia="en-GB"/>
        </w:rPr>
        <w:t xml:space="preserve">next figure displayed (figure </w:t>
      </w:r>
      <w:r w:rsidR="00674552" w:rsidRPr="009B3747">
        <w:rPr>
          <w:rFonts w:eastAsia="Times New Roman" w:cstheme="minorHAnsi"/>
          <w:color w:val="000000"/>
          <w:lang w:eastAsia="en-GB"/>
        </w:rPr>
        <w:t>8.13</w:t>
      </w:r>
      <w:r w:rsidRPr="009B3747">
        <w:rPr>
          <w:rFonts w:eastAsia="Times New Roman" w:cstheme="minorHAnsi"/>
          <w:color w:val="000000"/>
          <w:lang w:eastAsia="en-GB"/>
        </w:rPr>
        <w:t xml:space="preserve">), includes a range of statements that related specifically to participants role as either a headteacher or chair of governors.  Regarding the </w:t>
      </w:r>
      <w:r w:rsidR="009025E2">
        <w:rPr>
          <w:rFonts w:eastAsia="Times New Roman" w:cstheme="minorHAnsi"/>
          <w:color w:val="000000"/>
          <w:lang w:eastAsia="en-GB"/>
        </w:rPr>
        <w:t xml:space="preserve">first two statements, </w:t>
      </w:r>
      <w:r w:rsidRPr="009B3747">
        <w:rPr>
          <w:rFonts w:eastAsia="Times New Roman" w:cstheme="minorHAnsi"/>
          <w:color w:val="000000"/>
          <w:lang w:eastAsia="en-GB"/>
        </w:rPr>
        <w:t xml:space="preserve">derived from the NICE pathway for childhood obesity prevention, the majority of survey respondents either agreed or strongly agreed (68.5% and 89.8% respectively).  Two statements </w:t>
      </w:r>
      <w:r w:rsidR="009025E2">
        <w:rPr>
          <w:rFonts w:eastAsia="Times New Roman" w:cstheme="minorHAnsi"/>
          <w:color w:val="000000"/>
          <w:lang w:eastAsia="en-GB"/>
        </w:rPr>
        <w:t>that</w:t>
      </w:r>
      <w:r w:rsidRPr="009B3747">
        <w:rPr>
          <w:rFonts w:eastAsia="Times New Roman" w:cstheme="minorHAnsi"/>
          <w:color w:val="000000"/>
          <w:lang w:eastAsia="en-GB"/>
        </w:rPr>
        <w:t xml:space="preserve"> resulted in the largest proportion of disagreement, related to the perception of responsibility for preventing excess weight gain (30.6%) and attendance at meetings where preventing excess weight gain is discussed (34.7%).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lastRenderedPageBreak/>
        <w:t>Mann-Whitney U tests were conducted to identify statistically significant differences in the strength of agreement with each s</w:t>
      </w:r>
      <w:r w:rsidR="00674552" w:rsidRPr="009B3747">
        <w:rPr>
          <w:rFonts w:eastAsia="Times New Roman" w:cstheme="minorHAnsi"/>
          <w:color w:val="000000"/>
          <w:lang w:eastAsia="en-GB"/>
        </w:rPr>
        <w:t>tatement presented in figure 8.13</w:t>
      </w:r>
      <w:r w:rsidR="00C34425">
        <w:rPr>
          <w:rFonts w:eastAsia="Times New Roman" w:cstheme="minorHAnsi"/>
          <w:color w:val="000000"/>
          <w:lang w:eastAsia="en-GB"/>
        </w:rPr>
        <w:t>, across dif</w:t>
      </w:r>
      <w:r w:rsidRPr="009B3747">
        <w:rPr>
          <w:rFonts w:eastAsia="Times New Roman" w:cstheme="minorHAnsi"/>
          <w:color w:val="000000"/>
          <w:lang w:eastAsia="en-GB"/>
        </w:rPr>
        <w:t xml:space="preserve">ferent groups (i.e. role types, school types and genders).  Headteachers and participants from </w:t>
      </w:r>
      <w:r w:rsidR="00C34425">
        <w:rPr>
          <w:rFonts w:eastAsia="Times New Roman" w:cstheme="minorHAnsi"/>
          <w:color w:val="000000"/>
          <w:lang w:eastAsia="en-GB"/>
        </w:rPr>
        <w:t>non-state funded</w:t>
      </w:r>
      <w:r w:rsidRPr="009B3747">
        <w:rPr>
          <w:rFonts w:eastAsia="Times New Roman" w:cstheme="minorHAnsi"/>
          <w:color w:val="000000"/>
          <w:lang w:eastAsia="en-GB"/>
        </w:rPr>
        <w:t xml:space="preserve"> schools agreed more strongly</w:t>
      </w:r>
      <w:r w:rsidR="00C34425">
        <w:rPr>
          <w:rFonts w:eastAsia="Times New Roman" w:cstheme="minorHAnsi"/>
          <w:color w:val="000000"/>
          <w:lang w:eastAsia="en-GB"/>
        </w:rPr>
        <w:t xml:space="preserve"> with the first statement</w:t>
      </w:r>
      <w:r w:rsidRPr="009B3747">
        <w:rPr>
          <w:rFonts w:eastAsia="Times New Roman" w:cstheme="minorHAnsi"/>
          <w:color w:val="000000"/>
          <w:lang w:eastAsia="en-GB"/>
        </w:rPr>
        <w:t xml:space="preserve"> than chairs of governors and participants from state funded </w:t>
      </w:r>
      <w:r w:rsidR="00C34425">
        <w:rPr>
          <w:rFonts w:eastAsia="Times New Roman" w:cstheme="minorHAnsi"/>
          <w:color w:val="000000"/>
          <w:lang w:eastAsia="en-GB"/>
        </w:rPr>
        <w:t xml:space="preserve">schools </w:t>
      </w:r>
      <w:r w:rsidRPr="009B3747">
        <w:rPr>
          <w:rFonts w:eastAsia="Times New Roman" w:cstheme="minorHAnsi"/>
          <w:color w:val="000000"/>
          <w:lang w:eastAsia="en-GB"/>
        </w:rPr>
        <w:t xml:space="preserve">(i.e. Should collaborate with parents..) - (p = 0.01 and p = 0.002 respectively).  Participants from non-state funded schools agreed more strongly than participants from state funded schools that they are able to direct the school to take action to prevent excess weight in secondary school pupils (p = 0.01) and have a responsibility for excess weight prevention (p = 0.004).  And finally males compared to females agreed more strongly that they were able to positively contribute to the prevention of excess weight gain in secondary school pupils (p = 0.02).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256CB0" w:rsidP="00827CCD">
      <w:pPr>
        <w:rPr>
          <w:rFonts w:eastAsia="Times New Roman" w:cstheme="minorHAnsi"/>
          <w:sz w:val="24"/>
          <w:szCs w:val="24"/>
          <w:lang w:eastAsia="en-GB"/>
        </w:rPr>
      </w:pPr>
      <w:r w:rsidRPr="009B3747">
        <w:rPr>
          <w:rFonts w:eastAsia="Times New Roman" w:cstheme="minorHAnsi"/>
          <w:b/>
          <w:bCs/>
          <w:noProof/>
          <w:color w:val="000000"/>
          <w:lang w:eastAsia="en-GB"/>
        </w:rPr>
        <w:drawing>
          <wp:anchor distT="0" distB="0" distL="114300" distR="114300" simplePos="0" relativeHeight="251684864" behindDoc="1" locked="0" layoutInCell="1" allowOverlap="1">
            <wp:simplePos x="0" y="0"/>
            <wp:positionH relativeFrom="column">
              <wp:posOffset>-371475</wp:posOffset>
            </wp:positionH>
            <wp:positionV relativeFrom="paragraph">
              <wp:posOffset>2179955</wp:posOffset>
            </wp:positionV>
            <wp:extent cx="6748145" cy="3304540"/>
            <wp:effectExtent l="0" t="0" r="0" b="0"/>
            <wp:wrapTight wrapText="bothSides">
              <wp:wrapPolygon edited="0">
                <wp:start x="0" y="0"/>
                <wp:lineTo x="0" y="21417"/>
                <wp:lineTo x="21525" y="21417"/>
                <wp:lineTo x="21525" y="0"/>
                <wp:lineTo x="0" y="0"/>
              </wp:wrapPolygon>
            </wp:wrapTight>
            <wp:docPr id="36" name="Picture 36" descr="https://lh4.googleusercontent.com/FOo0pTlzl5bk3JcmhsQ97UCGUBfuXwJ49ynzNRRXuadsjDQJNzADHEZEyfyoftl1qoo8Mpun4jfCBXm6JjCjc8aFr_3-ngQQHAwoOdiVXU-FLdv7y4uWEa25R-7pAkhv0fj4nS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FOo0pTlzl5bk3JcmhsQ97UCGUBfuXwJ49ynzNRRXuadsjDQJNzADHEZEyfyoftl1qoo8Mpun4jfCBXm6JjCjc8aFr_3-ngQQHAwoOdiVXU-FLdv7y4uWEa25R-7pAkhv0fj4nSW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48145" cy="330454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CCD" w:rsidRPr="009B3747">
        <w:rPr>
          <w:rFonts w:eastAsia="Times New Roman" w:cstheme="minorHAnsi"/>
          <w:color w:val="000000"/>
          <w:lang w:eastAsia="en-GB"/>
        </w:rPr>
        <w:t>Following Spearman’s correlation coefficient tests being conducted, three results indicated a statistically significant finding.  There was a positive negative correlation evidenced between one measure of pupil disadvantage and the strength of agreement related to</w:t>
      </w:r>
      <w:r w:rsidR="009228D2" w:rsidRPr="009B3747">
        <w:rPr>
          <w:rFonts w:eastAsia="Times New Roman" w:cstheme="minorHAnsi"/>
          <w:color w:val="000000"/>
          <w:lang w:eastAsia="en-GB"/>
        </w:rPr>
        <w:t xml:space="preserve"> the last statement in figure 18</w:t>
      </w:r>
      <w:r w:rsidR="00B46C02">
        <w:rPr>
          <w:rFonts w:eastAsia="Times New Roman" w:cstheme="minorHAnsi"/>
          <w:color w:val="000000"/>
          <w:lang w:eastAsia="en-GB"/>
        </w:rPr>
        <w:t xml:space="preserve"> above (i</w:t>
      </w:r>
      <w:r w:rsidR="00827CCD" w:rsidRPr="009B3747">
        <w:rPr>
          <w:rFonts w:eastAsia="Times New Roman" w:cstheme="minorHAnsi"/>
          <w:color w:val="000000"/>
          <w:lang w:eastAsia="en-GB"/>
        </w:rPr>
        <w:t xml:space="preserve">.e. Attend meetings...) - (Q1 - r = -.180, p = 0.052).  A weak positive correlation was identified between school pupil population and the strength of agreement related to </w:t>
      </w:r>
      <w:r w:rsidR="009228D2" w:rsidRPr="009B3747">
        <w:rPr>
          <w:rFonts w:eastAsia="Times New Roman" w:cstheme="minorHAnsi"/>
          <w:color w:val="000000"/>
          <w:lang w:eastAsia="en-GB"/>
        </w:rPr>
        <w:t>the first statement in figure</w:t>
      </w:r>
      <w:r w:rsidR="00674552" w:rsidRPr="009B3747">
        <w:rPr>
          <w:rFonts w:eastAsia="Times New Roman" w:cstheme="minorHAnsi"/>
          <w:color w:val="000000"/>
          <w:lang w:eastAsia="en-GB"/>
        </w:rPr>
        <w:t xml:space="preserve"> 8.13</w:t>
      </w:r>
      <w:r w:rsidR="00827CCD" w:rsidRPr="009B3747">
        <w:rPr>
          <w:rFonts w:eastAsia="Times New Roman" w:cstheme="minorHAnsi"/>
          <w:color w:val="000000"/>
          <w:lang w:eastAsia="en-GB"/>
        </w:rPr>
        <w:t xml:space="preserve"> (i.e. Should collaborate..) - (r = .207, p = 0.002).  The fifth statement (i.e. Have a responsibility for..) had a weak and negative correlation with school pupil population (r = -.188 (p = 0.034).</w:t>
      </w:r>
    </w:p>
    <w:p w:rsidR="00256CB0" w:rsidRPr="009B3747" w:rsidRDefault="00827CCD" w:rsidP="00256CB0">
      <w:pPr>
        <w:ind w:left="-585"/>
        <w:rPr>
          <w:rFonts w:eastAsia="Times New Roman" w:cstheme="minorHAnsi"/>
          <w:sz w:val="24"/>
          <w:szCs w:val="24"/>
          <w:lang w:eastAsia="en-GB"/>
        </w:rPr>
      </w:pPr>
      <w:r w:rsidRPr="009B3747">
        <w:rPr>
          <w:rFonts w:eastAsia="Times New Roman" w:cstheme="minorHAnsi"/>
          <w:b/>
          <w:bCs/>
          <w:color w:val="000000"/>
          <w:lang w:eastAsia="en-GB"/>
        </w:rPr>
        <w:t>  </w:t>
      </w:r>
    </w:p>
    <w:p w:rsidR="00674552" w:rsidRPr="009B3747" w:rsidRDefault="00256CB0" w:rsidP="00256CB0">
      <w:pPr>
        <w:ind w:left="855" w:firstLine="585"/>
        <w:rPr>
          <w:rFonts w:eastAsia="Times New Roman" w:cstheme="minorHAnsi"/>
          <w:sz w:val="24"/>
          <w:szCs w:val="24"/>
          <w:lang w:eastAsia="en-GB"/>
        </w:rPr>
      </w:pPr>
      <w:r w:rsidRPr="009B3747">
        <w:rPr>
          <w:rFonts w:eastAsia="Times New Roman" w:cstheme="minorHAnsi"/>
          <w:color w:val="000000"/>
          <w:sz w:val="20"/>
          <w:szCs w:val="20"/>
          <w:lang w:eastAsia="en-GB"/>
        </w:rPr>
        <w:t xml:space="preserve">        </w:t>
      </w:r>
      <w:r w:rsidR="00674552" w:rsidRPr="009B3747">
        <w:rPr>
          <w:rFonts w:eastAsia="Times New Roman" w:cstheme="minorHAnsi"/>
          <w:color w:val="000000"/>
          <w:sz w:val="20"/>
          <w:szCs w:val="20"/>
          <w:u w:val="single"/>
          <w:lang w:eastAsia="en-GB"/>
        </w:rPr>
        <w:t>Figure 8.13 – Responses to questions presented in section four of the questionnaire (Q3)</w:t>
      </w:r>
    </w:p>
    <w:p w:rsidR="00827CCD" w:rsidRPr="009B3747" w:rsidRDefault="00674552" w:rsidP="00827CCD">
      <w:pPr>
        <w:rPr>
          <w:rFonts w:eastAsia="Times New Roman" w:cstheme="minorHAnsi"/>
          <w:sz w:val="24"/>
          <w:szCs w:val="24"/>
          <w:lang w:eastAsia="en-GB"/>
        </w:rPr>
      </w:pPr>
      <w:r w:rsidRPr="009B3747">
        <w:rPr>
          <w:rFonts w:eastAsia="Times New Roman" w:cstheme="minorHAnsi"/>
          <w:color w:val="000000"/>
          <w:lang w:eastAsia="en-GB"/>
        </w:rPr>
        <w:lastRenderedPageBreak/>
        <w:t>Figure 8.14,</w:t>
      </w:r>
      <w:r w:rsidR="009228D2" w:rsidRPr="009B3747">
        <w:rPr>
          <w:rFonts w:eastAsia="Times New Roman" w:cstheme="minorHAnsi"/>
          <w:color w:val="000000"/>
          <w:lang w:eastAsia="en-GB"/>
        </w:rPr>
        <w:t xml:space="preserve"> </w:t>
      </w:r>
      <w:r w:rsidR="00827CCD" w:rsidRPr="009B3747">
        <w:rPr>
          <w:rFonts w:eastAsia="Times New Roman" w:cstheme="minorHAnsi"/>
          <w:color w:val="000000"/>
          <w:lang w:eastAsia="en-GB"/>
        </w:rPr>
        <w:t>presents summarised responses to the question regarding the existence of actions within a</w:t>
      </w:r>
      <w:r w:rsidR="009025E2">
        <w:rPr>
          <w:rFonts w:eastAsia="Times New Roman" w:cstheme="minorHAnsi"/>
          <w:color w:val="000000"/>
          <w:lang w:eastAsia="en-GB"/>
        </w:rPr>
        <w:t xml:space="preserve"> participant’s secondary school, </w:t>
      </w:r>
      <w:r w:rsidR="00827CCD" w:rsidRPr="009B3747">
        <w:rPr>
          <w:rFonts w:eastAsia="Times New Roman" w:cstheme="minorHAnsi"/>
          <w:color w:val="000000"/>
          <w:lang w:eastAsia="en-GB"/>
        </w:rPr>
        <w:t>which could contribute to the prevention of excess weight gain in secondary school pupils.  The majority of participants selected ‘Yes’ to all but one statement, with 69.3% reported that their secondary school did not have a policy for prev</w:t>
      </w:r>
      <w:r w:rsidR="00C34425">
        <w:rPr>
          <w:rFonts w:eastAsia="Times New Roman" w:cstheme="minorHAnsi"/>
          <w:color w:val="000000"/>
          <w:lang w:eastAsia="en-GB"/>
        </w:rPr>
        <w:t xml:space="preserve">enting excess weight gain.  A </w:t>
      </w:r>
      <w:r w:rsidR="00827CCD" w:rsidRPr="009B3747">
        <w:rPr>
          <w:rFonts w:eastAsia="Times New Roman" w:cstheme="minorHAnsi"/>
          <w:color w:val="000000"/>
          <w:lang w:eastAsia="en-GB"/>
        </w:rPr>
        <w:t xml:space="preserve">further 22.8% of respondents </w:t>
      </w:r>
      <w:r w:rsidR="00C34425">
        <w:rPr>
          <w:rFonts w:eastAsia="Times New Roman" w:cstheme="minorHAnsi"/>
          <w:color w:val="000000"/>
          <w:lang w:eastAsia="en-GB"/>
        </w:rPr>
        <w:t xml:space="preserve">reported </w:t>
      </w:r>
      <w:r w:rsidR="00827CCD" w:rsidRPr="009B3747">
        <w:rPr>
          <w:rFonts w:eastAsia="Times New Roman" w:cstheme="minorHAnsi"/>
          <w:color w:val="000000"/>
          <w:lang w:eastAsia="en-GB"/>
        </w:rPr>
        <w:t xml:space="preserve">being unsure as to whether </w:t>
      </w:r>
      <w:r w:rsidR="009025E2">
        <w:rPr>
          <w:rFonts w:eastAsia="Times New Roman" w:cstheme="minorHAnsi"/>
          <w:color w:val="000000"/>
          <w:lang w:eastAsia="en-GB"/>
        </w:rPr>
        <w:t xml:space="preserve">they did.  The three statements, that </w:t>
      </w:r>
      <w:r w:rsidR="00827CCD" w:rsidRPr="009B3747">
        <w:rPr>
          <w:rFonts w:eastAsia="Times New Roman" w:cstheme="minorHAnsi"/>
          <w:color w:val="000000"/>
          <w:lang w:eastAsia="en-GB"/>
        </w:rPr>
        <w:t>received the highest proportions of ‘Yes’ responses related to the provision of extra-curricular physical activity opportunities (96%), the focus on healthy lifestyle in Personal, Social and Health Education (93.7%) and the provision of healthy catering options (92.9%).  Aside from the statement related to having a policy for exc</w:t>
      </w:r>
      <w:r w:rsidR="00905E14">
        <w:rPr>
          <w:rFonts w:eastAsia="Times New Roman" w:cstheme="minorHAnsi"/>
          <w:color w:val="000000"/>
          <w:lang w:eastAsia="en-GB"/>
        </w:rPr>
        <w:t>ess weight prevention, the two</w:t>
      </w:r>
      <w:r w:rsidR="00827CCD" w:rsidRPr="009B3747">
        <w:rPr>
          <w:rFonts w:eastAsia="Times New Roman" w:cstheme="minorHAnsi"/>
          <w:color w:val="000000"/>
          <w:lang w:eastAsia="en-GB"/>
        </w:rPr>
        <w:t xml:space="preserve"> statements </w:t>
      </w:r>
      <w:r w:rsidR="009025E2">
        <w:rPr>
          <w:rFonts w:eastAsia="Times New Roman" w:cstheme="minorHAnsi"/>
          <w:color w:val="000000"/>
          <w:lang w:eastAsia="en-GB"/>
        </w:rPr>
        <w:t>that</w:t>
      </w:r>
      <w:r w:rsidR="00827CCD" w:rsidRPr="009B3747">
        <w:rPr>
          <w:rFonts w:eastAsia="Times New Roman" w:cstheme="minorHAnsi"/>
          <w:color w:val="000000"/>
          <w:lang w:eastAsia="en-GB"/>
        </w:rPr>
        <w:t xml:space="preserve"> received the highest proportions of ‘No’ responses related to the promotion of active travel (21.3%), having a locked gate policy at lunchtime (17.3%).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In relation to inferential statistics for this particular question and driven by the qualitative findings, the researcher was interested in examining two specific associa</w:t>
      </w:r>
      <w:r w:rsidR="00653F9F" w:rsidRPr="009B3747">
        <w:rPr>
          <w:rFonts w:eastAsia="Times New Roman" w:cstheme="minorHAnsi"/>
          <w:color w:val="000000"/>
          <w:lang w:eastAsia="en-GB"/>
        </w:rPr>
        <w:t>tions (as detailed in chapter seven</w:t>
      </w:r>
      <w:r w:rsidRPr="009B3747">
        <w:rPr>
          <w:rFonts w:eastAsia="Times New Roman" w:cstheme="minorHAnsi"/>
          <w:color w:val="000000"/>
          <w:lang w:eastAsia="en-GB"/>
        </w:rPr>
        <w:t>). Firstly, did a statistically significant association exist between participant school type</w:t>
      </w:r>
      <w:r w:rsidR="00B46C02">
        <w:rPr>
          <w:rFonts w:eastAsia="Times New Roman" w:cstheme="minorHAnsi"/>
          <w:color w:val="000000"/>
          <w:lang w:eastAsia="en-GB"/>
        </w:rPr>
        <w:t>,</w:t>
      </w:r>
      <w:r w:rsidRPr="009B3747">
        <w:rPr>
          <w:rFonts w:eastAsia="Times New Roman" w:cstheme="minorHAnsi"/>
          <w:color w:val="000000"/>
          <w:lang w:eastAsia="en-GB"/>
        </w:rPr>
        <w:t xml:space="preserve"> i.e. state or non-state funded and the likelihood of answering ‘Yes’ or ‘No’ to each of the statements prese</w:t>
      </w:r>
      <w:r w:rsidR="00905E14">
        <w:rPr>
          <w:rFonts w:eastAsia="Times New Roman" w:cstheme="minorHAnsi"/>
          <w:color w:val="000000"/>
          <w:lang w:eastAsia="en-GB"/>
        </w:rPr>
        <w:t>nted in figure 8.14?</w:t>
      </w:r>
      <w:r w:rsidRPr="009B3747">
        <w:rPr>
          <w:rFonts w:eastAsia="Times New Roman" w:cstheme="minorHAnsi"/>
          <w:color w:val="000000"/>
          <w:lang w:eastAsia="en-GB"/>
        </w:rPr>
        <w:t xml:space="preserve">  Secondly, did a statistically significant association exist between participant rol</w:t>
      </w:r>
      <w:r w:rsidR="00B46C02">
        <w:rPr>
          <w:rFonts w:eastAsia="Times New Roman" w:cstheme="minorHAnsi"/>
          <w:color w:val="000000"/>
          <w:lang w:eastAsia="en-GB"/>
        </w:rPr>
        <w:t xml:space="preserve">e type, </w:t>
      </w:r>
      <w:r w:rsidRPr="009B3747">
        <w:rPr>
          <w:rFonts w:eastAsia="Times New Roman" w:cstheme="minorHAnsi"/>
          <w:color w:val="000000"/>
          <w:lang w:eastAsia="en-GB"/>
        </w:rPr>
        <w:t>i.e. headteacher or chair of governor and the likelihood of choosing either ‘Unsure’ or ‘Ye</w:t>
      </w:r>
      <w:r w:rsidR="00905E14">
        <w:rPr>
          <w:rFonts w:eastAsia="Times New Roman" w:cstheme="minorHAnsi"/>
          <w:color w:val="000000"/>
          <w:lang w:eastAsia="en-GB"/>
        </w:rPr>
        <w:t>s’/‘No’ to each statement below?</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Given that this question utilised a nominal response scale</w:t>
      </w:r>
      <w:r w:rsidR="00B46C02">
        <w:rPr>
          <w:rFonts w:eastAsia="Times New Roman" w:cstheme="minorHAnsi"/>
          <w:color w:val="000000"/>
          <w:lang w:eastAsia="en-GB"/>
        </w:rPr>
        <w:t>,</w:t>
      </w:r>
      <w:r w:rsidRPr="009B3747">
        <w:rPr>
          <w:rFonts w:eastAsia="Times New Roman" w:cstheme="minorHAnsi"/>
          <w:color w:val="000000"/>
          <w:lang w:eastAsia="en-GB"/>
        </w:rPr>
        <w:t xml:space="preserve"> i.e. ‘Yes’, ‘No’ and ‘Unsure’, the use of a Mann-Whitney U tests was deemed inappropriate to examine the specific associations of interest.  Consequently, Chi-squared tests were performed instead.  Results indicated that out of the nine s</w:t>
      </w:r>
      <w:r w:rsidR="009228D2" w:rsidRPr="009B3747">
        <w:rPr>
          <w:rFonts w:eastAsia="Times New Roman" w:cstheme="minorHAnsi"/>
          <w:color w:val="000000"/>
          <w:lang w:eastAsia="en-GB"/>
        </w:rPr>
        <w:t>tatements presented in figure 20</w:t>
      </w:r>
      <w:r w:rsidRPr="009B3747">
        <w:rPr>
          <w:rFonts w:eastAsia="Times New Roman" w:cstheme="minorHAnsi"/>
          <w:color w:val="000000"/>
          <w:lang w:eastAsia="en-GB"/>
        </w:rPr>
        <w:t>, three indicated statistically significant associations regarding participant school types. State funded schools were more likely to say ‘Yes’ to the provision of extra-curricular activity opportunities (p = 0.01) and the promotion of active travel (p = 0.02).  Non-state funded schools were more likely to have a policy for preventing excess weight in secondary school pupils (P = 0.04).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In relation to the participant role type, results from the Chi-squared tests indicated that chairs of governors were more likely to select ‘Unsure’ for the following statements 1) Embed healthy lifestyle education in the taught curriculum (P = 0.01), 2) Have a policy for preventing excess weight gain in secondary school pupils (P = 0.00) and 3) Restrict the consumption of energy drinks (P = 0.00).</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653F9F" w:rsidRPr="009B3747" w:rsidRDefault="00256CB0" w:rsidP="002E65A4">
      <w:pPr>
        <w:ind w:left="-735"/>
        <w:rPr>
          <w:rFonts w:eastAsia="Times New Roman" w:cstheme="minorHAnsi"/>
          <w:color w:val="000000"/>
          <w:sz w:val="20"/>
          <w:szCs w:val="20"/>
          <w:u w:val="single"/>
          <w:lang w:eastAsia="en-GB"/>
        </w:rPr>
      </w:pPr>
      <w:r w:rsidRPr="009B3747">
        <w:rPr>
          <w:rFonts w:eastAsia="Times New Roman" w:cstheme="minorHAnsi"/>
          <w:b/>
          <w:bCs/>
          <w:noProof/>
          <w:color w:val="000000"/>
          <w:lang w:eastAsia="en-GB"/>
        </w:rPr>
        <w:lastRenderedPageBreak/>
        <w:drawing>
          <wp:anchor distT="0" distB="0" distL="114300" distR="114300" simplePos="0" relativeHeight="251685888" behindDoc="1" locked="0" layoutInCell="1" allowOverlap="1">
            <wp:simplePos x="0" y="0"/>
            <wp:positionH relativeFrom="column">
              <wp:posOffset>-209550</wp:posOffset>
            </wp:positionH>
            <wp:positionV relativeFrom="paragraph">
              <wp:posOffset>0</wp:posOffset>
            </wp:positionV>
            <wp:extent cx="6019800" cy="3279775"/>
            <wp:effectExtent l="0" t="0" r="0" b="0"/>
            <wp:wrapTight wrapText="bothSides">
              <wp:wrapPolygon edited="0">
                <wp:start x="0" y="0"/>
                <wp:lineTo x="0" y="21454"/>
                <wp:lineTo x="21532" y="21454"/>
                <wp:lineTo x="21532" y="0"/>
                <wp:lineTo x="0" y="0"/>
              </wp:wrapPolygon>
            </wp:wrapTight>
            <wp:docPr id="35" name="Picture 35" descr="https://lh5.googleusercontent.com/OsQxtjN1ypAS7YDSGMyTCfI94F5UnjSl53Z0Ae1zTB-Givh3IvSxoEpDdzwi7SqknIJf96B7Lwuwu6XCfRnNES7Z4IFzCeCY4RoLYqf9okgs6tssB19v7-6PDqGHMdtercOwIU2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OsQxtjN1ypAS7YDSGMyTCfI94F5UnjSl53Z0Ae1zTB-Givh3IvSxoEpDdzwi7SqknIJf96B7Lwuwu6XCfRnNES7Z4IFzCeCY4RoLYqf9okgs6tssB19v7-6PDqGHMdtercOwIU2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9800" cy="327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27CCD" w:rsidRPr="009B3747">
        <w:rPr>
          <w:rFonts w:eastAsia="Times New Roman" w:cstheme="minorHAnsi"/>
          <w:b/>
          <w:bCs/>
          <w:color w:val="000000"/>
          <w:lang w:eastAsia="en-GB"/>
        </w:rPr>
        <w:t>            </w:t>
      </w:r>
      <w:r w:rsidRPr="009B3747">
        <w:rPr>
          <w:rFonts w:eastAsia="Times New Roman" w:cstheme="minorHAnsi"/>
          <w:b/>
          <w:bCs/>
          <w:color w:val="000000"/>
          <w:lang w:eastAsia="en-GB"/>
        </w:rPr>
        <w:tab/>
      </w:r>
      <w:r w:rsidRPr="009B3747">
        <w:rPr>
          <w:rFonts w:eastAsia="Times New Roman" w:cstheme="minorHAnsi"/>
          <w:b/>
          <w:bCs/>
          <w:color w:val="000000"/>
          <w:lang w:eastAsia="en-GB"/>
        </w:rPr>
        <w:tab/>
      </w:r>
      <w:r w:rsidRPr="009B3747">
        <w:rPr>
          <w:rFonts w:eastAsia="Times New Roman" w:cstheme="minorHAnsi"/>
          <w:b/>
          <w:bCs/>
          <w:color w:val="000000"/>
          <w:lang w:eastAsia="en-GB"/>
        </w:rPr>
        <w:tab/>
      </w:r>
      <w:r w:rsidR="00653F9F" w:rsidRPr="009B3747">
        <w:rPr>
          <w:rFonts w:eastAsia="Times New Roman" w:cstheme="minorHAnsi"/>
          <w:color w:val="000000"/>
          <w:sz w:val="20"/>
          <w:szCs w:val="20"/>
          <w:lang w:eastAsia="en-GB"/>
        </w:rPr>
        <w:t xml:space="preserve">      </w:t>
      </w:r>
      <w:r w:rsidR="00653F9F" w:rsidRPr="009B3747">
        <w:rPr>
          <w:rFonts w:eastAsia="Times New Roman" w:cstheme="minorHAnsi"/>
          <w:color w:val="000000"/>
          <w:sz w:val="20"/>
          <w:szCs w:val="20"/>
          <w:u w:val="single"/>
          <w:lang w:eastAsia="en-GB"/>
        </w:rPr>
        <w:t>Figure 8.14 – Responses to questions presented in section four of the questionnaire (Q4)</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Participants were asked to indicate their level of agreement with various statements relating to barriers to schools preventing excess weight gain in secondary school pupils (see figure</w:t>
      </w:r>
      <w:r w:rsidR="00653F9F" w:rsidRPr="009B3747">
        <w:rPr>
          <w:rFonts w:eastAsia="Times New Roman" w:cstheme="minorHAnsi"/>
          <w:color w:val="000000"/>
          <w:lang w:eastAsia="en-GB"/>
        </w:rPr>
        <w:t xml:space="preserve"> 8.15</w:t>
      </w:r>
      <w:r w:rsidRPr="009B3747">
        <w:rPr>
          <w:rFonts w:eastAsia="Times New Roman" w:cstheme="minorHAnsi"/>
          <w:color w:val="000000"/>
          <w:lang w:eastAsia="en-GB"/>
        </w:rPr>
        <w:t>).  The top three barriers based on strength of agreement (either agreed or strongly agreed) were the government’s focus on academic progress (59.8%), parental influence undermining school action (59%) and availability of junk food near to a participant’s school (55.2%).  The barriers which received the lowest proportion of agreement were lack of facilities for physical activity (71.6% disagreed or strongly disagreed), school staff not role modelling healthy lifestyles (disagreed or strongly disagreed 62.2%) and schools not being inspected by Ofsted on excess weight prevention (disagreed or strongly disagreed 53.5%).</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Results from conducting Mann-Whitney U tests indicated that there was no statistically significant difference between genders and strength of agreement with the statements presen</w:t>
      </w:r>
      <w:r w:rsidR="00653F9F" w:rsidRPr="009B3747">
        <w:rPr>
          <w:rFonts w:eastAsia="Times New Roman" w:cstheme="minorHAnsi"/>
          <w:color w:val="000000"/>
          <w:lang w:eastAsia="en-GB"/>
        </w:rPr>
        <w:t>ted in figure 8.15 (</w:t>
      </w:r>
      <w:r w:rsidR="003F4A2E" w:rsidRPr="009B3747">
        <w:rPr>
          <w:rFonts w:eastAsia="Times New Roman" w:cstheme="minorHAnsi"/>
          <w:color w:val="000000"/>
          <w:lang w:eastAsia="en-GB"/>
        </w:rPr>
        <w:t>Appendix L</w:t>
      </w:r>
      <w:r w:rsidR="002B40DD"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for p values).  Only one statement indicated a statistically significant difference for role types, with chairs of governors more strongly agreeing with the barrier that schools are not inspected by Ofsted on excess weight prevention (p = 0.03).  In relation to school type, state funded schools more strongly agreed that limited funding for school catering (p = 0.009) and parental influence undermining school action (p = 0.001) were barriers to preventing excess weight in secondary school pupils.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256CB0" w:rsidP="00827CCD">
      <w:pPr>
        <w:ind w:left="-735"/>
        <w:rPr>
          <w:rFonts w:eastAsia="Times New Roman" w:cstheme="minorHAnsi"/>
          <w:sz w:val="24"/>
          <w:szCs w:val="24"/>
          <w:lang w:eastAsia="en-GB"/>
        </w:rPr>
      </w:pPr>
      <w:r w:rsidRPr="009B3747">
        <w:rPr>
          <w:rFonts w:eastAsia="Times New Roman" w:cstheme="minorHAnsi"/>
          <w:b/>
          <w:bCs/>
          <w:noProof/>
          <w:color w:val="000000"/>
          <w:lang w:eastAsia="en-GB"/>
        </w:rPr>
        <w:lastRenderedPageBreak/>
        <w:drawing>
          <wp:anchor distT="0" distB="0" distL="114300" distR="114300" simplePos="0" relativeHeight="251686912" behindDoc="1" locked="0" layoutInCell="1" allowOverlap="1">
            <wp:simplePos x="0" y="0"/>
            <wp:positionH relativeFrom="column">
              <wp:posOffset>-466725</wp:posOffset>
            </wp:positionH>
            <wp:positionV relativeFrom="paragraph">
              <wp:posOffset>57150</wp:posOffset>
            </wp:positionV>
            <wp:extent cx="6489065" cy="3028950"/>
            <wp:effectExtent l="0" t="0" r="6985" b="0"/>
            <wp:wrapTight wrapText="bothSides">
              <wp:wrapPolygon edited="0">
                <wp:start x="0" y="0"/>
                <wp:lineTo x="0" y="21464"/>
                <wp:lineTo x="21560" y="21464"/>
                <wp:lineTo x="21560" y="0"/>
                <wp:lineTo x="0" y="0"/>
              </wp:wrapPolygon>
            </wp:wrapTight>
            <wp:docPr id="34" name="Picture 34" descr="https://lh5.googleusercontent.com/Q9pFyQoXQLck56EGIXpqLafHAdv0UA5yoEY9zNXGuh_24C8wXjO6blZaFXO3nIZYw0_LKZV7mXvd2hlyqw-bnK6EgW0ZlaeyAHfzPvW7FU-Magrt1I_ifFf6gV0C1vDYVvDc6c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Q9pFyQoXQLck56EGIXpqLafHAdv0UA5yoEY9zNXGuh_24C8wXjO6blZaFXO3nIZYw0_LKZV7mXvd2hlyqw-bnK6EgW0ZlaeyAHfzPvW7FU-Magrt1I_ifFf6gV0C1vDYVvDc6cy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89065"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CCD" w:rsidRPr="009B3747">
        <w:rPr>
          <w:rFonts w:eastAsia="Times New Roman" w:cstheme="minorHAnsi"/>
          <w:b/>
          <w:bCs/>
          <w:color w:val="000000"/>
          <w:lang w:eastAsia="en-GB"/>
        </w:rPr>
        <w:t>            </w:t>
      </w:r>
    </w:p>
    <w:p w:rsidR="00653F9F" w:rsidRPr="009B3747" w:rsidRDefault="00653F9F" w:rsidP="00653F9F">
      <w:pPr>
        <w:ind w:left="720" w:firstLine="720"/>
        <w:rPr>
          <w:rFonts w:eastAsia="Times New Roman" w:cstheme="minorHAnsi"/>
          <w:color w:val="000000"/>
          <w:sz w:val="20"/>
          <w:szCs w:val="20"/>
          <w:u w:val="single"/>
          <w:lang w:eastAsia="en-GB"/>
        </w:rPr>
      </w:pPr>
      <w:r w:rsidRPr="009B3747">
        <w:rPr>
          <w:rFonts w:eastAsia="Times New Roman" w:cstheme="minorHAnsi"/>
          <w:color w:val="000000"/>
          <w:sz w:val="20"/>
          <w:szCs w:val="20"/>
          <w:lang w:eastAsia="en-GB"/>
        </w:rPr>
        <w:t xml:space="preserve">      </w:t>
      </w:r>
      <w:r w:rsidRPr="009B3747">
        <w:rPr>
          <w:rFonts w:eastAsia="Times New Roman" w:cstheme="minorHAnsi"/>
          <w:color w:val="000000"/>
          <w:sz w:val="20"/>
          <w:szCs w:val="20"/>
          <w:u w:val="single"/>
          <w:lang w:eastAsia="en-GB"/>
        </w:rPr>
        <w:t>Figure 8.15 – Responses to questions presented in section four of the questionnaire (Q5)</w:t>
      </w:r>
    </w:p>
    <w:p w:rsidR="006308EA" w:rsidRPr="009B3747" w:rsidRDefault="006308EA" w:rsidP="00827CCD">
      <w:pPr>
        <w:rPr>
          <w:rFonts w:eastAsia="Times New Roman" w:cstheme="minorHAnsi"/>
          <w:sz w:val="24"/>
          <w:szCs w:val="24"/>
          <w:lang w:eastAsia="en-GB"/>
        </w:rPr>
      </w:pPr>
    </w:p>
    <w:p w:rsidR="00827CCD" w:rsidRPr="009B3747" w:rsidRDefault="00827CCD" w:rsidP="00827CCD">
      <w:pPr>
        <w:rPr>
          <w:rFonts w:eastAsia="Times New Roman" w:cstheme="minorHAnsi"/>
          <w:color w:val="000000"/>
          <w:lang w:eastAsia="en-GB"/>
        </w:rPr>
      </w:pPr>
      <w:r w:rsidRPr="009B3747">
        <w:rPr>
          <w:rFonts w:eastAsia="Times New Roman" w:cstheme="minorHAnsi"/>
          <w:color w:val="000000"/>
          <w:lang w:eastAsia="en-GB"/>
        </w:rPr>
        <w:t xml:space="preserve">Following Spearman’s correlation </w:t>
      </w:r>
      <w:r w:rsidR="00653F9F" w:rsidRPr="009B3747">
        <w:rPr>
          <w:rFonts w:eastAsia="Times New Roman" w:cstheme="minorHAnsi"/>
          <w:color w:val="000000"/>
          <w:lang w:eastAsia="en-GB"/>
        </w:rPr>
        <w:t>coefficient</w:t>
      </w:r>
      <w:r w:rsidRPr="009B3747">
        <w:rPr>
          <w:rFonts w:eastAsia="Times New Roman" w:cstheme="minorHAnsi"/>
          <w:color w:val="000000"/>
          <w:lang w:eastAsia="en-GB"/>
        </w:rPr>
        <w:t xml:space="preserve"> tests being conducted, seven results indicated a statistically</w:t>
      </w:r>
      <w:r w:rsidR="00BB6E36" w:rsidRPr="009B3747">
        <w:rPr>
          <w:rFonts w:eastAsia="Times New Roman" w:cstheme="minorHAnsi"/>
          <w:color w:val="000000"/>
          <w:lang w:eastAsia="en-GB"/>
        </w:rPr>
        <w:t xml:space="preserve"> significant findi</w:t>
      </w:r>
      <w:r w:rsidR="00653F9F" w:rsidRPr="009B3747">
        <w:rPr>
          <w:rFonts w:eastAsia="Times New Roman" w:cstheme="minorHAnsi"/>
          <w:color w:val="000000"/>
          <w:lang w:eastAsia="en-GB"/>
        </w:rPr>
        <w:t>ng (Appendix L for p values).  Table 8.4</w:t>
      </w:r>
      <w:r w:rsidR="00BB6E36" w:rsidRPr="009B3747">
        <w:rPr>
          <w:rFonts w:eastAsia="Times New Roman" w:cstheme="minorHAnsi"/>
          <w:color w:val="000000"/>
          <w:lang w:eastAsia="en-GB"/>
        </w:rPr>
        <w:t xml:space="preserve"> </w:t>
      </w:r>
      <w:r w:rsidRPr="009B3747">
        <w:rPr>
          <w:rFonts w:eastAsia="Times New Roman" w:cstheme="minorHAnsi"/>
          <w:color w:val="000000"/>
          <w:lang w:eastAsia="en-GB"/>
        </w:rPr>
        <w:t>below, presents the test values and associated p values for where a statistically significant result was identified.</w:t>
      </w:r>
    </w:p>
    <w:p w:rsidR="00256CB0" w:rsidRPr="009B3747" w:rsidRDefault="00256CB0" w:rsidP="00A122CF">
      <w:pPr>
        <w:rPr>
          <w:rFonts w:eastAsia="Times New Roman" w:cstheme="minorHAnsi"/>
          <w:sz w:val="24"/>
          <w:szCs w:val="24"/>
          <w:lang w:eastAsia="en-GB"/>
        </w:rPr>
      </w:pPr>
    </w:p>
    <w:p w:rsidR="00A122CF" w:rsidRPr="009B3747" w:rsidRDefault="00653F9F" w:rsidP="00A122CF">
      <w:pPr>
        <w:rPr>
          <w:rFonts w:eastAsia="Times New Roman" w:cstheme="minorHAnsi"/>
          <w:u w:val="single"/>
          <w:lang w:eastAsia="en-GB"/>
        </w:rPr>
      </w:pPr>
      <w:r w:rsidRPr="009B3747">
        <w:rPr>
          <w:rFonts w:eastAsia="Times New Roman" w:cstheme="minorHAnsi"/>
          <w:u w:val="single"/>
          <w:lang w:eastAsia="en-GB"/>
        </w:rPr>
        <w:t>Table 8.4</w:t>
      </w:r>
      <w:r w:rsidR="00A122CF" w:rsidRPr="009B3747">
        <w:rPr>
          <w:rFonts w:eastAsia="Times New Roman" w:cstheme="minorHAnsi"/>
          <w:u w:val="single"/>
          <w:lang w:eastAsia="en-GB"/>
        </w:rPr>
        <w:t xml:space="preserve"> – </w:t>
      </w:r>
      <w:r w:rsidR="00BB6E36" w:rsidRPr="009B3747">
        <w:rPr>
          <w:rFonts w:eastAsia="Times New Roman" w:cstheme="minorHAnsi"/>
          <w:u w:val="single"/>
          <w:lang w:eastAsia="en-GB"/>
        </w:rPr>
        <w:t>Results of Spearman’s correlation coefficient tests regarding ‘barriers’</w:t>
      </w:r>
    </w:p>
    <w:p w:rsidR="00256CB0" w:rsidRPr="009B3747" w:rsidRDefault="00256CB0" w:rsidP="00A122CF">
      <w:pPr>
        <w:rPr>
          <w:rFonts w:eastAsia="Times New Roman" w:cstheme="minorHAnsi"/>
          <w:u w:val="single"/>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3321"/>
        <w:gridCol w:w="1775"/>
        <w:gridCol w:w="2512"/>
        <w:gridCol w:w="1398"/>
      </w:tblGrid>
      <w:tr w:rsidR="00827CCD" w:rsidRPr="009B3747" w:rsidTr="00827CCD">
        <w:trPr>
          <w:trHeight w:val="440"/>
        </w:trPr>
        <w:tc>
          <w:tcPr>
            <w:tcW w:w="0" w:type="auto"/>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hideMark/>
          </w:tcPr>
          <w:p w:rsidR="00827CCD" w:rsidRPr="009B3747" w:rsidRDefault="00827CCD" w:rsidP="009228D2">
            <w:pPr>
              <w:spacing w:line="240"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 xml:space="preserve">Barriers to my school preventing excess weight gain in secondary school pupils include the -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9228D2">
            <w:pPr>
              <w:spacing w:line="240" w:lineRule="auto"/>
              <w:jc w:val="center"/>
              <w:rPr>
                <w:rFonts w:eastAsia="Times New Roman" w:cstheme="minorHAnsi"/>
                <w:sz w:val="24"/>
                <w:szCs w:val="24"/>
                <w:lang w:eastAsia="en-GB"/>
              </w:rPr>
            </w:pPr>
            <w:r w:rsidRPr="009B3747">
              <w:rPr>
                <w:rFonts w:eastAsia="Times New Roman" w:cstheme="minorHAnsi"/>
                <w:b/>
                <w:bCs/>
                <w:color w:val="000000"/>
                <w:sz w:val="20"/>
                <w:szCs w:val="20"/>
                <w:lang w:eastAsia="en-GB"/>
              </w:rPr>
              <w:t>% pupils currently receiving free school meals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9228D2">
            <w:pPr>
              <w:spacing w:line="240" w:lineRule="auto"/>
              <w:jc w:val="center"/>
              <w:rPr>
                <w:rFonts w:eastAsia="Times New Roman" w:cstheme="minorHAnsi"/>
                <w:sz w:val="24"/>
                <w:szCs w:val="24"/>
                <w:lang w:eastAsia="en-GB"/>
              </w:rPr>
            </w:pPr>
            <w:r w:rsidRPr="009B3747">
              <w:rPr>
                <w:rFonts w:eastAsia="Times New Roman" w:cstheme="minorHAnsi"/>
                <w:b/>
                <w:bCs/>
                <w:color w:val="000000"/>
                <w:sz w:val="20"/>
                <w:szCs w:val="20"/>
                <w:lang w:eastAsia="en-GB"/>
              </w:rPr>
              <w:t>% pupils who have been eligible at any time for free school meals in the last 6 years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9228D2">
            <w:pPr>
              <w:spacing w:line="240" w:lineRule="auto"/>
              <w:jc w:val="center"/>
              <w:rPr>
                <w:rFonts w:eastAsia="Times New Roman" w:cstheme="minorHAnsi"/>
                <w:sz w:val="24"/>
                <w:szCs w:val="24"/>
                <w:lang w:eastAsia="en-GB"/>
              </w:rPr>
            </w:pPr>
            <w:r w:rsidRPr="009B3747">
              <w:rPr>
                <w:rFonts w:eastAsia="Times New Roman" w:cstheme="minorHAnsi"/>
                <w:b/>
                <w:bCs/>
                <w:color w:val="000000"/>
                <w:sz w:val="20"/>
                <w:szCs w:val="20"/>
                <w:lang w:eastAsia="en-GB"/>
              </w:rPr>
              <w:t xml:space="preserve">School pupil population </w:t>
            </w:r>
          </w:p>
        </w:tc>
      </w:tr>
      <w:tr w:rsidR="00827CCD" w:rsidRPr="009B3747" w:rsidTr="00827CCD">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9228D2">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Government's focus on academic progress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9228D2">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9228D2">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 xml:space="preserve">r = .207 </w:t>
            </w:r>
          </w:p>
          <w:p w:rsidR="00827CCD" w:rsidRPr="009B3747" w:rsidRDefault="00827CCD" w:rsidP="009228D2">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(p = 0.025)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9228D2">
            <w:pPr>
              <w:spacing w:line="240" w:lineRule="auto"/>
              <w:ind w:right="465"/>
              <w:jc w:val="center"/>
              <w:rPr>
                <w:rFonts w:eastAsia="Times New Roman" w:cstheme="minorHAnsi"/>
                <w:sz w:val="24"/>
                <w:szCs w:val="24"/>
                <w:lang w:eastAsia="en-GB"/>
              </w:rPr>
            </w:pPr>
            <w:r w:rsidRPr="009B3747">
              <w:rPr>
                <w:rFonts w:eastAsia="Times New Roman" w:cstheme="minorHAnsi"/>
                <w:color w:val="000000"/>
                <w:sz w:val="20"/>
                <w:szCs w:val="20"/>
                <w:lang w:eastAsia="en-GB"/>
              </w:rPr>
              <w:t>       -</w:t>
            </w:r>
          </w:p>
        </w:tc>
      </w:tr>
      <w:tr w:rsidR="00827CCD" w:rsidRPr="009B3747" w:rsidTr="00827CCD">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9228D2">
            <w:pPr>
              <w:spacing w:line="240" w:lineRule="auto"/>
              <w:rPr>
                <w:rFonts w:eastAsia="Times New Roman" w:cstheme="minorHAnsi"/>
                <w:sz w:val="24"/>
                <w:szCs w:val="24"/>
                <w:lang w:eastAsia="en-GB"/>
              </w:rPr>
            </w:pPr>
            <w:r w:rsidRPr="009B3747">
              <w:rPr>
                <w:rFonts w:eastAsia="Times New Roman" w:cstheme="minorHAnsi"/>
                <w:color w:val="000000"/>
                <w:sz w:val="20"/>
                <w:szCs w:val="20"/>
                <w:shd w:val="clear" w:color="auto" w:fill="FFFFFF"/>
                <w:lang w:eastAsia="en-GB"/>
              </w:rPr>
              <w:t>Availability of junk food near your school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9228D2">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 xml:space="preserve">r = .182 </w:t>
            </w:r>
          </w:p>
          <w:p w:rsidR="00827CCD" w:rsidRPr="009B3747" w:rsidRDefault="00827CCD" w:rsidP="009228D2">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(p = 0.059)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9228D2">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 xml:space="preserve">r = .179 </w:t>
            </w:r>
          </w:p>
          <w:p w:rsidR="00827CCD" w:rsidRPr="009B3747" w:rsidRDefault="00827CCD" w:rsidP="009228D2">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(p = 0.053)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9228D2">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w:t>
            </w:r>
          </w:p>
        </w:tc>
      </w:tr>
      <w:tr w:rsidR="00827CCD" w:rsidRPr="009B3747" w:rsidTr="00827CCD">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9228D2">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Lack of facilities for physical activity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9228D2">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9228D2">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9228D2">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 xml:space="preserve">r = -.258 </w:t>
            </w:r>
          </w:p>
          <w:p w:rsidR="00827CCD" w:rsidRPr="009B3747" w:rsidRDefault="00827CCD" w:rsidP="009228D2">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(p = 0.003)</w:t>
            </w:r>
          </w:p>
        </w:tc>
      </w:tr>
      <w:tr w:rsidR="00827CCD" w:rsidRPr="009B3747" w:rsidTr="00827CCD">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9228D2">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Parental influence undermining school action which contributes to the prevention of excess weight gain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9228D2">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 xml:space="preserve">r = .303 </w:t>
            </w:r>
          </w:p>
          <w:p w:rsidR="00827CCD" w:rsidRPr="009B3747" w:rsidRDefault="00827CCD" w:rsidP="009228D2">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(p = 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9228D2">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 xml:space="preserve">r = .216 </w:t>
            </w:r>
          </w:p>
          <w:p w:rsidR="00827CCD" w:rsidRPr="009B3747" w:rsidRDefault="00827CCD" w:rsidP="009228D2">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(p = 0.019)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9228D2">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 xml:space="preserve">r = .170 </w:t>
            </w:r>
          </w:p>
          <w:p w:rsidR="00827CCD" w:rsidRPr="009B3747" w:rsidRDefault="00827CCD" w:rsidP="009228D2">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(p = 0.057)</w:t>
            </w:r>
          </w:p>
        </w:tc>
      </w:tr>
    </w:tbl>
    <w:p w:rsidR="00827CCD" w:rsidRPr="009B3747" w:rsidRDefault="00827CCD" w:rsidP="009228D2">
      <w:pPr>
        <w:spacing w:line="240" w:lineRule="auto"/>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9228D2">
      <w:pPr>
        <w:spacing w:line="240" w:lineRule="auto"/>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color w:val="000000"/>
          <w:lang w:eastAsia="en-GB"/>
        </w:rPr>
      </w:pPr>
      <w:r w:rsidRPr="009B3747">
        <w:rPr>
          <w:rFonts w:eastAsia="Times New Roman" w:cstheme="minorHAnsi"/>
          <w:color w:val="000000"/>
          <w:lang w:eastAsia="en-GB"/>
        </w:rPr>
        <w:lastRenderedPageBreak/>
        <w:t xml:space="preserve">In addition to the question and accompanying </w:t>
      </w:r>
      <w:r w:rsidR="00653F9F" w:rsidRPr="009B3747">
        <w:rPr>
          <w:rFonts w:eastAsia="Times New Roman" w:cstheme="minorHAnsi"/>
          <w:color w:val="000000"/>
          <w:lang w:eastAsia="en-GB"/>
        </w:rPr>
        <w:t>Likert</w:t>
      </w:r>
      <w:r w:rsidRPr="009B3747">
        <w:rPr>
          <w:rFonts w:eastAsia="Times New Roman" w:cstheme="minorHAnsi"/>
          <w:color w:val="000000"/>
          <w:lang w:eastAsia="en-GB"/>
        </w:rPr>
        <w:t xml:space="preserve"> scales regarding barriers, participants were presented with the following open optional question</w:t>
      </w:r>
      <w:r w:rsidR="00256CB0" w:rsidRPr="009B3747">
        <w:rPr>
          <w:rFonts w:eastAsia="Times New Roman" w:cstheme="minorHAnsi"/>
          <w:color w:val="000000"/>
          <w:lang w:eastAsia="en-GB"/>
        </w:rPr>
        <w:t>:</w:t>
      </w:r>
      <w:r w:rsidRPr="009B3747">
        <w:rPr>
          <w:rFonts w:eastAsia="Times New Roman" w:cstheme="minorHAnsi"/>
          <w:color w:val="000000"/>
          <w:lang w:eastAsia="en-GB"/>
        </w:rPr>
        <w:t xml:space="preserve"> </w:t>
      </w:r>
    </w:p>
    <w:p w:rsidR="00256CB0" w:rsidRPr="009B3747" w:rsidRDefault="00256CB0" w:rsidP="00827CCD">
      <w:pPr>
        <w:rPr>
          <w:rFonts w:eastAsia="Times New Roman" w:cstheme="minorHAnsi"/>
          <w:sz w:val="24"/>
          <w:szCs w:val="24"/>
          <w:lang w:eastAsia="en-GB"/>
        </w:rPr>
      </w:pP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r w:rsidRPr="009B3747">
        <w:rPr>
          <w:rFonts w:eastAsia="Times New Roman" w:cstheme="minorHAnsi"/>
          <w:i/>
          <w:iCs/>
          <w:color w:val="000000"/>
          <w:lang w:eastAsia="en-GB"/>
        </w:rPr>
        <w:t>‘</w:t>
      </w:r>
      <w:r w:rsidRPr="009B3747">
        <w:rPr>
          <w:rFonts w:eastAsia="Times New Roman" w:cstheme="minorHAnsi"/>
          <w:i/>
          <w:iCs/>
          <w:color w:val="000000"/>
          <w:shd w:val="clear" w:color="auto" w:fill="FFFFFF"/>
          <w:lang w:eastAsia="en-GB"/>
        </w:rPr>
        <w:t xml:space="preserve">Please describe any other barriers to your school for preventing excess weight gain in secondary school pupils’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shd w:val="clear" w:color="auto" w:fill="FFFFFF"/>
          <w:lang w:eastAsia="en-GB"/>
        </w:rPr>
        <w:t>In total 27 responses were received and reflected upon, with the researcher analysing the resultant text for c</w:t>
      </w:r>
      <w:r w:rsidR="00653F9F" w:rsidRPr="009B3747">
        <w:rPr>
          <w:rFonts w:eastAsia="Times New Roman" w:cstheme="minorHAnsi"/>
          <w:color w:val="000000"/>
          <w:shd w:val="clear" w:color="auto" w:fill="FFFFFF"/>
          <w:lang w:eastAsia="en-GB"/>
        </w:rPr>
        <w:t>ommonality.  Table 8.5</w:t>
      </w:r>
      <w:r w:rsidRPr="009B3747">
        <w:rPr>
          <w:rFonts w:eastAsia="Times New Roman" w:cstheme="minorHAnsi"/>
          <w:color w:val="000000"/>
          <w:shd w:val="clear" w:color="auto" w:fill="FFFFFF"/>
          <w:lang w:eastAsia="en-GB"/>
        </w:rPr>
        <w:t xml:space="preserve"> therefore presents a summary of the ‘other barriers’ provided by participations, in </w:t>
      </w:r>
      <w:r w:rsidR="009025E2">
        <w:rPr>
          <w:rFonts w:eastAsia="Times New Roman" w:cstheme="minorHAnsi"/>
          <w:color w:val="000000"/>
          <w:shd w:val="clear" w:color="auto" w:fill="FFFFFF"/>
          <w:lang w:eastAsia="en-GB"/>
        </w:rPr>
        <w:t xml:space="preserve">addition to verbatim quotations, </w:t>
      </w:r>
      <w:r w:rsidRPr="009B3747">
        <w:rPr>
          <w:rFonts w:eastAsia="Times New Roman" w:cstheme="minorHAnsi"/>
          <w:color w:val="000000"/>
          <w:shd w:val="clear" w:color="auto" w:fill="FFFFFF"/>
          <w:lang w:eastAsia="en-GB"/>
        </w:rPr>
        <w:t xml:space="preserve">which aim to illustrate the findings. </w:t>
      </w:r>
    </w:p>
    <w:p w:rsidR="00827CCD" w:rsidRPr="009B3747" w:rsidRDefault="00827CCD" w:rsidP="0040630E">
      <w:pPr>
        <w:spacing w:line="240" w:lineRule="auto"/>
        <w:rPr>
          <w:rFonts w:eastAsia="Times New Roman" w:cstheme="minorHAnsi"/>
          <w:lang w:eastAsia="en-GB"/>
        </w:rPr>
      </w:pPr>
      <w:r w:rsidRPr="009B3747">
        <w:rPr>
          <w:rFonts w:eastAsia="Times New Roman" w:cstheme="minorHAnsi"/>
          <w:lang w:eastAsia="en-GB"/>
        </w:rPr>
        <w:t> </w:t>
      </w:r>
    </w:p>
    <w:p w:rsidR="00A122CF" w:rsidRPr="009B3747" w:rsidRDefault="00653F9F" w:rsidP="0040630E">
      <w:pPr>
        <w:spacing w:line="240" w:lineRule="auto"/>
        <w:rPr>
          <w:rFonts w:eastAsia="Times New Roman" w:cstheme="minorHAnsi"/>
          <w:u w:val="single"/>
          <w:lang w:eastAsia="en-GB"/>
        </w:rPr>
      </w:pPr>
      <w:r w:rsidRPr="009B3747">
        <w:rPr>
          <w:rFonts w:eastAsia="Times New Roman" w:cstheme="minorHAnsi"/>
          <w:u w:val="single"/>
          <w:lang w:eastAsia="en-GB"/>
        </w:rPr>
        <w:t>Table 8.5</w:t>
      </w:r>
      <w:r w:rsidR="00A122CF" w:rsidRPr="009B3747">
        <w:rPr>
          <w:rFonts w:eastAsia="Times New Roman" w:cstheme="minorHAnsi"/>
          <w:u w:val="single"/>
          <w:lang w:eastAsia="en-GB"/>
        </w:rPr>
        <w:t> – Responses to open question regarding ‘other barriers’</w:t>
      </w:r>
    </w:p>
    <w:p w:rsidR="002E65A4" w:rsidRPr="009B3747" w:rsidRDefault="002E65A4" w:rsidP="0040630E">
      <w:pPr>
        <w:spacing w:line="240" w:lineRule="auto"/>
        <w:rPr>
          <w:rFonts w:eastAsia="Times New Roman" w:cstheme="minorHAnsi"/>
          <w:u w:val="single"/>
          <w:lang w:eastAsia="en-GB"/>
        </w:rPr>
      </w:pPr>
    </w:p>
    <w:p w:rsidR="00F738CC" w:rsidRPr="009B3747" w:rsidRDefault="00F738CC" w:rsidP="0040630E">
      <w:pPr>
        <w:spacing w:line="240" w:lineRule="auto"/>
        <w:rPr>
          <w:rFonts w:eastAsia="Times New Roman" w:cstheme="minorHAnsi"/>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3959"/>
        <w:gridCol w:w="5047"/>
      </w:tblGrid>
      <w:tr w:rsidR="00827CCD" w:rsidRPr="009B3747" w:rsidTr="0040630E">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40630E">
            <w:pPr>
              <w:spacing w:line="240" w:lineRule="auto"/>
              <w:rPr>
                <w:rFonts w:eastAsia="Times New Roman" w:cstheme="minorHAnsi"/>
                <w:sz w:val="24"/>
                <w:szCs w:val="24"/>
                <w:lang w:eastAsia="en-GB"/>
              </w:rPr>
            </w:pPr>
            <w:r w:rsidRPr="009B3747">
              <w:rPr>
                <w:rFonts w:eastAsia="Times New Roman" w:cstheme="minorHAnsi"/>
                <w:b/>
                <w:bCs/>
                <w:color w:val="000000"/>
                <w:sz w:val="20"/>
                <w:szCs w:val="20"/>
                <w:shd w:val="clear" w:color="auto" w:fill="FFFFFF"/>
                <w:lang w:eastAsia="en-GB"/>
              </w:rPr>
              <w:t>Other barriers</w:t>
            </w:r>
          </w:p>
        </w:tc>
        <w:tc>
          <w:tcPr>
            <w:tcW w:w="5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40630E">
            <w:pPr>
              <w:spacing w:line="240" w:lineRule="auto"/>
              <w:rPr>
                <w:rFonts w:eastAsia="Times New Roman" w:cstheme="minorHAnsi"/>
                <w:sz w:val="24"/>
                <w:szCs w:val="24"/>
                <w:lang w:eastAsia="en-GB"/>
              </w:rPr>
            </w:pPr>
            <w:r w:rsidRPr="009B3747">
              <w:rPr>
                <w:rFonts w:eastAsia="Times New Roman" w:cstheme="minorHAnsi"/>
                <w:b/>
                <w:bCs/>
                <w:color w:val="000000"/>
                <w:sz w:val="20"/>
                <w:szCs w:val="20"/>
                <w:shd w:val="clear" w:color="auto" w:fill="FFFFFF"/>
                <w:lang w:eastAsia="en-GB"/>
              </w:rPr>
              <w:t>Verbatim quotation</w:t>
            </w:r>
          </w:p>
        </w:tc>
      </w:tr>
      <w:tr w:rsidR="00827CCD" w:rsidRPr="009B3747" w:rsidTr="0040630E">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C27072">
            <w:pPr>
              <w:numPr>
                <w:ilvl w:val="0"/>
                <w:numId w:val="73"/>
              </w:numPr>
              <w:spacing w:line="240" w:lineRule="auto"/>
              <w:ind w:left="375"/>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Increasing autonomy during adolescence for food and physical activity choices</w:t>
            </w:r>
          </w:p>
          <w:p w:rsidR="00827CCD" w:rsidRPr="009B3747" w:rsidRDefault="00827CCD" w:rsidP="0040630E">
            <w:pPr>
              <w:spacing w:line="240" w:lineRule="auto"/>
              <w:ind w:left="15" w:hanging="135"/>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C27072">
            <w:pPr>
              <w:numPr>
                <w:ilvl w:val="0"/>
                <w:numId w:val="74"/>
              </w:numPr>
              <w:spacing w:line="240" w:lineRule="auto"/>
              <w:ind w:left="375"/>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Excess weight or unhealthy lifestyle behaviours already being established during primary school</w:t>
            </w:r>
          </w:p>
          <w:p w:rsidR="00827CCD" w:rsidRPr="009B3747" w:rsidRDefault="00827CCD" w:rsidP="0040630E">
            <w:pPr>
              <w:spacing w:line="240" w:lineRule="auto"/>
              <w:ind w:left="15" w:hanging="135"/>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C27072">
            <w:pPr>
              <w:numPr>
                <w:ilvl w:val="0"/>
                <w:numId w:val="75"/>
              </w:numPr>
              <w:spacing w:line="240" w:lineRule="auto"/>
              <w:ind w:left="375"/>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 xml:space="preserve">Financial pressures overall in secondary school settings </w:t>
            </w:r>
          </w:p>
          <w:p w:rsidR="0040630E" w:rsidRPr="009B3747" w:rsidRDefault="0040630E" w:rsidP="0040630E">
            <w:pPr>
              <w:spacing w:line="240" w:lineRule="auto"/>
              <w:ind w:left="375"/>
              <w:textAlignment w:val="baseline"/>
              <w:rPr>
                <w:rFonts w:eastAsia="Times New Roman" w:cstheme="minorHAnsi"/>
                <w:color w:val="000000"/>
                <w:sz w:val="20"/>
                <w:szCs w:val="20"/>
                <w:lang w:eastAsia="en-GB"/>
              </w:rPr>
            </w:pPr>
          </w:p>
          <w:p w:rsidR="00827CCD" w:rsidRPr="009B3747" w:rsidRDefault="00827CCD" w:rsidP="0040630E">
            <w:pPr>
              <w:spacing w:line="240" w:lineRule="auto"/>
              <w:ind w:left="15" w:hanging="135"/>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C27072">
            <w:pPr>
              <w:numPr>
                <w:ilvl w:val="0"/>
                <w:numId w:val="76"/>
              </w:numPr>
              <w:spacing w:line="240" w:lineRule="auto"/>
              <w:ind w:left="375"/>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Genetic factors</w:t>
            </w:r>
          </w:p>
          <w:p w:rsidR="00827CCD" w:rsidRPr="009B3747" w:rsidRDefault="00827CCD" w:rsidP="0040630E">
            <w:pPr>
              <w:spacing w:line="240" w:lineRule="auto"/>
              <w:ind w:left="15" w:hanging="135"/>
              <w:rPr>
                <w:rFonts w:eastAsia="Times New Roman" w:cstheme="minorHAnsi"/>
                <w:sz w:val="24"/>
                <w:szCs w:val="24"/>
                <w:lang w:eastAsia="en-GB"/>
              </w:rPr>
            </w:pPr>
            <w:r w:rsidRPr="009B3747">
              <w:rPr>
                <w:rFonts w:eastAsia="Times New Roman" w:cstheme="minorHAnsi"/>
                <w:sz w:val="24"/>
                <w:szCs w:val="24"/>
                <w:lang w:eastAsia="en-GB"/>
              </w:rPr>
              <w:t> </w:t>
            </w:r>
          </w:p>
          <w:p w:rsidR="0040630E" w:rsidRPr="009B3747" w:rsidRDefault="0040630E" w:rsidP="0040630E">
            <w:pPr>
              <w:spacing w:line="240" w:lineRule="auto"/>
              <w:ind w:left="15" w:hanging="135"/>
              <w:rPr>
                <w:rFonts w:eastAsia="Times New Roman" w:cstheme="minorHAnsi"/>
                <w:sz w:val="24"/>
                <w:szCs w:val="24"/>
                <w:lang w:eastAsia="en-GB"/>
              </w:rPr>
            </w:pPr>
          </w:p>
          <w:p w:rsidR="00827CCD" w:rsidRPr="009B3747" w:rsidRDefault="00827CCD" w:rsidP="00C27072">
            <w:pPr>
              <w:numPr>
                <w:ilvl w:val="0"/>
                <w:numId w:val="77"/>
              </w:numPr>
              <w:spacing w:line="240" w:lineRule="auto"/>
              <w:ind w:left="375"/>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Lack of time for focusing on wider issues than education</w:t>
            </w:r>
          </w:p>
          <w:p w:rsidR="00827CCD" w:rsidRPr="009B3747" w:rsidRDefault="00827CCD" w:rsidP="0040630E">
            <w:pPr>
              <w:spacing w:line="240" w:lineRule="auto"/>
              <w:ind w:left="15" w:hanging="135"/>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C27072">
            <w:pPr>
              <w:numPr>
                <w:ilvl w:val="0"/>
                <w:numId w:val="78"/>
              </w:numPr>
              <w:spacing w:line="240" w:lineRule="auto"/>
              <w:ind w:left="375"/>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Influence of peers on adolescent choices</w:t>
            </w:r>
          </w:p>
          <w:p w:rsidR="00827CCD" w:rsidRPr="009B3747" w:rsidRDefault="00827CCD" w:rsidP="0040630E">
            <w:pPr>
              <w:spacing w:line="240" w:lineRule="auto"/>
              <w:ind w:left="15" w:hanging="135"/>
              <w:rPr>
                <w:rFonts w:eastAsia="Times New Roman" w:cstheme="minorHAnsi"/>
                <w:sz w:val="24"/>
                <w:szCs w:val="24"/>
                <w:lang w:eastAsia="en-GB"/>
              </w:rPr>
            </w:pPr>
            <w:r w:rsidRPr="009B3747">
              <w:rPr>
                <w:rFonts w:eastAsia="Times New Roman" w:cstheme="minorHAnsi"/>
                <w:sz w:val="24"/>
                <w:szCs w:val="24"/>
                <w:lang w:eastAsia="en-GB"/>
              </w:rPr>
              <w:t> </w:t>
            </w:r>
          </w:p>
          <w:p w:rsidR="0040630E" w:rsidRPr="009B3747" w:rsidRDefault="0040630E" w:rsidP="0040630E">
            <w:pPr>
              <w:spacing w:line="240" w:lineRule="auto"/>
              <w:ind w:left="15" w:hanging="135"/>
              <w:rPr>
                <w:rFonts w:eastAsia="Times New Roman" w:cstheme="minorHAnsi"/>
                <w:sz w:val="24"/>
                <w:szCs w:val="24"/>
                <w:lang w:eastAsia="en-GB"/>
              </w:rPr>
            </w:pPr>
          </w:p>
          <w:p w:rsidR="00827CCD" w:rsidRPr="009B3747" w:rsidRDefault="00827CCD" w:rsidP="00C27072">
            <w:pPr>
              <w:numPr>
                <w:ilvl w:val="0"/>
                <w:numId w:val="79"/>
              </w:numPr>
              <w:spacing w:line="240" w:lineRule="auto"/>
              <w:ind w:left="375"/>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 xml:space="preserve">Lack of access to school nurses </w:t>
            </w:r>
          </w:p>
          <w:p w:rsidR="00827CCD" w:rsidRPr="009B3747" w:rsidRDefault="00827CCD" w:rsidP="0040630E">
            <w:pPr>
              <w:spacing w:line="240" w:lineRule="auto"/>
              <w:ind w:left="15" w:hanging="135"/>
              <w:rPr>
                <w:rFonts w:eastAsia="Times New Roman" w:cstheme="minorHAnsi"/>
                <w:sz w:val="24"/>
                <w:szCs w:val="24"/>
                <w:lang w:eastAsia="en-GB"/>
              </w:rPr>
            </w:pPr>
            <w:r w:rsidRPr="009B3747">
              <w:rPr>
                <w:rFonts w:eastAsia="Times New Roman" w:cstheme="minorHAnsi"/>
                <w:sz w:val="24"/>
                <w:szCs w:val="24"/>
                <w:lang w:eastAsia="en-GB"/>
              </w:rPr>
              <w:t> </w:t>
            </w:r>
          </w:p>
          <w:p w:rsidR="0040630E" w:rsidRPr="009B3747" w:rsidRDefault="0040630E" w:rsidP="0040630E">
            <w:pPr>
              <w:spacing w:line="240" w:lineRule="auto"/>
              <w:ind w:left="15" w:hanging="135"/>
              <w:rPr>
                <w:rFonts w:eastAsia="Times New Roman" w:cstheme="minorHAnsi"/>
                <w:sz w:val="24"/>
                <w:szCs w:val="24"/>
                <w:lang w:eastAsia="en-GB"/>
              </w:rPr>
            </w:pPr>
          </w:p>
          <w:p w:rsidR="00827CCD" w:rsidRPr="009B3747" w:rsidRDefault="00827CCD" w:rsidP="00C27072">
            <w:pPr>
              <w:numPr>
                <w:ilvl w:val="0"/>
                <w:numId w:val="80"/>
              </w:numPr>
              <w:spacing w:line="240" w:lineRule="auto"/>
              <w:ind w:left="375"/>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Mixed health messages</w:t>
            </w:r>
          </w:p>
          <w:p w:rsidR="00827CCD" w:rsidRPr="009B3747" w:rsidRDefault="00827CCD" w:rsidP="0040630E">
            <w:pPr>
              <w:spacing w:line="240" w:lineRule="auto"/>
              <w:ind w:left="15" w:hanging="135"/>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40630E">
            <w:pPr>
              <w:spacing w:line="240" w:lineRule="auto"/>
              <w:ind w:left="15" w:hanging="135"/>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C27072">
            <w:pPr>
              <w:numPr>
                <w:ilvl w:val="0"/>
                <w:numId w:val="81"/>
              </w:numPr>
              <w:spacing w:line="240" w:lineRule="auto"/>
              <w:ind w:left="375"/>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Influence of technology on adolescent lifestyle behaviours</w:t>
            </w:r>
          </w:p>
          <w:p w:rsidR="00827CCD" w:rsidRPr="009B3747" w:rsidRDefault="00827CCD" w:rsidP="0040630E">
            <w:pPr>
              <w:spacing w:line="240" w:lineRule="auto"/>
              <w:ind w:left="15" w:hanging="135"/>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C27072">
            <w:pPr>
              <w:numPr>
                <w:ilvl w:val="0"/>
                <w:numId w:val="82"/>
              </w:numPr>
              <w:spacing w:line="240" w:lineRule="auto"/>
              <w:ind w:left="375"/>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Concern over excess weight prevention leading to eating disorders</w:t>
            </w:r>
          </w:p>
          <w:p w:rsidR="00827CCD" w:rsidRPr="009B3747" w:rsidRDefault="00827CCD" w:rsidP="0040630E">
            <w:pPr>
              <w:spacing w:line="240" w:lineRule="auto"/>
              <w:ind w:left="15" w:hanging="135"/>
              <w:rPr>
                <w:rFonts w:eastAsia="Times New Roman" w:cstheme="minorHAnsi"/>
                <w:sz w:val="24"/>
                <w:szCs w:val="24"/>
                <w:lang w:eastAsia="en-GB"/>
              </w:rPr>
            </w:pPr>
            <w:r w:rsidRPr="009B3747">
              <w:rPr>
                <w:rFonts w:eastAsia="Times New Roman" w:cstheme="minorHAnsi"/>
                <w:sz w:val="24"/>
                <w:szCs w:val="24"/>
                <w:lang w:eastAsia="en-GB"/>
              </w:rPr>
              <w:lastRenderedPageBreak/>
              <w:t> </w:t>
            </w:r>
          </w:p>
          <w:p w:rsidR="00827CCD" w:rsidRPr="009B3747" w:rsidRDefault="00827CCD" w:rsidP="00C27072">
            <w:pPr>
              <w:numPr>
                <w:ilvl w:val="0"/>
                <w:numId w:val="83"/>
              </w:numPr>
              <w:spacing w:line="240" w:lineRule="auto"/>
              <w:ind w:left="375"/>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Advertising and easy accessibility of cheap unhealthy foods within society</w:t>
            </w:r>
          </w:p>
          <w:p w:rsidR="00827CCD" w:rsidRPr="009B3747" w:rsidRDefault="00827CCD" w:rsidP="0040630E">
            <w:pPr>
              <w:spacing w:line="240" w:lineRule="auto"/>
              <w:ind w:left="15" w:hanging="135"/>
              <w:rPr>
                <w:rFonts w:eastAsia="Times New Roman" w:cstheme="minorHAnsi"/>
                <w:sz w:val="24"/>
                <w:szCs w:val="24"/>
                <w:lang w:eastAsia="en-GB"/>
              </w:rPr>
            </w:pPr>
            <w:r w:rsidRPr="009B3747">
              <w:rPr>
                <w:rFonts w:eastAsia="Times New Roman" w:cstheme="minorHAnsi"/>
                <w:sz w:val="24"/>
                <w:szCs w:val="24"/>
                <w:lang w:eastAsia="en-GB"/>
              </w:rPr>
              <w:t> </w:t>
            </w:r>
          </w:p>
          <w:p w:rsidR="0040630E" w:rsidRPr="009B3747" w:rsidRDefault="00827CCD" w:rsidP="0040630E">
            <w:pPr>
              <w:spacing w:line="240" w:lineRule="auto"/>
              <w:ind w:left="15" w:hanging="135"/>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40630E">
            <w:pPr>
              <w:spacing w:line="240" w:lineRule="auto"/>
              <w:ind w:left="15" w:hanging="135"/>
              <w:rPr>
                <w:rFonts w:eastAsia="Times New Roman" w:cstheme="minorHAnsi"/>
                <w:sz w:val="24"/>
                <w:szCs w:val="24"/>
                <w:lang w:eastAsia="en-GB"/>
              </w:rPr>
            </w:pPr>
            <w:r w:rsidRPr="009B3747">
              <w:rPr>
                <w:rFonts w:eastAsia="Times New Roman" w:cstheme="minorHAnsi"/>
                <w:sz w:val="24"/>
                <w:szCs w:val="24"/>
                <w:lang w:eastAsia="en-GB"/>
              </w:rPr>
              <w:t> </w:t>
            </w:r>
          </w:p>
          <w:p w:rsidR="00F738CC" w:rsidRPr="009B3747" w:rsidRDefault="00F738CC" w:rsidP="0040630E">
            <w:pPr>
              <w:spacing w:line="240" w:lineRule="auto"/>
              <w:ind w:left="15" w:hanging="135"/>
              <w:rPr>
                <w:rFonts w:eastAsia="Times New Roman" w:cstheme="minorHAnsi"/>
                <w:sz w:val="24"/>
                <w:szCs w:val="24"/>
                <w:lang w:eastAsia="en-GB"/>
              </w:rPr>
            </w:pPr>
          </w:p>
          <w:p w:rsidR="00827CCD" w:rsidRPr="009B3747" w:rsidRDefault="00827CCD" w:rsidP="00C27072">
            <w:pPr>
              <w:numPr>
                <w:ilvl w:val="0"/>
                <w:numId w:val="84"/>
              </w:numPr>
              <w:spacing w:line="240" w:lineRule="auto"/>
              <w:ind w:left="375"/>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Family financial pressures  </w:t>
            </w:r>
          </w:p>
        </w:tc>
        <w:tc>
          <w:tcPr>
            <w:tcW w:w="5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630E" w:rsidRPr="009B3747" w:rsidRDefault="00827CCD" w:rsidP="00C27072">
            <w:pPr>
              <w:numPr>
                <w:ilvl w:val="0"/>
                <w:numId w:val="85"/>
              </w:numPr>
              <w:spacing w:line="240" w:lineRule="auto"/>
              <w:ind w:left="183" w:right="-15" w:hanging="183"/>
              <w:textAlignment w:val="baseline"/>
              <w:rPr>
                <w:rFonts w:eastAsia="Times New Roman" w:cstheme="minorHAnsi"/>
                <w:color w:val="000000"/>
                <w:sz w:val="20"/>
                <w:szCs w:val="20"/>
                <w:lang w:eastAsia="en-GB"/>
              </w:rPr>
            </w:pPr>
            <w:r w:rsidRPr="009B3747">
              <w:rPr>
                <w:rFonts w:eastAsia="Times New Roman" w:cstheme="minorHAnsi"/>
                <w:i/>
                <w:color w:val="000000"/>
                <w:sz w:val="20"/>
                <w:szCs w:val="20"/>
                <w:lang w:eastAsia="en-GB"/>
              </w:rPr>
              <w:lastRenderedPageBreak/>
              <w:t xml:space="preserve">“Secondary school students have money and freedom to buy food on their way to and </w:t>
            </w:r>
            <w:r w:rsidR="0040630E" w:rsidRPr="009B3747">
              <w:rPr>
                <w:rFonts w:eastAsia="Times New Roman" w:cstheme="minorHAnsi"/>
                <w:i/>
                <w:color w:val="000000"/>
                <w:sz w:val="20"/>
                <w:szCs w:val="20"/>
                <w:lang w:eastAsia="en-GB"/>
              </w:rPr>
              <w:t>from</w:t>
            </w:r>
            <w:r w:rsidRPr="009B3747">
              <w:rPr>
                <w:rFonts w:eastAsia="Times New Roman" w:cstheme="minorHAnsi"/>
                <w:i/>
                <w:color w:val="000000"/>
                <w:sz w:val="20"/>
                <w:szCs w:val="20"/>
                <w:lang w:eastAsia="en-GB"/>
              </w:rPr>
              <w:t xml:space="preserve"> school.”</w:t>
            </w:r>
            <w:r w:rsidR="0040630E" w:rsidRPr="009B3747">
              <w:rPr>
                <w:rFonts w:eastAsia="Times New Roman" w:cstheme="minorHAnsi"/>
                <w:color w:val="000000"/>
                <w:sz w:val="20"/>
                <w:szCs w:val="20"/>
                <w:lang w:eastAsia="en-GB"/>
              </w:rPr>
              <w:t xml:space="preserve"> </w:t>
            </w:r>
            <w:r w:rsidR="0040630E" w:rsidRPr="009B3747">
              <w:rPr>
                <w:rFonts w:eastAsia="Times New Roman" w:cstheme="minorHAnsi"/>
                <w:b/>
                <w:color w:val="000000"/>
                <w:sz w:val="20"/>
                <w:szCs w:val="20"/>
                <w:lang w:eastAsia="en-GB"/>
              </w:rPr>
              <w:t>(Headteacher)</w:t>
            </w:r>
          </w:p>
          <w:p w:rsidR="00827CCD" w:rsidRPr="009B3747" w:rsidRDefault="00827CCD" w:rsidP="0040630E">
            <w:pPr>
              <w:spacing w:line="240" w:lineRule="auto"/>
              <w:ind w:left="183" w:right="-15" w:hanging="183"/>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C27072">
            <w:pPr>
              <w:numPr>
                <w:ilvl w:val="0"/>
                <w:numId w:val="86"/>
              </w:numPr>
              <w:spacing w:line="240" w:lineRule="auto"/>
              <w:ind w:left="183" w:right="-15" w:hanging="183"/>
              <w:textAlignment w:val="baseline"/>
              <w:rPr>
                <w:rFonts w:eastAsia="Times New Roman" w:cstheme="minorHAnsi"/>
                <w:b/>
                <w:color w:val="000000"/>
                <w:sz w:val="20"/>
                <w:szCs w:val="20"/>
                <w:lang w:eastAsia="en-GB"/>
              </w:rPr>
            </w:pPr>
            <w:r w:rsidRPr="009B3747">
              <w:rPr>
                <w:rFonts w:eastAsia="Times New Roman" w:cstheme="minorHAnsi"/>
                <w:i/>
                <w:color w:val="000000"/>
                <w:sz w:val="20"/>
                <w:szCs w:val="20"/>
                <w:lang w:eastAsia="en-GB"/>
              </w:rPr>
              <w:t>“Pupils with excessive weight already apparent at Year 7”</w:t>
            </w:r>
            <w:r w:rsidRPr="009B3747">
              <w:rPr>
                <w:rFonts w:eastAsia="Times New Roman" w:cstheme="minorHAnsi"/>
                <w:color w:val="000000"/>
                <w:sz w:val="20"/>
                <w:szCs w:val="20"/>
                <w:lang w:eastAsia="en-GB"/>
              </w:rPr>
              <w:t xml:space="preserve"> </w:t>
            </w:r>
            <w:r w:rsidR="0040630E" w:rsidRPr="009B3747">
              <w:rPr>
                <w:rFonts w:eastAsia="Times New Roman" w:cstheme="minorHAnsi"/>
                <w:color w:val="000000"/>
                <w:sz w:val="20"/>
                <w:szCs w:val="20"/>
                <w:lang w:eastAsia="en-GB"/>
              </w:rPr>
              <w:t xml:space="preserve"> </w:t>
            </w:r>
            <w:r w:rsidR="0040630E" w:rsidRPr="009B3747">
              <w:rPr>
                <w:rFonts w:eastAsia="Times New Roman" w:cstheme="minorHAnsi"/>
                <w:b/>
                <w:color w:val="000000"/>
                <w:sz w:val="20"/>
                <w:szCs w:val="20"/>
                <w:lang w:eastAsia="en-GB"/>
              </w:rPr>
              <w:t>(Headteacher)</w:t>
            </w:r>
          </w:p>
          <w:p w:rsidR="00827CCD" w:rsidRPr="009B3747" w:rsidRDefault="00827CCD" w:rsidP="0040630E">
            <w:pPr>
              <w:spacing w:line="240" w:lineRule="auto"/>
              <w:ind w:left="183" w:right="240" w:hanging="183"/>
              <w:rPr>
                <w:rFonts w:eastAsia="Times New Roman" w:cstheme="minorHAnsi"/>
                <w:sz w:val="24"/>
                <w:szCs w:val="24"/>
                <w:lang w:eastAsia="en-GB"/>
              </w:rPr>
            </w:pPr>
            <w:r w:rsidRPr="009B3747">
              <w:rPr>
                <w:rFonts w:eastAsia="Times New Roman" w:cstheme="minorHAnsi"/>
                <w:b/>
                <w:sz w:val="24"/>
                <w:szCs w:val="24"/>
                <w:lang w:eastAsia="en-GB"/>
              </w:rPr>
              <w:t> </w:t>
            </w:r>
            <w:r w:rsidRPr="009B3747">
              <w:rPr>
                <w:rFonts w:eastAsia="Times New Roman" w:cstheme="minorHAnsi"/>
                <w:sz w:val="24"/>
                <w:szCs w:val="24"/>
                <w:lang w:eastAsia="en-GB"/>
              </w:rPr>
              <w:t> </w:t>
            </w:r>
          </w:p>
          <w:p w:rsidR="00827CCD" w:rsidRPr="009B3747" w:rsidRDefault="00827CCD" w:rsidP="00C27072">
            <w:pPr>
              <w:numPr>
                <w:ilvl w:val="0"/>
                <w:numId w:val="87"/>
              </w:numPr>
              <w:spacing w:line="240" w:lineRule="auto"/>
              <w:ind w:left="183" w:right="240" w:hanging="183"/>
              <w:textAlignment w:val="baseline"/>
              <w:rPr>
                <w:rFonts w:eastAsia="Times New Roman" w:cstheme="minorHAnsi"/>
                <w:b/>
                <w:color w:val="000000"/>
                <w:sz w:val="20"/>
                <w:szCs w:val="20"/>
                <w:lang w:eastAsia="en-GB"/>
              </w:rPr>
            </w:pPr>
            <w:r w:rsidRPr="009B3747">
              <w:rPr>
                <w:rFonts w:eastAsia="Times New Roman" w:cstheme="minorHAnsi"/>
                <w:i/>
                <w:color w:val="000000"/>
                <w:sz w:val="20"/>
                <w:szCs w:val="20"/>
                <w:lang w:eastAsia="en-GB"/>
              </w:rPr>
              <w:t>“There is a lack of adequate funding in schools overall, let alone to cover health.”</w:t>
            </w:r>
            <w:r w:rsidR="0040630E" w:rsidRPr="009B3747">
              <w:rPr>
                <w:rFonts w:eastAsia="Times New Roman" w:cstheme="minorHAnsi"/>
                <w:color w:val="000000"/>
                <w:sz w:val="20"/>
                <w:szCs w:val="20"/>
                <w:lang w:eastAsia="en-GB"/>
              </w:rPr>
              <w:t xml:space="preserve"> </w:t>
            </w:r>
            <w:r w:rsidR="0040630E" w:rsidRPr="009B3747">
              <w:rPr>
                <w:rFonts w:eastAsia="Times New Roman" w:cstheme="minorHAnsi"/>
                <w:b/>
                <w:color w:val="000000"/>
                <w:sz w:val="20"/>
                <w:szCs w:val="20"/>
                <w:lang w:eastAsia="en-GB"/>
              </w:rPr>
              <w:t>(Chair of governors)</w:t>
            </w:r>
          </w:p>
          <w:p w:rsidR="00827CCD" w:rsidRPr="009B3747" w:rsidRDefault="00827CCD" w:rsidP="0040630E">
            <w:pPr>
              <w:spacing w:line="240" w:lineRule="auto"/>
              <w:ind w:left="183" w:right="240" w:hanging="183"/>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C27072">
            <w:pPr>
              <w:numPr>
                <w:ilvl w:val="0"/>
                <w:numId w:val="88"/>
              </w:numPr>
              <w:spacing w:line="240" w:lineRule="auto"/>
              <w:ind w:left="183" w:right="240" w:hanging="183"/>
              <w:textAlignment w:val="baseline"/>
              <w:rPr>
                <w:rFonts w:eastAsia="Times New Roman" w:cstheme="minorHAnsi"/>
                <w:b/>
                <w:color w:val="000000"/>
                <w:sz w:val="20"/>
                <w:szCs w:val="20"/>
                <w:lang w:eastAsia="en-GB"/>
              </w:rPr>
            </w:pPr>
            <w:r w:rsidRPr="009B3747">
              <w:rPr>
                <w:rFonts w:eastAsia="Times New Roman" w:cstheme="minorHAnsi"/>
                <w:i/>
                <w:color w:val="000000"/>
                <w:sz w:val="20"/>
                <w:szCs w:val="20"/>
                <w:lang w:eastAsia="en-GB"/>
              </w:rPr>
              <w:t>“We have no control over genetic factors.”</w:t>
            </w:r>
            <w:r w:rsidR="0040630E" w:rsidRPr="009B3747">
              <w:rPr>
                <w:rFonts w:eastAsia="Times New Roman" w:cstheme="minorHAnsi"/>
                <w:i/>
                <w:color w:val="000000"/>
                <w:sz w:val="20"/>
                <w:szCs w:val="20"/>
                <w:lang w:eastAsia="en-GB"/>
              </w:rPr>
              <w:t xml:space="preserve"> </w:t>
            </w:r>
            <w:r w:rsidR="0040630E" w:rsidRPr="009B3747">
              <w:rPr>
                <w:rFonts w:eastAsia="Times New Roman" w:cstheme="minorHAnsi"/>
                <w:b/>
                <w:color w:val="000000"/>
                <w:sz w:val="20"/>
                <w:szCs w:val="20"/>
                <w:lang w:eastAsia="en-GB"/>
              </w:rPr>
              <w:t>(Headteacher)</w:t>
            </w:r>
          </w:p>
          <w:p w:rsidR="00827CCD" w:rsidRPr="009B3747" w:rsidRDefault="00827CCD" w:rsidP="0040630E">
            <w:pPr>
              <w:spacing w:line="240" w:lineRule="auto"/>
              <w:ind w:left="183" w:right="240"/>
              <w:rPr>
                <w:rFonts w:eastAsia="Times New Roman" w:cstheme="minorHAnsi"/>
                <w:sz w:val="24"/>
                <w:szCs w:val="24"/>
                <w:lang w:eastAsia="en-GB"/>
              </w:rPr>
            </w:pPr>
          </w:p>
          <w:p w:rsidR="0040630E" w:rsidRPr="009B3747" w:rsidRDefault="0040630E" w:rsidP="0040630E">
            <w:pPr>
              <w:spacing w:line="240" w:lineRule="auto"/>
              <w:ind w:left="183" w:right="240" w:hanging="183"/>
              <w:rPr>
                <w:rFonts w:eastAsia="Times New Roman" w:cstheme="minorHAnsi"/>
                <w:sz w:val="24"/>
                <w:szCs w:val="24"/>
                <w:lang w:eastAsia="en-GB"/>
              </w:rPr>
            </w:pPr>
          </w:p>
          <w:p w:rsidR="00827CCD" w:rsidRPr="009B3747" w:rsidRDefault="00827CCD" w:rsidP="00C27072">
            <w:pPr>
              <w:numPr>
                <w:ilvl w:val="0"/>
                <w:numId w:val="89"/>
              </w:numPr>
              <w:spacing w:line="240" w:lineRule="auto"/>
              <w:ind w:left="183" w:right="240" w:hanging="183"/>
              <w:textAlignment w:val="baseline"/>
              <w:rPr>
                <w:rFonts w:eastAsia="Times New Roman" w:cstheme="minorHAnsi"/>
                <w:b/>
                <w:color w:val="000000"/>
                <w:sz w:val="20"/>
                <w:szCs w:val="20"/>
                <w:lang w:eastAsia="en-GB"/>
              </w:rPr>
            </w:pPr>
            <w:r w:rsidRPr="009B3747">
              <w:rPr>
                <w:rFonts w:eastAsia="Times New Roman" w:cstheme="minorHAnsi"/>
                <w:i/>
                <w:color w:val="000000"/>
                <w:sz w:val="20"/>
                <w:szCs w:val="20"/>
                <w:lang w:eastAsia="en-GB"/>
              </w:rPr>
              <w:t>“We only see pupils for around 7 hours per day, and that time is filled.”</w:t>
            </w:r>
            <w:r w:rsidR="0040630E" w:rsidRPr="009B3747">
              <w:rPr>
                <w:rFonts w:eastAsia="Times New Roman" w:cstheme="minorHAnsi"/>
                <w:color w:val="000000"/>
                <w:sz w:val="20"/>
                <w:szCs w:val="20"/>
                <w:lang w:eastAsia="en-GB"/>
              </w:rPr>
              <w:t xml:space="preserve"> </w:t>
            </w:r>
            <w:r w:rsidR="0040630E" w:rsidRPr="009B3747">
              <w:rPr>
                <w:rFonts w:eastAsia="Times New Roman" w:cstheme="minorHAnsi"/>
                <w:b/>
                <w:color w:val="000000"/>
                <w:sz w:val="20"/>
                <w:szCs w:val="20"/>
                <w:lang w:eastAsia="en-GB"/>
              </w:rPr>
              <w:t>(Chair of governors)</w:t>
            </w:r>
          </w:p>
          <w:p w:rsidR="00827CCD" w:rsidRPr="009B3747" w:rsidRDefault="00827CCD" w:rsidP="0040630E">
            <w:pPr>
              <w:spacing w:line="240" w:lineRule="auto"/>
              <w:ind w:left="183" w:right="240" w:hanging="183"/>
              <w:rPr>
                <w:rFonts w:eastAsia="Times New Roman" w:cstheme="minorHAnsi"/>
                <w:b/>
                <w:sz w:val="24"/>
                <w:szCs w:val="24"/>
                <w:lang w:eastAsia="en-GB"/>
              </w:rPr>
            </w:pPr>
            <w:r w:rsidRPr="009B3747">
              <w:rPr>
                <w:rFonts w:eastAsia="Times New Roman" w:cstheme="minorHAnsi"/>
                <w:b/>
                <w:sz w:val="24"/>
                <w:szCs w:val="24"/>
                <w:lang w:eastAsia="en-GB"/>
              </w:rPr>
              <w:t> </w:t>
            </w:r>
          </w:p>
          <w:p w:rsidR="00827CCD" w:rsidRPr="009B3747" w:rsidRDefault="00827CCD" w:rsidP="00C27072">
            <w:pPr>
              <w:numPr>
                <w:ilvl w:val="0"/>
                <w:numId w:val="90"/>
              </w:numPr>
              <w:spacing w:line="240" w:lineRule="auto"/>
              <w:ind w:left="183" w:right="240" w:hanging="183"/>
              <w:textAlignment w:val="baseline"/>
              <w:rPr>
                <w:rFonts w:eastAsia="Times New Roman" w:cstheme="minorHAnsi"/>
                <w:color w:val="000000"/>
                <w:sz w:val="20"/>
                <w:szCs w:val="20"/>
                <w:lang w:eastAsia="en-GB"/>
              </w:rPr>
            </w:pPr>
            <w:r w:rsidRPr="009B3747">
              <w:rPr>
                <w:rFonts w:eastAsia="Times New Roman" w:cstheme="minorHAnsi"/>
                <w:i/>
                <w:color w:val="000000"/>
                <w:sz w:val="20"/>
                <w:szCs w:val="20"/>
                <w:lang w:eastAsia="en-GB"/>
              </w:rPr>
              <w:t>“Parents and peers are the strongest influences.”</w:t>
            </w:r>
            <w:r w:rsidRPr="009B3747">
              <w:rPr>
                <w:rFonts w:eastAsia="Times New Roman" w:cstheme="minorHAnsi"/>
                <w:color w:val="000000"/>
                <w:sz w:val="20"/>
                <w:szCs w:val="20"/>
                <w:lang w:eastAsia="en-GB"/>
              </w:rPr>
              <w:t xml:space="preserve"> </w:t>
            </w:r>
            <w:r w:rsidR="0040630E" w:rsidRPr="009B3747">
              <w:rPr>
                <w:rFonts w:eastAsia="Times New Roman" w:cstheme="minorHAnsi"/>
                <w:b/>
                <w:color w:val="000000"/>
                <w:sz w:val="20"/>
                <w:szCs w:val="20"/>
                <w:lang w:eastAsia="en-GB"/>
              </w:rPr>
              <w:t>(Headteacher)</w:t>
            </w:r>
          </w:p>
          <w:p w:rsidR="00827CCD" w:rsidRPr="009B3747" w:rsidRDefault="00827CCD" w:rsidP="0040630E">
            <w:pPr>
              <w:spacing w:line="240" w:lineRule="auto"/>
              <w:ind w:left="183" w:right="240" w:hanging="183"/>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C27072">
            <w:pPr>
              <w:numPr>
                <w:ilvl w:val="0"/>
                <w:numId w:val="91"/>
              </w:numPr>
              <w:spacing w:line="240" w:lineRule="auto"/>
              <w:ind w:left="183" w:right="240" w:hanging="183"/>
              <w:textAlignment w:val="baseline"/>
              <w:rPr>
                <w:rFonts w:eastAsia="Times New Roman" w:cstheme="minorHAnsi"/>
                <w:color w:val="000000"/>
                <w:sz w:val="20"/>
                <w:szCs w:val="20"/>
                <w:lang w:eastAsia="en-GB"/>
              </w:rPr>
            </w:pPr>
            <w:r w:rsidRPr="009B3747">
              <w:rPr>
                <w:rFonts w:eastAsia="Times New Roman" w:cstheme="minorHAnsi"/>
                <w:i/>
                <w:color w:val="000000"/>
                <w:sz w:val="20"/>
                <w:szCs w:val="20"/>
                <w:lang w:eastAsia="en-GB"/>
              </w:rPr>
              <w:t>“Access to school nurses need to be improved.”</w:t>
            </w:r>
            <w:r w:rsidR="0040630E" w:rsidRPr="009B3747">
              <w:rPr>
                <w:rFonts w:eastAsia="Times New Roman" w:cstheme="minorHAnsi"/>
                <w:color w:val="000000"/>
                <w:sz w:val="20"/>
                <w:szCs w:val="20"/>
                <w:lang w:eastAsia="en-GB"/>
              </w:rPr>
              <w:t xml:space="preserve"> </w:t>
            </w:r>
            <w:r w:rsidR="0040630E" w:rsidRPr="009B3747">
              <w:rPr>
                <w:rFonts w:eastAsia="Times New Roman" w:cstheme="minorHAnsi"/>
                <w:b/>
                <w:color w:val="000000"/>
                <w:sz w:val="20"/>
                <w:szCs w:val="20"/>
                <w:lang w:eastAsia="en-GB"/>
              </w:rPr>
              <w:t>(Chairs of governors)</w:t>
            </w:r>
          </w:p>
          <w:p w:rsidR="00827CCD" w:rsidRPr="009B3747" w:rsidRDefault="00827CCD" w:rsidP="0040630E">
            <w:pPr>
              <w:spacing w:line="240" w:lineRule="auto"/>
              <w:ind w:left="183" w:right="240" w:hanging="183"/>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C27072">
            <w:pPr>
              <w:numPr>
                <w:ilvl w:val="0"/>
                <w:numId w:val="92"/>
              </w:numPr>
              <w:spacing w:line="240" w:lineRule="auto"/>
              <w:ind w:left="183" w:right="240" w:hanging="183"/>
              <w:textAlignment w:val="baseline"/>
              <w:rPr>
                <w:rFonts w:eastAsia="Times New Roman" w:cstheme="minorHAnsi"/>
                <w:color w:val="000000"/>
                <w:sz w:val="20"/>
                <w:szCs w:val="20"/>
                <w:lang w:eastAsia="en-GB"/>
              </w:rPr>
            </w:pPr>
            <w:r w:rsidRPr="009B3747">
              <w:rPr>
                <w:rFonts w:eastAsia="Times New Roman" w:cstheme="minorHAnsi"/>
                <w:i/>
                <w:color w:val="000000"/>
                <w:sz w:val="20"/>
                <w:szCs w:val="20"/>
                <w:lang w:eastAsia="en-GB"/>
              </w:rPr>
              <w:t>“Common sense easy to understand messages are vital.”</w:t>
            </w:r>
            <w:r w:rsidR="0040630E" w:rsidRPr="009B3747">
              <w:rPr>
                <w:rFonts w:eastAsia="Times New Roman" w:cstheme="minorHAnsi"/>
                <w:color w:val="000000"/>
                <w:sz w:val="20"/>
                <w:szCs w:val="20"/>
                <w:lang w:eastAsia="en-GB"/>
              </w:rPr>
              <w:t xml:space="preserve"> </w:t>
            </w:r>
            <w:r w:rsidR="0040630E" w:rsidRPr="009B3747">
              <w:rPr>
                <w:rFonts w:eastAsia="Times New Roman" w:cstheme="minorHAnsi"/>
                <w:b/>
                <w:color w:val="000000"/>
                <w:sz w:val="20"/>
                <w:szCs w:val="20"/>
                <w:lang w:eastAsia="en-GB"/>
              </w:rPr>
              <w:t>(Chairs of governors)</w:t>
            </w:r>
          </w:p>
          <w:p w:rsidR="00827CCD" w:rsidRPr="009B3747" w:rsidRDefault="00827CCD" w:rsidP="0040630E">
            <w:pPr>
              <w:spacing w:line="240" w:lineRule="auto"/>
              <w:ind w:left="183" w:right="240" w:hanging="183"/>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C27072">
            <w:pPr>
              <w:numPr>
                <w:ilvl w:val="0"/>
                <w:numId w:val="93"/>
              </w:numPr>
              <w:spacing w:line="240" w:lineRule="auto"/>
              <w:ind w:left="183" w:right="240" w:hanging="183"/>
              <w:textAlignment w:val="baseline"/>
              <w:rPr>
                <w:rFonts w:eastAsia="Times New Roman" w:cstheme="minorHAnsi"/>
                <w:color w:val="000000"/>
                <w:sz w:val="20"/>
                <w:szCs w:val="20"/>
                <w:lang w:eastAsia="en-GB"/>
              </w:rPr>
            </w:pPr>
            <w:r w:rsidRPr="009B3747">
              <w:rPr>
                <w:rFonts w:eastAsia="Times New Roman" w:cstheme="minorHAnsi"/>
                <w:i/>
                <w:color w:val="000000"/>
                <w:sz w:val="20"/>
                <w:szCs w:val="20"/>
                <w:lang w:eastAsia="en-GB"/>
              </w:rPr>
              <w:t>“Social Media, gaming prevents many young people from participating in sport.”</w:t>
            </w:r>
            <w:r w:rsidRPr="009B3747">
              <w:rPr>
                <w:rFonts w:eastAsia="Times New Roman" w:cstheme="minorHAnsi"/>
                <w:color w:val="000000"/>
                <w:sz w:val="20"/>
                <w:szCs w:val="20"/>
                <w:lang w:eastAsia="en-GB"/>
              </w:rPr>
              <w:t xml:space="preserve"> </w:t>
            </w:r>
            <w:r w:rsidR="0040630E" w:rsidRPr="009B3747">
              <w:rPr>
                <w:rFonts w:eastAsia="Times New Roman" w:cstheme="minorHAnsi"/>
                <w:b/>
                <w:color w:val="000000"/>
                <w:sz w:val="20"/>
                <w:szCs w:val="20"/>
                <w:lang w:eastAsia="en-GB"/>
              </w:rPr>
              <w:t>(Headteacher)</w:t>
            </w:r>
          </w:p>
          <w:p w:rsidR="00827CCD" w:rsidRPr="009B3747" w:rsidRDefault="00827CCD" w:rsidP="0040630E">
            <w:pPr>
              <w:spacing w:line="240" w:lineRule="auto"/>
              <w:ind w:left="183" w:right="240" w:hanging="183"/>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C27072">
            <w:pPr>
              <w:numPr>
                <w:ilvl w:val="0"/>
                <w:numId w:val="94"/>
              </w:numPr>
              <w:spacing w:line="240" w:lineRule="auto"/>
              <w:ind w:left="183" w:right="240" w:hanging="183"/>
              <w:textAlignment w:val="baseline"/>
              <w:rPr>
                <w:rFonts w:eastAsia="Times New Roman" w:cstheme="minorHAnsi"/>
                <w:color w:val="000000"/>
                <w:sz w:val="20"/>
                <w:szCs w:val="20"/>
                <w:lang w:eastAsia="en-GB"/>
              </w:rPr>
            </w:pPr>
            <w:r w:rsidRPr="009B3747">
              <w:rPr>
                <w:rFonts w:eastAsia="Times New Roman" w:cstheme="minorHAnsi"/>
                <w:i/>
                <w:color w:val="000000"/>
                <w:sz w:val="20"/>
                <w:szCs w:val="20"/>
                <w:lang w:eastAsia="en-GB"/>
              </w:rPr>
              <w:t>“After all, if we are not careful we will end up with students with eating disorders.”</w:t>
            </w:r>
            <w:r w:rsidRPr="009B3747">
              <w:rPr>
                <w:rFonts w:eastAsia="Times New Roman" w:cstheme="minorHAnsi"/>
                <w:color w:val="000000"/>
                <w:sz w:val="20"/>
                <w:szCs w:val="20"/>
                <w:lang w:eastAsia="en-GB"/>
              </w:rPr>
              <w:t xml:space="preserve"> </w:t>
            </w:r>
            <w:r w:rsidR="0040630E" w:rsidRPr="009B3747">
              <w:rPr>
                <w:rFonts w:eastAsia="Times New Roman" w:cstheme="minorHAnsi"/>
                <w:b/>
                <w:color w:val="000000"/>
                <w:sz w:val="20"/>
                <w:szCs w:val="20"/>
                <w:lang w:eastAsia="en-GB"/>
              </w:rPr>
              <w:t>(Headteacher)</w:t>
            </w:r>
          </w:p>
          <w:p w:rsidR="00827CCD" w:rsidRPr="009B3747" w:rsidRDefault="00827CCD" w:rsidP="007E3DE9">
            <w:pPr>
              <w:spacing w:line="240" w:lineRule="auto"/>
              <w:ind w:left="183" w:right="240"/>
              <w:rPr>
                <w:rFonts w:eastAsia="Times New Roman" w:cstheme="minorHAnsi"/>
                <w:sz w:val="24"/>
                <w:szCs w:val="24"/>
                <w:lang w:eastAsia="en-GB"/>
              </w:rPr>
            </w:pPr>
          </w:p>
          <w:p w:rsidR="0040630E" w:rsidRPr="009B3747" w:rsidRDefault="00827CCD" w:rsidP="00C27072">
            <w:pPr>
              <w:numPr>
                <w:ilvl w:val="0"/>
                <w:numId w:val="95"/>
              </w:numPr>
              <w:spacing w:line="240" w:lineRule="auto"/>
              <w:ind w:left="183" w:right="240" w:hanging="183"/>
              <w:textAlignment w:val="baseline"/>
              <w:rPr>
                <w:rFonts w:eastAsia="Times New Roman" w:cstheme="minorHAnsi"/>
                <w:color w:val="000000"/>
                <w:sz w:val="20"/>
                <w:szCs w:val="20"/>
                <w:lang w:eastAsia="en-GB"/>
              </w:rPr>
            </w:pPr>
            <w:r w:rsidRPr="009B3747">
              <w:rPr>
                <w:rFonts w:eastAsia="Times New Roman" w:cstheme="minorHAnsi"/>
                <w:i/>
                <w:color w:val="000000"/>
                <w:sz w:val="20"/>
                <w:szCs w:val="20"/>
                <w:lang w:eastAsia="en-GB"/>
              </w:rPr>
              <w:t>“Advertising of high fat high sugar foods and the fact that they are generally cheaper and more readily available than healthy foods. E.g. Cakes &amp; biscuits are far more likely to be "BOGOF" than apples and bananas.”</w:t>
            </w:r>
            <w:r w:rsidR="0040630E" w:rsidRPr="009B3747">
              <w:rPr>
                <w:rFonts w:eastAsia="Times New Roman" w:cstheme="minorHAnsi"/>
                <w:color w:val="000000"/>
                <w:sz w:val="20"/>
                <w:szCs w:val="20"/>
                <w:lang w:eastAsia="en-GB"/>
              </w:rPr>
              <w:t xml:space="preserve"> </w:t>
            </w:r>
            <w:r w:rsidR="0040630E" w:rsidRPr="009B3747">
              <w:rPr>
                <w:rFonts w:eastAsia="Times New Roman" w:cstheme="minorHAnsi"/>
                <w:b/>
                <w:color w:val="000000"/>
                <w:sz w:val="20"/>
                <w:szCs w:val="20"/>
                <w:lang w:eastAsia="en-GB"/>
              </w:rPr>
              <w:t>(Chairs of governors)</w:t>
            </w:r>
          </w:p>
          <w:p w:rsidR="0040630E" w:rsidRPr="009B3747" w:rsidRDefault="0040630E" w:rsidP="0040630E">
            <w:pPr>
              <w:spacing w:line="240" w:lineRule="auto"/>
              <w:ind w:left="183" w:right="240"/>
              <w:textAlignment w:val="baseline"/>
              <w:rPr>
                <w:rFonts w:eastAsia="Times New Roman" w:cstheme="minorHAnsi"/>
                <w:color w:val="000000"/>
                <w:sz w:val="20"/>
                <w:szCs w:val="20"/>
                <w:lang w:eastAsia="en-GB"/>
              </w:rPr>
            </w:pPr>
          </w:p>
          <w:p w:rsidR="00827CCD" w:rsidRPr="009B3747" w:rsidRDefault="00B46C02" w:rsidP="00C27072">
            <w:pPr>
              <w:numPr>
                <w:ilvl w:val="0"/>
                <w:numId w:val="95"/>
              </w:numPr>
              <w:spacing w:line="240" w:lineRule="auto"/>
              <w:ind w:left="183" w:right="240" w:hanging="183"/>
              <w:textAlignment w:val="baseline"/>
              <w:rPr>
                <w:rFonts w:eastAsia="Times New Roman" w:cstheme="minorHAnsi"/>
                <w:color w:val="000000"/>
                <w:sz w:val="20"/>
                <w:szCs w:val="20"/>
                <w:lang w:eastAsia="en-GB"/>
              </w:rPr>
            </w:pPr>
            <w:r>
              <w:rPr>
                <w:rFonts w:eastAsia="Times New Roman" w:cstheme="minorHAnsi"/>
                <w:i/>
                <w:color w:val="000000" w:themeColor="text1"/>
                <w:sz w:val="20"/>
                <w:szCs w:val="20"/>
                <w:lang w:eastAsia="en-GB"/>
              </w:rPr>
              <w:t xml:space="preserve">“Social economic pressures, </w:t>
            </w:r>
            <w:r w:rsidR="00827CCD" w:rsidRPr="009B3747">
              <w:rPr>
                <w:rFonts w:eastAsia="Times New Roman" w:cstheme="minorHAnsi"/>
                <w:i/>
                <w:color w:val="000000" w:themeColor="text1"/>
                <w:sz w:val="20"/>
                <w:szCs w:val="20"/>
                <w:lang w:eastAsia="en-GB"/>
              </w:rPr>
              <w:t>i.e. a lot of families who hit the Governments IDACI</w:t>
            </w:r>
            <w:r w:rsidR="0040630E" w:rsidRPr="009B3747">
              <w:rPr>
                <w:rFonts w:eastAsia="Times New Roman" w:cstheme="minorHAnsi"/>
                <w:i/>
                <w:color w:val="000000" w:themeColor="text1"/>
                <w:sz w:val="20"/>
                <w:szCs w:val="20"/>
                <w:lang w:eastAsia="en-GB"/>
              </w:rPr>
              <w:t xml:space="preserve"> [</w:t>
            </w:r>
            <w:r w:rsidR="0040630E" w:rsidRPr="009B3747">
              <w:rPr>
                <w:rStyle w:val="Emphasis"/>
                <w:rFonts w:cstheme="minorHAnsi"/>
                <w:bCs/>
                <w:i w:val="0"/>
                <w:iCs w:val="0"/>
                <w:color w:val="000000" w:themeColor="text1"/>
                <w:sz w:val="20"/>
                <w:szCs w:val="20"/>
                <w:shd w:val="clear" w:color="auto" w:fill="FFFFFF"/>
              </w:rPr>
              <w:t>Income Deprivation Affecting Children Index</w:t>
            </w:r>
            <w:r w:rsidR="0040630E" w:rsidRPr="009B3747">
              <w:rPr>
                <w:rFonts w:cstheme="minorHAnsi"/>
                <w:i/>
                <w:color w:val="000000" w:themeColor="text1"/>
                <w:sz w:val="20"/>
                <w:szCs w:val="20"/>
                <w:shd w:val="clear" w:color="auto" w:fill="FFFFFF"/>
              </w:rPr>
              <w:t>]</w:t>
            </w:r>
            <w:r w:rsidR="00827CCD" w:rsidRPr="009B3747">
              <w:rPr>
                <w:rFonts w:eastAsia="Times New Roman" w:cstheme="minorHAnsi"/>
                <w:i/>
                <w:color w:val="000000" w:themeColor="text1"/>
                <w:sz w:val="20"/>
                <w:szCs w:val="20"/>
                <w:lang w:eastAsia="en-GB"/>
              </w:rPr>
              <w:t xml:space="preserve"> factors eat more c</w:t>
            </w:r>
            <w:r>
              <w:rPr>
                <w:rFonts w:eastAsia="Times New Roman" w:cstheme="minorHAnsi"/>
                <w:i/>
                <w:color w:val="000000" w:themeColor="text1"/>
                <w:sz w:val="20"/>
                <w:szCs w:val="20"/>
                <w:lang w:eastAsia="en-GB"/>
              </w:rPr>
              <w:t xml:space="preserve">arbohydrate and fat based foods, </w:t>
            </w:r>
            <w:r w:rsidR="00827CCD" w:rsidRPr="009B3747">
              <w:rPr>
                <w:rFonts w:eastAsia="Times New Roman" w:cstheme="minorHAnsi"/>
                <w:i/>
                <w:color w:val="000000" w:themeColor="text1"/>
                <w:sz w:val="20"/>
                <w:szCs w:val="20"/>
                <w:lang w:eastAsia="en-GB"/>
              </w:rPr>
              <w:t xml:space="preserve">i.e. inexpensive than more healthy </w:t>
            </w:r>
            <w:r w:rsidR="00827CCD" w:rsidRPr="009B3747">
              <w:rPr>
                <w:rFonts w:eastAsia="Times New Roman" w:cstheme="minorHAnsi"/>
                <w:i/>
                <w:color w:val="000000"/>
                <w:sz w:val="20"/>
                <w:szCs w:val="20"/>
                <w:lang w:eastAsia="en-GB"/>
              </w:rPr>
              <w:t>options”</w:t>
            </w:r>
            <w:r w:rsidR="0040630E" w:rsidRPr="009B3747">
              <w:rPr>
                <w:rFonts w:eastAsia="Times New Roman" w:cstheme="minorHAnsi"/>
                <w:color w:val="000000"/>
                <w:sz w:val="20"/>
                <w:szCs w:val="20"/>
                <w:lang w:eastAsia="en-GB"/>
              </w:rPr>
              <w:t xml:space="preserve"> </w:t>
            </w:r>
            <w:r w:rsidR="0040630E" w:rsidRPr="009B3747">
              <w:rPr>
                <w:rFonts w:eastAsia="Times New Roman" w:cstheme="minorHAnsi"/>
                <w:b/>
                <w:color w:val="000000"/>
                <w:sz w:val="20"/>
                <w:szCs w:val="20"/>
                <w:lang w:eastAsia="en-GB"/>
              </w:rPr>
              <w:t>(Headteacher)</w:t>
            </w:r>
          </w:p>
        </w:tc>
      </w:tr>
    </w:tbl>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lastRenderedPageBreak/>
        <w:t>  </w:t>
      </w:r>
    </w:p>
    <w:p w:rsidR="00827CCD" w:rsidRPr="009B3747" w:rsidRDefault="00827CCD" w:rsidP="00827CCD">
      <w:pPr>
        <w:rPr>
          <w:rFonts w:eastAsia="Times New Roman" w:cstheme="minorHAnsi"/>
          <w:color w:val="000000"/>
          <w:lang w:eastAsia="en-GB"/>
        </w:rPr>
      </w:pPr>
      <w:r w:rsidRPr="009B3747">
        <w:rPr>
          <w:rFonts w:eastAsia="Times New Roman" w:cstheme="minorHAnsi"/>
          <w:color w:val="000000"/>
          <w:shd w:val="clear" w:color="auto" w:fill="FFFFFF"/>
          <w:lang w:eastAsia="en-GB"/>
        </w:rPr>
        <w:t xml:space="preserve">For </w:t>
      </w:r>
      <w:r w:rsidRPr="009B3747">
        <w:rPr>
          <w:rFonts w:eastAsia="Times New Roman" w:cstheme="minorHAnsi"/>
          <w:color w:val="000000"/>
          <w:lang w:eastAsia="en-GB"/>
        </w:rPr>
        <w:t xml:space="preserve">one question an error was made in how the </w:t>
      </w:r>
      <w:r w:rsidR="00653F9F" w:rsidRPr="009B3747">
        <w:rPr>
          <w:rFonts w:eastAsia="Times New Roman" w:cstheme="minorHAnsi"/>
          <w:color w:val="000000"/>
          <w:lang w:eastAsia="en-GB"/>
        </w:rPr>
        <w:t>Likert</w:t>
      </w:r>
      <w:r w:rsidRPr="009B3747">
        <w:rPr>
          <w:rFonts w:eastAsia="Times New Roman" w:cstheme="minorHAnsi"/>
          <w:color w:val="000000"/>
          <w:lang w:eastAsia="en-GB"/>
        </w:rPr>
        <w:t xml:space="preserve"> scale was labelled within the questionnaire.  The option ‘Neither agree or disagree’ was repeated instead of using the required ‘Strongly agree’.  Consequently, this affected how the data was coded by the online data</w:t>
      </w:r>
      <w:r w:rsidR="00905E14">
        <w:rPr>
          <w:rFonts w:eastAsia="Times New Roman" w:cstheme="minorHAnsi"/>
          <w:color w:val="000000"/>
          <w:lang w:eastAsia="en-GB"/>
        </w:rPr>
        <w:t xml:space="preserve"> collection tool (Google Forms), </w:t>
      </w:r>
      <w:r w:rsidRPr="009B3747">
        <w:rPr>
          <w:rFonts w:eastAsia="Times New Roman" w:cstheme="minorHAnsi"/>
          <w:color w:val="000000"/>
          <w:lang w:eastAsia="en-GB"/>
        </w:rPr>
        <w:t xml:space="preserve">and resulted in responses from these two </w:t>
      </w:r>
      <w:r w:rsidR="00653F9F" w:rsidRPr="009B3747">
        <w:rPr>
          <w:rFonts w:eastAsia="Times New Roman" w:cstheme="minorHAnsi"/>
          <w:color w:val="000000"/>
          <w:lang w:eastAsia="en-GB"/>
        </w:rPr>
        <w:t>Likert</w:t>
      </w:r>
      <w:r w:rsidRPr="009B3747">
        <w:rPr>
          <w:rFonts w:eastAsia="Times New Roman" w:cstheme="minorHAnsi"/>
          <w:color w:val="000000"/>
          <w:lang w:eastAsia="en-GB"/>
        </w:rPr>
        <w:t xml:space="preserve"> scale options being rendered </w:t>
      </w:r>
      <w:r w:rsidR="006B3384" w:rsidRPr="009B3747">
        <w:rPr>
          <w:rFonts w:eastAsia="Times New Roman" w:cstheme="minorHAnsi"/>
          <w:color w:val="000000"/>
          <w:lang w:eastAsia="en-GB"/>
        </w:rPr>
        <w:t>unusable fo</w:t>
      </w:r>
      <w:r w:rsidR="00653F9F" w:rsidRPr="009B3747">
        <w:rPr>
          <w:rFonts w:eastAsia="Times New Roman" w:cstheme="minorHAnsi"/>
          <w:color w:val="000000"/>
          <w:lang w:eastAsia="en-GB"/>
        </w:rPr>
        <w:t>r analysis.  Table 8.6</w:t>
      </w:r>
      <w:r w:rsidRPr="009B3747">
        <w:rPr>
          <w:rFonts w:eastAsia="Times New Roman" w:cstheme="minorHAnsi"/>
          <w:color w:val="000000"/>
          <w:lang w:eastAsia="en-GB"/>
        </w:rPr>
        <w:t xml:space="preserve"> provides a summary of responses received for the correctly named labels ‘Strongly disagree’, ‘Disagree’ and ‘Agree’ and the percentage of responses deemed unusable.</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BB6E36" w:rsidRPr="009B3747" w:rsidRDefault="00653F9F" w:rsidP="00BB6E36">
      <w:pPr>
        <w:rPr>
          <w:rFonts w:eastAsia="Times New Roman" w:cstheme="minorHAnsi"/>
          <w:u w:val="single"/>
          <w:lang w:eastAsia="en-GB"/>
        </w:rPr>
      </w:pPr>
      <w:r w:rsidRPr="009B3747">
        <w:rPr>
          <w:rFonts w:eastAsia="Times New Roman" w:cstheme="minorHAnsi"/>
          <w:u w:val="single"/>
          <w:lang w:eastAsia="en-GB"/>
        </w:rPr>
        <w:t>Table 8.6</w:t>
      </w:r>
      <w:r w:rsidR="00BB6E36" w:rsidRPr="009B3747">
        <w:rPr>
          <w:rFonts w:eastAsia="Times New Roman" w:cstheme="minorHAnsi"/>
          <w:u w:val="single"/>
          <w:lang w:eastAsia="en-GB"/>
        </w:rPr>
        <w:t xml:space="preserve"> – Summary of responses (percentages) regarding facilitators </w:t>
      </w:r>
    </w:p>
    <w:p w:rsidR="007E3DE9" w:rsidRPr="009B3747" w:rsidRDefault="007E3DE9" w:rsidP="00BB6E36">
      <w:pPr>
        <w:rPr>
          <w:rFonts w:eastAsia="Times New Roman" w:cstheme="minorHAnsi"/>
          <w:u w:val="single"/>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5904"/>
        <w:gridCol w:w="555"/>
        <w:gridCol w:w="555"/>
        <w:gridCol w:w="555"/>
        <w:gridCol w:w="1437"/>
      </w:tblGrid>
      <w:tr w:rsidR="00827CCD" w:rsidRPr="009B3747" w:rsidTr="00827CCD">
        <w:trPr>
          <w:trHeight w:val="780"/>
        </w:trPr>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827CCD" w:rsidRPr="009B3747" w:rsidRDefault="00827CCD" w:rsidP="00827CCD">
            <w:pPr>
              <w:rPr>
                <w:rFonts w:eastAsia="Times New Roman" w:cstheme="minorHAnsi"/>
                <w:sz w:val="24"/>
                <w:szCs w:val="24"/>
                <w:lang w:eastAsia="en-GB"/>
              </w:rPr>
            </w:pPr>
            <w:r w:rsidRPr="009B3747">
              <w:rPr>
                <w:rFonts w:eastAsia="Times New Roman" w:cstheme="minorHAnsi"/>
                <w:b/>
                <w:bCs/>
                <w:color w:val="000000"/>
                <w:lang w:eastAsia="en-GB"/>
              </w:rPr>
              <w:t>The following facilitators would help my secondary school to prevent excess weight gain in secondary school pupils -</w:t>
            </w: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827CCD" w:rsidRPr="009B3747" w:rsidRDefault="00827CCD" w:rsidP="00827CCD">
            <w:pPr>
              <w:jc w:val="center"/>
              <w:rPr>
                <w:rFonts w:eastAsia="Times New Roman" w:cstheme="minorHAnsi"/>
                <w:sz w:val="24"/>
                <w:szCs w:val="24"/>
                <w:lang w:eastAsia="en-GB"/>
              </w:rPr>
            </w:pPr>
            <w:r w:rsidRPr="009B3747">
              <w:rPr>
                <w:rFonts w:eastAsia="Times New Roman" w:cstheme="minorHAnsi"/>
                <w:b/>
                <w:bCs/>
                <w:color w:val="000000"/>
                <w:u w:val="single"/>
                <w:lang w:eastAsia="en-GB"/>
              </w:rPr>
              <w:t>SD</w:t>
            </w:r>
          </w:p>
          <w:p w:rsidR="00827CCD" w:rsidRPr="009B3747" w:rsidRDefault="00827CCD" w:rsidP="00827CCD">
            <w:pPr>
              <w:jc w:val="center"/>
              <w:rPr>
                <w:rFonts w:eastAsia="Times New Roman" w:cstheme="minorHAnsi"/>
                <w:sz w:val="24"/>
                <w:szCs w:val="24"/>
                <w:lang w:eastAsia="en-GB"/>
              </w:rPr>
            </w:pPr>
            <w:r w:rsidRPr="009B3747">
              <w:rPr>
                <w:rFonts w:eastAsia="Times New Roman" w:cstheme="minorHAnsi"/>
                <w:b/>
                <w:bCs/>
                <w:color w:val="000000"/>
                <w:sz w:val="20"/>
                <w:szCs w:val="20"/>
                <w:lang w:eastAsia="en-GB"/>
              </w:rPr>
              <w:t>(%)</w:t>
            </w: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827CCD" w:rsidRPr="009B3747" w:rsidRDefault="00827CCD" w:rsidP="00827CCD">
            <w:pPr>
              <w:jc w:val="center"/>
              <w:rPr>
                <w:rFonts w:eastAsia="Times New Roman" w:cstheme="minorHAnsi"/>
                <w:sz w:val="24"/>
                <w:szCs w:val="24"/>
                <w:lang w:eastAsia="en-GB"/>
              </w:rPr>
            </w:pPr>
            <w:r w:rsidRPr="009B3747">
              <w:rPr>
                <w:rFonts w:eastAsia="Times New Roman" w:cstheme="minorHAnsi"/>
                <w:b/>
                <w:bCs/>
                <w:color w:val="000000"/>
                <w:u w:val="single"/>
                <w:lang w:eastAsia="en-GB"/>
              </w:rPr>
              <w:t>D</w:t>
            </w:r>
          </w:p>
          <w:p w:rsidR="00827CCD" w:rsidRPr="009B3747" w:rsidRDefault="00827CCD" w:rsidP="00827CCD">
            <w:pPr>
              <w:jc w:val="center"/>
              <w:rPr>
                <w:rFonts w:eastAsia="Times New Roman" w:cstheme="minorHAnsi"/>
                <w:sz w:val="24"/>
                <w:szCs w:val="24"/>
                <w:lang w:eastAsia="en-GB"/>
              </w:rPr>
            </w:pPr>
            <w:r w:rsidRPr="009B3747">
              <w:rPr>
                <w:rFonts w:eastAsia="Times New Roman" w:cstheme="minorHAnsi"/>
                <w:b/>
                <w:bCs/>
                <w:color w:val="000000"/>
                <w:sz w:val="20"/>
                <w:szCs w:val="20"/>
                <w:lang w:eastAsia="en-GB"/>
              </w:rPr>
              <w:t>(%)</w:t>
            </w: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827CCD" w:rsidRPr="009B3747" w:rsidRDefault="00827CCD" w:rsidP="00827CCD">
            <w:pPr>
              <w:jc w:val="center"/>
              <w:rPr>
                <w:rFonts w:eastAsia="Times New Roman" w:cstheme="minorHAnsi"/>
                <w:sz w:val="24"/>
                <w:szCs w:val="24"/>
                <w:lang w:eastAsia="en-GB"/>
              </w:rPr>
            </w:pPr>
            <w:r w:rsidRPr="009B3747">
              <w:rPr>
                <w:rFonts w:eastAsia="Times New Roman" w:cstheme="minorHAnsi"/>
                <w:b/>
                <w:bCs/>
                <w:color w:val="000000"/>
                <w:u w:val="single"/>
                <w:lang w:eastAsia="en-GB"/>
              </w:rPr>
              <w:t>A</w:t>
            </w:r>
          </w:p>
          <w:p w:rsidR="00827CCD" w:rsidRPr="009B3747" w:rsidRDefault="00827CCD" w:rsidP="00827CCD">
            <w:pPr>
              <w:jc w:val="center"/>
              <w:rPr>
                <w:rFonts w:eastAsia="Times New Roman" w:cstheme="minorHAnsi"/>
                <w:sz w:val="24"/>
                <w:szCs w:val="24"/>
                <w:lang w:eastAsia="en-GB"/>
              </w:rPr>
            </w:pPr>
            <w:r w:rsidRPr="009B3747">
              <w:rPr>
                <w:rFonts w:eastAsia="Times New Roman" w:cstheme="minorHAnsi"/>
                <w:b/>
                <w:bCs/>
                <w:color w:val="000000"/>
                <w:sz w:val="20"/>
                <w:szCs w:val="20"/>
                <w:lang w:eastAsia="en-GB"/>
              </w:rPr>
              <w:t>(%)</w:t>
            </w: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827CCD" w:rsidRPr="009B3747" w:rsidRDefault="00827CCD" w:rsidP="00827CCD">
            <w:pPr>
              <w:jc w:val="center"/>
              <w:rPr>
                <w:rFonts w:eastAsia="Times New Roman" w:cstheme="minorHAnsi"/>
                <w:sz w:val="24"/>
                <w:szCs w:val="24"/>
                <w:lang w:eastAsia="en-GB"/>
              </w:rPr>
            </w:pPr>
            <w:r w:rsidRPr="009B3747">
              <w:rPr>
                <w:rFonts w:eastAsia="Times New Roman" w:cstheme="minorHAnsi"/>
                <w:b/>
                <w:bCs/>
                <w:color w:val="FF0000"/>
                <w:sz w:val="20"/>
                <w:szCs w:val="20"/>
                <w:u w:val="single"/>
                <w:lang w:eastAsia="en-GB"/>
              </w:rPr>
              <w:t>Unusable responses</w:t>
            </w:r>
          </w:p>
          <w:p w:rsidR="00827CCD" w:rsidRPr="009B3747" w:rsidRDefault="00827CCD" w:rsidP="00827CCD">
            <w:pPr>
              <w:jc w:val="center"/>
              <w:rPr>
                <w:rFonts w:eastAsia="Times New Roman" w:cstheme="minorHAnsi"/>
                <w:sz w:val="24"/>
                <w:szCs w:val="24"/>
                <w:lang w:eastAsia="en-GB"/>
              </w:rPr>
            </w:pPr>
            <w:r w:rsidRPr="009B3747">
              <w:rPr>
                <w:rFonts w:eastAsia="Times New Roman" w:cstheme="minorHAnsi"/>
                <w:b/>
                <w:bCs/>
                <w:color w:val="FF0000"/>
                <w:sz w:val="20"/>
                <w:szCs w:val="20"/>
                <w:u w:val="single"/>
                <w:lang w:eastAsia="en-GB"/>
              </w:rPr>
              <w:t>(%)</w:t>
            </w:r>
          </w:p>
        </w:tc>
      </w:tr>
      <w:tr w:rsidR="00827CCD" w:rsidRPr="009B3747" w:rsidTr="00827CCD">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sz w:val="20"/>
                <w:szCs w:val="20"/>
                <w:lang w:eastAsia="en-GB"/>
              </w:rPr>
              <w:t>Training about excess weight prevention for school staff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827CCD">
            <w:pPr>
              <w:jc w:val="center"/>
              <w:rPr>
                <w:rFonts w:eastAsia="Times New Roman" w:cstheme="minorHAnsi"/>
                <w:sz w:val="24"/>
                <w:szCs w:val="24"/>
                <w:lang w:eastAsia="en-GB"/>
              </w:rPr>
            </w:pPr>
            <w:r w:rsidRPr="009B3747">
              <w:rPr>
                <w:rFonts w:eastAsia="Times New Roman" w:cstheme="minorHAnsi"/>
                <w:color w:val="000000"/>
                <w:sz w:val="20"/>
                <w:szCs w:val="20"/>
                <w:lang w:eastAsia="en-GB"/>
              </w:rPr>
              <w:t>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827CCD">
            <w:pPr>
              <w:jc w:val="center"/>
              <w:rPr>
                <w:rFonts w:eastAsia="Times New Roman" w:cstheme="minorHAnsi"/>
                <w:sz w:val="24"/>
                <w:szCs w:val="24"/>
                <w:lang w:eastAsia="en-GB"/>
              </w:rPr>
            </w:pPr>
            <w:r w:rsidRPr="009B3747">
              <w:rPr>
                <w:rFonts w:eastAsia="Times New Roman" w:cstheme="minorHAnsi"/>
                <w:color w:val="000000"/>
                <w:sz w:val="20"/>
                <w:szCs w:val="20"/>
                <w:lang w:eastAsia="en-GB"/>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827CCD">
            <w:pPr>
              <w:jc w:val="center"/>
              <w:rPr>
                <w:rFonts w:eastAsia="Times New Roman" w:cstheme="minorHAnsi"/>
                <w:sz w:val="24"/>
                <w:szCs w:val="24"/>
                <w:lang w:eastAsia="en-GB"/>
              </w:rPr>
            </w:pPr>
            <w:r w:rsidRPr="009B3747">
              <w:rPr>
                <w:rFonts w:eastAsia="Times New Roman" w:cstheme="minorHAnsi"/>
                <w:color w:val="000000"/>
                <w:sz w:val="20"/>
                <w:szCs w:val="20"/>
                <w:lang w:eastAsia="en-GB"/>
              </w:rPr>
              <w:t>50.4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827CCD">
            <w:pPr>
              <w:jc w:val="center"/>
              <w:rPr>
                <w:rFonts w:eastAsia="Times New Roman" w:cstheme="minorHAnsi"/>
                <w:sz w:val="24"/>
                <w:szCs w:val="24"/>
                <w:lang w:eastAsia="en-GB"/>
              </w:rPr>
            </w:pPr>
            <w:r w:rsidRPr="009B3747">
              <w:rPr>
                <w:rFonts w:eastAsia="Times New Roman" w:cstheme="minorHAnsi"/>
                <w:color w:val="FF0000"/>
                <w:sz w:val="20"/>
                <w:szCs w:val="20"/>
                <w:lang w:eastAsia="en-GB"/>
              </w:rPr>
              <w:t>30.7</w:t>
            </w:r>
          </w:p>
        </w:tc>
      </w:tr>
      <w:tr w:rsidR="00827CCD" w:rsidRPr="009B3747" w:rsidTr="00827CCD">
        <w:trPr>
          <w:trHeight w:val="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sz w:val="20"/>
                <w:szCs w:val="20"/>
                <w:shd w:val="clear" w:color="auto" w:fill="FFFFFF"/>
                <w:lang w:eastAsia="en-GB"/>
              </w:rPr>
              <w:t>Ofsted monitoring of school action that contributes to prevention of excess weight gain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827CCD">
            <w:pPr>
              <w:jc w:val="center"/>
              <w:rPr>
                <w:rFonts w:eastAsia="Times New Roman" w:cstheme="minorHAnsi"/>
                <w:sz w:val="24"/>
                <w:szCs w:val="24"/>
                <w:lang w:eastAsia="en-GB"/>
              </w:rPr>
            </w:pPr>
            <w:r w:rsidRPr="009B3747">
              <w:rPr>
                <w:rFonts w:eastAsia="Times New Roman" w:cstheme="minorHAnsi"/>
                <w:color w:val="000000"/>
                <w:sz w:val="20"/>
                <w:szCs w:val="20"/>
                <w:lang w:eastAsia="en-GB"/>
              </w:rPr>
              <w:t>21.3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827CCD">
            <w:pPr>
              <w:jc w:val="center"/>
              <w:rPr>
                <w:rFonts w:eastAsia="Times New Roman" w:cstheme="minorHAnsi"/>
                <w:sz w:val="24"/>
                <w:szCs w:val="24"/>
                <w:lang w:eastAsia="en-GB"/>
              </w:rPr>
            </w:pPr>
            <w:r w:rsidRPr="009B3747">
              <w:rPr>
                <w:rFonts w:eastAsia="Times New Roman" w:cstheme="minorHAnsi"/>
                <w:color w:val="000000"/>
                <w:sz w:val="20"/>
                <w:szCs w:val="20"/>
                <w:lang w:eastAsia="en-GB"/>
              </w:rPr>
              <w:t>33.1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827CCD">
            <w:pPr>
              <w:jc w:val="center"/>
              <w:rPr>
                <w:rFonts w:eastAsia="Times New Roman" w:cstheme="minorHAnsi"/>
                <w:sz w:val="24"/>
                <w:szCs w:val="24"/>
                <w:lang w:eastAsia="en-GB"/>
              </w:rPr>
            </w:pPr>
            <w:r w:rsidRPr="009B3747">
              <w:rPr>
                <w:rFonts w:eastAsia="Times New Roman" w:cstheme="minorHAnsi"/>
                <w:color w:val="000000"/>
                <w:sz w:val="20"/>
                <w:szCs w:val="20"/>
                <w:lang w:eastAsia="en-GB"/>
              </w:rPr>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827CCD">
            <w:pPr>
              <w:jc w:val="center"/>
              <w:rPr>
                <w:rFonts w:eastAsia="Times New Roman" w:cstheme="minorHAnsi"/>
                <w:sz w:val="24"/>
                <w:szCs w:val="24"/>
                <w:lang w:eastAsia="en-GB"/>
              </w:rPr>
            </w:pPr>
            <w:r w:rsidRPr="009B3747">
              <w:rPr>
                <w:rFonts w:eastAsia="Times New Roman" w:cstheme="minorHAnsi"/>
                <w:color w:val="FF0000"/>
                <w:sz w:val="20"/>
                <w:szCs w:val="20"/>
                <w:lang w:eastAsia="en-GB"/>
              </w:rPr>
              <w:t>27.6</w:t>
            </w:r>
          </w:p>
        </w:tc>
      </w:tr>
      <w:tr w:rsidR="00827CCD" w:rsidRPr="009B3747" w:rsidTr="00827CCD">
        <w:trPr>
          <w:trHeight w:val="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sz w:val="20"/>
                <w:szCs w:val="20"/>
                <w:lang w:eastAsia="en-GB"/>
              </w:rPr>
              <w:t>Government funding for action contributing to excess weight prevention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827CCD">
            <w:pPr>
              <w:jc w:val="center"/>
              <w:rPr>
                <w:rFonts w:eastAsia="Times New Roman" w:cstheme="minorHAnsi"/>
                <w:sz w:val="24"/>
                <w:szCs w:val="24"/>
                <w:lang w:eastAsia="en-GB"/>
              </w:rPr>
            </w:pPr>
            <w:r w:rsidRPr="009B3747">
              <w:rPr>
                <w:rFonts w:eastAsia="Times New Roman" w:cstheme="minorHAnsi"/>
                <w:color w:val="000000"/>
                <w:sz w:val="20"/>
                <w:szCs w:val="20"/>
                <w:lang w:eastAsia="en-GB"/>
              </w:rPr>
              <w:t>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827CCD">
            <w:pPr>
              <w:jc w:val="center"/>
              <w:rPr>
                <w:rFonts w:eastAsia="Times New Roman" w:cstheme="minorHAnsi"/>
                <w:sz w:val="24"/>
                <w:szCs w:val="24"/>
                <w:lang w:eastAsia="en-GB"/>
              </w:rPr>
            </w:pPr>
            <w:r w:rsidRPr="009B3747">
              <w:rPr>
                <w:rFonts w:eastAsia="Times New Roman" w:cstheme="minorHAnsi"/>
                <w:color w:val="000000"/>
                <w:sz w:val="20"/>
                <w:szCs w:val="20"/>
                <w:lang w:eastAsia="en-GB"/>
              </w:rPr>
              <w:t>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827CCD">
            <w:pPr>
              <w:jc w:val="center"/>
              <w:rPr>
                <w:rFonts w:eastAsia="Times New Roman" w:cstheme="minorHAnsi"/>
                <w:sz w:val="24"/>
                <w:szCs w:val="24"/>
                <w:lang w:eastAsia="en-GB"/>
              </w:rPr>
            </w:pPr>
            <w:r w:rsidRPr="009B3747">
              <w:rPr>
                <w:rFonts w:eastAsia="Times New Roman" w:cstheme="minorHAnsi"/>
                <w:color w:val="000000"/>
                <w:sz w:val="20"/>
                <w:szCs w:val="20"/>
                <w:lang w:eastAsia="en-GB"/>
              </w:rPr>
              <w:t>63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827CCD">
            <w:pPr>
              <w:jc w:val="center"/>
              <w:rPr>
                <w:rFonts w:eastAsia="Times New Roman" w:cstheme="minorHAnsi"/>
                <w:sz w:val="24"/>
                <w:szCs w:val="24"/>
                <w:lang w:eastAsia="en-GB"/>
              </w:rPr>
            </w:pPr>
            <w:r w:rsidRPr="009B3747">
              <w:rPr>
                <w:rFonts w:eastAsia="Times New Roman" w:cstheme="minorHAnsi"/>
                <w:color w:val="FF0000"/>
                <w:sz w:val="20"/>
                <w:szCs w:val="20"/>
                <w:lang w:eastAsia="en-GB"/>
              </w:rPr>
              <w:t>26.8</w:t>
            </w:r>
          </w:p>
        </w:tc>
      </w:tr>
      <w:tr w:rsidR="00827CCD" w:rsidRPr="009B3747" w:rsidTr="00827CCD">
        <w:trPr>
          <w:trHeight w:val="3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sz w:val="20"/>
                <w:szCs w:val="20"/>
                <w:lang w:eastAsia="en-GB"/>
              </w:rPr>
              <w:t>Greater ability to determine my school priorities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827CCD">
            <w:pPr>
              <w:jc w:val="center"/>
              <w:rPr>
                <w:rFonts w:eastAsia="Times New Roman" w:cstheme="minorHAnsi"/>
                <w:sz w:val="24"/>
                <w:szCs w:val="24"/>
                <w:lang w:eastAsia="en-GB"/>
              </w:rPr>
            </w:pPr>
            <w:r w:rsidRPr="009B3747">
              <w:rPr>
                <w:rFonts w:eastAsia="Times New Roman" w:cstheme="minorHAnsi"/>
                <w:color w:val="000000"/>
                <w:sz w:val="20"/>
                <w:szCs w:val="20"/>
                <w:lang w:eastAsia="en-GB"/>
              </w:rPr>
              <w:t>6.3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827CCD">
            <w:pPr>
              <w:jc w:val="center"/>
              <w:rPr>
                <w:rFonts w:eastAsia="Times New Roman" w:cstheme="minorHAnsi"/>
                <w:sz w:val="24"/>
                <w:szCs w:val="24"/>
                <w:lang w:eastAsia="en-GB"/>
              </w:rPr>
            </w:pPr>
            <w:r w:rsidRPr="009B3747">
              <w:rPr>
                <w:rFonts w:eastAsia="Times New Roman" w:cstheme="minorHAnsi"/>
                <w:color w:val="000000"/>
                <w:sz w:val="20"/>
                <w:szCs w:val="20"/>
                <w:lang w:eastAsia="en-GB"/>
              </w:rPr>
              <w:t>25.2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827CCD">
            <w:pPr>
              <w:jc w:val="center"/>
              <w:rPr>
                <w:rFonts w:eastAsia="Times New Roman" w:cstheme="minorHAnsi"/>
                <w:sz w:val="24"/>
                <w:szCs w:val="24"/>
                <w:lang w:eastAsia="en-GB"/>
              </w:rPr>
            </w:pPr>
            <w:r w:rsidRPr="009B3747">
              <w:rPr>
                <w:rFonts w:eastAsia="Times New Roman" w:cstheme="minorHAnsi"/>
                <w:color w:val="000000"/>
                <w:sz w:val="20"/>
                <w:szCs w:val="20"/>
                <w:lang w:eastAsia="en-GB"/>
              </w:rPr>
              <w:t>26.8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827CCD">
            <w:pPr>
              <w:jc w:val="center"/>
              <w:rPr>
                <w:rFonts w:eastAsia="Times New Roman" w:cstheme="minorHAnsi"/>
                <w:sz w:val="24"/>
                <w:szCs w:val="24"/>
                <w:lang w:eastAsia="en-GB"/>
              </w:rPr>
            </w:pPr>
            <w:r w:rsidRPr="009B3747">
              <w:rPr>
                <w:rFonts w:eastAsia="Times New Roman" w:cstheme="minorHAnsi"/>
                <w:color w:val="FF0000"/>
                <w:sz w:val="20"/>
                <w:szCs w:val="20"/>
                <w:lang w:eastAsia="en-GB"/>
              </w:rPr>
              <w:t>41.7</w:t>
            </w:r>
          </w:p>
        </w:tc>
      </w:tr>
      <w:tr w:rsidR="00827CCD" w:rsidRPr="009B3747" w:rsidTr="00827CCD">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sz w:val="20"/>
                <w:szCs w:val="20"/>
                <w:lang w:eastAsia="en-GB"/>
              </w:rPr>
              <w:t>National guidelines for preventing excess weight gain in secondary school pupils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827CCD">
            <w:pPr>
              <w:jc w:val="center"/>
              <w:rPr>
                <w:rFonts w:eastAsia="Times New Roman" w:cstheme="minorHAnsi"/>
                <w:sz w:val="24"/>
                <w:szCs w:val="24"/>
                <w:lang w:eastAsia="en-GB"/>
              </w:rPr>
            </w:pPr>
            <w:r w:rsidRPr="009B3747">
              <w:rPr>
                <w:rFonts w:eastAsia="Times New Roman" w:cstheme="minorHAnsi"/>
                <w:color w:val="000000"/>
                <w:sz w:val="20"/>
                <w:szCs w:val="20"/>
                <w:lang w:eastAsia="en-GB"/>
              </w:rPr>
              <w:t>6.3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827CCD">
            <w:pPr>
              <w:jc w:val="center"/>
              <w:rPr>
                <w:rFonts w:eastAsia="Times New Roman" w:cstheme="minorHAnsi"/>
                <w:sz w:val="24"/>
                <w:szCs w:val="24"/>
                <w:lang w:eastAsia="en-GB"/>
              </w:rPr>
            </w:pPr>
            <w:r w:rsidRPr="009B3747">
              <w:rPr>
                <w:rFonts w:eastAsia="Times New Roman" w:cstheme="minorHAnsi"/>
                <w:color w:val="000000"/>
                <w:sz w:val="20"/>
                <w:szCs w:val="20"/>
                <w:lang w:eastAsia="en-GB"/>
              </w:rPr>
              <w:t>10.2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827CCD">
            <w:pPr>
              <w:jc w:val="center"/>
              <w:rPr>
                <w:rFonts w:eastAsia="Times New Roman" w:cstheme="minorHAnsi"/>
                <w:sz w:val="24"/>
                <w:szCs w:val="24"/>
                <w:lang w:eastAsia="en-GB"/>
              </w:rPr>
            </w:pPr>
            <w:r w:rsidRPr="009B3747">
              <w:rPr>
                <w:rFonts w:eastAsia="Times New Roman" w:cstheme="minorHAnsi"/>
                <w:color w:val="000000"/>
                <w:sz w:val="20"/>
                <w:szCs w:val="20"/>
                <w:shd w:val="clear" w:color="auto" w:fill="FFFFFF"/>
                <w:lang w:eastAsia="en-GB"/>
              </w:rPr>
              <w:t>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827CCD">
            <w:pPr>
              <w:jc w:val="center"/>
              <w:rPr>
                <w:rFonts w:eastAsia="Times New Roman" w:cstheme="minorHAnsi"/>
                <w:sz w:val="24"/>
                <w:szCs w:val="24"/>
                <w:lang w:eastAsia="en-GB"/>
              </w:rPr>
            </w:pPr>
            <w:r w:rsidRPr="009B3747">
              <w:rPr>
                <w:rFonts w:eastAsia="Times New Roman" w:cstheme="minorHAnsi"/>
                <w:color w:val="FF0000"/>
                <w:sz w:val="20"/>
                <w:szCs w:val="20"/>
                <w:lang w:eastAsia="en-GB"/>
              </w:rPr>
              <w:t>31.5</w:t>
            </w:r>
          </w:p>
        </w:tc>
      </w:tr>
    </w:tbl>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r w:rsidRPr="009B3747">
        <w:rPr>
          <w:rFonts w:eastAsia="Times New Roman" w:cstheme="minorHAnsi"/>
          <w:color w:val="000000"/>
          <w:lang w:eastAsia="en-GB"/>
        </w:rPr>
        <w:t xml:space="preserve">From the table presented above, it is possible to identify that approximately half of participants agreed that training for school staff (50.4%) and national guidelines (52%) would help secondary </w:t>
      </w:r>
      <w:r w:rsidRPr="009B3747">
        <w:rPr>
          <w:rFonts w:eastAsia="Times New Roman" w:cstheme="minorHAnsi"/>
          <w:color w:val="000000"/>
          <w:lang w:eastAsia="en-GB"/>
        </w:rPr>
        <w:lastRenderedPageBreak/>
        <w:t xml:space="preserve">schools prevent excess weight gain in secondary schools pupils.  Furthermore, a majority (63%) deemed that government funding for action contributing to excess weight prevention would be a facilitator.  In contrast, over half (54.4%) of respondents either disagreed or strongly disagreed that Ofsted monitoring school action would help secondary schools prevent excess weight gain in secondary school pupils.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 xml:space="preserve">In addition to the question and accompanying </w:t>
      </w:r>
      <w:r w:rsidR="00653F9F" w:rsidRPr="009B3747">
        <w:rPr>
          <w:rFonts w:eastAsia="Times New Roman" w:cstheme="minorHAnsi"/>
          <w:color w:val="000000"/>
          <w:lang w:eastAsia="en-GB"/>
        </w:rPr>
        <w:t>Likert</w:t>
      </w:r>
      <w:r w:rsidRPr="009B3747">
        <w:rPr>
          <w:rFonts w:eastAsia="Times New Roman" w:cstheme="minorHAnsi"/>
          <w:color w:val="000000"/>
          <w:lang w:eastAsia="en-GB"/>
        </w:rPr>
        <w:t xml:space="preserve"> scales regarding facilitators, participants were presented with the fo</w:t>
      </w:r>
      <w:r w:rsidR="007E3DE9" w:rsidRPr="009B3747">
        <w:rPr>
          <w:rFonts w:eastAsia="Times New Roman" w:cstheme="minorHAnsi"/>
          <w:color w:val="000000"/>
          <w:lang w:eastAsia="en-GB"/>
        </w:rPr>
        <w:t>llowing open optional question:</w:t>
      </w:r>
      <w:r w:rsidRPr="009B3747">
        <w:rPr>
          <w:rFonts w:eastAsia="Times New Roman" w:cstheme="minorHAnsi"/>
          <w:color w:val="000000"/>
          <w:lang w:eastAsia="en-GB"/>
        </w:rPr>
        <w:t xml:space="preserve">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i/>
          <w:iCs/>
          <w:color w:val="000000"/>
          <w:lang w:eastAsia="en-GB"/>
        </w:rPr>
        <w:t>‘</w:t>
      </w:r>
      <w:r w:rsidRPr="009B3747">
        <w:rPr>
          <w:rFonts w:eastAsia="Times New Roman" w:cstheme="minorHAnsi"/>
          <w:i/>
          <w:iCs/>
          <w:color w:val="000000"/>
          <w:shd w:val="clear" w:color="auto" w:fill="FFFFFF"/>
          <w:lang w:eastAsia="en-GB"/>
        </w:rPr>
        <w:t xml:space="preserve">Please describe any other facilitators that would help your school to prevent excess weight gain in secondary school pupils’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shd w:val="clear" w:color="auto" w:fill="FFFFFF"/>
          <w:lang w:eastAsia="en-GB"/>
        </w:rPr>
        <w:t>In total 18 responses were received and reflected upon, with the researcher analysing the resultant</w:t>
      </w:r>
      <w:r w:rsidR="00912215" w:rsidRPr="009B3747">
        <w:rPr>
          <w:rFonts w:eastAsia="Times New Roman" w:cstheme="minorHAnsi"/>
          <w:color w:val="000000"/>
          <w:shd w:val="clear" w:color="auto" w:fill="FFFFFF"/>
          <w:lang w:eastAsia="en-GB"/>
        </w:rPr>
        <w:t xml:space="preserve"> text for commonality.  Table</w:t>
      </w:r>
      <w:r w:rsidR="00653F9F" w:rsidRPr="009B3747">
        <w:rPr>
          <w:rFonts w:eastAsia="Times New Roman" w:cstheme="minorHAnsi"/>
          <w:color w:val="000000"/>
          <w:shd w:val="clear" w:color="auto" w:fill="FFFFFF"/>
          <w:lang w:eastAsia="en-GB"/>
        </w:rPr>
        <w:t xml:space="preserve"> 8.7</w:t>
      </w:r>
      <w:r w:rsidRPr="009B3747">
        <w:rPr>
          <w:rFonts w:eastAsia="Times New Roman" w:cstheme="minorHAnsi"/>
          <w:color w:val="000000"/>
          <w:shd w:val="clear" w:color="auto" w:fill="FFFFFF"/>
          <w:lang w:eastAsia="en-GB"/>
        </w:rPr>
        <w:t xml:space="preserve"> therefore presents a summary of the ‘other facilitators’ provided by participations, in </w:t>
      </w:r>
      <w:r w:rsidR="009025E2">
        <w:rPr>
          <w:rFonts w:eastAsia="Times New Roman" w:cstheme="minorHAnsi"/>
          <w:color w:val="000000"/>
          <w:shd w:val="clear" w:color="auto" w:fill="FFFFFF"/>
          <w:lang w:eastAsia="en-GB"/>
        </w:rPr>
        <w:t xml:space="preserve">addition to verbatim quotations, </w:t>
      </w:r>
      <w:r w:rsidRPr="009B3747">
        <w:rPr>
          <w:rFonts w:eastAsia="Times New Roman" w:cstheme="minorHAnsi"/>
          <w:color w:val="000000"/>
          <w:shd w:val="clear" w:color="auto" w:fill="FFFFFF"/>
          <w:lang w:eastAsia="en-GB"/>
        </w:rPr>
        <w:t xml:space="preserve">which aim to illustrate the findings. </w:t>
      </w:r>
    </w:p>
    <w:p w:rsidR="00827CCD" w:rsidRPr="009B3747" w:rsidRDefault="00827CCD" w:rsidP="00827CCD">
      <w:pPr>
        <w:rPr>
          <w:rFonts w:eastAsia="Times New Roman" w:cstheme="minorHAnsi"/>
          <w:lang w:eastAsia="en-GB"/>
        </w:rPr>
      </w:pPr>
      <w:r w:rsidRPr="009B3747">
        <w:rPr>
          <w:rFonts w:eastAsia="Times New Roman" w:cstheme="minorHAnsi"/>
          <w:sz w:val="24"/>
          <w:szCs w:val="24"/>
          <w:lang w:eastAsia="en-GB"/>
        </w:rPr>
        <w:t> </w:t>
      </w:r>
    </w:p>
    <w:p w:rsidR="00F738CC" w:rsidRPr="009B3747" w:rsidRDefault="00653F9F" w:rsidP="00827CCD">
      <w:pPr>
        <w:rPr>
          <w:rFonts w:eastAsia="Times New Roman" w:cstheme="minorHAnsi"/>
          <w:u w:val="single"/>
          <w:lang w:eastAsia="en-GB"/>
        </w:rPr>
      </w:pPr>
      <w:r w:rsidRPr="009B3747">
        <w:rPr>
          <w:rFonts w:eastAsia="Times New Roman" w:cstheme="minorHAnsi"/>
          <w:u w:val="single"/>
          <w:lang w:eastAsia="en-GB"/>
        </w:rPr>
        <w:t>Table 8.7</w:t>
      </w:r>
      <w:r w:rsidR="00912215" w:rsidRPr="009B3747">
        <w:rPr>
          <w:rFonts w:eastAsia="Times New Roman" w:cstheme="minorHAnsi"/>
          <w:u w:val="single"/>
          <w:lang w:eastAsia="en-GB"/>
        </w:rPr>
        <w:t xml:space="preserve"> - </w:t>
      </w:r>
      <w:r w:rsidR="00BB6E36" w:rsidRPr="009B3747">
        <w:rPr>
          <w:rFonts w:eastAsia="Times New Roman" w:cstheme="minorHAnsi"/>
          <w:u w:val="single"/>
          <w:lang w:eastAsia="en-GB"/>
        </w:rPr>
        <w:t>Responses to open question</w:t>
      </w:r>
      <w:r w:rsidRPr="009B3747">
        <w:rPr>
          <w:rFonts w:eastAsia="Times New Roman" w:cstheme="minorHAnsi"/>
          <w:u w:val="single"/>
          <w:lang w:eastAsia="en-GB"/>
        </w:rPr>
        <w:t xml:space="preserve"> regarding ‘other facilitators’</w:t>
      </w:r>
    </w:p>
    <w:p w:rsidR="007E3DE9" w:rsidRPr="009B3747" w:rsidRDefault="007E3DE9" w:rsidP="00827CCD">
      <w:pPr>
        <w:rPr>
          <w:rFonts w:eastAsia="Times New Roman" w:cstheme="minorHAnsi"/>
          <w:u w:val="single"/>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4243"/>
        <w:gridCol w:w="4763"/>
      </w:tblGrid>
      <w:tr w:rsidR="00827CCD" w:rsidRPr="009B3747" w:rsidTr="00912215">
        <w:tc>
          <w:tcPr>
            <w:tcW w:w="42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912215">
            <w:pPr>
              <w:spacing w:line="240" w:lineRule="auto"/>
              <w:rPr>
                <w:rFonts w:eastAsia="Times New Roman" w:cstheme="minorHAnsi"/>
                <w:sz w:val="24"/>
                <w:szCs w:val="24"/>
                <w:lang w:eastAsia="en-GB"/>
              </w:rPr>
            </w:pPr>
            <w:r w:rsidRPr="009B3747">
              <w:rPr>
                <w:rFonts w:eastAsia="Times New Roman" w:cstheme="minorHAnsi"/>
                <w:b/>
                <w:bCs/>
                <w:color w:val="000000"/>
                <w:sz w:val="20"/>
                <w:szCs w:val="20"/>
                <w:shd w:val="clear" w:color="auto" w:fill="FFFFFF"/>
                <w:lang w:eastAsia="en-GB"/>
              </w:rPr>
              <w:t xml:space="preserve">Other facilitators </w:t>
            </w:r>
          </w:p>
        </w:tc>
        <w:tc>
          <w:tcPr>
            <w:tcW w:w="4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912215">
            <w:pPr>
              <w:spacing w:line="240" w:lineRule="auto"/>
              <w:rPr>
                <w:rFonts w:eastAsia="Times New Roman" w:cstheme="minorHAnsi"/>
                <w:sz w:val="24"/>
                <w:szCs w:val="24"/>
                <w:lang w:eastAsia="en-GB"/>
              </w:rPr>
            </w:pPr>
            <w:r w:rsidRPr="009B3747">
              <w:rPr>
                <w:rFonts w:eastAsia="Times New Roman" w:cstheme="minorHAnsi"/>
                <w:b/>
                <w:bCs/>
                <w:color w:val="000000"/>
                <w:sz w:val="20"/>
                <w:szCs w:val="20"/>
                <w:shd w:val="clear" w:color="auto" w:fill="FFFFFF"/>
                <w:lang w:eastAsia="en-GB"/>
              </w:rPr>
              <w:t>Verbatim quotation</w:t>
            </w:r>
          </w:p>
        </w:tc>
      </w:tr>
      <w:tr w:rsidR="00827CCD" w:rsidRPr="009B3747" w:rsidTr="00912215">
        <w:tc>
          <w:tcPr>
            <w:tcW w:w="42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C27072">
            <w:pPr>
              <w:numPr>
                <w:ilvl w:val="0"/>
                <w:numId w:val="96"/>
              </w:numPr>
              <w:spacing w:line="240" w:lineRule="auto"/>
              <w:ind w:left="375"/>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Earlier preventative interventions within school and health settings</w:t>
            </w:r>
          </w:p>
          <w:p w:rsidR="00827CCD" w:rsidRPr="009B3747" w:rsidRDefault="00827CCD" w:rsidP="00912215">
            <w:pPr>
              <w:spacing w:line="240" w:lineRule="auto"/>
              <w:ind w:left="15" w:hanging="135"/>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912215">
            <w:pPr>
              <w:spacing w:line="240" w:lineRule="auto"/>
              <w:ind w:left="15" w:hanging="135"/>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912215">
            <w:pPr>
              <w:spacing w:line="240" w:lineRule="auto"/>
              <w:ind w:left="15" w:hanging="135"/>
              <w:rPr>
                <w:rFonts w:eastAsia="Times New Roman" w:cstheme="minorHAnsi"/>
                <w:sz w:val="24"/>
                <w:szCs w:val="24"/>
                <w:lang w:eastAsia="en-GB"/>
              </w:rPr>
            </w:pPr>
            <w:r w:rsidRPr="009B3747">
              <w:rPr>
                <w:rFonts w:eastAsia="Times New Roman" w:cstheme="minorHAnsi"/>
                <w:sz w:val="24"/>
                <w:szCs w:val="24"/>
                <w:lang w:eastAsia="en-GB"/>
              </w:rPr>
              <w:t> </w:t>
            </w:r>
          </w:p>
          <w:p w:rsidR="00F738CC" w:rsidRPr="009B3747" w:rsidRDefault="00F738CC" w:rsidP="00912215">
            <w:pPr>
              <w:spacing w:line="240" w:lineRule="auto"/>
              <w:ind w:left="15" w:hanging="135"/>
              <w:rPr>
                <w:rFonts w:eastAsia="Times New Roman" w:cstheme="minorHAnsi"/>
                <w:sz w:val="24"/>
                <w:szCs w:val="24"/>
                <w:lang w:eastAsia="en-GB"/>
              </w:rPr>
            </w:pPr>
          </w:p>
          <w:p w:rsidR="00827CCD" w:rsidRPr="009B3747" w:rsidRDefault="00827CCD" w:rsidP="00C27072">
            <w:pPr>
              <w:numPr>
                <w:ilvl w:val="0"/>
                <w:numId w:val="97"/>
              </w:numPr>
              <w:spacing w:line="240" w:lineRule="auto"/>
              <w:ind w:left="375"/>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Improved sports and physical activity facilities within secondary school settings</w:t>
            </w:r>
          </w:p>
          <w:p w:rsidR="00827CCD" w:rsidRPr="009B3747" w:rsidRDefault="00827CCD" w:rsidP="00912215">
            <w:pPr>
              <w:spacing w:line="240" w:lineRule="auto"/>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C27072">
            <w:pPr>
              <w:numPr>
                <w:ilvl w:val="0"/>
                <w:numId w:val="98"/>
              </w:numPr>
              <w:spacing w:line="240" w:lineRule="auto"/>
              <w:ind w:left="375"/>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Increased parental responsibility and accountability for their child’s weight</w:t>
            </w:r>
          </w:p>
          <w:p w:rsidR="00827CCD" w:rsidRPr="009B3747" w:rsidRDefault="00827CCD" w:rsidP="00912215">
            <w:pPr>
              <w:spacing w:line="240" w:lineRule="auto"/>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912215">
            <w:pPr>
              <w:spacing w:line="240" w:lineRule="auto"/>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912215">
            <w:pPr>
              <w:spacing w:line="240" w:lineRule="auto"/>
              <w:rPr>
                <w:rFonts w:eastAsia="Times New Roman" w:cstheme="minorHAnsi"/>
                <w:sz w:val="24"/>
                <w:szCs w:val="24"/>
                <w:lang w:eastAsia="en-GB"/>
              </w:rPr>
            </w:pPr>
            <w:r w:rsidRPr="009B3747">
              <w:rPr>
                <w:rFonts w:eastAsia="Times New Roman" w:cstheme="minorHAnsi"/>
                <w:sz w:val="24"/>
                <w:szCs w:val="24"/>
                <w:lang w:eastAsia="en-GB"/>
              </w:rPr>
              <w:t> </w:t>
            </w:r>
          </w:p>
          <w:p w:rsidR="00912215" w:rsidRPr="009B3747" w:rsidRDefault="00827CCD" w:rsidP="00912215">
            <w:pPr>
              <w:spacing w:line="240" w:lineRule="auto"/>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C27072">
            <w:pPr>
              <w:numPr>
                <w:ilvl w:val="0"/>
                <w:numId w:val="99"/>
              </w:numPr>
              <w:spacing w:line="240" w:lineRule="auto"/>
              <w:ind w:left="375"/>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Increased accessibility to and funding for school nursing services</w:t>
            </w:r>
          </w:p>
          <w:p w:rsidR="00827CCD" w:rsidRPr="009B3747" w:rsidRDefault="00827CCD" w:rsidP="00912215">
            <w:pPr>
              <w:spacing w:line="240" w:lineRule="auto"/>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C27072">
            <w:pPr>
              <w:numPr>
                <w:ilvl w:val="0"/>
                <w:numId w:val="100"/>
              </w:numPr>
              <w:spacing w:line="240" w:lineRule="auto"/>
              <w:ind w:left="375"/>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Improved collaborative working across multi-agency partners</w:t>
            </w:r>
          </w:p>
          <w:p w:rsidR="00827CCD" w:rsidRPr="009B3747" w:rsidRDefault="00827CCD" w:rsidP="00912215">
            <w:pPr>
              <w:spacing w:line="240" w:lineRule="auto"/>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912215">
            <w:pPr>
              <w:spacing w:line="240" w:lineRule="auto"/>
              <w:rPr>
                <w:rFonts w:eastAsia="Times New Roman" w:cstheme="minorHAnsi"/>
                <w:sz w:val="24"/>
                <w:szCs w:val="24"/>
                <w:lang w:eastAsia="en-GB"/>
              </w:rPr>
            </w:pPr>
            <w:r w:rsidRPr="009B3747">
              <w:rPr>
                <w:rFonts w:eastAsia="Times New Roman" w:cstheme="minorHAnsi"/>
                <w:sz w:val="24"/>
                <w:szCs w:val="24"/>
                <w:lang w:eastAsia="en-GB"/>
              </w:rPr>
              <w:lastRenderedPageBreak/>
              <w:t> </w:t>
            </w:r>
          </w:p>
          <w:p w:rsidR="00827CCD" w:rsidRDefault="00827CCD" w:rsidP="00912215">
            <w:pPr>
              <w:spacing w:line="240" w:lineRule="auto"/>
              <w:rPr>
                <w:rFonts w:eastAsia="Times New Roman" w:cstheme="minorHAnsi"/>
                <w:sz w:val="24"/>
                <w:szCs w:val="24"/>
                <w:lang w:eastAsia="en-GB"/>
              </w:rPr>
            </w:pPr>
            <w:r w:rsidRPr="009B3747">
              <w:rPr>
                <w:rFonts w:eastAsia="Times New Roman" w:cstheme="minorHAnsi"/>
                <w:sz w:val="24"/>
                <w:szCs w:val="24"/>
                <w:lang w:eastAsia="en-GB"/>
              </w:rPr>
              <w:t> </w:t>
            </w:r>
          </w:p>
          <w:p w:rsidR="00905E14" w:rsidRPr="009B3747" w:rsidRDefault="00905E14" w:rsidP="00912215">
            <w:pPr>
              <w:spacing w:line="240" w:lineRule="auto"/>
              <w:rPr>
                <w:rFonts w:eastAsia="Times New Roman" w:cstheme="minorHAnsi"/>
                <w:sz w:val="24"/>
                <w:szCs w:val="24"/>
                <w:lang w:eastAsia="en-GB"/>
              </w:rPr>
            </w:pPr>
          </w:p>
          <w:p w:rsidR="00827CCD" w:rsidRPr="009B3747" w:rsidRDefault="00827CCD" w:rsidP="00C27072">
            <w:pPr>
              <w:numPr>
                <w:ilvl w:val="0"/>
                <w:numId w:val="101"/>
              </w:numPr>
              <w:spacing w:line="240" w:lineRule="auto"/>
              <w:ind w:left="375"/>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Increased governmental focus and interventions for addressing childhood and adolescent obesity</w:t>
            </w:r>
          </w:p>
        </w:tc>
        <w:tc>
          <w:tcPr>
            <w:tcW w:w="4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CCD" w:rsidRPr="009B3747" w:rsidRDefault="00827CCD" w:rsidP="00C27072">
            <w:pPr>
              <w:numPr>
                <w:ilvl w:val="0"/>
                <w:numId w:val="102"/>
              </w:numPr>
              <w:spacing w:line="240" w:lineRule="auto"/>
              <w:ind w:left="345" w:right="240"/>
              <w:textAlignment w:val="baseline"/>
              <w:rPr>
                <w:rFonts w:eastAsia="Times New Roman" w:cstheme="minorHAnsi"/>
                <w:color w:val="000000"/>
                <w:sz w:val="20"/>
                <w:szCs w:val="20"/>
                <w:lang w:eastAsia="en-GB"/>
              </w:rPr>
            </w:pPr>
            <w:r w:rsidRPr="009B3747">
              <w:rPr>
                <w:rFonts w:eastAsia="Times New Roman" w:cstheme="minorHAnsi"/>
                <w:i/>
                <w:color w:val="000000"/>
                <w:sz w:val="20"/>
                <w:szCs w:val="20"/>
                <w:lang w:eastAsia="en-GB"/>
              </w:rPr>
              <w:lastRenderedPageBreak/>
              <w:t>“Sort this whole issue out in early years and primary - any overweight child arrives as such into secondary education - rarely do they become overweight during this time”</w:t>
            </w:r>
            <w:r w:rsidR="00007AD7" w:rsidRPr="009B3747">
              <w:rPr>
                <w:rFonts w:eastAsia="Times New Roman" w:cstheme="minorHAnsi"/>
                <w:color w:val="000000"/>
                <w:sz w:val="20"/>
                <w:szCs w:val="20"/>
                <w:lang w:eastAsia="en-GB"/>
              </w:rPr>
              <w:t xml:space="preserve"> </w:t>
            </w:r>
            <w:r w:rsidR="00007AD7" w:rsidRPr="009B3747">
              <w:rPr>
                <w:rFonts w:eastAsia="Times New Roman" w:cstheme="minorHAnsi"/>
                <w:b/>
                <w:color w:val="000000"/>
                <w:sz w:val="20"/>
                <w:szCs w:val="20"/>
                <w:lang w:eastAsia="en-GB"/>
              </w:rPr>
              <w:t>(Headteacher)</w:t>
            </w:r>
          </w:p>
          <w:p w:rsidR="00827CCD" w:rsidRPr="009B3747" w:rsidRDefault="00827CCD" w:rsidP="00912215">
            <w:pPr>
              <w:spacing w:line="240" w:lineRule="auto"/>
              <w:ind w:right="-15"/>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C27072">
            <w:pPr>
              <w:numPr>
                <w:ilvl w:val="0"/>
                <w:numId w:val="103"/>
              </w:numPr>
              <w:spacing w:line="240" w:lineRule="auto"/>
              <w:ind w:left="345" w:right="-15"/>
              <w:textAlignment w:val="baseline"/>
              <w:rPr>
                <w:rFonts w:eastAsia="Times New Roman" w:cstheme="minorHAnsi"/>
                <w:color w:val="000000"/>
                <w:sz w:val="20"/>
                <w:szCs w:val="20"/>
                <w:lang w:eastAsia="en-GB"/>
              </w:rPr>
            </w:pPr>
            <w:r w:rsidRPr="009B3747">
              <w:rPr>
                <w:rFonts w:eastAsia="Times New Roman" w:cstheme="minorHAnsi"/>
                <w:i/>
                <w:color w:val="000000"/>
                <w:sz w:val="20"/>
                <w:szCs w:val="20"/>
                <w:lang w:eastAsia="en-GB"/>
              </w:rPr>
              <w:t>“Provide more space and better sports facilities in new schools”</w:t>
            </w:r>
            <w:r w:rsidR="00007AD7" w:rsidRPr="009B3747">
              <w:rPr>
                <w:rFonts w:eastAsia="Times New Roman" w:cstheme="minorHAnsi"/>
                <w:color w:val="000000"/>
                <w:sz w:val="20"/>
                <w:szCs w:val="20"/>
                <w:lang w:eastAsia="en-GB"/>
              </w:rPr>
              <w:t xml:space="preserve"> </w:t>
            </w:r>
            <w:r w:rsidR="00007AD7" w:rsidRPr="009B3747">
              <w:rPr>
                <w:rFonts w:eastAsia="Times New Roman" w:cstheme="minorHAnsi"/>
                <w:b/>
                <w:color w:val="000000"/>
                <w:sz w:val="20"/>
                <w:szCs w:val="20"/>
                <w:lang w:eastAsia="en-GB"/>
              </w:rPr>
              <w:t>(Headteacher)</w:t>
            </w:r>
          </w:p>
          <w:p w:rsidR="00827CCD" w:rsidRPr="009B3747" w:rsidRDefault="00827CCD" w:rsidP="00912215">
            <w:pPr>
              <w:spacing w:line="240" w:lineRule="auto"/>
              <w:ind w:right="-15"/>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C27072">
            <w:pPr>
              <w:numPr>
                <w:ilvl w:val="0"/>
                <w:numId w:val="104"/>
              </w:numPr>
              <w:spacing w:line="240" w:lineRule="auto"/>
              <w:ind w:left="345" w:right="-15"/>
              <w:textAlignment w:val="baseline"/>
              <w:rPr>
                <w:rFonts w:eastAsia="Times New Roman" w:cstheme="minorHAnsi"/>
                <w:color w:val="000000"/>
                <w:sz w:val="20"/>
                <w:szCs w:val="20"/>
                <w:lang w:eastAsia="en-GB"/>
              </w:rPr>
            </w:pPr>
            <w:r w:rsidRPr="009B3747">
              <w:rPr>
                <w:rFonts w:eastAsia="Times New Roman" w:cstheme="minorHAnsi"/>
                <w:i/>
                <w:color w:val="000000"/>
                <w:sz w:val="20"/>
                <w:szCs w:val="20"/>
                <w:lang w:eastAsia="en-GB"/>
              </w:rPr>
              <w:t>“An end to the fallacy that schools can solve all social issues and a return to some semblance of sanity in relation to what parents and individuals should take responsibility for rather than transferring it to professionals with no real control over the most important factors.”</w:t>
            </w:r>
            <w:r w:rsidR="0040630E" w:rsidRPr="009B3747">
              <w:rPr>
                <w:rFonts w:eastAsia="Times New Roman" w:cstheme="minorHAnsi"/>
                <w:i/>
                <w:color w:val="000000"/>
                <w:sz w:val="20"/>
                <w:szCs w:val="20"/>
                <w:lang w:eastAsia="en-GB"/>
              </w:rPr>
              <w:t xml:space="preserve"> </w:t>
            </w:r>
            <w:r w:rsidR="00F738CC" w:rsidRPr="009B3747">
              <w:rPr>
                <w:rFonts w:eastAsia="Times New Roman" w:cstheme="minorHAnsi"/>
                <w:b/>
                <w:color w:val="000000"/>
                <w:sz w:val="20"/>
                <w:szCs w:val="20"/>
                <w:lang w:eastAsia="en-GB"/>
              </w:rPr>
              <w:t>(</w:t>
            </w:r>
            <w:r w:rsidR="0040630E" w:rsidRPr="009B3747">
              <w:rPr>
                <w:rFonts w:eastAsia="Times New Roman" w:cstheme="minorHAnsi"/>
                <w:b/>
                <w:color w:val="000000"/>
                <w:sz w:val="20"/>
                <w:szCs w:val="20"/>
                <w:lang w:eastAsia="en-GB"/>
              </w:rPr>
              <w:t>Headteacher</w:t>
            </w:r>
            <w:r w:rsidR="00F738CC" w:rsidRPr="009B3747">
              <w:rPr>
                <w:rFonts w:eastAsia="Times New Roman" w:cstheme="minorHAnsi"/>
                <w:b/>
                <w:color w:val="000000"/>
                <w:sz w:val="20"/>
                <w:szCs w:val="20"/>
                <w:lang w:eastAsia="en-GB"/>
              </w:rPr>
              <w:t>)</w:t>
            </w:r>
          </w:p>
          <w:p w:rsidR="00827CCD" w:rsidRPr="009B3747" w:rsidRDefault="00827CCD" w:rsidP="00912215">
            <w:pPr>
              <w:spacing w:line="240" w:lineRule="auto"/>
              <w:ind w:right="-15"/>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C27072">
            <w:pPr>
              <w:numPr>
                <w:ilvl w:val="0"/>
                <w:numId w:val="105"/>
              </w:numPr>
              <w:spacing w:line="240" w:lineRule="auto"/>
              <w:ind w:left="345" w:right="-15"/>
              <w:textAlignment w:val="baseline"/>
              <w:rPr>
                <w:rFonts w:eastAsia="Times New Roman" w:cstheme="minorHAnsi"/>
                <w:b/>
                <w:color w:val="000000"/>
                <w:sz w:val="20"/>
                <w:szCs w:val="20"/>
                <w:lang w:eastAsia="en-GB"/>
              </w:rPr>
            </w:pPr>
            <w:r w:rsidRPr="009B3747">
              <w:rPr>
                <w:rFonts w:eastAsia="Times New Roman" w:cstheme="minorHAnsi"/>
                <w:i/>
                <w:color w:val="000000"/>
                <w:sz w:val="20"/>
                <w:szCs w:val="20"/>
                <w:lang w:eastAsia="en-GB"/>
              </w:rPr>
              <w:t>“Easy availability of school nurse and support services”.</w:t>
            </w:r>
            <w:r w:rsidR="00F738CC" w:rsidRPr="009B3747">
              <w:rPr>
                <w:rFonts w:eastAsia="Times New Roman" w:cstheme="minorHAnsi"/>
                <w:i/>
                <w:color w:val="000000"/>
                <w:sz w:val="20"/>
                <w:szCs w:val="20"/>
                <w:lang w:eastAsia="en-GB"/>
              </w:rPr>
              <w:t xml:space="preserve"> </w:t>
            </w:r>
            <w:r w:rsidR="00F738CC" w:rsidRPr="009B3747">
              <w:rPr>
                <w:rFonts w:eastAsia="Times New Roman" w:cstheme="minorHAnsi"/>
                <w:b/>
                <w:color w:val="000000"/>
                <w:sz w:val="20"/>
                <w:szCs w:val="20"/>
                <w:lang w:eastAsia="en-GB"/>
              </w:rPr>
              <w:t>(Headteacher)</w:t>
            </w:r>
          </w:p>
          <w:p w:rsidR="00827CCD" w:rsidRPr="009B3747" w:rsidRDefault="00827CCD" w:rsidP="00912215">
            <w:pPr>
              <w:spacing w:line="240" w:lineRule="auto"/>
              <w:ind w:right="-15"/>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C27072">
            <w:pPr>
              <w:numPr>
                <w:ilvl w:val="0"/>
                <w:numId w:val="106"/>
              </w:numPr>
              <w:spacing w:line="240" w:lineRule="auto"/>
              <w:ind w:left="345" w:right="-15"/>
              <w:textAlignment w:val="baseline"/>
              <w:rPr>
                <w:rFonts w:eastAsia="Times New Roman" w:cstheme="minorHAnsi"/>
                <w:color w:val="000000"/>
                <w:sz w:val="20"/>
                <w:szCs w:val="20"/>
                <w:lang w:eastAsia="en-GB"/>
              </w:rPr>
            </w:pPr>
            <w:r w:rsidRPr="009B3747">
              <w:rPr>
                <w:rFonts w:eastAsia="Times New Roman" w:cstheme="minorHAnsi"/>
                <w:i/>
                <w:color w:val="000000"/>
                <w:sz w:val="20"/>
                <w:szCs w:val="20"/>
                <w:lang w:eastAsia="en-GB"/>
              </w:rPr>
              <w:t xml:space="preserve">“All the national and local agencies (e.g. NHS, DfE, Sport England, Youth Sport Trust, exchequer, </w:t>
            </w:r>
            <w:r w:rsidRPr="009B3747">
              <w:rPr>
                <w:rFonts w:eastAsia="Times New Roman" w:cstheme="minorHAnsi"/>
                <w:i/>
                <w:color w:val="000000"/>
                <w:sz w:val="20"/>
                <w:szCs w:val="20"/>
                <w:lang w:eastAsia="en-GB"/>
              </w:rPr>
              <w:lastRenderedPageBreak/>
              <w:t>academia) to collaborate effectively and pool knowledge and resources”.</w:t>
            </w:r>
            <w:r w:rsidR="00F738CC" w:rsidRPr="009B3747">
              <w:rPr>
                <w:rFonts w:eastAsia="Times New Roman" w:cstheme="minorHAnsi"/>
                <w:color w:val="000000"/>
                <w:sz w:val="20"/>
                <w:szCs w:val="20"/>
                <w:lang w:eastAsia="en-GB"/>
              </w:rPr>
              <w:t xml:space="preserve"> </w:t>
            </w:r>
            <w:r w:rsidR="00F738CC" w:rsidRPr="009B3747">
              <w:rPr>
                <w:rFonts w:eastAsia="Times New Roman" w:cstheme="minorHAnsi"/>
                <w:b/>
                <w:color w:val="000000"/>
                <w:sz w:val="20"/>
                <w:szCs w:val="20"/>
                <w:lang w:eastAsia="en-GB"/>
              </w:rPr>
              <w:t>(Headteacher)</w:t>
            </w:r>
          </w:p>
          <w:p w:rsidR="00827CCD" w:rsidRPr="009B3747" w:rsidRDefault="00827CCD" w:rsidP="00912215">
            <w:pPr>
              <w:spacing w:line="240" w:lineRule="auto"/>
              <w:ind w:right="-15"/>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C27072">
            <w:pPr>
              <w:numPr>
                <w:ilvl w:val="0"/>
                <w:numId w:val="107"/>
              </w:numPr>
              <w:spacing w:line="240" w:lineRule="auto"/>
              <w:ind w:left="345" w:right="-15"/>
              <w:textAlignment w:val="baseline"/>
              <w:rPr>
                <w:rFonts w:eastAsia="Times New Roman" w:cstheme="minorHAnsi"/>
                <w:color w:val="000000"/>
                <w:sz w:val="20"/>
                <w:szCs w:val="20"/>
                <w:lang w:eastAsia="en-GB"/>
              </w:rPr>
            </w:pPr>
            <w:r w:rsidRPr="009B3747">
              <w:rPr>
                <w:rFonts w:eastAsia="Times New Roman" w:cstheme="minorHAnsi"/>
                <w:i/>
                <w:color w:val="000000"/>
                <w:sz w:val="20"/>
                <w:szCs w:val="20"/>
                <w:lang w:eastAsia="en-GB"/>
              </w:rPr>
              <w:t>“This area needs to be a key priority nationally with Government fully behind proposals. It should not be a 'bolt-on' afterthought“.</w:t>
            </w:r>
            <w:r w:rsidR="00F738CC" w:rsidRPr="009B3747">
              <w:rPr>
                <w:rFonts w:eastAsia="Times New Roman" w:cstheme="minorHAnsi"/>
                <w:color w:val="000000"/>
                <w:sz w:val="20"/>
                <w:szCs w:val="20"/>
                <w:lang w:eastAsia="en-GB"/>
              </w:rPr>
              <w:t xml:space="preserve"> </w:t>
            </w:r>
            <w:r w:rsidR="00F738CC" w:rsidRPr="009B3747">
              <w:rPr>
                <w:rFonts w:eastAsia="Times New Roman" w:cstheme="minorHAnsi"/>
                <w:b/>
                <w:color w:val="000000"/>
                <w:sz w:val="20"/>
                <w:szCs w:val="20"/>
                <w:lang w:eastAsia="en-GB"/>
              </w:rPr>
              <w:t>(Headteacher)</w:t>
            </w:r>
          </w:p>
        </w:tc>
      </w:tr>
    </w:tbl>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lastRenderedPageBreak/>
        <w:t>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 xml:space="preserve">The final question presented within the online questionnaire, was an open question </w:t>
      </w:r>
      <w:r w:rsidR="009025E2">
        <w:rPr>
          <w:rFonts w:eastAsia="Times New Roman" w:cstheme="minorHAnsi"/>
          <w:color w:val="000000"/>
          <w:lang w:eastAsia="en-GB"/>
        </w:rPr>
        <w:t xml:space="preserve">offering </w:t>
      </w:r>
      <w:r w:rsidRPr="009B3747">
        <w:rPr>
          <w:rFonts w:eastAsia="Times New Roman" w:cstheme="minorHAnsi"/>
          <w:color w:val="000000"/>
          <w:lang w:eastAsia="en-GB"/>
        </w:rPr>
        <w:t>participants the opportunity to provide any further comments r</w:t>
      </w:r>
      <w:r w:rsidR="00653F9F" w:rsidRPr="009B3747">
        <w:rPr>
          <w:rFonts w:eastAsia="Times New Roman" w:cstheme="minorHAnsi"/>
          <w:color w:val="000000"/>
          <w:lang w:eastAsia="en-GB"/>
        </w:rPr>
        <w:t>egarding the topic under study:</w:t>
      </w:r>
      <w:r w:rsidRPr="009B3747">
        <w:rPr>
          <w:rFonts w:eastAsia="Times New Roman" w:cstheme="minorHAnsi"/>
          <w:color w:val="000000"/>
          <w:lang w:eastAsia="en-GB"/>
        </w:rPr>
        <w:t xml:space="preserve">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2E65A4" w:rsidP="00827CCD">
      <w:pPr>
        <w:rPr>
          <w:rFonts w:eastAsia="Times New Roman" w:cstheme="minorHAnsi"/>
          <w:sz w:val="24"/>
          <w:szCs w:val="24"/>
          <w:lang w:eastAsia="en-GB"/>
        </w:rPr>
      </w:pPr>
      <w:r w:rsidRPr="009B3747">
        <w:rPr>
          <w:rFonts w:eastAsia="Times New Roman" w:cstheme="minorHAnsi"/>
          <w:i/>
          <w:iCs/>
          <w:color w:val="000000"/>
          <w:shd w:val="clear" w:color="auto" w:fill="FFFFFF"/>
          <w:lang w:eastAsia="en-GB"/>
        </w:rPr>
        <w:t>‘</w:t>
      </w:r>
      <w:r w:rsidR="00827CCD" w:rsidRPr="009B3747">
        <w:rPr>
          <w:rFonts w:eastAsia="Times New Roman" w:cstheme="minorHAnsi"/>
          <w:i/>
          <w:iCs/>
          <w:color w:val="000000"/>
          <w:shd w:val="clear" w:color="auto" w:fill="FFFFFF"/>
          <w:lang w:eastAsia="en-GB"/>
        </w:rPr>
        <w:t>Please provide any further comments you have about the prevention of excess weigh</w:t>
      </w:r>
      <w:r w:rsidRPr="009B3747">
        <w:rPr>
          <w:rFonts w:eastAsia="Times New Roman" w:cstheme="minorHAnsi"/>
          <w:i/>
          <w:iCs/>
          <w:color w:val="000000"/>
          <w:shd w:val="clear" w:color="auto" w:fill="FFFFFF"/>
          <w:lang w:eastAsia="en-GB"/>
        </w:rPr>
        <w:t>t gain in secondary schools’</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In t</w:t>
      </w:r>
      <w:r w:rsidR="00653F9F" w:rsidRPr="009B3747">
        <w:rPr>
          <w:rFonts w:eastAsia="Times New Roman" w:cstheme="minorHAnsi"/>
          <w:color w:val="000000"/>
          <w:lang w:eastAsia="en-GB"/>
        </w:rPr>
        <w:t>otal, 14</w:t>
      </w:r>
      <w:r w:rsidRPr="009B3747">
        <w:rPr>
          <w:rFonts w:eastAsia="Times New Roman" w:cstheme="minorHAnsi"/>
          <w:color w:val="000000"/>
          <w:lang w:eastAsia="en-GB"/>
        </w:rPr>
        <w:t xml:space="preserve"> responses were obtained from this question all from participants either employed at or elected to positions within state-funded secondary schools.  The length of responses ranged from single word answers to a short paragraph of text.  Despite the inability to undertake a formal thematic analysis of the qualitative data obtained, responses were collated, reflected upon and areas of commonality identified.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The responses obtained to this question reflected a diverse range of opinions all of which having reviewed the qualitative findings report were captured within the presented themes and sub-themes.  Several participant’s used the further comments question, to reflect upon the secondary school setting, with some proposing the need for ‘more holistic education’, a greater emphasis on Personal Health and Social education and an increased provision for physical activity and sporting opportunities.</w:t>
      </w:r>
    </w:p>
    <w:p w:rsidR="00827CCD" w:rsidRPr="009B3747" w:rsidRDefault="00827CCD" w:rsidP="00827CCD">
      <w:pPr>
        <w:rPr>
          <w:rFonts w:eastAsia="Times New Roman" w:cstheme="minorHAnsi"/>
          <w:sz w:val="20"/>
          <w:szCs w:val="20"/>
          <w:lang w:eastAsia="en-GB"/>
        </w:rPr>
      </w:pPr>
      <w:r w:rsidRPr="009B3747">
        <w:rPr>
          <w:rFonts w:eastAsia="Times New Roman" w:cstheme="minorHAnsi"/>
          <w:sz w:val="20"/>
          <w:szCs w:val="20"/>
          <w:lang w:eastAsia="en-GB"/>
        </w:rPr>
        <w:t> </w:t>
      </w:r>
    </w:p>
    <w:p w:rsidR="0040630E" w:rsidRPr="009B3747" w:rsidRDefault="00827CCD" w:rsidP="00C27072">
      <w:pPr>
        <w:numPr>
          <w:ilvl w:val="0"/>
          <w:numId w:val="108"/>
        </w:numPr>
        <w:textAlignment w:val="baseline"/>
        <w:rPr>
          <w:rFonts w:eastAsia="Times New Roman" w:cstheme="minorHAnsi"/>
          <w:color w:val="000000"/>
          <w:sz w:val="20"/>
          <w:szCs w:val="20"/>
          <w:lang w:eastAsia="en-GB"/>
        </w:rPr>
      </w:pPr>
      <w:r w:rsidRPr="009B3747">
        <w:rPr>
          <w:rFonts w:eastAsia="Times New Roman" w:cstheme="minorHAnsi"/>
          <w:i/>
          <w:color w:val="000000"/>
          <w:sz w:val="20"/>
          <w:szCs w:val="20"/>
          <w:lang w:eastAsia="en-GB"/>
        </w:rPr>
        <w:t>“Regular and varied sporting activities and other outdoor and indoor social activities for pupils. No opting out. Crucial age for sporting activity lies withi</w:t>
      </w:r>
      <w:r w:rsidR="0040630E" w:rsidRPr="009B3747">
        <w:rPr>
          <w:rFonts w:eastAsia="Times New Roman" w:cstheme="minorHAnsi"/>
          <w:i/>
          <w:color w:val="000000"/>
          <w:sz w:val="20"/>
          <w:szCs w:val="20"/>
          <w:lang w:eastAsia="en-GB"/>
        </w:rPr>
        <w:t>n secondary age."</w:t>
      </w:r>
      <w:r w:rsidR="0040630E" w:rsidRPr="009B3747">
        <w:rPr>
          <w:rFonts w:eastAsia="Times New Roman" w:cstheme="minorHAnsi"/>
          <w:color w:val="000000"/>
          <w:sz w:val="20"/>
          <w:szCs w:val="20"/>
          <w:lang w:eastAsia="en-GB"/>
        </w:rPr>
        <w:t xml:space="preserve"> </w:t>
      </w:r>
      <w:r w:rsidR="0040630E" w:rsidRPr="009B3747">
        <w:rPr>
          <w:rFonts w:eastAsia="Times New Roman" w:cstheme="minorHAnsi"/>
          <w:b/>
          <w:color w:val="000000"/>
          <w:sz w:val="20"/>
          <w:szCs w:val="20"/>
          <w:lang w:eastAsia="en-GB"/>
        </w:rPr>
        <w:t>(Headteacher)</w:t>
      </w:r>
    </w:p>
    <w:p w:rsidR="0040630E" w:rsidRPr="009B3747" w:rsidRDefault="0040630E" w:rsidP="0040630E">
      <w:pPr>
        <w:ind w:left="720"/>
        <w:textAlignment w:val="baseline"/>
        <w:rPr>
          <w:rFonts w:eastAsia="Times New Roman" w:cstheme="minorHAnsi"/>
          <w:color w:val="000000"/>
          <w:lang w:eastAsia="en-GB"/>
        </w:rPr>
      </w:pPr>
    </w:p>
    <w:p w:rsidR="00827CCD" w:rsidRPr="009B3747" w:rsidRDefault="00827CCD" w:rsidP="00827CCD">
      <w:pPr>
        <w:ind w:right="-20"/>
        <w:rPr>
          <w:rFonts w:eastAsia="Times New Roman" w:cstheme="minorHAnsi"/>
          <w:lang w:eastAsia="en-GB"/>
        </w:rPr>
      </w:pPr>
      <w:r w:rsidRPr="009B3747">
        <w:rPr>
          <w:rFonts w:eastAsia="Times New Roman" w:cstheme="minorHAnsi"/>
          <w:color w:val="000000"/>
          <w:lang w:eastAsia="en-GB"/>
        </w:rPr>
        <w:t xml:space="preserve">Concerns were raised regarding the lack </w:t>
      </w:r>
      <w:r w:rsidR="00905E14">
        <w:rPr>
          <w:rFonts w:eastAsia="Times New Roman" w:cstheme="minorHAnsi"/>
          <w:color w:val="000000"/>
          <w:lang w:eastAsia="en-GB"/>
        </w:rPr>
        <w:t xml:space="preserve">of financial resources and time </w:t>
      </w:r>
      <w:r w:rsidRPr="009B3747">
        <w:rPr>
          <w:rFonts w:eastAsia="Times New Roman" w:cstheme="minorHAnsi"/>
          <w:color w:val="000000"/>
          <w:lang w:eastAsia="en-GB"/>
        </w:rPr>
        <w:t>secondary schools ha</w:t>
      </w:r>
      <w:r w:rsidR="00905E14">
        <w:rPr>
          <w:rFonts w:eastAsia="Times New Roman" w:cstheme="minorHAnsi"/>
          <w:color w:val="000000"/>
          <w:lang w:eastAsia="en-GB"/>
        </w:rPr>
        <w:t xml:space="preserve">ve to address excess weight, </w:t>
      </w:r>
      <w:r w:rsidRPr="009B3747">
        <w:rPr>
          <w:rFonts w:eastAsia="Times New Roman" w:cstheme="minorHAnsi"/>
          <w:color w:val="000000"/>
          <w:lang w:eastAsia="en-GB"/>
        </w:rPr>
        <w:t>lifes</w:t>
      </w:r>
      <w:r w:rsidR="00905E14">
        <w:rPr>
          <w:rFonts w:eastAsia="Times New Roman" w:cstheme="minorHAnsi"/>
          <w:color w:val="000000"/>
          <w:lang w:eastAsia="en-GB"/>
        </w:rPr>
        <w:t xml:space="preserve">tyle behaviours and wider health and well-being issues.  This was deemed problematic given the increasing pressure on academic performance.  </w:t>
      </w:r>
    </w:p>
    <w:p w:rsidR="00827CCD" w:rsidRPr="009B3747" w:rsidRDefault="00827CCD" w:rsidP="00827CCD">
      <w:pPr>
        <w:rPr>
          <w:rFonts w:eastAsia="Times New Roman" w:cstheme="minorHAnsi"/>
          <w:i/>
          <w:lang w:eastAsia="en-GB"/>
        </w:rPr>
      </w:pPr>
      <w:r w:rsidRPr="009B3747">
        <w:rPr>
          <w:rFonts w:eastAsia="Times New Roman" w:cstheme="minorHAnsi"/>
          <w:lang w:eastAsia="en-GB"/>
        </w:rPr>
        <w:t> </w:t>
      </w:r>
    </w:p>
    <w:p w:rsidR="00827CCD" w:rsidRPr="009B3747" w:rsidRDefault="00827CCD" w:rsidP="00C27072">
      <w:pPr>
        <w:numPr>
          <w:ilvl w:val="0"/>
          <w:numId w:val="109"/>
        </w:numPr>
        <w:textAlignment w:val="baseline"/>
        <w:rPr>
          <w:rFonts w:eastAsia="Times New Roman" w:cstheme="minorHAnsi"/>
          <w:b/>
          <w:color w:val="000000"/>
          <w:sz w:val="20"/>
          <w:szCs w:val="20"/>
          <w:lang w:eastAsia="en-GB"/>
        </w:rPr>
      </w:pPr>
      <w:r w:rsidRPr="009B3747">
        <w:rPr>
          <w:rFonts w:eastAsia="Times New Roman" w:cstheme="minorHAnsi"/>
          <w:i/>
          <w:color w:val="000000"/>
          <w:sz w:val="20"/>
          <w:szCs w:val="20"/>
          <w:lang w:eastAsia="en-GB"/>
        </w:rPr>
        <w:t xml:space="preserve">“We do not have the basic resources to do the rest of our job at present (you know, the stuff about learning and passing exams) so I would not welcome additional responsibilities for things that lie </w:t>
      </w:r>
      <w:r w:rsidRPr="009B3747">
        <w:rPr>
          <w:rFonts w:eastAsia="Times New Roman" w:cstheme="minorHAnsi"/>
          <w:i/>
          <w:color w:val="000000"/>
          <w:sz w:val="20"/>
          <w:szCs w:val="20"/>
          <w:lang w:eastAsia="en-GB"/>
        </w:rPr>
        <w:lastRenderedPageBreak/>
        <w:t>beyond our control because society has become infantilised and over-reliant on professional intervention (especially when those professionals are nearly always teachers!)”</w:t>
      </w:r>
      <w:r w:rsidRPr="009B3747">
        <w:rPr>
          <w:rFonts w:eastAsia="Times New Roman" w:cstheme="minorHAnsi"/>
          <w:color w:val="000000"/>
          <w:sz w:val="20"/>
          <w:szCs w:val="20"/>
          <w:lang w:eastAsia="en-GB"/>
        </w:rPr>
        <w:t xml:space="preserve"> </w:t>
      </w:r>
      <w:r w:rsidRPr="009B3747">
        <w:rPr>
          <w:rFonts w:eastAsia="Times New Roman" w:cstheme="minorHAnsi"/>
          <w:b/>
          <w:color w:val="000000"/>
          <w:sz w:val="20"/>
          <w:szCs w:val="20"/>
          <w:lang w:eastAsia="en-GB"/>
        </w:rPr>
        <w:t>(Headteacher</w:t>
      </w:r>
      <w:r w:rsidR="0040630E" w:rsidRPr="009B3747">
        <w:rPr>
          <w:rFonts w:eastAsia="Times New Roman" w:cstheme="minorHAnsi"/>
          <w:b/>
          <w:color w:val="000000"/>
          <w:sz w:val="20"/>
          <w:szCs w:val="20"/>
          <w:lang w:eastAsia="en-GB"/>
        </w:rPr>
        <w:t>)</w:t>
      </w:r>
    </w:p>
    <w:p w:rsidR="00827CCD" w:rsidRPr="009B3747" w:rsidRDefault="00827CCD" w:rsidP="00827CCD">
      <w:pPr>
        <w:rPr>
          <w:rFonts w:eastAsia="Times New Roman" w:cstheme="minorHAnsi"/>
          <w:lang w:eastAsia="en-GB"/>
        </w:rPr>
      </w:pPr>
      <w:r w:rsidRPr="009B3747">
        <w:rPr>
          <w:rFonts w:eastAsia="Times New Roman" w:cstheme="minorHAnsi"/>
          <w:lang w:eastAsia="en-GB"/>
        </w:rPr>
        <w:t> </w:t>
      </w:r>
    </w:p>
    <w:p w:rsidR="00827CCD" w:rsidRPr="009B3747" w:rsidRDefault="00827CCD" w:rsidP="00827CCD">
      <w:pPr>
        <w:rPr>
          <w:rFonts w:eastAsia="Times New Roman" w:cstheme="minorHAnsi"/>
          <w:sz w:val="24"/>
          <w:szCs w:val="24"/>
          <w:lang w:eastAsia="en-GB"/>
        </w:rPr>
      </w:pPr>
      <w:r w:rsidRPr="009B3747">
        <w:rPr>
          <w:rFonts w:eastAsia="Times New Roman" w:cstheme="minorHAnsi"/>
          <w:color w:val="000000"/>
          <w:lang w:eastAsia="en-GB"/>
        </w:rPr>
        <w:t>For some participants, the question was posed as to whether addressing excess weight gain it is in fact a school’s responsibility.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40630E" w:rsidRPr="009B3747" w:rsidRDefault="00827CCD" w:rsidP="00C27072">
      <w:pPr>
        <w:numPr>
          <w:ilvl w:val="0"/>
          <w:numId w:val="110"/>
        </w:numPr>
        <w:textAlignment w:val="baseline"/>
        <w:rPr>
          <w:rFonts w:eastAsia="Times New Roman" w:cstheme="minorHAnsi"/>
          <w:lang w:eastAsia="en-GB"/>
        </w:rPr>
      </w:pPr>
      <w:r w:rsidRPr="009B3747">
        <w:rPr>
          <w:rFonts w:eastAsia="Times New Roman" w:cstheme="minorHAnsi"/>
          <w:i/>
          <w:color w:val="000000"/>
          <w:sz w:val="20"/>
          <w:szCs w:val="20"/>
          <w:lang w:eastAsia="en-GB"/>
        </w:rPr>
        <w:t>“In my view, far too much of society's/parent's responsibilities are being defaulted to schools”</w:t>
      </w:r>
      <w:r w:rsidR="0040630E" w:rsidRPr="009B3747">
        <w:rPr>
          <w:rFonts w:eastAsia="Times New Roman" w:cstheme="minorHAnsi"/>
          <w:color w:val="000000"/>
          <w:sz w:val="20"/>
          <w:szCs w:val="20"/>
          <w:lang w:eastAsia="en-GB"/>
        </w:rPr>
        <w:t xml:space="preserve"> </w:t>
      </w:r>
      <w:r w:rsidR="0040630E" w:rsidRPr="009B3747">
        <w:rPr>
          <w:rFonts w:eastAsia="Times New Roman" w:cstheme="minorHAnsi"/>
          <w:b/>
          <w:color w:val="000000"/>
          <w:sz w:val="20"/>
          <w:szCs w:val="20"/>
          <w:lang w:eastAsia="en-GB"/>
        </w:rPr>
        <w:t>(Headteacher)</w:t>
      </w:r>
    </w:p>
    <w:p w:rsidR="00827CCD" w:rsidRPr="009B3747" w:rsidRDefault="00827CCD" w:rsidP="0040630E">
      <w:pPr>
        <w:ind w:left="720"/>
        <w:textAlignment w:val="baseline"/>
        <w:rPr>
          <w:rFonts w:eastAsia="Times New Roman" w:cstheme="minorHAnsi"/>
          <w:lang w:eastAsia="en-GB"/>
        </w:rPr>
      </w:pPr>
      <w:r w:rsidRPr="009B3747">
        <w:rPr>
          <w:rFonts w:eastAsia="Times New Roman" w:cstheme="minorHAnsi"/>
          <w:lang w:eastAsia="en-GB"/>
        </w:rPr>
        <w:t> </w:t>
      </w:r>
    </w:p>
    <w:p w:rsidR="00827CCD" w:rsidRPr="009B3747" w:rsidRDefault="00750CDD" w:rsidP="00827CCD">
      <w:pPr>
        <w:rPr>
          <w:rFonts w:eastAsia="Times New Roman" w:cstheme="minorHAnsi"/>
          <w:sz w:val="24"/>
          <w:szCs w:val="24"/>
          <w:lang w:eastAsia="en-GB"/>
        </w:rPr>
      </w:pPr>
      <w:r>
        <w:rPr>
          <w:rFonts w:eastAsia="Times New Roman" w:cstheme="minorHAnsi"/>
          <w:color w:val="000000"/>
          <w:lang w:eastAsia="en-GB"/>
        </w:rPr>
        <w:t>C</w:t>
      </w:r>
      <w:r w:rsidR="00827CCD" w:rsidRPr="009B3747">
        <w:rPr>
          <w:rFonts w:eastAsia="Times New Roman" w:cstheme="minorHAnsi"/>
          <w:color w:val="000000"/>
          <w:lang w:eastAsia="en-GB"/>
        </w:rPr>
        <w:t>oncern and criticism was directed at wider societal factors perceived to be causing not only excess gain, but the development of unhealthy lifestyle behaviours, negative body image and stigma in adolescence.  The role and influence of partners including statutory agencies was discussed by some, however in the main this was associated with comments regarding the current limitations of partnership working.  </w:t>
      </w:r>
    </w:p>
    <w:p w:rsidR="00827CCD" w:rsidRPr="009B3747" w:rsidRDefault="00827CCD" w:rsidP="00827CCD">
      <w:pPr>
        <w:rPr>
          <w:rFonts w:eastAsia="Times New Roman" w:cstheme="minorHAnsi"/>
          <w:sz w:val="24"/>
          <w:szCs w:val="24"/>
          <w:lang w:eastAsia="en-GB"/>
        </w:rPr>
      </w:pPr>
      <w:r w:rsidRPr="009B3747">
        <w:rPr>
          <w:rFonts w:eastAsia="Times New Roman" w:cstheme="minorHAnsi"/>
          <w:sz w:val="24"/>
          <w:szCs w:val="24"/>
          <w:lang w:eastAsia="en-GB"/>
        </w:rPr>
        <w:t> </w:t>
      </w:r>
    </w:p>
    <w:p w:rsidR="00827CCD" w:rsidRPr="009B3747" w:rsidRDefault="00827CCD" w:rsidP="00C27072">
      <w:pPr>
        <w:numPr>
          <w:ilvl w:val="0"/>
          <w:numId w:val="111"/>
        </w:numPr>
        <w:textAlignment w:val="baseline"/>
        <w:rPr>
          <w:rFonts w:eastAsia="Times New Roman" w:cstheme="minorHAnsi"/>
          <w:color w:val="000000"/>
          <w:sz w:val="20"/>
          <w:szCs w:val="20"/>
          <w:lang w:eastAsia="en-GB"/>
        </w:rPr>
      </w:pPr>
      <w:r w:rsidRPr="009B3747">
        <w:rPr>
          <w:rFonts w:eastAsia="Times New Roman" w:cstheme="minorHAnsi"/>
          <w:i/>
          <w:color w:val="000000"/>
          <w:sz w:val="20"/>
          <w:szCs w:val="20"/>
          <w:lang w:eastAsia="en-GB"/>
        </w:rPr>
        <w:t>“Support from statutory agencies is limite</w:t>
      </w:r>
      <w:r w:rsidR="00007AD7" w:rsidRPr="009B3747">
        <w:rPr>
          <w:rFonts w:eastAsia="Times New Roman" w:cstheme="minorHAnsi"/>
          <w:i/>
          <w:color w:val="000000"/>
          <w:sz w:val="20"/>
          <w:szCs w:val="20"/>
          <w:lang w:eastAsia="en-GB"/>
        </w:rPr>
        <w:t>d due to government cutbacks.”</w:t>
      </w:r>
      <w:r w:rsidR="00007AD7" w:rsidRPr="009B3747">
        <w:rPr>
          <w:rFonts w:eastAsia="Times New Roman" w:cstheme="minorHAnsi"/>
          <w:color w:val="000000"/>
          <w:sz w:val="20"/>
          <w:szCs w:val="20"/>
          <w:lang w:eastAsia="en-GB"/>
        </w:rPr>
        <w:t xml:space="preserve"> </w:t>
      </w:r>
      <w:r w:rsidR="00007AD7" w:rsidRPr="009B3747">
        <w:rPr>
          <w:rFonts w:eastAsia="Times New Roman" w:cstheme="minorHAnsi"/>
          <w:b/>
          <w:color w:val="000000"/>
          <w:sz w:val="20"/>
          <w:szCs w:val="20"/>
          <w:lang w:eastAsia="en-GB"/>
        </w:rPr>
        <w:t>(Chair of governors)</w:t>
      </w:r>
    </w:p>
    <w:p w:rsidR="00AC3B26" w:rsidRPr="009B3747" w:rsidRDefault="00AC3B26" w:rsidP="00827CCD">
      <w:pPr>
        <w:rPr>
          <w:rFonts w:eastAsia="Times New Roman" w:cstheme="minorHAnsi"/>
          <w:sz w:val="24"/>
          <w:szCs w:val="24"/>
          <w:lang w:eastAsia="en-GB"/>
        </w:rPr>
      </w:pPr>
    </w:p>
    <w:p w:rsidR="00AC3B26" w:rsidRPr="009B3747" w:rsidRDefault="00AC3B26" w:rsidP="00827CCD">
      <w:pPr>
        <w:rPr>
          <w:rFonts w:eastAsia="Times New Roman" w:cstheme="minorHAnsi"/>
          <w:sz w:val="24"/>
          <w:szCs w:val="24"/>
          <w:lang w:eastAsia="en-GB"/>
        </w:rPr>
      </w:pPr>
    </w:p>
    <w:p w:rsidR="00AC3B26" w:rsidRPr="009B3747" w:rsidRDefault="00AC3B26" w:rsidP="00827CCD">
      <w:pPr>
        <w:rPr>
          <w:rFonts w:eastAsia="Times New Roman" w:cstheme="minorHAnsi"/>
          <w:sz w:val="24"/>
          <w:szCs w:val="24"/>
          <w:lang w:eastAsia="en-GB"/>
        </w:rPr>
      </w:pPr>
    </w:p>
    <w:p w:rsidR="00AC3B26" w:rsidRPr="009B3747" w:rsidRDefault="00AC3B26" w:rsidP="00827CCD">
      <w:pPr>
        <w:rPr>
          <w:rFonts w:eastAsia="Times New Roman" w:cstheme="minorHAnsi"/>
          <w:sz w:val="24"/>
          <w:szCs w:val="24"/>
          <w:lang w:eastAsia="en-GB"/>
        </w:rPr>
      </w:pPr>
    </w:p>
    <w:p w:rsidR="00AC3B26" w:rsidRPr="009B3747" w:rsidRDefault="00AC3B26" w:rsidP="00827CCD">
      <w:pPr>
        <w:rPr>
          <w:rFonts w:eastAsia="Times New Roman" w:cstheme="minorHAnsi"/>
          <w:sz w:val="24"/>
          <w:szCs w:val="24"/>
          <w:lang w:eastAsia="en-GB"/>
        </w:rPr>
      </w:pPr>
    </w:p>
    <w:p w:rsidR="00AC3B26" w:rsidRPr="009B3747" w:rsidRDefault="00AC3B26" w:rsidP="00827CCD">
      <w:pPr>
        <w:rPr>
          <w:rFonts w:eastAsia="Times New Roman" w:cstheme="minorHAnsi"/>
          <w:sz w:val="24"/>
          <w:szCs w:val="24"/>
          <w:lang w:eastAsia="en-GB"/>
        </w:rPr>
      </w:pPr>
    </w:p>
    <w:p w:rsidR="00AC3B26" w:rsidRPr="009B3747" w:rsidRDefault="00AC3B26" w:rsidP="00827CCD">
      <w:pPr>
        <w:rPr>
          <w:rFonts w:eastAsia="Times New Roman" w:cstheme="minorHAnsi"/>
          <w:sz w:val="24"/>
          <w:szCs w:val="24"/>
          <w:lang w:eastAsia="en-GB"/>
        </w:rPr>
      </w:pPr>
    </w:p>
    <w:p w:rsidR="00AC3B26" w:rsidRPr="009B3747" w:rsidRDefault="00AC3B26" w:rsidP="00827CCD">
      <w:pPr>
        <w:rPr>
          <w:rFonts w:eastAsia="Times New Roman" w:cstheme="minorHAnsi"/>
          <w:sz w:val="24"/>
          <w:szCs w:val="24"/>
          <w:lang w:eastAsia="en-GB"/>
        </w:rPr>
      </w:pPr>
    </w:p>
    <w:p w:rsidR="00AC3B26" w:rsidRPr="009B3747" w:rsidRDefault="00AC3B26" w:rsidP="00827CCD">
      <w:pPr>
        <w:rPr>
          <w:rFonts w:eastAsia="Times New Roman" w:cstheme="minorHAnsi"/>
          <w:sz w:val="24"/>
          <w:szCs w:val="24"/>
          <w:lang w:eastAsia="en-GB"/>
        </w:rPr>
      </w:pPr>
    </w:p>
    <w:p w:rsidR="00AC3B26" w:rsidRPr="009B3747" w:rsidRDefault="00AC3B26" w:rsidP="00827CCD">
      <w:pPr>
        <w:rPr>
          <w:rFonts w:eastAsia="Times New Roman" w:cstheme="minorHAnsi"/>
          <w:sz w:val="24"/>
          <w:szCs w:val="24"/>
          <w:lang w:eastAsia="en-GB"/>
        </w:rPr>
      </w:pPr>
    </w:p>
    <w:p w:rsidR="00AC3B26" w:rsidRPr="009B3747" w:rsidRDefault="00AC3B26" w:rsidP="00827CCD">
      <w:pPr>
        <w:rPr>
          <w:rFonts w:eastAsia="Times New Roman" w:cstheme="minorHAnsi"/>
          <w:sz w:val="24"/>
          <w:szCs w:val="24"/>
          <w:lang w:eastAsia="en-GB"/>
        </w:rPr>
      </w:pPr>
    </w:p>
    <w:p w:rsidR="00AC3B26" w:rsidRPr="009B3747" w:rsidRDefault="00AC3B26" w:rsidP="00827CCD">
      <w:pPr>
        <w:rPr>
          <w:rFonts w:eastAsia="Times New Roman" w:cstheme="minorHAnsi"/>
          <w:sz w:val="24"/>
          <w:szCs w:val="24"/>
          <w:lang w:eastAsia="en-GB"/>
        </w:rPr>
      </w:pPr>
    </w:p>
    <w:p w:rsidR="00AC3B26" w:rsidRPr="009B3747" w:rsidRDefault="00AC3B26" w:rsidP="00827CCD">
      <w:pPr>
        <w:rPr>
          <w:rFonts w:eastAsia="Times New Roman" w:cstheme="minorHAnsi"/>
          <w:sz w:val="24"/>
          <w:szCs w:val="24"/>
          <w:lang w:eastAsia="en-GB"/>
        </w:rPr>
      </w:pPr>
    </w:p>
    <w:p w:rsidR="00AC3B26" w:rsidRPr="009B3747" w:rsidRDefault="00AC3B26" w:rsidP="00827CCD">
      <w:pPr>
        <w:rPr>
          <w:rFonts w:eastAsia="Times New Roman" w:cstheme="minorHAnsi"/>
          <w:sz w:val="24"/>
          <w:szCs w:val="24"/>
          <w:lang w:eastAsia="en-GB"/>
        </w:rPr>
      </w:pPr>
    </w:p>
    <w:p w:rsidR="00AC3B26" w:rsidRPr="009B3747" w:rsidRDefault="00AC3B26" w:rsidP="00827CCD">
      <w:pPr>
        <w:rPr>
          <w:rFonts w:eastAsia="Times New Roman" w:cstheme="minorHAnsi"/>
          <w:sz w:val="24"/>
          <w:szCs w:val="24"/>
          <w:lang w:eastAsia="en-GB"/>
        </w:rPr>
      </w:pPr>
    </w:p>
    <w:p w:rsidR="00AC3B26" w:rsidRPr="009B3747" w:rsidRDefault="00AC3B26" w:rsidP="00827CCD">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p>
    <w:p w:rsidR="00653F9F" w:rsidRPr="009B3747" w:rsidRDefault="005647C8" w:rsidP="005647C8">
      <w:pPr>
        <w:jc w:val="center"/>
        <w:rPr>
          <w:rFonts w:eastAsia="Times New Roman" w:cstheme="minorHAnsi"/>
          <w:b/>
          <w:bCs/>
          <w:color w:val="000000"/>
          <w:sz w:val="36"/>
          <w:szCs w:val="36"/>
          <w:u w:val="single"/>
          <w:lang w:eastAsia="en-GB"/>
        </w:rPr>
      </w:pPr>
      <w:r>
        <w:rPr>
          <w:rFonts w:eastAsia="Times New Roman" w:cstheme="minorHAnsi"/>
          <w:b/>
          <w:bCs/>
          <w:color w:val="000000"/>
          <w:sz w:val="36"/>
          <w:szCs w:val="36"/>
          <w:u w:val="single"/>
          <w:lang w:eastAsia="en-GB"/>
        </w:rPr>
        <w:lastRenderedPageBreak/>
        <w:t>C</w:t>
      </w:r>
      <w:r w:rsidR="00653F9F" w:rsidRPr="009B3747">
        <w:rPr>
          <w:rFonts w:eastAsia="Times New Roman" w:cstheme="minorHAnsi"/>
          <w:b/>
          <w:bCs/>
          <w:color w:val="000000"/>
          <w:sz w:val="36"/>
          <w:szCs w:val="36"/>
          <w:u w:val="single"/>
          <w:lang w:eastAsia="en-GB"/>
        </w:rPr>
        <w:t>hapter 9</w:t>
      </w:r>
    </w:p>
    <w:p w:rsidR="00653F9F" w:rsidRPr="009B3747" w:rsidRDefault="00653F9F" w:rsidP="00AC3B26">
      <w:pPr>
        <w:rPr>
          <w:rFonts w:eastAsia="Times New Roman" w:cstheme="minorHAnsi"/>
          <w:b/>
          <w:bCs/>
          <w:color w:val="000000"/>
          <w:sz w:val="32"/>
          <w:szCs w:val="32"/>
          <w:u w:val="single"/>
          <w:lang w:eastAsia="en-GB"/>
        </w:rPr>
      </w:pPr>
    </w:p>
    <w:p w:rsidR="00AC3B26" w:rsidRPr="009B3747" w:rsidRDefault="00AC3B26" w:rsidP="00AC3B26">
      <w:pPr>
        <w:rPr>
          <w:rFonts w:eastAsia="Times New Roman" w:cstheme="minorHAnsi"/>
          <w:sz w:val="32"/>
          <w:szCs w:val="32"/>
          <w:lang w:eastAsia="en-GB"/>
        </w:rPr>
      </w:pPr>
      <w:r w:rsidRPr="009B3747">
        <w:rPr>
          <w:rFonts w:eastAsia="Times New Roman" w:cstheme="minorHAnsi"/>
          <w:b/>
          <w:bCs/>
          <w:color w:val="000000"/>
          <w:sz w:val="32"/>
          <w:szCs w:val="32"/>
          <w:u w:val="single"/>
          <w:lang w:eastAsia="en-GB"/>
        </w:rPr>
        <w:t>Discussion</w:t>
      </w:r>
    </w:p>
    <w:p w:rsidR="00AC3B26" w:rsidRPr="009B3747" w:rsidRDefault="00AC3B26" w:rsidP="00AC3B26">
      <w:pPr>
        <w:rPr>
          <w:rFonts w:eastAsia="Times New Roman" w:cstheme="minorHAnsi"/>
          <w:sz w:val="24"/>
          <w:szCs w:val="24"/>
          <w:lang w:eastAsia="en-GB"/>
        </w:rPr>
      </w:pPr>
    </w:p>
    <w:p w:rsidR="00A74BDA" w:rsidRPr="009B3747" w:rsidRDefault="00A74BDA" w:rsidP="00AC3B26">
      <w:pPr>
        <w:rPr>
          <w:rFonts w:eastAsia="Times New Roman" w:cstheme="minorHAnsi"/>
          <w:b/>
          <w:color w:val="000000"/>
          <w:sz w:val="24"/>
          <w:szCs w:val="24"/>
          <w:u w:val="single"/>
          <w:lang w:eastAsia="en-GB"/>
        </w:rPr>
      </w:pPr>
      <w:r w:rsidRPr="009B3747">
        <w:rPr>
          <w:rFonts w:eastAsia="Times New Roman" w:cstheme="minorHAnsi"/>
          <w:b/>
          <w:color w:val="000000"/>
          <w:sz w:val="24"/>
          <w:szCs w:val="24"/>
          <w:u w:val="single"/>
          <w:lang w:eastAsia="en-GB"/>
        </w:rPr>
        <w:t>9.1 Introduction</w:t>
      </w:r>
    </w:p>
    <w:p w:rsidR="00A74BDA" w:rsidRPr="009B3747" w:rsidRDefault="00A74BDA" w:rsidP="00AC3B26">
      <w:pPr>
        <w:rPr>
          <w:rFonts w:eastAsia="Times New Roman" w:cstheme="minorHAnsi"/>
          <w:color w:val="000000"/>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This chapter provides a detailed discussion of the main study findings, specifically addressing the original research question and associated aims and</w:t>
      </w:r>
      <w:r w:rsidR="00703AD7" w:rsidRPr="009B3747">
        <w:rPr>
          <w:rFonts w:eastAsia="Times New Roman" w:cstheme="minorHAnsi"/>
          <w:color w:val="000000"/>
          <w:lang w:eastAsia="en-GB"/>
        </w:rPr>
        <w:t xml:space="preserve"> objectives.  Comprised of three overarching </w:t>
      </w:r>
      <w:r w:rsidRPr="009B3747">
        <w:rPr>
          <w:rFonts w:eastAsia="Times New Roman" w:cstheme="minorHAnsi"/>
          <w:color w:val="000000"/>
          <w:lang w:eastAsia="en-GB"/>
        </w:rPr>
        <w:t xml:space="preserve">sections, the first presents a brief summary of the study, in terms of how it was designed and conducted.  Following this, findings from both phases of the study are integrated and collectively discussed within section two.  In addition, the main overarching study findings are reflected upon in the context of existing literature and academic theory.  The third </w:t>
      </w:r>
      <w:r w:rsidR="00703AD7" w:rsidRPr="009B3747">
        <w:rPr>
          <w:rFonts w:eastAsia="Times New Roman" w:cstheme="minorHAnsi"/>
          <w:color w:val="000000"/>
          <w:lang w:eastAsia="en-GB"/>
        </w:rPr>
        <w:t>and final s</w:t>
      </w:r>
      <w:r w:rsidRPr="009B3747">
        <w:rPr>
          <w:rFonts w:eastAsia="Times New Roman" w:cstheme="minorHAnsi"/>
          <w:color w:val="000000"/>
          <w:lang w:eastAsia="en-GB"/>
        </w:rPr>
        <w:t>ection, provides a comprehensive critique of the overall doctoral study</w:t>
      </w:r>
      <w:r w:rsidR="00703AD7" w:rsidRPr="009B3747">
        <w:rPr>
          <w:rFonts w:eastAsia="Times New Roman" w:cstheme="minorHAnsi"/>
          <w:color w:val="000000"/>
          <w:lang w:eastAsia="en-GB"/>
        </w:rPr>
        <w:t>.</w:t>
      </w:r>
    </w:p>
    <w:p w:rsidR="00AC3B26" w:rsidRPr="009B3747" w:rsidRDefault="00AC3B26" w:rsidP="00AC3B26">
      <w:pPr>
        <w:rPr>
          <w:rFonts w:eastAsia="Times New Roman" w:cstheme="minorHAnsi"/>
          <w:sz w:val="24"/>
          <w:szCs w:val="24"/>
          <w:lang w:eastAsia="en-GB"/>
        </w:rPr>
      </w:pPr>
    </w:p>
    <w:p w:rsidR="00AC3B26" w:rsidRPr="009B3747" w:rsidRDefault="00A74BDA" w:rsidP="00AC3B26">
      <w:pPr>
        <w:rPr>
          <w:rFonts w:eastAsia="Times New Roman" w:cstheme="minorHAnsi"/>
          <w:sz w:val="24"/>
          <w:szCs w:val="24"/>
          <w:lang w:eastAsia="en-GB"/>
        </w:rPr>
      </w:pPr>
      <w:r w:rsidRPr="009B3747">
        <w:rPr>
          <w:rFonts w:eastAsia="Times New Roman" w:cstheme="minorHAnsi"/>
          <w:b/>
          <w:bCs/>
          <w:color w:val="000000"/>
          <w:sz w:val="24"/>
          <w:szCs w:val="24"/>
          <w:u w:val="single"/>
          <w:lang w:eastAsia="en-GB"/>
        </w:rPr>
        <w:t>9.2</w:t>
      </w:r>
      <w:r w:rsidR="00AC3B26" w:rsidRPr="009B3747">
        <w:rPr>
          <w:rFonts w:eastAsia="Times New Roman" w:cstheme="minorHAnsi"/>
          <w:b/>
          <w:bCs/>
          <w:color w:val="000000"/>
          <w:sz w:val="24"/>
          <w:szCs w:val="24"/>
          <w:u w:val="single"/>
          <w:lang w:eastAsia="en-GB"/>
        </w:rPr>
        <w:t xml:space="preserve"> Summary of the study</w:t>
      </w:r>
    </w:p>
    <w:p w:rsidR="00AC3B26" w:rsidRPr="009B3747" w:rsidRDefault="00AC3B26" w:rsidP="00AC3B26">
      <w:pPr>
        <w:rPr>
          <w:rFonts w:eastAsia="Times New Roman" w:cstheme="minorHAnsi"/>
          <w:sz w:val="24"/>
          <w:szCs w:val="24"/>
          <w:lang w:eastAsia="en-GB"/>
        </w:rPr>
      </w:pPr>
    </w:p>
    <w:p w:rsidR="000A3628" w:rsidRPr="009B3747" w:rsidRDefault="00AC3B26" w:rsidP="00AC3B26">
      <w:pPr>
        <w:rPr>
          <w:rFonts w:eastAsia="Times New Roman" w:cstheme="minorHAnsi"/>
          <w:color w:val="000000"/>
          <w:lang w:eastAsia="en-GB"/>
        </w:rPr>
      </w:pPr>
      <w:r w:rsidRPr="009B3747">
        <w:rPr>
          <w:rFonts w:eastAsia="Times New Roman" w:cstheme="minorHAnsi"/>
          <w:color w:val="000000"/>
          <w:lang w:eastAsia="en-GB"/>
        </w:rPr>
        <w:t>Childhood and adolescent obesity is a significant public health issue</w:t>
      </w:r>
      <w:r w:rsidR="00771B7D" w:rsidRPr="009B3747">
        <w:rPr>
          <w:rFonts w:eastAsia="Times New Roman" w:cstheme="minorHAnsi"/>
          <w:color w:val="000000"/>
          <w:lang w:eastAsia="en-GB"/>
        </w:rPr>
        <w:t xml:space="preserve"> </w:t>
      </w:r>
      <w:r w:rsidR="00771B7D" w:rsidRPr="009B3747">
        <w:rPr>
          <w:rFonts w:eastAsia="Times New Roman" w:cstheme="minorHAnsi"/>
          <w:color w:val="000000"/>
          <w:lang w:eastAsia="en-GB"/>
        </w:rPr>
        <w:fldChar w:fldCharType="begin" w:fldLock="1"/>
      </w:r>
      <w:r w:rsidR="00771B7D" w:rsidRPr="009B3747">
        <w:rPr>
          <w:rFonts w:eastAsia="Times New Roman" w:cstheme="minorHAnsi"/>
          <w:color w:val="000000"/>
          <w:lang w:eastAsia="en-GB"/>
        </w:rPr>
        <w:instrText>ADDIN CSL_CITATION { "citationItems" : [ { "id" : "ITEM-1", "itemData" : { "DOI" : "10.1016/S0140-6736(16)31471-4", "ISSN" : "01406736", "PMID" : "27597454", "author" : [ { "dropping-particle" : "", "family" : "Lobstein", "given" : "Tim", "non-dropping-particle" : "", "parse-names" : false, "suffix" : "" }, { "dropping-particle" : "", "family" : "McPherson", "given" : "Klim", "non-dropping-particle" : "", "parse-names" : false, "suffix" : "" } ], "container-title" : "The Lancet", "id" : "ITEM-1", "issue" : "10047", "issued" : { "date-parts" : [ [ "2016", "8", "27" ] ] }, "page" : "853-854", "title" : "Nothing new in UK's strategy on childhood obesity", "type" : "article-journal", "volume" : "388" }, "uris" : [ "http://www.mendeley.com/documents/?uuid=74346242-5c21-35c1-bff5-a083b8be702d" ] } ], "mendeley" : { "formattedCitation" : "(Lobstein and McPherson, 2016)", "plainTextFormattedCitation" : "(Lobstein and McPherson, 2016)", "previouslyFormattedCitation" : "(Lobstein and McPherson, 2016)" }, "properties" : { "noteIndex" : 0 }, "schema" : "https://github.com/citation-style-language/schema/raw/master/csl-citation.json" }</w:instrText>
      </w:r>
      <w:r w:rsidR="00771B7D" w:rsidRPr="009B3747">
        <w:rPr>
          <w:rFonts w:eastAsia="Times New Roman" w:cstheme="minorHAnsi"/>
          <w:color w:val="000000"/>
          <w:lang w:eastAsia="en-GB"/>
        </w:rPr>
        <w:fldChar w:fldCharType="separate"/>
      </w:r>
      <w:r w:rsidR="00771B7D" w:rsidRPr="009B3747">
        <w:rPr>
          <w:rFonts w:eastAsia="Times New Roman" w:cstheme="minorHAnsi"/>
          <w:noProof/>
          <w:color w:val="000000"/>
          <w:lang w:eastAsia="en-GB"/>
        </w:rPr>
        <w:t>(Lobstein and McPherson, 2016)</w:t>
      </w:r>
      <w:r w:rsidR="00771B7D" w:rsidRPr="009B3747">
        <w:rPr>
          <w:rFonts w:eastAsia="Times New Roman" w:cstheme="minorHAnsi"/>
          <w:color w:val="000000"/>
          <w:lang w:eastAsia="en-GB"/>
        </w:rPr>
        <w:fldChar w:fldCharType="end"/>
      </w:r>
      <w:r w:rsidRPr="009B3747">
        <w:rPr>
          <w:rFonts w:eastAsia="Times New Roman" w:cstheme="minorHAnsi"/>
          <w:color w:val="000000"/>
          <w:lang w:eastAsia="en-GB"/>
        </w:rPr>
        <w:t>.  O</w:t>
      </w:r>
      <w:r w:rsidR="00771B7D" w:rsidRPr="009B3747">
        <w:rPr>
          <w:rFonts w:eastAsia="Times New Roman" w:cstheme="minorHAnsi"/>
          <w:color w:val="000000"/>
          <w:lang w:eastAsia="en-GB"/>
        </w:rPr>
        <w:t>ver a third of children aged 10 to 11 years and adolescents aged 12 to 15 years</w:t>
      </w:r>
      <w:r w:rsidRPr="009B3747">
        <w:rPr>
          <w:rFonts w:eastAsia="Times New Roman" w:cstheme="minorHAnsi"/>
          <w:color w:val="000000"/>
          <w:lang w:eastAsia="en-GB"/>
        </w:rPr>
        <w:t xml:space="preserve"> in England are overweight or obese</w:t>
      </w:r>
      <w:r w:rsidR="00771B7D" w:rsidRPr="009B3747">
        <w:rPr>
          <w:rFonts w:eastAsia="Times New Roman" w:cstheme="minorHAnsi"/>
          <w:color w:val="000000"/>
          <w:lang w:eastAsia="en-GB"/>
        </w:rPr>
        <w:t xml:space="preserve"> </w:t>
      </w:r>
      <w:r w:rsidR="00771B7D"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"NHS Digital", "given" : "", "non-dropping-particle" : "", "parse-names" : false, "suffix" : "" } ], "id" : "ITEM-1", "issued" : { "date-parts" : [ [ "2016" ] ] }, "publisher-place" : "London", "title" : "National Child Measurement Programme - England, 2015/2016 school year", "type" : "report" }, "uris" : [ "http://www.mendeley.com/documents/?uuid=c13c8b37-9c1a-4559-8550-5f5e414a2fe2" ] } ], "mendeley" : { "formattedCitation" : "(NHS Digital, 2016b)", "plainTextFormattedCitation" : "(NHS Digital, 2016b)", "previouslyFormattedCitation" : "(NHS Digital, 2016b)" }, "properties" : { "noteIndex" : 0 }, "schema" : "https://github.com/citation-style-language/schema/raw/master/csl-citation.json" }</w:instrText>
      </w:r>
      <w:r w:rsidR="00771B7D" w:rsidRPr="009B3747">
        <w:rPr>
          <w:rFonts w:eastAsia="Times New Roman" w:cstheme="minorHAnsi"/>
          <w:color w:val="000000"/>
          <w:lang w:eastAsia="en-GB"/>
        </w:rPr>
        <w:fldChar w:fldCharType="separate"/>
      </w:r>
      <w:r w:rsidR="00771B7D" w:rsidRPr="009B3747">
        <w:rPr>
          <w:rFonts w:eastAsia="Times New Roman" w:cstheme="minorHAnsi"/>
          <w:noProof/>
          <w:color w:val="000000"/>
          <w:lang w:eastAsia="en-GB"/>
        </w:rPr>
        <w:t>(NHS Digital, 2016b)</w:t>
      </w:r>
      <w:r w:rsidR="00771B7D"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The causes of obesity throughout the </w:t>
      </w:r>
      <w:r w:rsidR="004B590A" w:rsidRPr="009B3747">
        <w:rPr>
          <w:rFonts w:eastAsia="Times New Roman" w:cstheme="minorHAnsi"/>
          <w:color w:val="000000"/>
          <w:lang w:eastAsia="en-GB"/>
        </w:rPr>
        <w:t>life course</w:t>
      </w:r>
      <w:r w:rsidRPr="009B3747">
        <w:rPr>
          <w:rFonts w:eastAsia="Times New Roman" w:cstheme="minorHAnsi"/>
          <w:color w:val="000000"/>
          <w:lang w:eastAsia="en-GB"/>
        </w:rPr>
        <w:t xml:space="preserve"> are multifactorial and complex, with genetic, behavioural and environmental factors all playing a role </w:t>
      </w:r>
      <w:r w:rsidR="00771B7D" w:rsidRPr="009B3747">
        <w:rPr>
          <w:rFonts w:eastAsia="Times New Roman" w:cstheme="minorHAnsi"/>
          <w:color w:val="000000"/>
          <w:lang w:eastAsia="en-GB"/>
        </w:rPr>
        <w:fldChar w:fldCharType="begin" w:fldLock="1"/>
      </w:r>
      <w:r w:rsidR="00771B7D" w:rsidRPr="009B3747">
        <w:rPr>
          <w:rFonts w:eastAsia="Times New Roman" w:cstheme="minorHAnsi"/>
          <w:color w:val="000000"/>
          <w:lang w:eastAsia="en-GB"/>
        </w:rPr>
        <w:instrText>ADDIN CSL_CITATION { "citationItems" : [ { "id" : "ITEM-1", "itemData" : { "DOI" : "10.1111/j.1467-789X.2007.00344.x", "ISSN" : "1467-7881", "author" : [ { "dropping-particle" : "", "family" : "Jebb", "given" : "S. A.", "non-dropping-particle" : "", "parse-names" : false, "suffix" : "" }, { "dropping-particle" : "", "family" : "Kopelman", "given" : "P.", "non-dropping-particle" : "", "parse-names" : false, "suffix" : "" }, { "dropping-particle" : "", "family" : "Butland", "given" : "B.", "non-dropping-particle" : "", "parse-names" : false, "suffix" : "" } ], "container-title" : "Obesity Reviews", "id" : "ITEM-1", "issue" : "s1", "issued" : { "date-parts" : [ [ "2007", "3", "1" ] ] }, "page" : "vi-ix", "publisher" : "Blackwell Publishing Ltd", "title" : "Executive Summary: FORESIGHT ?Tackling Obesities: Future Choices? project", "type" : "article-journal", "volume" : "8" }, "uris" : [ "http://www.mendeley.com/documents/?uuid=e73a53f3-f7de-3576-bb1a-7694a6fd0aa5" ] } ], "mendeley" : { "formattedCitation" : "(Jebb et al., 2007)", "plainTextFormattedCitation" : "(Jebb et al., 2007)", "previouslyFormattedCitation" : "(Jebb et al., 2007)" }, "properties" : { "noteIndex" : 0 }, "schema" : "https://github.com/citation-style-language/schema/raw/master/csl-citation.json" }</w:instrText>
      </w:r>
      <w:r w:rsidR="00771B7D" w:rsidRPr="009B3747">
        <w:rPr>
          <w:rFonts w:eastAsia="Times New Roman" w:cstheme="minorHAnsi"/>
          <w:color w:val="000000"/>
          <w:lang w:eastAsia="en-GB"/>
        </w:rPr>
        <w:fldChar w:fldCharType="separate"/>
      </w:r>
      <w:r w:rsidR="00771B7D" w:rsidRPr="009B3747">
        <w:rPr>
          <w:rFonts w:eastAsia="Times New Roman" w:cstheme="minorHAnsi"/>
          <w:noProof/>
          <w:color w:val="000000"/>
          <w:lang w:eastAsia="en-GB"/>
        </w:rPr>
        <w:t>(Jebb et al., 2007)</w:t>
      </w:r>
      <w:r w:rsidR="00771B7D" w:rsidRPr="009B3747">
        <w:rPr>
          <w:rFonts w:eastAsia="Times New Roman" w:cstheme="minorHAnsi"/>
          <w:color w:val="000000"/>
          <w:lang w:eastAsia="en-GB"/>
        </w:rPr>
        <w:fldChar w:fldCharType="end"/>
      </w:r>
      <w:r w:rsidRPr="009B3747">
        <w:rPr>
          <w:rFonts w:eastAsia="Times New Roman" w:cstheme="minorHAnsi"/>
          <w:color w:val="000000"/>
          <w:lang w:eastAsia="en-GB"/>
        </w:rPr>
        <w:t>.  Excess weight in children, adolescents and adults negatively impacts upon an individual's risk of morbidity and premature mortality</w:t>
      </w:r>
      <w:r w:rsidR="00771B7D" w:rsidRPr="009B3747">
        <w:rPr>
          <w:rFonts w:eastAsia="Times New Roman" w:cstheme="minorHAnsi"/>
          <w:color w:val="000000"/>
          <w:lang w:eastAsia="en-GB"/>
        </w:rPr>
        <w:t xml:space="preserve"> </w:t>
      </w:r>
      <w:r w:rsidR="00771B7D"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"Ebbeling", "given" : "CB", "non-dropping-particle" : "", "parse-names" : false, "suffix" : "" }, { "dropping-particle" : "", "family" : "Pawlak", "given" : "DB", "non-dropping-particle" : "", "parse-names" : false, "suffix" : "" }, { "dropping-particle" : "", "family" : "Ludwig", "given" : "DS", "non-dropping-particle" : "", "parse-names" : false, "suffix" : "" } ], "container-title" : "The lancet", "id" : "ITEM-1", "issue" : "9331", "issued" : { "date-parts" : [ [ "2002" ] ] }, "page" : "473-482", "title" : "Childhood obesity: public-health crisis, common sense cure", "type" : "article-journal", "volume" : "360" }, "uris" : [ "http://www.mendeley.com/documents/?uuid=170d16d6-47bb-497e-ad62-092f44b77542" ] } ], "mendeley" : { "formattedCitation" : "(Ebbeling et al., 2002)", "plainTextFormattedCitation" : "(Ebbeling et al., 2002)", "previouslyFormattedCitation" : "(Ebbeling et al., 2002)" }, "properties" : { "noteIndex" : 0 }, "schema" : "https://github.com/citation-style-language/schema/raw/master/csl-citation.json" }</w:instrText>
      </w:r>
      <w:r w:rsidR="00771B7D" w:rsidRPr="009B3747">
        <w:rPr>
          <w:rFonts w:eastAsia="Times New Roman" w:cstheme="minorHAnsi"/>
          <w:color w:val="000000"/>
          <w:lang w:eastAsia="en-GB"/>
        </w:rPr>
        <w:fldChar w:fldCharType="separate"/>
      </w:r>
      <w:r w:rsidR="00771B7D" w:rsidRPr="009B3747">
        <w:rPr>
          <w:rFonts w:eastAsia="Times New Roman" w:cstheme="minorHAnsi"/>
          <w:noProof/>
          <w:color w:val="000000"/>
          <w:lang w:eastAsia="en-GB"/>
        </w:rPr>
        <w:t>(Ebbeling et al., 2002)</w:t>
      </w:r>
      <w:r w:rsidR="00771B7D" w:rsidRPr="009B3747">
        <w:rPr>
          <w:rFonts w:eastAsia="Times New Roman" w:cstheme="minorHAnsi"/>
          <w:color w:val="000000"/>
          <w:lang w:eastAsia="en-GB"/>
        </w:rPr>
        <w:fldChar w:fldCharType="end"/>
      </w:r>
      <w:r w:rsidR="00771B7D" w:rsidRPr="009B3747">
        <w:rPr>
          <w:rFonts w:eastAsia="Times New Roman" w:cstheme="minorHAnsi"/>
          <w:color w:val="000000"/>
          <w:lang w:eastAsia="en-GB"/>
        </w:rPr>
        <w:t>,</w:t>
      </w:r>
      <w:r w:rsidRPr="009B3747">
        <w:rPr>
          <w:rFonts w:eastAsia="Times New Roman" w:cstheme="minorHAnsi"/>
          <w:color w:val="000000"/>
          <w:lang w:eastAsia="en-GB"/>
        </w:rPr>
        <w:t xml:space="preserve"> in addition to presenting a substantial economic and social burden to society</w:t>
      </w:r>
      <w:r w:rsidR="00771B7D" w:rsidRPr="009B3747">
        <w:rPr>
          <w:rFonts w:eastAsia="Times New Roman" w:cstheme="minorHAnsi"/>
          <w:color w:val="000000"/>
          <w:lang w:eastAsia="en-GB"/>
        </w:rPr>
        <w:t xml:space="preserve"> </w:t>
      </w:r>
      <w:r w:rsidR="00771B7D"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"DOI" : "10.1016/S0140-6736(11)60814-3", "ISBN" : "1474-547X (Electronic)\\n0140-6736 (Linking)", "ISSN" : "01406736", "PMID" : "21872750", "abstract" : "Rising prevalence of obesity is a worldwide health concern because excess weight gain within populations forecasts an increased burden from several diseases, most notably cardiovascular diseases, diabetes, and cancers. In this report, we used a simulation model to project the probable health and economic consequences in the next two decades from a continued rise in obesity in two ageing populations - the USA and the UK. These trends project 65 million more obese adults in the USA and 11 million more obese adults in the UK by 2030, consequently accruing an additional 6-8\u00b75 million cases of diabetes, 5\u00b77-7\u00b73 million cases of heart disease and stroke, 492 000-669 000 additional cases of cancer, and 26-55 million quality-adjusted life years forgone for USA and UK combined. The combined medical costs associated with treatment of these preventable diseases are estimated to increase by $48-66 billion/year in the USA and by \u00a31\u00b79-2 billion/year in the UK by 2030. Hence, effective policies to promote healthier weight also have economic benefits. \u00a9 2011 Elsevier Ltd.", "author" : [ { "dropping-particle" : "", "family" : "Wang", "given" : "Y. Claire", "non-dropping-particle" : "", "parse-names" : false, "suffix" : "" }, { "dropping-particle" : "", "family" : "McPherson", "given" : "Klim", "non-dropping-particle" : "", "parse-names" : false, "suffix" : "" }, { "dropping-particle" : "", "family" : "Marsh", "given" : "Tim", "non-dropping-particle" : "", "parse-names" : false, "suffix" : "" }, { "dropping-particle" : "", "family" : "Gortmaker", "given" : "Steven L.", "non-dropping-particle" : "", "parse-names" : false, "suffix" : "" }, { "dropping-particle" : "", "family" : "Brown", "given" : "Martin", "non-dropping-particle" : "", "parse-names" : false, "suffix" : "" } ], "container-title" : "The Lancet", "id" : "ITEM-1", "issue" : "9793", "issued" : { "date-parts" : [ [ "2011" ] ] }, "page" : "815-825", "title" : "Health and economic burden of the projected obesity trends in the USA and the UK", "type" : "article-journal", "volume" : "378" }, "uris" : [ "http://www.mendeley.com/documents/?uuid=d847f100-977f-4bd7-8545-734bc0cf2667" ] } ], "mendeley" : { "formattedCitation" : "(Wang et al., 2011)", "manualFormatting" : "(Wang et al., 2011)", "plainTextFormattedCitation" : "(Wang et al., 2011)", "previouslyFormattedCitation" : "(Wang et al., 2011)" }, "properties" : { "noteIndex" : 0 }, "schema" : "https://github.com/citation-style-language/schema/raw/master/csl-citation.json" }</w:instrText>
      </w:r>
      <w:r w:rsidR="00771B7D" w:rsidRPr="009B3747">
        <w:rPr>
          <w:rFonts w:eastAsia="Times New Roman" w:cstheme="minorHAnsi"/>
          <w:color w:val="000000"/>
          <w:lang w:eastAsia="en-GB"/>
        </w:rPr>
        <w:fldChar w:fldCharType="separate"/>
      </w:r>
      <w:r w:rsidR="00771B7D" w:rsidRPr="009B3747">
        <w:rPr>
          <w:rFonts w:eastAsia="Times New Roman" w:cstheme="minorHAnsi"/>
          <w:noProof/>
          <w:color w:val="000000"/>
          <w:lang w:eastAsia="en-GB"/>
        </w:rPr>
        <w:t>(Wang et al., 2011)</w:t>
      </w:r>
      <w:r w:rsidR="00771B7D" w:rsidRPr="009B3747">
        <w:rPr>
          <w:rFonts w:eastAsia="Times New Roman" w:cstheme="minorHAnsi"/>
          <w:color w:val="000000"/>
          <w:lang w:eastAsia="en-GB"/>
        </w:rPr>
        <w:fldChar w:fldCharType="end"/>
      </w:r>
      <w:r w:rsidR="00771B7D"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Prevention is perceived as the most effective solution to addressing obesity, with schools identified as a key setting for undertaking preventative </w:t>
      </w:r>
      <w:r w:rsidR="00771B7D" w:rsidRPr="009B3747">
        <w:rPr>
          <w:rFonts w:eastAsia="Times New Roman" w:cstheme="minorHAnsi"/>
          <w:color w:val="000000"/>
          <w:lang w:eastAsia="en-GB"/>
        </w:rPr>
        <w:t xml:space="preserve">action </w:t>
      </w:r>
      <w:r w:rsidR="00771B7D"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"Waters", "given" : "E", "non-dropping-particle" : "", "parse-names" : false, "suffix" : "" }, { "dropping-particle" : "de", "family" : "Silva-Sanigorski", "given" : "A", "non-dropping-particle" : "", "parse-names" : false, "suffix" : "" } ], "container-title" : "Cochrane Database of Systematic Reviews", "id" : "ITEM-1", "issue" : "12", "issued" : { "date-parts" : [ [ "2011" ] ] }, "title" : "Interventions for preventing obesity in children", "type" : "article-journal" }, "uris" : [ "http://www.mendeley.com/documents/?uuid=edceb688-e3c5-459d-b1d2-e8f0aa963cd2" ] } ], "mendeley" : { "formattedCitation" : "(Waters and Silva-Sanigorski, 2011)", "plainTextFormattedCitation" : "(Waters and Silva-Sanigorski, 2011)", "previouslyFormattedCitation" : "(Waters and Silva-Sanigorski, 2011)" }, "properties" : { "noteIndex" : 0 }, "schema" : "https://github.com/citation-style-language/schema/raw/master/csl-citation.json" }</w:instrText>
      </w:r>
      <w:r w:rsidR="00771B7D" w:rsidRPr="009B3747">
        <w:rPr>
          <w:rFonts w:eastAsia="Times New Roman" w:cstheme="minorHAnsi"/>
          <w:color w:val="000000"/>
          <w:lang w:eastAsia="en-GB"/>
        </w:rPr>
        <w:fldChar w:fldCharType="separate"/>
      </w:r>
      <w:r w:rsidR="00771B7D" w:rsidRPr="009B3747">
        <w:rPr>
          <w:rFonts w:eastAsia="Times New Roman" w:cstheme="minorHAnsi"/>
          <w:noProof/>
          <w:color w:val="000000"/>
          <w:lang w:eastAsia="en-GB"/>
        </w:rPr>
        <w:t>(Waters and Silva-Sanigorski, 2011)</w:t>
      </w:r>
      <w:r w:rsidR="00771B7D" w:rsidRPr="009B3747">
        <w:rPr>
          <w:rFonts w:eastAsia="Times New Roman" w:cstheme="minorHAnsi"/>
          <w:color w:val="000000"/>
          <w:lang w:eastAsia="en-GB"/>
        </w:rPr>
        <w:fldChar w:fldCharType="end"/>
      </w:r>
      <w:r w:rsidR="00D71E4D" w:rsidRPr="009B3747">
        <w:rPr>
          <w:rFonts w:eastAsia="Times New Roman" w:cstheme="minorHAnsi"/>
          <w:color w:val="000000"/>
          <w:lang w:eastAsia="en-GB"/>
        </w:rPr>
        <w:t xml:space="preserve">.  </w:t>
      </w:r>
    </w:p>
    <w:p w:rsidR="000A3628" w:rsidRPr="009B3747" w:rsidRDefault="000A3628" w:rsidP="00AC3B26">
      <w:pPr>
        <w:rPr>
          <w:rFonts w:eastAsia="Times New Roman" w:cstheme="minorHAnsi"/>
          <w:color w:val="000000"/>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Within a school environment, and as proposed by NICE, headteachers and chairs of governors are identified as critical stakeholders for determining whethe</w:t>
      </w:r>
      <w:r w:rsidR="00823B37" w:rsidRPr="009B3747">
        <w:rPr>
          <w:rFonts w:eastAsia="Times New Roman" w:cstheme="minorHAnsi"/>
          <w:color w:val="000000"/>
          <w:lang w:eastAsia="en-GB"/>
        </w:rPr>
        <w:t>r and how a school contributes</w:t>
      </w:r>
      <w:r w:rsidRPr="009B3747">
        <w:rPr>
          <w:rFonts w:eastAsia="Times New Roman" w:cstheme="minorHAnsi"/>
          <w:color w:val="000000"/>
          <w:lang w:eastAsia="en-GB"/>
        </w:rPr>
        <w:t xml:space="preserve"> to the prevention of excess weight in childhood and adolescence</w:t>
      </w:r>
      <w:r w:rsidR="00D71E4D" w:rsidRPr="009B3747">
        <w:rPr>
          <w:rFonts w:eastAsia="Times New Roman" w:cstheme="minorHAnsi"/>
          <w:color w:val="000000"/>
          <w:lang w:eastAsia="en-GB"/>
        </w:rPr>
        <w:t xml:space="preserve"> </w:t>
      </w:r>
      <w:r w:rsidR="00D71E4D"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"DOI" : "10.1016/j.appet.2014.12.121", "ISSN" : "01956663", "author" : [ { "dropping-particle" : "", "family" : "Clarke", "given" : "J.", "non-dropping-particle" : "", "parse-names" : false, "suffix" : "" }, { "dropping-particle" : "", "family" : "Lancashire", "given" : "E.", "non-dropping-particle" : "", "parse-names" : false, "suffix" : "" }, { "dropping-particle" : "", "family" : "Pallan", "given" : "M.", "non-dropping-particle" : "", "parse-names" : false, "suffix" : "" }, { "dropping-particle" : "", "family" : "Adab", "given" : "P.", "non-dropping-particle" : "", "parse-names" : false, "suffix" : "" } ], "container-title" : "Appetite", "id" : "ITEM-1", "issued" : { "date-parts" : [ [ "2015", "4" ] ] }, "page" : "377", "title" : "Headteacher perspectives on the role of the primary school in preventing childhood obesity", "type" : "article-journal", "volume" : "87" }, "uris" : [ "http://www.mendeley.com/documents/?uuid=ac79f162-74f2-49d2-a629-f4abdfb486ea" ] }, { "id" : "ITEM-2", "itemData" : { "author" : [ { "dropping-particle" : "", "family" : "Howard-Drake", "given" : "EJ", "non-dropping-particle" : "", "parse-names" : false, "suffix" : "" }, { "dropping-particle" : "", "family" : "Halliday", "given" : "V", "non-dropping-particle" : "", "parse-names" : false, "suffix" : "" } ], "container-title" : "Journal of Public Health", "id" : "ITEM-2", "issue" : "1", "issued" : { "date-parts" : [ [ "2015" ] ] }, "page" : "44-52", "title" : "Exploring primary school headteachers' perspectives on the barriers and facilitators of preventing childhood obesity", "type" : "article-journal", "volume" : "38" }, "uris" : [ "http://www.mendeley.com/documents/?uuid=5809992c-2717-4e23-9b1e-b80b2a030870" ] }, { "id" : "ITEM-3", "itemData" : { "author" : [ { "dropping-particle" : "", "family" : "National Institute of Health and Care Excellence", "given" : "", "non-dropping-particle" : "", "parse-names" : false, "suffix" : "" } ], "id" : "ITEM-3", "issued" : { "date-parts" : [ [ "2015" ] ] }, "publisher-place" : "London", "title" : "NICE Pathway - Preventing Obesity", "type" : "report" }, "uris" : [ "http://www.mendeley.com/documents/?uuid=b4b27288-9afd-4746-a8da-bc42a8085260" ] }, { "id" : "ITEM-4", "itemData" : { "author" : [ { "dropping-particle" : "", "family" : "Todd", "given" : "C", "non-dropping-particle" : "", "parse-names" : false, "suffix" : "" }, { "dropping-particle" : "", "family" : "Christian", "given" : "D", "non-dropping-particle" : "", "parse-names" : false, "suffix" : "" }, { "dropping-particle" : "", "family" : "Davies", "given" : "H", "non-dropping-particle" : "", "parse-names" : false, "suffix" : "" } ], "container-title" : "BMC research \u2026", "id" : "ITEM-4", "issue" : "1", "issued" : { "date-parts" : [ [ "2015" ] ] }, "page" : "161", "title" : "Headteachers' prior beliefs on child health and their engagement in school based health interventions: a qualitative study", "type" : "article-journal", "volume" : "8" }, "uris" : [ "http://www.mendeley.com/documents/?uuid=9a740b7c-28ec-4b9a-99a5-b768fe7c3a4e" ] } ], "mendeley" : { "formattedCitation" : "(Clarke et al., 2015; Howard-Drake and Halliday, 2015; National Institute of Health and Care Excellence, 2015a; Todd et al., 2015)", "plainTextFormattedCitation" : "(Clarke et al., 2015; Howard-Drake and Halliday, 2015; National Institute of Health and Care Excellence, 2015a; Todd et al., 2015)", "previouslyFormattedCitation" : "(Clarke et al., 2015; Howard-Drake and Halliday, 2015; National Institute of Health and Care Excellence, 2015a; Todd et al., 2015)" }, "properties" : { "noteIndex" : 0 }, "schema" : "https://github.com/citation-style-language/schema/raw/master/csl-citation.json" }</w:instrText>
      </w:r>
      <w:r w:rsidR="00D71E4D" w:rsidRPr="009B3747">
        <w:rPr>
          <w:rFonts w:eastAsia="Times New Roman" w:cstheme="minorHAnsi"/>
          <w:color w:val="000000"/>
          <w:lang w:eastAsia="en-GB"/>
        </w:rPr>
        <w:fldChar w:fldCharType="separate"/>
      </w:r>
      <w:r w:rsidR="00395650" w:rsidRPr="009B3747">
        <w:rPr>
          <w:rFonts w:eastAsia="Times New Roman" w:cstheme="minorHAnsi"/>
          <w:noProof/>
          <w:color w:val="000000"/>
          <w:lang w:eastAsia="en-GB"/>
        </w:rPr>
        <w:t>(Clarke et al., 2015; Howard-Drake and Halliday, 2015; National Institute of Health and Care Excellence, 2015a; Todd et al., 2015)</w:t>
      </w:r>
      <w:r w:rsidR="00D71E4D" w:rsidRPr="009B3747">
        <w:rPr>
          <w:rFonts w:eastAsia="Times New Roman" w:cstheme="minorHAnsi"/>
          <w:color w:val="000000"/>
          <w:lang w:eastAsia="en-GB"/>
        </w:rPr>
        <w:fldChar w:fldCharType="end"/>
      </w:r>
      <w:r w:rsidR="00D71E4D" w:rsidRPr="009B3747">
        <w:rPr>
          <w:rFonts w:eastAsia="Times New Roman" w:cstheme="minorHAnsi"/>
          <w:color w:val="000000"/>
          <w:lang w:eastAsia="en-GB"/>
        </w:rPr>
        <w:t xml:space="preserve">.  </w:t>
      </w:r>
      <w:r w:rsidRPr="009B3747">
        <w:rPr>
          <w:rFonts w:eastAsia="Times New Roman" w:cstheme="minorHAnsi"/>
          <w:color w:val="000000"/>
          <w:lang w:eastAsia="en-GB"/>
        </w:rPr>
        <w:t>Despite this and as evidenced by the systematic review and qualitative synthesis undertaken for this research, there is a paucity of literature exploring headteachers</w:t>
      </w:r>
      <w:r w:rsidR="00A74BDA" w:rsidRPr="009B3747">
        <w:rPr>
          <w:rFonts w:eastAsia="Times New Roman" w:cstheme="minorHAnsi"/>
          <w:color w:val="000000"/>
          <w:lang w:eastAsia="en-GB"/>
        </w:rPr>
        <w:t>’</w:t>
      </w:r>
      <w:r w:rsidRPr="009B3747">
        <w:rPr>
          <w:rFonts w:eastAsia="Times New Roman" w:cstheme="minorHAnsi"/>
          <w:color w:val="000000"/>
          <w:lang w:eastAsia="en-GB"/>
        </w:rPr>
        <w:t xml:space="preserve"> and chairs of governors</w:t>
      </w:r>
      <w:r w:rsidR="00A74BDA" w:rsidRPr="009B3747">
        <w:rPr>
          <w:rFonts w:eastAsia="Times New Roman" w:cstheme="minorHAnsi"/>
          <w:color w:val="000000"/>
          <w:lang w:eastAsia="en-GB"/>
        </w:rPr>
        <w:t>’</w:t>
      </w:r>
      <w:r w:rsidRPr="009B3747">
        <w:rPr>
          <w:rFonts w:eastAsia="Times New Roman" w:cstheme="minorHAnsi"/>
          <w:color w:val="000000"/>
          <w:lang w:eastAsia="en-GB"/>
        </w:rPr>
        <w:t xml:space="preserve"> views on </w:t>
      </w:r>
      <w:r w:rsidRPr="009B3747">
        <w:rPr>
          <w:rFonts w:eastAsia="Times New Roman" w:cstheme="minorHAnsi"/>
          <w:color w:val="000000"/>
          <w:lang w:eastAsia="en-GB"/>
        </w:rPr>
        <w:lastRenderedPageBreak/>
        <w:t>obesity and its prevention especially at a secondary school level.  Consequently, a strong justification was provided for this doctoral study to address t</w:t>
      </w:r>
      <w:r w:rsidR="00A74BDA" w:rsidRPr="009B3747">
        <w:rPr>
          <w:rFonts w:eastAsia="Times New Roman" w:cstheme="minorHAnsi"/>
          <w:color w:val="000000"/>
          <w:lang w:eastAsia="en-GB"/>
        </w:rPr>
        <w:t>he following research question:</w:t>
      </w:r>
      <w:r w:rsidRPr="009B3747">
        <w:rPr>
          <w:rFonts w:eastAsia="Times New Roman" w:cstheme="minorHAnsi"/>
          <w:color w:val="000000"/>
          <w:lang w:eastAsia="en-GB"/>
        </w:rPr>
        <w:t xml:space="preserve"> </w:t>
      </w:r>
    </w:p>
    <w:p w:rsidR="00AC3B26" w:rsidRPr="009B3747" w:rsidRDefault="00AC3B26" w:rsidP="00AC3B26">
      <w:pPr>
        <w:rPr>
          <w:rFonts w:eastAsia="Times New Roman" w:cstheme="minorHAnsi"/>
          <w:sz w:val="24"/>
          <w:szCs w:val="24"/>
          <w:lang w:eastAsia="en-GB"/>
        </w:rPr>
      </w:pPr>
    </w:p>
    <w:p w:rsidR="00AC3B26" w:rsidRPr="009B3747" w:rsidRDefault="0083682E" w:rsidP="00AC3B26">
      <w:pPr>
        <w:rPr>
          <w:rFonts w:eastAsia="Times New Roman" w:cstheme="minorHAnsi"/>
          <w:i/>
          <w:sz w:val="24"/>
          <w:szCs w:val="24"/>
          <w:lang w:eastAsia="en-GB"/>
        </w:rPr>
      </w:pPr>
      <w:r w:rsidRPr="009B3747">
        <w:rPr>
          <w:rFonts w:eastAsia="Times New Roman" w:cstheme="minorHAnsi"/>
          <w:i/>
          <w:color w:val="000000"/>
          <w:lang w:eastAsia="en-GB"/>
        </w:rPr>
        <w:t>‘</w:t>
      </w:r>
      <w:r w:rsidR="00AC3B26" w:rsidRPr="009B3747">
        <w:rPr>
          <w:rFonts w:eastAsia="Times New Roman" w:cstheme="minorHAnsi"/>
          <w:i/>
          <w:color w:val="000000"/>
          <w:lang w:eastAsia="en-GB"/>
        </w:rPr>
        <w:t>What are the perspectives of headteachers</w:t>
      </w:r>
      <w:r w:rsidR="007E3DE9" w:rsidRPr="009B3747">
        <w:rPr>
          <w:rFonts w:eastAsia="Times New Roman" w:cstheme="minorHAnsi"/>
          <w:i/>
          <w:color w:val="000000"/>
          <w:lang w:eastAsia="en-GB"/>
        </w:rPr>
        <w:t xml:space="preserve">’ and chairs of governors’ </w:t>
      </w:r>
      <w:r w:rsidR="00AC3B26" w:rsidRPr="009B3747">
        <w:rPr>
          <w:rFonts w:eastAsia="Times New Roman" w:cstheme="minorHAnsi"/>
          <w:i/>
          <w:color w:val="000000"/>
          <w:lang w:eastAsia="en-GB"/>
        </w:rPr>
        <w:t>on adolescent obesity and its prevention in English secondary scho</w:t>
      </w:r>
      <w:r w:rsidRPr="009B3747">
        <w:rPr>
          <w:rFonts w:eastAsia="Times New Roman" w:cstheme="minorHAnsi"/>
          <w:i/>
          <w:color w:val="000000"/>
          <w:lang w:eastAsia="en-GB"/>
        </w:rPr>
        <w:t>ol settings?’</w:t>
      </w:r>
    </w:p>
    <w:p w:rsidR="00AC3B26" w:rsidRPr="009B3747" w:rsidRDefault="00AC3B26" w:rsidP="00AC3B26">
      <w:pPr>
        <w:rPr>
          <w:rFonts w:eastAsia="Times New Roman" w:cstheme="minorHAnsi"/>
          <w:sz w:val="24"/>
          <w:szCs w:val="24"/>
          <w:lang w:eastAsia="en-GB"/>
        </w:rPr>
      </w:pPr>
    </w:p>
    <w:p w:rsidR="00AC3B26" w:rsidRPr="009B3747" w:rsidRDefault="005F2FF6" w:rsidP="00AC3B26">
      <w:pPr>
        <w:rPr>
          <w:rFonts w:eastAsia="Times New Roman" w:cstheme="minorHAnsi"/>
          <w:sz w:val="24"/>
          <w:szCs w:val="24"/>
          <w:lang w:eastAsia="en-GB"/>
        </w:rPr>
      </w:pPr>
      <w:r w:rsidRPr="009B3747">
        <w:rPr>
          <w:rFonts w:eastAsia="Times New Roman" w:cstheme="minorHAnsi"/>
          <w:color w:val="000000"/>
          <w:lang w:eastAsia="en-GB"/>
        </w:rPr>
        <w:t xml:space="preserve">In addition, </w:t>
      </w:r>
      <w:r w:rsidR="00AC3B26" w:rsidRPr="009B3747">
        <w:rPr>
          <w:rFonts w:eastAsia="Times New Roman" w:cstheme="minorHAnsi"/>
          <w:color w:val="000000"/>
          <w:lang w:eastAsia="en-GB"/>
        </w:rPr>
        <w:t xml:space="preserve">research aims </w:t>
      </w:r>
      <w:r w:rsidR="00A74BDA" w:rsidRPr="009B3747">
        <w:rPr>
          <w:rFonts w:eastAsia="Times New Roman" w:cstheme="minorHAnsi"/>
          <w:color w:val="000000"/>
          <w:lang w:eastAsia="en-GB"/>
        </w:rPr>
        <w:t xml:space="preserve">and related objectives </w:t>
      </w:r>
      <w:r w:rsidR="00AC3B26" w:rsidRPr="009B3747">
        <w:rPr>
          <w:rFonts w:eastAsia="Times New Roman" w:cstheme="minorHAnsi"/>
          <w:color w:val="000000"/>
          <w:lang w:eastAsia="en-GB"/>
        </w:rPr>
        <w:t>were developed to support the researcher’s ability to provide a robust and comprehensive a</w:t>
      </w:r>
      <w:r w:rsidR="00D71E4D" w:rsidRPr="009B3747">
        <w:rPr>
          <w:rFonts w:eastAsia="Times New Roman" w:cstheme="minorHAnsi"/>
          <w:color w:val="000000"/>
          <w:lang w:eastAsia="en-GB"/>
        </w:rPr>
        <w:t>nswer to the question proposed:</w:t>
      </w:r>
      <w:r w:rsidR="00AC3B26" w:rsidRPr="009B3747">
        <w:rPr>
          <w:rFonts w:eastAsia="Times New Roman" w:cstheme="minorHAnsi"/>
          <w:color w:val="000000"/>
          <w:lang w:eastAsia="en-GB"/>
        </w:rPr>
        <w:t xml:space="preserve">   </w:t>
      </w:r>
    </w:p>
    <w:p w:rsidR="00AC3B26" w:rsidRPr="009B3747" w:rsidRDefault="00AC3B26" w:rsidP="00AC3B26">
      <w:pPr>
        <w:rPr>
          <w:rFonts w:eastAsia="Times New Roman" w:cstheme="minorHAnsi"/>
          <w:color w:val="000000" w:themeColor="text1"/>
          <w:sz w:val="24"/>
          <w:szCs w:val="24"/>
          <w:lang w:eastAsia="en-GB"/>
        </w:rPr>
      </w:pPr>
    </w:p>
    <w:p w:rsidR="005F2FF6" w:rsidRPr="009B3747" w:rsidRDefault="005F2FF6" w:rsidP="005F2FF6">
      <w:pPr>
        <w:rPr>
          <w:rFonts w:eastAsia="Times New Roman" w:cstheme="minorHAnsi"/>
          <w:color w:val="000000" w:themeColor="text1"/>
          <w:sz w:val="24"/>
          <w:szCs w:val="24"/>
          <w:lang w:eastAsia="en-GB"/>
        </w:rPr>
      </w:pPr>
      <w:r w:rsidRPr="009B3747">
        <w:rPr>
          <w:rFonts w:eastAsia="Times New Roman" w:cstheme="minorHAnsi"/>
          <w:color w:val="000000" w:themeColor="text1"/>
          <w:u w:val="single"/>
          <w:lang w:eastAsia="en-GB"/>
        </w:rPr>
        <w:t>Aim 1</w:t>
      </w:r>
    </w:p>
    <w:p w:rsidR="005F2FF6" w:rsidRPr="009B3747" w:rsidRDefault="005F2FF6" w:rsidP="005F2FF6">
      <w:pPr>
        <w:rPr>
          <w:rFonts w:eastAsia="Times New Roman" w:cstheme="minorHAnsi"/>
          <w:color w:val="000000" w:themeColor="text1"/>
          <w:lang w:eastAsia="en-GB"/>
        </w:rPr>
      </w:pPr>
    </w:p>
    <w:p w:rsidR="005F2FF6" w:rsidRPr="009B3747" w:rsidRDefault="005F2FF6" w:rsidP="005F2FF6">
      <w:pPr>
        <w:rPr>
          <w:rFonts w:eastAsia="Times New Roman" w:cstheme="minorHAnsi"/>
          <w:color w:val="000000" w:themeColor="text1"/>
          <w:lang w:eastAsia="en-GB"/>
        </w:rPr>
      </w:pPr>
      <w:r w:rsidRPr="009B3747">
        <w:rPr>
          <w:rFonts w:eastAsia="Times New Roman" w:cstheme="minorHAnsi"/>
          <w:color w:val="000000" w:themeColor="text1"/>
          <w:lang w:eastAsia="en-GB"/>
        </w:rPr>
        <w:t>Within an initial and core qualitative research phase, explore and understand in-depth headteachers</w:t>
      </w:r>
      <w:r w:rsidR="007E3DE9" w:rsidRPr="009B3747">
        <w:rPr>
          <w:rFonts w:eastAsia="Times New Roman" w:cstheme="minorHAnsi"/>
          <w:color w:val="000000" w:themeColor="text1"/>
          <w:lang w:eastAsia="en-GB"/>
        </w:rPr>
        <w:t>’</w:t>
      </w:r>
      <w:r w:rsidRPr="009B3747">
        <w:rPr>
          <w:rFonts w:eastAsia="Times New Roman" w:cstheme="minorHAnsi"/>
          <w:color w:val="000000" w:themeColor="text1"/>
          <w:lang w:eastAsia="en-GB"/>
        </w:rPr>
        <w:t xml:space="preserve"> and chairs of governors</w:t>
      </w:r>
      <w:r w:rsidR="007E3DE9" w:rsidRPr="009B3747">
        <w:rPr>
          <w:rFonts w:eastAsia="Times New Roman" w:cstheme="minorHAnsi"/>
          <w:color w:val="000000" w:themeColor="text1"/>
          <w:lang w:eastAsia="en-GB"/>
        </w:rPr>
        <w:t>’</w:t>
      </w:r>
      <w:r w:rsidRPr="009B3747">
        <w:rPr>
          <w:rFonts w:eastAsia="Times New Roman" w:cstheme="minorHAnsi"/>
          <w:color w:val="000000" w:themeColor="text1"/>
          <w:lang w:eastAsia="en-GB"/>
        </w:rPr>
        <w:t xml:space="preserve"> views and experiences of adolescent obesity and its prevention in English secondary school settings</w:t>
      </w:r>
    </w:p>
    <w:p w:rsidR="005F2FF6" w:rsidRPr="009B3747" w:rsidRDefault="005F2FF6" w:rsidP="005F2FF6">
      <w:pPr>
        <w:rPr>
          <w:rFonts w:eastAsia="Times New Roman" w:cstheme="minorHAnsi"/>
          <w:color w:val="000000" w:themeColor="text1"/>
          <w:lang w:eastAsia="en-GB"/>
        </w:rPr>
      </w:pPr>
    </w:p>
    <w:p w:rsidR="005F2FF6" w:rsidRPr="009B3747" w:rsidRDefault="005F2FF6" w:rsidP="005F2FF6">
      <w:pPr>
        <w:rPr>
          <w:rFonts w:eastAsia="Times New Roman" w:cstheme="minorHAnsi"/>
          <w:sz w:val="24"/>
          <w:szCs w:val="24"/>
          <w:lang w:eastAsia="en-GB"/>
        </w:rPr>
      </w:pPr>
      <w:r w:rsidRPr="009B3747">
        <w:rPr>
          <w:rFonts w:eastAsia="Times New Roman" w:cstheme="minorHAnsi"/>
          <w:i/>
          <w:iCs/>
          <w:color w:val="000000"/>
          <w:lang w:eastAsia="en-GB"/>
        </w:rPr>
        <w:t xml:space="preserve">Aim 1 Objectives </w:t>
      </w:r>
    </w:p>
    <w:p w:rsidR="005F2FF6" w:rsidRPr="009B3747" w:rsidRDefault="005F2FF6" w:rsidP="005F2FF6">
      <w:pPr>
        <w:rPr>
          <w:rFonts w:eastAsia="Times New Roman" w:cstheme="minorHAnsi"/>
          <w:sz w:val="24"/>
          <w:szCs w:val="24"/>
          <w:lang w:eastAsia="en-GB"/>
        </w:rPr>
      </w:pPr>
    </w:p>
    <w:p w:rsidR="005F2FF6" w:rsidRPr="009B3747" w:rsidRDefault="005F2FF6" w:rsidP="00C27072">
      <w:pPr>
        <w:numPr>
          <w:ilvl w:val="0"/>
          <w:numId w:val="112"/>
        </w:numPr>
        <w:textAlignment w:val="baseline"/>
        <w:rPr>
          <w:rFonts w:eastAsia="Times New Roman" w:cstheme="minorHAnsi"/>
          <w:color w:val="000000"/>
          <w:lang w:eastAsia="en-GB"/>
        </w:rPr>
      </w:pPr>
      <w:r w:rsidRPr="009B3747">
        <w:rPr>
          <w:rFonts w:eastAsia="Times New Roman" w:cstheme="minorHAnsi"/>
          <w:color w:val="000000"/>
          <w:lang w:eastAsia="en-GB"/>
        </w:rPr>
        <w:t>Conduct a systematic review and qualitative synthesis in order to position the research question within existing literature and inform the approach to qualitative data collection</w:t>
      </w:r>
    </w:p>
    <w:p w:rsidR="005F2FF6" w:rsidRPr="009B3747" w:rsidRDefault="005F2FF6" w:rsidP="00C27072">
      <w:pPr>
        <w:numPr>
          <w:ilvl w:val="0"/>
          <w:numId w:val="112"/>
        </w:numPr>
        <w:textAlignment w:val="baseline"/>
        <w:rPr>
          <w:rFonts w:eastAsia="Times New Roman" w:cstheme="minorHAnsi"/>
          <w:color w:val="000000"/>
          <w:lang w:eastAsia="en-GB"/>
        </w:rPr>
      </w:pPr>
      <w:r w:rsidRPr="009B3747">
        <w:rPr>
          <w:rFonts w:eastAsia="Times New Roman" w:cstheme="minorHAnsi"/>
          <w:color w:val="000000"/>
          <w:lang w:eastAsia="en-GB"/>
        </w:rPr>
        <w:t>Undertake semi-structured face to face interviews with headteachers and chairs of governors in England</w:t>
      </w:r>
    </w:p>
    <w:p w:rsidR="005F2FF6" w:rsidRPr="009B3747" w:rsidRDefault="005F2FF6" w:rsidP="00C27072">
      <w:pPr>
        <w:numPr>
          <w:ilvl w:val="0"/>
          <w:numId w:val="112"/>
        </w:numPr>
        <w:textAlignment w:val="baseline"/>
        <w:rPr>
          <w:rFonts w:eastAsia="Times New Roman" w:cstheme="minorHAnsi"/>
          <w:color w:val="000000"/>
          <w:lang w:eastAsia="en-GB"/>
        </w:rPr>
      </w:pPr>
      <w:r w:rsidRPr="009B3747">
        <w:rPr>
          <w:rFonts w:eastAsia="Times New Roman" w:cstheme="minorHAnsi"/>
          <w:color w:val="000000"/>
          <w:lang w:eastAsia="en-GB"/>
        </w:rPr>
        <w:t xml:space="preserve">Develop and utilise an interview schedule that will enable an in-depth exploration and discussion with interview participants on the following topics - </w:t>
      </w:r>
    </w:p>
    <w:p w:rsidR="005F2FF6" w:rsidRPr="009B3747" w:rsidRDefault="005F2FF6" w:rsidP="000A3628">
      <w:pPr>
        <w:numPr>
          <w:ilvl w:val="0"/>
          <w:numId w:val="157"/>
        </w:numPr>
        <w:tabs>
          <w:tab w:val="clear" w:pos="720"/>
          <w:tab w:val="num" w:pos="993"/>
        </w:tabs>
        <w:ind w:left="993"/>
        <w:textAlignment w:val="baseline"/>
        <w:rPr>
          <w:rFonts w:eastAsia="Times New Roman" w:cstheme="minorHAnsi"/>
          <w:color w:val="000000"/>
          <w:lang w:eastAsia="en-GB"/>
        </w:rPr>
      </w:pPr>
      <w:r w:rsidRPr="009B3747">
        <w:rPr>
          <w:rFonts w:eastAsia="Times New Roman" w:cstheme="minorHAnsi"/>
          <w:color w:val="000000"/>
          <w:lang w:eastAsia="en-GB"/>
        </w:rPr>
        <w:t xml:space="preserve">Childhood and adolescent obesity causation and consequences </w:t>
      </w:r>
    </w:p>
    <w:p w:rsidR="005F2FF6" w:rsidRPr="009B3747" w:rsidRDefault="005F2FF6" w:rsidP="000A3628">
      <w:pPr>
        <w:numPr>
          <w:ilvl w:val="0"/>
          <w:numId w:val="157"/>
        </w:numPr>
        <w:tabs>
          <w:tab w:val="clear" w:pos="720"/>
          <w:tab w:val="num" w:pos="993"/>
        </w:tabs>
        <w:ind w:left="993"/>
        <w:textAlignment w:val="baseline"/>
        <w:rPr>
          <w:rFonts w:eastAsia="Times New Roman" w:cstheme="minorHAnsi"/>
          <w:color w:val="000000"/>
          <w:lang w:eastAsia="en-GB"/>
        </w:rPr>
      </w:pPr>
      <w:r w:rsidRPr="009B3747">
        <w:rPr>
          <w:rFonts w:eastAsia="Times New Roman" w:cstheme="minorHAnsi"/>
          <w:color w:val="000000"/>
          <w:lang w:eastAsia="en-GB"/>
        </w:rPr>
        <w:t>Types of activity or action undertaken in secondary school settings that contributes to preventing childhood obesity</w:t>
      </w:r>
    </w:p>
    <w:p w:rsidR="005F2FF6" w:rsidRPr="009B3747" w:rsidRDefault="005F2FF6" w:rsidP="000A3628">
      <w:pPr>
        <w:numPr>
          <w:ilvl w:val="0"/>
          <w:numId w:val="157"/>
        </w:numPr>
        <w:tabs>
          <w:tab w:val="clear" w:pos="720"/>
          <w:tab w:val="num" w:pos="993"/>
        </w:tabs>
        <w:ind w:left="993"/>
        <w:textAlignment w:val="baseline"/>
        <w:rPr>
          <w:rFonts w:eastAsia="Times New Roman" w:cstheme="minorHAnsi"/>
          <w:color w:val="000000"/>
          <w:lang w:eastAsia="en-GB"/>
        </w:rPr>
      </w:pPr>
      <w:r w:rsidRPr="009B3747">
        <w:rPr>
          <w:rFonts w:eastAsia="Times New Roman" w:cstheme="minorHAnsi"/>
          <w:color w:val="000000"/>
          <w:lang w:eastAsia="en-GB"/>
        </w:rPr>
        <w:t>Roles of schools, headteachers and chairs of governors in preventing childhood obesity in secondary schools</w:t>
      </w:r>
    </w:p>
    <w:p w:rsidR="005F2FF6" w:rsidRPr="009B3747" w:rsidRDefault="005F2FF6" w:rsidP="000A3628">
      <w:pPr>
        <w:numPr>
          <w:ilvl w:val="0"/>
          <w:numId w:val="157"/>
        </w:numPr>
        <w:tabs>
          <w:tab w:val="clear" w:pos="720"/>
          <w:tab w:val="num" w:pos="993"/>
        </w:tabs>
        <w:ind w:left="993"/>
        <w:textAlignment w:val="baseline"/>
        <w:rPr>
          <w:rFonts w:eastAsia="Times New Roman" w:cstheme="minorHAnsi"/>
          <w:color w:val="000000"/>
          <w:lang w:eastAsia="en-GB"/>
        </w:rPr>
      </w:pPr>
      <w:r w:rsidRPr="009B3747">
        <w:rPr>
          <w:rFonts w:eastAsia="Times New Roman" w:cstheme="minorHAnsi"/>
          <w:color w:val="000000"/>
          <w:lang w:eastAsia="en-GB"/>
        </w:rPr>
        <w:t>The barriers and facilitators of preventing childhood obesity in secondary schools</w:t>
      </w:r>
    </w:p>
    <w:p w:rsidR="005F2FF6" w:rsidRPr="009B3747" w:rsidRDefault="005F2FF6" w:rsidP="00C27072">
      <w:pPr>
        <w:numPr>
          <w:ilvl w:val="0"/>
          <w:numId w:val="114"/>
        </w:numPr>
        <w:textAlignment w:val="baseline"/>
        <w:rPr>
          <w:rFonts w:eastAsia="Times New Roman" w:cstheme="minorHAnsi"/>
          <w:color w:val="000000"/>
          <w:lang w:eastAsia="en-GB"/>
        </w:rPr>
      </w:pPr>
      <w:r w:rsidRPr="009B3747">
        <w:rPr>
          <w:rFonts w:eastAsia="Times New Roman" w:cstheme="minorHAnsi"/>
          <w:color w:val="000000"/>
          <w:lang w:eastAsia="en-GB"/>
        </w:rPr>
        <w:t>Conduct a thematic analysis of the collected interview data, in order to generate a cohesive narrative of the qualitative findings</w:t>
      </w:r>
    </w:p>
    <w:p w:rsidR="005F2FF6" w:rsidRPr="009B3747" w:rsidRDefault="005F2FF6" w:rsidP="005F2FF6">
      <w:pPr>
        <w:rPr>
          <w:rFonts w:eastAsia="Times New Roman" w:cstheme="minorHAnsi"/>
          <w:sz w:val="24"/>
          <w:szCs w:val="24"/>
          <w:lang w:eastAsia="en-GB"/>
        </w:rPr>
      </w:pPr>
    </w:p>
    <w:p w:rsidR="005F2FF6" w:rsidRPr="009B3747" w:rsidRDefault="005F2FF6" w:rsidP="005F2FF6">
      <w:pPr>
        <w:rPr>
          <w:rFonts w:eastAsia="Times New Roman" w:cstheme="minorHAnsi"/>
          <w:sz w:val="24"/>
          <w:szCs w:val="24"/>
          <w:lang w:eastAsia="en-GB"/>
        </w:rPr>
      </w:pPr>
    </w:p>
    <w:p w:rsidR="00E415F9" w:rsidRDefault="00E415F9" w:rsidP="005F2FF6">
      <w:pPr>
        <w:rPr>
          <w:rFonts w:eastAsia="Times New Roman" w:cstheme="minorHAnsi"/>
          <w:color w:val="000000" w:themeColor="text1"/>
          <w:sz w:val="24"/>
          <w:szCs w:val="24"/>
          <w:lang w:eastAsia="en-GB"/>
        </w:rPr>
      </w:pPr>
    </w:p>
    <w:p w:rsidR="005F2FF6" w:rsidRPr="009B3747" w:rsidRDefault="005F2FF6" w:rsidP="005F2FF6">
      <w:pPr>
        <w:rPr>
          <w:rFonts w:eastAsia="Times New Roman" w:cstheme="minorHAnsi"/>
          <w:color w:val="000000" w:themeColor="text1"/>
          <w:sz w:val="24"/>
          <w:szCs w:val="24"/>
          <w:lang w:eastAsia="en-GB"/>
        </w:rPr>
      </w:pPr>
      <w:r w:rsidRPr="009B3747">
        <w:rPr>
          <w:rFonts w:eastAsia="Times New Roman" w:cstheme="minorHAnsi"/>
          <w:color w:val="000000" w:themeColor="text1"/>
          <w:u w:val="single"/>
          <w:lang w:eastAsia="en-GB"/>
        </w:rPr>
        <w:lastRenderedPageBreak/>
        <w:t>Aim 2</w:t>
      </w:r>
    </w:p>
    <w:p w:rsidR="005F2FF6" w:rsidRPr="009B3747" w:rsidRDefault="005F2FF6" w:rsidP="005F2FF6">
      <w:pPr>
        <w:rPr>
          <w:rFonts w:eastAsia="Times New Roman" w:cstheme="minorHAnsi"/>
          <w:color w:val="000000" w:themeColor="text1"/>
          <w:sz w:val="24"/>
          <w:szCs w:val="24"/>
          <w:lang w:eastAsia="en-GB"/>
        </w:rPr>
      </w:pPr>
    </w:p>
    <w:p w:rsidR="005F2FF6" w:rsidRPr="009B3747" w:rsidRDefault="005F2FF6" w:rsidP="005F2FF6">
      <w:pPr>
        <w:rPr>
          <w:rFonts w:eastAsia="Times New Roman" w:cstheme="minorHAnsi"/>
          <w:color w:val="000000" w:themeColor="text1"/>
          <w:lang w:eastAsia="en-GB"/>
        </w:rPr>
      </w:pPr>
      <w:r w:rsidRPr="009B3747">
        <w:rPr>
          <w:rFonts w:eastAsia="Times New Roman" w:cstheme="minorHAnsi"/>
          <w:color w:val="000000" w:themeColor="text1"/>
          <w:lang w:eastAsia="en-GB"/>
        </w:rPr>
        <w:t xml:space="preserve">Within a supplementary quantitative research phase and in order to determine the relevance of the qualitative findings outside of their original context, conduct a descriptive cross-sectional survey which identifies headteachers’ and chairs of governors’ opinions and attitudes towards adolescent obesity and its prevention in </w:t>
      </w:r>
      <w:r w:rsidR="002E65A4" w:rsidRPr="009B3747">
        <w:rPr>
          <w:rFonts w:eastAsia="Times New Roman" w:cstheme="minorHAnsi"/>
          <w:color w:val="000000" w:themeColor="text1"/>
          <w:lang w:eastAsia="en-GB"/>
        </w:rPr>
        <w:t xml:space="preserve">English </w:t>
      </w:r>
      <w:r w:rsidRPr="009B3747">
        <w:rPr>
          <w:rFonts w:eastAsia="Times New Roman" w:cstheme="minorHAnsi"/>
          <w:color w:val="000000" w:themeColor="text1"/>
          <w:lang w:eastAsia="en-GB"/>
        </w:rPr>
        <w:t>secondary school settings.  </w:t>
      </w:r>
    </w:p>
    <w:p w:rsidR="005F2FF6" w:rsidRPr="009B3747" w:rsidRDefault="005F2FF6" w:rsidP="00A74BDA">
      <w:pPr>
        <w:rPr>
          <w:rFonts w:eastAsia="Times New Roman" w:cstheme="minorHAnsi"/>
          <w:sz w:val="24"/>
          <w:szCs w:val="24"/>
          <w:lang w:eastAsia="en-GB"/>
        </w:rPr>
      </w:pPr>
    </w:p>
    <w:p w:rsidR="00A74BDA" w:rsidRPr="009B3747" w:rsidRDefault="00A74BDA" w:rsidP="00A74BDA">
      <w:pPr>
        <w:rPr>
          <w:rFonts w:eastAsia="Times New Roman" w:cstheme="minorHAnsi"/>
          <w:sz w:val="24"/>
          <w:szCs w:val="24"/>
          <w:lang w:eastAsia="en-GB"/>
        </w:rPr>
      </w:pPr>
      <w:r w:rsidRPr="009B3747">
        <w:rPr>
          <w:rFonts w:eastAsia="Times New Roman" w:cstheme="minorHAnsi"/>
          <w:i/>
          <w:iCs/>
          <w:color w:val="000000"/>
          <w:lang w:eastAsia="en-GB"/>
        </w:rPr>
        <w:t xml:space="preserve">Aim 2 Objectives </w:t>
      </w:r>
    </w:p>
    <w:p w:rsidR="00A74BDA" w:rsidRPr="009B3747" w:rsidRDefault="00A74BDA" w:rsidP="00A74BDA">
      <w:pPr>
        <w:rPr>
          <w:rFonts w:eastAsia="Times New Roman" w:cstheme="minorHAnsi"/>
          <w:sz w:val="24"/>
          <w:szCs w:val="24"/>
          <w:lang w:eastAsia="en-GB"/>
        </w:rPr>
      </w:pPr>
    </w:p>
    <w:p w:rsidR="00A74BDA" w:rsidRPr="009B3747" w:rsidRDefault="00A74BDA" w:rsidP="00C27072">
      <w:pPr>
        <w:numPr>
          <w:ilvl w:val="0"/>
          <w:numId w:val="115"/>
        </w:numPr>
        <w:textAlignment w:val="baseline"/>
        <w:rPr>
          <w:rFonts w:eastAsia="Times New Roman" w:cstheme="minorHAnsi"/>
          <w:color w:val="000000"/>
          <w:lang w:eastAsia="en-GB"/>
        </w:rPr>
      </w:pPr>
      <w:r w:rsidRPr="009B3747">
        <w:rPr>
          <w:rFonts w:eastAsia="Times New Roman" w:cstheme="minorHAnsi"/>
          <w:color w:val="000000"/>
          <w:lang w:eastAsia="en-GB"/>
        </w:rPr>
        <w:t>Develop and pilot test an appropriate survey data collection tool</w:t>
      </w:r>
      <w:r w:rsidR="00B46C02">
        <w:rPr>
          <w:rFonts w:eastAsia="Times New Roman" w:cstheme="minorHAnsi"/>
          <w:color w:val="000000"/>
          <w:lang w:eastAsia="en-GB"/>
        </w:rPr>
        <w:t>,</w:t>
      </w:r>
      <w:r w:rsidRPr="009B3747">
        <w:rPr>
          <w:rFonts w:eastAsia="Times New Roman" w:cstheme="minorHAnsi"/>
          <w:color w:val="000000"/>
          <w:lang w:eastAsia="en-GB"/>
        </w:rPr>
        <w:t xml:space="preserve"> i.e. online questionnaire, for use with a larger sample of secondary school headteachers and chairs of governors</w:t>
      </w:r>
    </w:p>
    <w:p w:rsidR="00A74BDA" w:rsidRPr="009B3747" w:rsidRDefault="00A74BDA" w:rsidP="00C27072">
      <w:pPr>
        <w:numPr>
          <w:ilvl w:val="0"/>
          <w:numId w:val="115"/>
        </w:numPr>
        <w:textAlignment w:val="baseline"/>
        <w:rPr>
          <w:rFonts w:eastAsia="Times New Roman" w:cstheme="minorHAnsi"/>
          <w:color w:val="000000"/>
          <w:lang w:eastAsia="en-GB"/>
        </w:rPr>
      </w:pPr>
      <w:r w:rsidRPr="009B3747">
        <w:rPr>
          <w:rFonts w:eastAsia="Times New Roman" w:cstheme="minorHAnsi"/>
          <w:color w:val="000000"/>
          <w:lang w:eastAsia="en-GB"/>
        </w:rPr>
        <w:t>Design the structure and the content of the online questionnaire around the analysed qualitative findings and resultant themes</w:t>
      </w:r>
    </w:p>
    <w:p w:rsidR="00A74BDA" w:rsidRPr="009B3747" w:rsidRDefault="00A74BDA" w:rsidP="00C27072">
      <w:pPr>
        <w:numPr>
          <w:ilvl w:val="0"/>
          <w:numId w:val="116"/>
        </w:numPr>
        <w:textAlignment w:val="baseline"/>
        <w:rPr>
          <w:rFonts w:eastAsia="Times New Roman" w:cstheme="minorHAnsi"/>
          <w:color w:val="000000"/>
          <w:lang w:eastAsia="en-GB"/>
        </w:rPr>
      </w:pPr>
      <w:r w:rsidRPr="009B3747">
        <w:rPr>
          <w:rFonts w:eastAsia="Times New Roman" w:cstheme="minorHAnsi"/>
          <w:color w:val="000000"/>
          <w:lang w:eastAsia="en-GB"/>
        </w:rPr>
        <w:t xml:space="preserve">Distribute the pilot tested online questionnaire to the census of secondary school headteachers and chairs of governors in England </w:t>
      </w:r>
    </w:p>
    <w:p w:rsidR="00A74BDA" w:rsidRPr="009B3747" w:rsidRDefault="00A74BDA" w:rsidP="00C27072">
      <w:pPr>
        <w:numPr>
          <w:ilvl w:val="0"/>
          <w:numId w:val="117"/>
        </w:numPr>
        <w:textAlignment w:val="baseline"/>
        <w:rPr>
          <w:rFonts w:eastAsia="Times New Roman" w:cstheme="minorHAnsi"/>
          <w:color w:val="000000"/>
          <w:lang w:eastAsia="en-GB"/>
        </w:rPr>
      </w:pPr>
      <w:r w:rsidRPr="009B3747">
        <w:rPr>
          <w:rFonts w:eastAsia="Times New Roman" w:cstheme="minorHAnsi"/>
          <w:color w:val="000000"/>
          <w:lang w:eastAsia="en-GB"/>
        </w:rPr>
        <w:t xml:space="preserve">Utilise descriptive and inferential statistics to analyse survey data and examine relationship between demographics and identified attitudes and opinions </w:t>
      </w:r>
    </w:p>
    <w:p w:rsidR="00A74BDA" w:rsidRPr="009B3747" w:rsidRDefault="00A74BDA" w:rsidP="00A74BDA">
      <w:pPr>
        <w:rPr>
          <w:rFonts w:eastAsia="Times New Roman" w:cstheme="minorHAnsi"/>
          <w:color w:val="000000"/>
          <w:u w:val="single"/>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 xml:space="preserve">To address the </w:t>
      </w:r>
      <w:r w:rsidR="00A74BDA" w:rsidRPr="009B3747">
        <w:rPr>
          <w:rFonts w:eastAsia="Times New Roman" w:cstheme="minorHAnsi"/>
          <w:color w:val="000000"/>
          <w:lang w:eastAsia="en-GB"/>
        </w:rPr>
        <w:t xml:space="preserve">research question, </w:t>
      </w:r>
      <w:r w:rsidRPr="009B3747">
        <w:rPr>
          <w:rFonts w:eastAsia="Times New Roman" w:cstheme="minorHAnsi"/>
          <w:color w:val="000000"/>
          <w:lang w:eastAsia="en-GB"/>
        </w:rPr>
        <w:t>aims</w:t>
      </w:r>
      <w:r w:rsidR="00A74BDA" w:rsidRPr="009B3747">
        <w:rPr>
          <w:rFonts w:eastAsia="Times New Roman" w:cstheme="minorHAnsi"/>
          <w:color w:val="000000"/>
          <w:lang w:eastAsia="en-GB"/>
        </w:rPr>
        <w:t xml:space="preserve"> and objectives</w:t>
      </w:r>
      <w:r w:rsidRPr="009B3747">
        <w:rPr>
          <w:rFonts w:eastAsia="Times New Roman" w:cstheme="minorHAnsi"/>
          <w:color w:val="000000"/>
          <w:lang w:eastAsia="en-GB"/>
        </w:rPr>
        <w:t>, a mixed methods approach was deemed to be the most appropriate.  Underpinned by a prag</w:t>
      </w:r>
      <w:r w:rsidR="003B3C78" w:rsidRPr="009B3747">
        <w:rPr>
          <w:rFonts w:eastAsia="Times New Roman" w:cstheme="minorHAnsi"/>
          <w:color w:val="000000"/>
          <w:lang w:eastAsia="en-GB"/>
        </w:rPr>
        <w:t>matic philosophical worldview and informed by the results of a systematic review and qualitative synthesis, a</w:t>
      </w:r>
      <w:r w:rsidRPr="009B3747">
        <w:rPr>
          <w:rFonts w:eastAsia="Times New Roman" w:cstheme="minorHAnsi"/>
          <w:color w:val="000000"/>
          <w:lang w:eastAsia="en-GB"/>
        </w:rPr>
        <w:t xml:space="preserve"> mixed methods research design (exploratory sequential) was adopted enabling the study to be delivered in two distinct yet integrated phases (Creswell and Plano Clark, 2011).  Starting with a core qualitative phase, the researcher undertook 22 semi-structured interviews with a purposive sample of headteachers and chairs of governors from across two geographical regions in England (Yorkshire and the Humber and West Midlands).  The resultant verbatim transcripts were thematically analysed (Braun and Clarke, 2006), leading to the emerge</w:t>
      </w:r>
      <w:r w:rsidR="00AA097B" w:rsidRPr="009B3747">
        <w:rPr>
          <w:rFonts w:eastAsia="Times New Roman" w:cstheme="minorHAnsi"/>
          <w:color w:val="000000"/>
          <w:lang w:eastAsia="en-GB"/>
        </w:rPr>
        <w:t>nce of four overarching themes:</w:t>
      </w:r>
    </w:p>
    <w:p w:rsidR="00AC3B26" w:rsidRPr="009B3747" w:rsidRDefault="00AC3B26" w:rsidP="00AC3B26">
      <w:pPr>
        <w:rPr>
          <w:rFonts w:eastAsia="Times New Roman" w:cstheme="minorHAnsi"/>
          <w:sz w:val="24"/>
          <w:szCs w:val="24"/>
          <w:lang w:eastAsia="en-GB"/>
        </w:rPr>
      </w:pPr>
    </w:p>
    <w:p w:rsidR="00AC3B26" w:rsidRPr="009B3747" w:rsidRDefault="00AC3B26" w:rsidP="00C27072">
      <w:pPr>
        <w:numPr>
          <w:ilvl w:val="0"/>
          <w:numId w:val="120"/>
        </w:numPr>
        <w:textAlignment w:val="baseline"/>
        <w:rPr>
          <w:rFonts w:eastAsia="Times New Roman" w:cstheme="minorHAnsi"/>
          <w:color w:val="000000"/>
          <w:lang w:eastAsia="en-GB"/>
        </w:rPr>
      </w:pPr>
      <w:r w:rsidRPr="009B3747">
        <w:rPr>
          <w:rFonts w:eastAsia="Times New Roman" w:cstheme="minorHAnsi"/>
          <w:color w:val="000000"/>
          <w:lang w:eastAsia="en-GB"/>
        </w:rPr>
        <w:t xml:space="preserve">Perceptions of adolescent obesity and lifestyle behaviours </w:t>
      </w:r>
    </w:p>
    <w:p w:rsidR="00AC3B26" w:rsidRPr="009B3747" w:rsidRDefault="00AC3B26" w:rsidP="00C27072">
      <w:pPr>
        <w:numPr>
          <w:ilvl w:val="0"/>
          <w:numId w:val="120"/>
        </w:numPr>
        <w:textAlignment w:val="baseline"/>
        <w:rPr>
          <w:rFonts w:eastAsia="Times New Roman" w:cstheme="minorHAnsi"/>
          <w:color w:val="000000"/>
          <w:lang w:eastAsia="en-GB"/>
        </w:rPr>
      </w:pPr>
      <w:r w:rsidRPr="009B3747">
        <w:rPr>
          <w:rFonts w:eastAsia="Times New Roman" w:cstheme="minorHAnsi"/>
          <w:color w:val="000000"/>
          <w:lang w:eastAsia="en-GB"/>
        </w:rPr>
        <w:t>Influence of place</w:t>
      </w:r>
    </w:p>
    <w:p w:rsidR="00AC3B26" w:rsidRPr="009B3747" w:rsidRDefault="00AC3B26" w:rsidP="00C27072">
      <w:pPr>
        <w:numPr>
          <w:ilvl w:val="0"/>
          <w:numId w:val="120"/>
        </w:numPr>
        <w:textAlignment w:val="baseline"/>
        <w:rPr>
          <w:rFonts w:eastAsia="Times New Roman" w:cstheme="minorHAnsi"/>
          <w:color w:val="000000"/>
          <w:lang w:eastAsia="en-GB"/>
        </w:rPr>
      </w:pPr>
      <w:r w:rsidRPr="009B3747">
        <w:rPr>
          <w:rFonts w:eastAsia="Times New Roman" w:cstheme="minorHAnsi"/>
          <w:color w:val="000000"/>
          <w:lang w:eastAsia="en-GB"/>
        </w:rPr>
        <w:t>Shared responsibility, collective solutions</w:t>
      </w:r>
    </w:p>
    <w:p w:rsidR="00AC3B26" w:rsidRPr="009B3747" w:rsidRDefault="00AC3B26" w:rsidP="00C27072">
      <w:pPr>
        <w:numPr>
          <w:ilvl w:val="0"/>
          <w:numId w:val="120"/>
        </w:numPr>
        <w:textAlignment w:val="baseline"/>
        <w:rPr>
          <w:rFonts w:eastAsia="Times New Roman" w:cstheme="minorHAnsi"/>
          <w:color w:val="000000"/>
          <w:lang w:eastAsia="en-GB"/>
        </w:rPr>
      </w:pPr>
      <w:r w:rsidRPr="009B3747">
        <w:rPr>
          <w:rFonts w:eastAsia="Times New Roman" w:cstheme="minorHAnsi"/>
          <w:color w:val="000000"/>
          <w:lang w:eastAsia="en-GB"/>
        </w:rPr>
        <w:t xml:space="preserve">Secondary school setting </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lastRenderedPageBreak/>
        <w:t>The two study phases were integrated at the point of the qualitative findings being utilised to develop a data collection tool (i.e. online questionnaire) for use in a survey during the supplementary quantitative phase.  </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 xml:space="preserve">The finalised online questionnaire, split across six sections included a range of demographic questions and a series of statements with </w:t>
      </w:r>
      <w:r w:rsidR="00693D56" w:rsidRPr="009B3747">
        <w:rPr>
          <w:rFonts w:eastAsia="Times New Roman" w:cstheme="minorHAnsi"/>
          <w:color w:val="000000"/>
          <w:lang w:eastAsia="en-GB"/>
        </w:rPr>
        <w:t>Likert</w:t>
      </w:r>
      <w:r w:rsidRPr="009B3747">
        <w:rPr>
          <w:rFonts w:eastAsia="Times New Roman" w:cstheme="minorHAnsi"/>
          <w:color w:val="000000"/>
          <w:lang w:eastAsia="en-GB"/>
        </w:rPr>
        <w:t xml:space="preserve"> scales all relating to the reported qualitative themes and subthemes.  In order to electronically distribute the online questionnaire, the contact information and email addresses for all secondary schools in England was obtained via a Freedom of Information request to the Department for Education.  </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Over a period of two months, the online questionnaire and an invitation for each school’s respective headteacher and chair of governors to participate was distributed to the census of secondary schools in England.  In total</w:t>
      </w:r>
      <w:r w:rsidR="00AA097B" w:rsidRPr="009B3747">
        <w:rPr>
          <w:rFonts w:eastAsia="Times New Roman" w:cstheme="minorHAnsi"/>
          <w:color w:val="000000"/>
          <w:lang w:eastAsia="en-GB"/>
        </w:rPr>
        <w:t>,</w:t>
      </w:r>
      <w:r w:rsidRPr="009B3747">
        <w:rPr>
          <w:rFonts w:eastAsia="Times New Roman" w:cstheme="minorHAnsi"/>
          <w:color w:val="000000"/>
          <w:lang w:eastAsia="en-GB"/>
        </w:rPr>
        <w:t xml:space="preserve"> following the original invitation and two subsequent reminders, 127 participants completed the online questionnaire in full representing a 2.8% response rate.  Responses were analysed and reported using descriptive and inferential statistics.  </w:t>
      </w:r>
    </w:p>
    <w:p w:rsidR="00AC3B26" w:rsidRPr="009B3747" w:rsidRDefault="00AC3B26" w:rsidP="00AC3B26">
      <w:pPr>
        <w:rPr>
          <w:rFonts w:eastAsia="Times New Roman" w:cstheme="minorHAnsi"/>
          <w:sz w:val="24"/>
          <w:szCs w:val="24"/>
          <w:lang w:eastAsia="en-GB"/>
        </w:rPr>
      </w:pPr>
    </w:p>
    <w:p w:rsidR="00AC3B26" w:rsidRPr="009B3747" w:rsidRDefault="00AA097B" w:rsidP="00AC3B26">
      <w:pPr>
        <w:rPr>
          <w:rFonts w:eastAsia="Times New Roman" w:cstheme="minorHAnsi"/>
          <w:sz w:val="24"/>
          <w:szCs w:val="24"/>
          <w:lang w:eastAsia="en-GB"/>
        </w:rPr>
      </w:pPr>
      <w:r w:rsidRPr="009B3747">
        <w:rPr>
          <w:rFonts w:eastAsia="Times New Roman" w:cstheme="minorHAnsi"/>
          <w:b/>
          <w:bCs/>
          <w:color w:val="000000"/>
          <w:sz w:val="24"/>
          <w:szCs w:val="24"/>
          <w:u w:val="single"/>
          <w:lang w:eastAsia="en-GB"/>
        </w:rPr>
        <w:t>9.3</w:t>
      </w:r>
      <w:r w:rsidR="00AC3B26" w:rsidRPr="009B3747">
        <w:rPr>
          <w:rFonts w:eastAsia="Times New Roman" w:cstheme="minorHAnsi"/>
          <w:b/>
          <w:bCs/>
          <w:color w:val="000000"/>
          <w:sz w:val="24"/>
          <w:szCs w:val="24"/>
          <w:u w:val="single"/>
          <w:lang w:eastAsia="en-GB"/>
        </w:rPr>
        <w:t xml:space="preserve"> Integrated discussion of findings</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 xml:space="preserve">Within this section findings from the two respective phases of the research are considered and interpreted collectively in order to provide an integrated discussion of the overall study findings. </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Integration of the qualitative and quantitative elements in an exploratory sequential mixed methods design is primarily focused on the point at which a quantitative instrument is developed from qualitative findings.  However, in addition to adopting an exploratory sequential design for instrument development, the ambition was for the supplementary quantitative method to provide additional evidence</w:t>
      </w:r>
      <w:r w:rsidR="009025E2">
        <w:rPr>
          <w:rFonts w:eastAsia="Times New Roman" w:cstheme="minorHAnsi"/>
          <w:color w:val="000000"/>
          <w:lang w:eastAsia="en-GB"/>
        </w:rPr>
        <w:t>,</w:t>
      </w:r>
      <w:r w:rsidRPr="009B3747">
        <w:rPr>
          <w:rFonts w:eastAsia="Times New Roman" w:cstheme="minorHAnsi"/>
          <w:color w:val="000000"/>
          <w:lang w:eastAsia="en-GB"/>
        </w:rPr>
        <w:t xml:space="preserve"> </w:t>
      </w:r>
      <w:r w:rsidR="00E415F9">
        <w:rPr>
          <w:rFonts w:eastAsia="Times New Roman" w:cstheme="minorHAnsi"/>
          <w:color w:val="000000"/>
          <w:lang w:eastAsia="en-GB"/>
        </w:rPr>
        <w:t>which would support the</w:t>
      </w:r>
      <w:r w:rsidRPr="009B3747">
        <w:rPr>
          <w:rFonts w:eastAsia="Times New Roman" w:cstheme="minorHAnsi"/>
          <w:color w:val="000000"/>
          <w:lang w:eastAsia="en-GB"/>
        </w:rPr>
        <w:t xml:space="preserve"> core qualitative research findings.  Furthermore, as proposed by</w:t>
      </w:r>
      <w:r w:rsidR="00D71E4D" w:rsidRPr="009B3747">
        <w:rPr>
          <w:rFonts w:eastAsia="Times New Roman" w:cstheme="minorHAnsi"/>
          <w:color w:val="000000"/>
          <w:lang w:eastAsia="en-GB"/>
        </w:rPr>
        <w:t xml:space="preserve"> </w:t>
      </w:r>
      <w:r w:rsidR="00D71E4D"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"Bryman", "given" : "A", "non-dropping-particle" : "", "parse-names" : false, "suffix" : "" } ], "container-title" : "Journal of mixed methods research", "id" : "ITEM-1", "issue" : "1", "issued" : { "date-parts" : [ [ "2007" ] ] }, "page" : "8-22", "title" : "Barriers to integrating quantitative and qualitative research", "type" : "article-journal", "volume" : "1" }, "uris" : [ "http://www.mendeley.com/documents/?uuid=9f1524f1-c2bb-4a87-b588-dc1b71e024a6" ] } ], "mendeley" : { "formattedCitation" : "(Bryman, 2007)", "manualFormatting" : "Bryman (2007)", "plainTextFormattedCitation" : "(Bryman, 2007)", "previouslyFormattedCitation" : "(Bryman, 2007)" }, "properties" : { "noteIndex" : 0 }, "schema" : "https://github.com/citation-style-language/schema/raw/master/csl-citation.json" }</w:instrText>
      </w:r>
      <w:r w:rsidR="00D71E4D" w:rsidRPr="009B3747">
        <w:rPr>
          <w:rFonts w:eastAsia="Times New Roman" w:cstheme="minorHAnsi"/>
          <w:color w:val="000000"/>
          <w:lang w:eastAsia="en-GB"/>
        </w:rPr>
        <w:fldChar w:fldCharType="separate"/>
      </w:r>
      <w:r w:rsidR="00D71E4D" w:rsidRPr="009B3747">
        <w:rPr>
          <w:rFonts w:eastAsia="Times New Roman" w:cstheme="minorHAnsi"/>
          <w:noProof/>
          <w:color w:val="000000"/>
          <w:lang w:eastAsia="en-GB"/>
        </w:rPr>
        <w:t>Bryman (2007)</w:t>
      </w:r>
      <w:r w:rsidR="00D71E4D" w:rsidRPr="009B3747">
        <w:rPr>
          <w:rFonts w:eastAsia="Times New Roman" w:cstheme="minorHAnsi"/>
          <w:color w:val="000000"/>
          <w:lang w:eastAsia="en-GB"/>
        </w:rPr>
        <w:fldChar w:fldCharType="end"/>
      </w:r>
      <w:r w:rsidR="00CF6650" w:rsidRPr="009B3747">
        <w:rPr>
          <w:rFonts w:eastAsia="Times New Roman" w:cstheme="minorHAnsi"/>
          <w:color w:val="000000"/>
          <w:lang w:eastAsia="en-GB"/>
        </w:rPr>
        <w:t xml:space="preserve">, </w:t>
      </w:r>
      <w:r w:rsidRPr="009B3747">
        <w:rPr>
          <w:rFonts w:eastAsia="Times New Roman" w:cstheme="minorHAnsi"/>
          <w:color w:val="000000"/>
          <w:lang w:eastAsia="en-GB"/>
        </w:rPr>
        <w:t>an important characteristic of mixed methods research in the final stage, is that the qualitative and qua</w:t>
      </w:r>
      <w:r w:rsidR="00AA097B" w:rsidRPr="009B3747">
        <w:rPr>
          <w:rFonts w:eastAsia="Times New Roman" w:cstheme="minorHAnsi"/>
          <w:color w:val="000000"/>
          <w:lang w:eastAsia="en-GB"/>
        </w:rPr>
        <w:t xml:space="preserve">ntitative elements are able to </w:t>
      </w:r>
      <w:r w:rsidR="00AA097B" w:rsidRPr="009B3747">
        <w:rPr>
          <w:rFonts w:eastAsia="Times New Roman" w:cstheme="minorHAnsi"/>
          <w:i/>
          <w:color w:val="000000"/>
          <w:lang w:eastAsia="en-GB"/>
        </w:rPr>
        <w:t>“</w:t>
      </w:r>
      <w:r w:rsidRPr="009B3747">
        <w:rPr>
          <w:rFonts w:eastAsia="Times New Roman" w:cstheme="minorHAnsi"/>
          <w:i/>
          <w:color w:val="000000"/>
          <w:lang w:eastAsia="en-GB"/>
        </w:rPr>
        <w:t>talk to each other, much like a conversation of debate</w:t>
      </w:r>
      <w:r w:rsidR="00AA097B" w:rsidRPr="009B3747">
        <w:rPr>
          <w:rFonts w:eastAsia="Times New Roman" w:cstheme="minorHAnsi"/>
          <w:i/>
          <w:color w:val="000000"/>
          <w:lang w:eastAsia="en-GB"/>
        </w:rPr>
        <w:t>”,</w:t>
      </w:r>
      <w:r w:rsidR="00E415F9">
        <w:rPr>
          <w:rFonts w:eastAsia="Times New Roman" w:cstheme="minorHAnsi"/>
          <w:color w:val="000000"/>
          <w:lang w:eastAsia="en-GB"/>
        </w:rPr>
        <w:t xml:space="preserve"> in</w:t>
      </w:r>
      <w:r w:rsidR="00AA097B" w:rsidRPr="009B3747">
        <w:rPr>
          <w:rFonts w:eastAsia="Times New Roman" w:cstheme="minorHAnsi"/>
          <w:color w:val="000000"/>
          <w:lang w:eastAsia="en-GB"/>
        </w:rPr>
        <w:t xml:space="preserve"> order to provide </w:t>
      </w:r>
      <w:r w:rsidR="00AA097B" w:rsidRPr="009B3747">
        <w:rPr>
          <w:rFonts w:eastAsia="Times New Roman" w:cstheme="minorHAnsi"/>
          <w:i/>
          <w:color w:val="000000"/>
          <w:lang w:eastAsia="en-GB"/>
        </w:rPr>
        <w:t>“</w:t>
      </w:r>
      <w:r w:rsidRPr="009B3747">
        <w:rPr>
          <w:rFonts w:eastAsia="Times New Roman" w:cstheme="minorHAnsi"/>
          <w:i/>
          <w:color w:val="000000"/>
          <w:lang w:eastAsia="en-GB"/>
        </w:rPr>
        <w:t>a</w:t>
      </w:r>
      <w:r w:rsidR="00AA097B" w:rsidRPr="009B3747">
        <w:rPr>
          <w:rFonts w:eastAsia="Times New Roman" w:cstheme="minorHAnsi"/>
          <w:i/>
          <w:color w:val="000000"/>
          <w:lang w:eastAsia="en-GB"/>
        </w:rPr>
        <w:t xml:space="preserve">n overall or negotiated account of what they mean together” </w:t>
      </w:r>
      <w:r w:rsidRPr="009B3747">
        <w:rPr>
          <w:rFonts w:eastAsia="Times New Roman" w:cstheme="minorHAnsi"/>
          <w:color w:val="000000"/>
          <w:lang w:eastAsia="en-GB"/>
        </w:rPr>
        <w:t>(p</w:t>
      </w:r>
      <w:r w:rsidR="00D71E4D" w:rsidRPr="009B3747">
        <w:rPr>
          <w:rFonts w:eastAsia="Times New Roman" w:cstheme="minorHAnsi"/>
          <w:color w:val="000000"/>
          <w:lang w:eastAsia="en-GB"/>
        </w:rPr>
        <w:t>.</w:t>
      </w:r>
      <w:r w:rsidRPr="009B3747">
        <w:rPr>
          <w:rFonts w:eastAsia="Times New Roman" w:cstheme="minorHAnsi"/>
          <w:color w:val="000000"/>
          <w:lang w:eastAsia="en-GB"/>
        </w:rPr>
        <w:t>21).  Consequently,</w:t>
      </w:r>
      <w:r w:rsidR="00CF6650" w:rsidRPr="009B3747">
        <w:rPr>
          <w:rFonts w:eastAsia="Times New Roman" w:cstheme="minorHAnsi"/>
          <w:color w:val="000000"/>
          <w:lang w:eastAsia="en-GB"/>
        </w:rPr>
        <w:t xml:space="preserve"> and in recognition of expert guidance (O’Cathain, Personal communication, 2015), </w:t>
      </w:r>
      <w:r w:rsidRPr="009B3747">
        <w:rPr>
          <w:rFonts w:eastAsia="Times New Roman" w:cstheme="minorHAnsi"/>
          <w:color w:val="000000"/>
          <w:lang w:eastAsia="en-GB"/>
        </w:rPr>
        <w:t>this section attempts to combine, compare and contrast findings from the two distinct study phases, so that a comprehensive and illuminative answer to the research question posed can be provided.  </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lastRenderedPageBreak/>
        <w:t xml:space="preserve">The overarching research question for this doctoral study was as follows - </w:t>
      </w:r>
    </w:p>
    <w:p w:rsidR="00AC3B26" w:rsidRPr="009B3747" w:rsidRDefault="00AC3B26" w:rsidP="00AC3B26">
      <w:pPr>
        <w:rPr>
          <w:rFonts w:eastAsia="Times New Roman" w:cstheme="minorHAnsi"/>
          <w:sz w:val="24"/>
          <w:szCs w:val="24"/>
          <w:lang w:eastAsia="en-GB"/>
        </w:rPr>
      </w:pPr>
    </w:p>
    <w:p w:rsidR="00AC3B26" w:rsidRPr="009B3747" w:rsidRDefault="0083682E" w:rsidP="00AC3B26">
      <w:pPr>
        <w:rPr>
          <w:rFonts w:eastAsia="Times New Roman" w:cstheme="minorHAnsi"/>
          <w:i/>
          <w:sz w:val="24"/>
          <w:szCs w:val="24"/>
          <w:lang w:eastAsia="en-GB"/>
        </w:rPr>
      </w:pPr>
      <w:r w:rsidRPr="009B3747">
        <w:rPr>
          <w:rFonts w:eastAsia="Times New Roman" w:cstheme="minorHAnsi"/>
          <w:i/>
          <w:color w:val="000000"/>
          <w:lang w:eastAsia="en-GB"/>
        </w:rPr>
        <w:t>‘</w:t>
      </w:r>
      <w:r w:rsidR="00AC3B26" w:rsidRPr="009B3747">
        <w:rPr>
          <w:rFonts w:eastAsia="Times New Roman" w:cstheme="minorHAnsi"/>
          <w:i/>
          <w:color w:val="000000"/>
          <w:lang w:eastAsia="en-GB"/>
        </w:rPr>
        <w:t>What are headteachers</w:t>
      </w:r>
      <w:r w:rsidR="00D71E4D" w:rsidRPr="009B3747">
        <w:rPr>
          <w:rFonts w:eastAsia="Times New Roman" w:cstheme="minorHAnsi"/>
          <w:i/>
          <w:color w:val="000000"/>
          <w:lang w:eastAsia="en-GB"/>
        </w:rPr>
        <w:t>’</w:t>
      </w:r>
      <w:r w:rsidR="00AC3B26" w:rsidRPr="009B3747">
        <w:rPr>
          <w:rFonts w:eastAsia="Times New Roman" w:cstheme="minorHAnsi"/>
          <w:i/>
          <w:color w:val="000000"/>
          <w:lang w:eastAsia="en-GB"/>
        </w:rPr>
        <w:t xml:space="preserve"> and chairs of governors</w:t>
      </w:r>
      <w:r w:rsidR="00D71E4D" w:rsidRPr="009B3747">
        <w:rPr>
          <w:rFonts w:eastAsia="Times New Roman" w:cstheme="minorHAnsi"/>
          <w:i/>
          <w:color w:val="000000"/>
          <w:lang w:eastAsia="en-GB"/>
        </w:rPr>
        <w:t>’</w:t>
      </w:r>
      <w:r w:rsidR="00AC3B26" w:rsidRPr="009B3747">
        <w:rPr>
          <w:rFonts w:eastAsia="Times New Roman" w:cstheme="minorHAnsi"/>
          <w:i/>
          <w:color w:val="000000"/>
          <w:lang w:eastAsia="en-GB"/>
        </w:rPr>
        <w:t xml:space="preserve"> perspectives on adolescent obesity and its preventio</w:t>
      </w:r>
      <w:r w:rsidRPr="009B3747">
        <w:rPr>
          <w:rFonts w:eastAsia="Times New Roman" w:cstheme="minorHAnsi"/>
          <w:i/>
          <w:color w:val="000000"/>
          <w:lang w:eastAsia="en-GB"/>
        </w:rPr>
        <w:t>n in secondary school settings?’</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This section proposes to answer this research question by discussing the main findings of the study.  Throughout this integrated discussion, unless explicitly stated, the proposed main findings of the study are applicable to both phases of the research.  Where general agreement or consensus of opinion between the qualitative and quantitative findings was not identified this will be openly referenced within the section.  </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As the main findings of the study are considered and discussed, reflections will be made to the results from the systematic review and qualitative synthesis and wider pertinent literature.  </w:t>
      </w:r>
      <w:r w:rsidRPr="009B3747">
        <w:rPr>
          <w:rFonts w:eastAsia="Times New Roman" w:cstheme="minorHAnsi"/>
          <w:color w:val="000000"/>
          <w:shd w:val="clear" w:color="auto" w:fill="FFFFFF"/>
          <w:lang w:eastAsia="en-GB"/>
        </w:rPr>
        <w:t>The purpose of this is to ensure that all future recommendations are grounded within the findings and relevant evidence base.  </w:t>
      </w:r>
      <w:r w:rsidRPr="009B3747">
        <w:rPr>
          <w:rFonts w:eastAsia="Times New Roman" w:cstheme="minorHAnsi"/>
          <w:color w:val="000000"/>
          <w:lang w:eastAsia="en-GB"/>
        </w:rPr>
        <w:t>Furthermore, throughout the section, academic theory and theoretical concepts are briefly referenced in order to provide an addi</w:t>
      </w:r>
      <w:r w:rsidR="00D71E4D" w:rsidRPr="009B3747">
        <w:rPr>
          <w:rFonts w:eastAsia="Times New Roman" w:cstheme="minorHAnsi"/>
          <w:color w:val="000000"/>
          <w:lang w:eastAsia="en-GB"/>
        </w:rPr>
        <w:t xml:space="preserve">tional level of explanation and </w:t>
      </w:r>
      <w:r w:rsidRPr="009B3747">
        <w:rPr>
          <w:rFonts w:eastAsia="Times New Roman" w:cstheme="minorHAnsi"/>
          <w:color w:val="000000"/>
          <w:lang w:eastAsia="en-GB"/>
        </w:rPr>
        <w:t>interpretation for the main study findings.   </w:t>
      </w:r>
    </w:p>
    <w:p w:rsidR="00AC3B26" w:rsidRPr="009B3747" w:rsidRDefault="00AC3B26" w:rsidP="00AC3B26">
      <w:pPr>
        <w:rPr>
          <w:rFonts w:eastAsia="Times New Roman" w:cstheme="minorHAnsi"/>
          <w:sz w:val="24"/>
          <w:szCs w:val="24"/>
          <w:lang w:eastAsia="en-GB"/>
        </w:rPr>
      </w:pPr>
    </w:p>
    <w:p w:rsidR="00AC3B26" w:rsidRPr="009B3747" w:rsidRDefault="00D71E4D" w:rsidP="00AC3B26">
      <w:pPr>
        <w:rPr>
          <w:rFonts w:eastAsia="Times New Roman" w:cstheme="minorHAnsi"/>
          <w:sz w:val="24"/>
          <w:szCs w:val="24"/>
          <w:lang w:eastAsia="en-GB"/>
        </w:rPr>
      </w:pPr>
      <w:r w:rsidRPr="009B3747">
        <w:rPr>
          <w:rFonts w:eastAsia="Times New Roman" w:cstheme="minorHAnsi"/>
          <w:color w:val="000000"/>
          <w:u w:val="single"/>
          <w:lang w:eastAsia="en-GB"/>
        </w:rPr>
        <w:t xml:space="preserve">9.3.1 </w:t>
      </w:r>
      <w:r w:rsidR="00AC3B26" w:rsidRPr="009B3747">
        <w:rPr>
          <w:rFonts w:eastAsia="Times New Roman" w:cstheme="minorHAnsi"/>
          <w:color w:val="000000"/>
          <w:u w:val="single"/>
          <w:lang w:eastAsia="en-GB"/>
        </w:rPr>
        <w:t>Main findings of the study</w:t>
      </w:r>
    </w:p>
    <w:p w:rsidR="00AC3B26" w:rsidRPr="009B3747" w:rsidRDefault="00AC3B26" w:rsidP="00AC3B26">
      <w:pPr>
        <w:rPr>
          <w:rFonts w:eastAsia="Times New Roman" w:cstheme="minorHAnsi"/>
          <w:sz w:val="24"/>
          <w:szCs w:val="24"/>
          <w:lang w:eastAsia="en-GB"/>
        </w:rPr>
      </w:pPr>
    </w:p>
    <w:p w:rsidR="009D68EB" w:rsidRPr="009B3747" w:rsidRDefault="000A3628" w:rsidP="00AC3B26">
      <w:pPr>
        <w:rPr>
          <w:rFonts w:eastAsia="Times New Roman" w:cstheme="minorHAnsi"/>
          <w:color w:val="000000"/>
          <w:lang w:eastAsia="en-GB"/>
        </w:rPr>
      </w:pPr>
      <w:r w:rsidRPr="009B3747">
        <w:rPr>
          <w:rFonts w:eastAsia="Times New Roman" w:cstheme="minorHAnsi"/>
          <w:color w:val="000000"/>
          <w:lang w:eastAsia="en-GB"/>
        </w:rPr>
        <w:t xml:space="preserve">9.3.1.1 </w:t>
      </w:r>
      <w:r w:rsidR="00F20748" w:rsidRPr="009B3747">
        <w:rPr>
          <w:rFonts w:eastAsia="Times New Roman" w:cstheme="minorHAnsi"/>
          <w:color w:val="000000"/>
          <w:lang w:eastAsia="en-GB"/>
        </w:rPr>
        <w:t>The scale of the ‘problem’</w:t>
      </w:r>
    </w:p>
    <w:p w:rsidR="009D68EB" w:rsidRPr="009B3747" w:rsidRDefault="009D68EB" w:rsidP="00AC3B26">
      <w:pPr>
        <w:rPr>
          <w:rFonts w:eastAsia="Times New Roman" w:cstheme="minorHAnsi"/>
          <w:color w:val="000000"/>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First and foremost, this study has shown that headteachers and chairs of governors recognise that there is an increasing problem related to the public health challenge of obesity, unhealthy dietary habits and sedentary behaviour both in adolescence</w:t>
      </w:r>
      <w:r w:rsidR="00D71E4D" w:rsidRPr="009B3747">
        <w:rPr>
          <w:rFonts w:eastAsia="Times New Roman" w:cstheme="minorHAnsi"/>
          <w:color w:val="000000"/>
          <w:lang w:eastAsia="en-GB"/>
        </w:rPr>
        <w:t xml:space="preserve"> and in wider society.  However, </w:t>
      </w:r>
      <w:r w:rsidRPr="009B3747">
        <w:rPr>
          <w:rFonts w:eastAsia="Times New Roman" w:cstheme="minorHAnsi"/>
          <w:color w:val="000000"/>
          <w:lang w:eastAsia="en-GB"/>
        </w:rPr>
        <w:t xml:space="preserve">and consistent with earlier findings with headteachers in UK primary school settings (Clarke et al, </w:t>
      </w:r>
      <w:r w:rsidR="00D71E4D" w:rsidRPr="009B3747">
        <w:rPr>
          <w:rFonts w:eastAsia="Times New Roman" w:cstheme="minorHAnsi"/>
          <w:color w:val="000000"/>
          <w:lang w:eastAsia="en-GB"/>
        </w:rPr>
        <w:t xml:space="preserve">2015; Howard-Drake and Halliday, 2015; </w:t>
      </w:r>
      <w:r w:rsidRPr="009B3747">
        <w:rPr>
          <w:rFonts w:eastAsia="Times New Roman" w:cstheme="minorHAnsi"/>
          <w:color w:val="000000"/>
          <w:lang w:eastAsia="en-GB"/>
        </w:rPr>
        <w:t>Todd et al</w:t>
      </w:r>
      <w:r w:rsidR="00D71E4D" w:rsidRPr="009B3747">
        <w:rPr>
          <w:rFonts w:eastAsia="Times New Roman" w:cstheme="minorHAnsi"/>
          <w:color w:val="000000"/>
          <w:lang w:eastAsia="en-GB"/>
        </w:rPr>
        <w:t>.</w:t>
      </w:r>
      <w:r w:rsidRPr="009B3747">
        <w:rPr>
          <w:rFonts w:eastAsia="Times New Roman" w:cstheme="minorHAnsi"/>
          <w:color w:val="000000"/>
          <w:lang w:eastAsia="en-GB"/>
        </w:rPr>
        <w:t>, 2015), substantial variation existed in the level of concern reported</w:t>
      </w:r>
      <w:r w:rsidR="00E415F9">
        <w:rPr>
          <w:rFonts w:eastAsia="Times New Roman" w:cstheme="minorHAnsi"/>
          <w:color w:val="000000"/>
          <w:lang w:eastAsia="en-GB"/>
        </w:rPr>
        <w:t>,</w:t>
      </w:r>
      <w:r w:rsidRPr="009B3747">
        <w:rPr>
          <w:rFonts w:eastAsia="Times New Roman" w:cstheme="minorHAnsi"/>
          <w:color w:val="000000"/>
          <w:lang w:eastAsia="en-GB"/>
        </w:rPr>
        <w:t xml:space="preserve"> regarding the scale of obesity amongst their own school pupil population.  Despite a minority of participants across both phases reporting high prevalence of adolescent obesity, in the main headteachers and chairs of governors perceived that obesity was an issue affecting only a small proportion </w:t>
      </w:r>
      <w:r w:rsidR="00E415F9">
        <w:rPr>
          <w:rFonts w:eastAsia="Times New Roman" w:cstheme="minorHAnsi"/>
          <w:color w:val="000000"/>
          <w:lang w:eastAsia="en-GB"/>
        </w:rPr>
        <w:t>of pupils within their school.  A finding echoed across</w:t>
      </w:r>
      <w:r w:rsidR="00D71E4D" w:rsidRPr="009B3747">
        <w:rPr>
          <w:rFonts w:eastAsia="Times New Roman" w:cstheme="minorHAnsi"/>
          <w:color w:val="000000"/>
          <w:lang w:eastAsia="en-GB"/>
        </w:rPr>
        <w:t xml:space="preserve"> previous studies (Nollen et al.,</w:t>
      </w:r>
      <w:r w:rsidRPr="009B3747">
        <w:rPr>
          <w:rFonts w:eastAsia="Times New Roman" w:cstheme="minorHAnsi"/>
          <w:color w:val="000000"/>
          <w:lang w:eastAsia="en-GB"/>
        </w:rPr>
        <w:t xml:space="preserve"> 2007; Tripp and Choi, 2014; Howard-Drake </w:t>
      </w:r>
      <w:r w:rsidR="00D71E4D" w:rsidRPr="009B3747">
        <w:rPr>
          <w:rFonts w:eastAsia="Times New Roman" w:cstheme="minorHAnsi"/>
          <w:color w:val="000000"/>
          <w:lang w:eastAsia="en-GB"/>
        </w:rPr>
        <w:t xml:space="preserve">and Halliday, 2015; Todd et al., </w:t>
      </w:r>
      <w:r w:rsidRPr="009B3747">
        <w:rPr>
          <w:rFonts w:eastAsia="Times New Roman" w:cstheme="minorHAnsi"/>
          <w:color w:val="000000"/>
          <w:lang w:eastAsia="en-GB"/>
        </w:rPr>
        <w:t>2015).  </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lastRenderedPageBreak/>
        <w:t>This finding originally identified within the qualitative phase, was further confirmed with additional evidence from the quantitative phase where 46.5% of participants estimated the prevalence of excess weight in</w:t>
      </w:r>
      <w:r w:rsidR="00D71E4D" w:rsidRPr="009B3747">
        <w:rPr>
          <w:rFonts w:eastAsia="Times New Roman" w:cstheme="minorHAnsi"/>
          <w:color w:val="000000"/>
          <w:lang w:eastAsia="en-GB"/>
        </w:rPr>
        <w:t xml:space="preserve"> their pupil population to be 0 to </w:t>
      </w:r>
      <w:r w:rsidRPr="009B3747">
        <w:rPr>
          <w:rFonts w:eastAsia="Times New Roman" w:cstheme="minorHAnsi"/>
          <w:color w:val="000000"/>
          <w:lang w:eastAsia="en-GB"/>
        </w:rPr>
        <w:t>10% and a further 29</w:t>
      </w:r>
      <w:r w:rsidR="00D71E4D" w:rsidRPr="009B3747">
        <w:rPr>
          <w:rFonts w:eastAsia="Times New Roman" w:cstheme="minorHAnsi"/>
          <w:color w:val="000000"/>
          <w:lang w:eastAsia="en-GB"/>
        </w:rPr>
        <w:t xml:space="preserve">.1% estimating prevalence at 11 to </w:t>
      </w:r>
      <w:r w:rsidR="00E415F9">
        <w:rPr>
          <w:rFonts w:eastAsia="Times New Roman" w:cstheme="minorHAnsi"/>
          <w:color w:val="000000"/>
          <w:lang w:eastAsia="en-GB"/>
        </w:rPr>
        <w:t xml:space="preserve">20%.  </w:t>
      </w:r>
      <w:r w:rsidRPr="009B3747">
        <w:rPr>
          <w:rFonts w:eastAsia="Times New Roman" w:cstheme="minorHAnsi"/>
          <w:color w:val="000000"/>
          <w:lang w:eastAsia="en-GB"/>
        </w:rPr>
        <w:t>As reported in the general review of the literature, over a third of children aged 10-11 years in England are assessed as either overweight or obese as they leave primary school, with prevalence increasing throughout secondary school education</w:t>
      </w:r>
      <w:r w:rsidR="00D71E4D" w:rsidRPr="009B3747">
        <w:rPr>
          <w:rFonts w:eastAsia="Times New Roman" w:cstheme="minorHAnsi"/>
          <w:color w:val="000000"/>
          <w:lang w:eastAsia="en-GB"/>
        </w:rPr>
        <w:t xml:space="preserve"> </w:t>
      </w:r>
      <w:r w:rsidR="00D71E4D"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"NHS Digital", "given" : "", "non-dropping-particle" : "", "parse-names" : false, "suffix" : "" } ], "id" : "ITEM-1", "issued" : { "date-parts" : [ [ "2016" ] ] }, "publisher-place" : "London", "title" : "National Child Measurement Programme - England, 2015/2016 school year", "type" : "report" }, "uris" : [ "http://www.mendeley.com/documents/?uuid=c13c8b37-9c1a-4559-8550-5f5e414a2fe2" ] } ], "mendeley" : { "formattedCitation" : "(NHS Digital, 2016b)", "plainTextFormattedCitation" : "(NHS Digital, 2016b)", "previouslyFormattedCitation" : "(NHS Digital, 2016b)" }, "properties" : { "noteIndex" : 0 }, "schema" : "https://github.com/citation-style-language/schema/raw/master/csl-citation.json" }</w:instrText>
      </w:r>
      <w:r w:rsidR="00D71E4D" w:rsidRPr="009B3747">
        <w:rPr>
          <w:rFonts w:eastAsia="Times New Roman" w:cstheme="minorHAnsi"/>
          <w:color w:val="000000"/>
          <w:lang w:eastAsia="en-GB"/>
        </w:rPr>
        <w:fldChar w:fldCharType="separate"/>
      </w:r>
      <w:r w:rsidR="00D71E4D" w:rsidRPr="009B3747">
        <w:rPr>
          <w:rFonts w:eastAsia="Times New Roman" w:cstheme="minorHAnsi"/>
          <w:noProof/>
          <w:color w:val="000000"/>
          <w:lang w:eastAsia="en-GB"/>
        </w:rPr>
        <w:t>(NHS Digital, 2016b)</w:t>
      </w:r>
      <w:r w:rsidR="00D71E4D" w:rsidRPr="009B3747">
        <w:rPr>
          <w:rFonts w:eastAsia="Times New Roman" w:cstheme="minorHAnsi"/>
          <w:color w:val="000000"/>
          <w:lang w:eastAsia="en-GB"/>
        </w:rPr>
        <w:fldChar w:fldCharType="end"/>
      </w:r>
      <w:r w:rsidR="00D71E4D" w:rsidRPr="009B3747">
        <w:rPr>
          <w:rFonts w:eastAsia="Times New Roman" w:cstheme="minorHAnsi"/>
          <w:color w:val="000000"/>
          <w:lang w:eastAsia="en-GB"/>
        </w:rPr>
        <w:t xml:space="preserve">.  </w:t>
      </w:r>
      <w:r w:rsidR="00E415F9">
        <w:rPr>
          <w:rFonts w:eastAsia="Times New Roman" w:cstheme="minorHAnsi"/>
          <w:color w:val="000000"/>
          <w:lang w:eastAsia="en-GB"/>
        </w:rPr>
        <w:t xml:space="preserve">It </w:t>
      </w:r>
      <w:r w:rsidRPr="009B3747">
        <w:rPr>
          <w:rFonts w:eastAsia="Times New Roman" w:cstheme="minorHAnsi"/>
          <w:color w:val="000000"/>
          <w:lang w:eastAsia="en-GB"/>
        </w:rPr>
        <w:t xml:space="preserve">is </w:t>
      </w:r>
      <w:r w:rsidR="00E415F9">
        <w:rPr>
          <w:rFonts w:eastAsia="Times New Roman" w:cstheme="minorHAnsi"/>
          <w:color w:val="000000"/>
          <w:lang w:eastAsia="en-GB"/>
        </w:rPr>
        <w:t xml:space="preserve">of course, </w:t>
      </w:r>
      <w:r w:rsidRPr="009B3747">
        <w:rPr>
          <w:rFonts w:eastAsia="Times New Roman" w:cstheme="minorHAnsi"/>
          <w:color w:val="000000"/>
          <w:lang w:eastAsia="en-GB"/>
        </w:rPr>
        <w:t>not possible to verify the accur</w:t>
      </w:r>
      <w:r w:rsidR="00E415F9">
        <w:rPr>
          <w:rFonts w:eastAsia="Times New Roman" w:cstheme="minorHAnsi"/>
          <w:color w:val="000000"/>
          <w:lang w:eastAsia="en-GB"/>
        </w:rPr>
        <w:t>acy of the estimations provided.  However,</w:t>
      </w:r>
      <w:r w:rsidRPr="009B3747">
        <w:rPr>
          <w:rFonts w:eastAsia="Times New Roman" w:cstheme="minorHAnsi"/>
          <w:color w:val="000000"/>
          <w:lang w:eastAsia="en-GB"/>
        </w:rPr>
        <w:t xml:space="preserve"> the significantly lower than average prevalence reported across both phases regardless of school type or reported pupil disadvantage</w:t>
      </w:r>
      <w:r w:rsidR="00E415F9">
        <w:rPr>
          <w:rFonts w:eastAsia="Times New Roman" w:cstheme="minorHAnsi"/>
          <w:color w:val="000000"/>
          <w:lang w:eastAsia="en-GB"/>
        </w:rPr>
        <w:t>,</w:t>
      </w:r>
      <w:r w:rsidRPr="009B3747">
        <w:rPr>
          <w:rFonts w:eastAsia="Times New Roman" w:cstheme="minorHAnsi"/>
          <w:color w:val="000000"/>
          <w:lang w:eastAsia="en-GB"/>
        </w:rPr>
        <w:t xml:space="preserve"> may indicate that headteachers and chairs of governors underestimate the actual scale of the problem of adolescent ob</w:t>
      </w:r>
      <w:r w:rsidR="00E415F9">
        <w:rPr>
          <w:rFonts w:eastAsia="Times New Roman" w:cstheme="minorHAnsi"/>
          <w:color w:val="000000"/>
          <w:lang w:eastAsia="en-GB"/>
        </w:rPr>
        <w:t xml:space="preserve">esity.  Supporting this finding, </w:t>
      </w:r>
      <w:r w:rsidRPr="009B3747">
        <w:rPr>
          <w:rFonts w:eastAsia="Times New Roman" w:cstheme="minorHAnsi"/>
          <w:color w:val="000000"/>
          <w:lang w:eastAsia="en-GB"/>
        </w:rPr>
        <w:t xml:space="preserve">is the recognition of this potential disparity by </w:t>
      </w:r>
      <w:r w:rsidR="00E415F9">
        <w:rPr>
          <w:rFonts w:eastAsia="Times New Roman" w:cstheme="minorHAnsi"/>
          <w:color w:val="000000"/>
          <w:lang w:eastAsia="en-GB"/>
        </w:rPr>
        <w:t>participants themselves and</w:t>
      </w:r>
      <w:r w:rsidRPr="009B3747">
        <w:rPr>
          <w:rFonts w:eastAsia="Times New Roman" w:cstheme="minorHAnsi"/>
          <w:color w:val="000000"/>
          <w:lang w:eastAsia="en-GB"/>
        </w:rPr>
        <w:t xml:space="preserve"> by academic literature </w:t>
      </w:r>
      <w:r w:rsidR="007C3B65" w:rsidRPr="009B3747">
        <w:rPr>
          <w:rFonts w:eastAsia="Times New Roman" w:cstheme="minorHAnsi"/>
          <w:color w:val="000000"/>
          <w:lang w:eastAsia="en-GB"/>
        </w:rPr>
        <w:fldChar w:fldCharType="begin" w:fldLock="1"/>
      </w:r>
      <w:r w:rsidR="007C3B65" w:rsidRPr="009B3747">
        <w:rPr>
          <w:rFonts w:eastAsia="Times New Roman" w:cstheme="minorHAnsi"/>
          <w:color w:val="000000"/>
          <w:lang w:eastAsia="en-GB"/>
        </w:rPr>
        <w:instrText>ADDIN CSL_CITATION { "citationItems" : [ { "id" : "ITEM-1", "itemData" : { "DOI" : "10.1038/ijo.2011.106", "ISSN" : "1476-5497", "PMID" : "21673651", "abstract" : "OBJECTIVES To investigate parents' perceptions of weight status in children and to explore parental understanding of and attitudes to childhood overweight. DESIGN Questionnaires and focus groups within a longitudinal study. SUBJECTS 536 parents of Gateshead Millennium Study children, of which 27 attended six focus groups. MAIN OUTCOME MEASURES Parents' perception of their child's weight status according to actual weight status as defined by International Obesity Taskforce (IOTF) cutoffs. Focus group outcomes included parental awareness of childhood overweight nationally and parental approaches to identifying overweight children. RESULTS The sensitivity of parents recognising if their child was overweight was 0.31. Prevalence of child overweight was underestimated: 7.3% of children were perceived as 'overweight' or 'very overweight' by their parents, 23.7% were identified as overweight or obese using IOTF criteria. 69.3% of parents of overweight or obese children identified their child as being of 'normal' weight. During focus groups parents demonstrated an awareness of childhood overweight being a problem nationally but their understanding of how it is defined was limited. Parents used alternative approaches to objective measures when identifying overweight in children such as visual assessments and comparisons with other children. Such approaches relied heavily on extreme and exceptional cases as a reference point. The apparent lack of relevance of childhood overweight to their child's school or own community along with scepticism towards both media messages and clinical measures commonly emerged as grounds for failing to engage with the issue at a personal level. CONCLUSION Parents' ability to identify when their child was overweight according to standard criteria was limited. Parents did not understand, use or trust clinical measures and used alternative approaches primarily reliant on extreme cases. Such approaches underpinned their reasoning for remaining detached from the issue. This study highlights the need to identify methods of improving parental recognition of and engagement with the problem of childhood overweight.", "author" : [ { "dropping-particle" : "", "family" : "Jones", "given" : "A R", "non-dropping-particle" : "", "parse-names" : false, "suffix" : "" }, { "dropping-particle" : "", "family" : "Parkinson", "given" : "K N", "non-dropping-particle" : "", "parse-names" : false, "suffix" : "" }, { "dropping-particle" : "", "family" : "Drewett", "given" : "R F", "non-dropping-particle" : "", "parse-names" : false, "suffix" : "" }, { "dropping-particle" : "", "family" : "Hyland", "given" : "R M", "non-dropping-particle" : "", "parse-names" : false, "suffix" : "" }, { "dropping-particle" : "", "family" : "Pearce", "given" : "M S", "non-dropping-particle" : "", "parse-names" : false, "suffix" : "" }, { "dropping-particle" : "", "family" : "Adamson", "given" : "A J", "non-dropping-particle" : "", "parse-names" : false, "suffix" : "" }, { "dropping-particle" : "", "family" : "Gateshead Millennium Study Core Team", "given" : "Gateshead Millennium Study core", "non-dropping-particle" : "", "parse-names" : false, "suffix" : "" } ], "container-title" : "International journal of obesity (2005)", "id" : "ITEM-1", "issue" : "7", "issued" : { "date-parts" : [ [ "2011", "7" ] ] }, "page" : "953-62", "publisher" : "Europe PMC Funders", "title" : "Parental perceptions of weight status in children: the Gateshead Millennium Study.", "type" : "article-journal", "volume" : "35" }, "uris" : [ "http://www.mendeley.com/documents/?uuid=debb1c31-aa2b-31f6-af3f-872c666c75b6" ] }, { "id" : "ITEM-2", "itemData" : { "DOI" : "10.1186/s12889-015-1821-3", "ISSN" : "1471-2458", "author" : [ { "dropping-particle" : "", "family" : "Robinson", "given" : "Eric", "non-dropping-particle" : "", "parse-names" : false, "suffix" : "" }, { "dropping-particle" : "", "family" : "Hogenkamp", "given" : "Pleunie S.", "non-dropping-particle" : "", "parse-names" : false, "suffix" : "" } ], "container-title" : "BMC Public Health", "id" : "ITEM-2", "issue" : "1", "issued" : { "date-parts" : [ [ "2015", "12", "16" ] ] }, "page" : "492", "title" : "Visual perceptions of male obesity: a cross-cultural study examining male and female lay perceptions of obesity in Caucasian males", "type" : "article-journal", "volume" : "15" }, "uris" : [ "http://www.mendeley.com/documents/?uuid=3df77d20-ee8e-3b94-919c-c1644fd58d15" ] } ], "mendeley" : { "formattedCitation" : "(Jones et al., 2011; Robinson and Hogenkamp, 2015)", "plainTextFormattedCitation" : "(Jones et al., 2011; Robinson and Hogenkamp, 2015)", "previouslyFormattedCitation" : "(Jones et al., 2011; Robinson and Hogenkamp, 2015)" }, "properties" : { "noteIndex" : 0 }, "schema" : "https://github.com/citation-style-language/schema/raw/master/csl-citation.json" }</w:instrText>
      </w:r>
      <w:r w:rsidR="007C3B65" w:rsidRPr="009B3747">
        <w:rPr>
          <w:rFonts w:eastAsia="Times New Roman" w:cstheme="minorHAnsi"/>
          <w:color w:val="000000"/>
          <w:lang w:eastAsia="en-GB"/>
        </w:rPr>
        <w:fldChar w:fldCharType="separate"/>
      </w:r>
      <w:r w:rsidR="007C3B65" w:rsidRPr="009B3747">
        <w:rPr>
          <w:rFonts w:eastAsia="Times New Roman" w:cstheme="minorHAnsi"/>
          <w:noProof/>
          <w:color w:val="000000"/>
          <w:lang w:eastAsia="en-GB"/>
        </w:rPr>
        <w:t>(Jones et al., 2011; Robinson and Hogenkamp, 2015)</w:t>
      </w:r>
      <w:r w:rsidR="007C3B65" w:rsidRPr="009B3747">
        <w:rPr>
          <w:rFonts w:eastAsia="Times New Roman" w:cstheme="minorHAnsi"/>
          <w:color w:val="000000"/>
          <w:lang w:eastAsia="en-GB"/>
        </w:rPr>
        <w:fldChar w:fldCharType="end"/>
      </w:r>
      <w:r w:rsidR="00E415F9">
        <w:rPr>
          <w:rFonts w:eastAsia="Times New Roman" w:cstheme="minorHAnsi"/>
          <w:color w:val="000000"/>
          <w:lang w:eastAsia="en-GB"/>
        </w:rPr>
        <w:t xml:space="preserve">, which proposes </w:t>
      </w:r>
      <w:r w:rsidRPr="009B3747">
        <w:rPr>
          <w:rFonts w:eastAsia="Times New Roman" w:cstheme="minorHAnsi"/>
          <w:color w:val="000000"/>
          <w:lang w:eastAsia="en-GB"/>
        </w:rPr>
        <w:t>that visual assessment is not an accurate method of identifying unhealthy weight.</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Only one previous study (Howard-Drake and Halliday, 2015) has reported that headteachers (based in English primary schools), may underestimate the prevalence of childhood obesity in their school setting.  Despite this, given the small sample size and the paucity of relevant literature related to this finding, it is not possible to generalise as to whether headteachers and chairs of governors more broadly are able to correctly recognise excess weight in children or adolescence.  Extensive evidence has however explored the phenomenon of underestimating obesity.  Other key stakeholders identified as crucial for preventing obesity in childhood and adolescence</w:t>
      </w:r>
      <w:r w:rsidR="00E415F9">
        <w:rPr>
          <w:rFonts w:eastAsia="Times New Roman" w:cstheme="minorHAnsi"/>
          <w:color w:val="000000"/>
          <w:lang w:eastAsia="en-GB"/>
        </w:rPr>
        <w:t>,</w:t>
      </w:r>
      <w:r w:rsidRPr="009B3747">
        <w:rPr>
          <w:rFonts w:eastAsia="Times New Roman" w:cstheme="minorHAnsi"/>
          <w:color w:val="000000"/>
          <w:lang w:eastAsia="en-GB"/>
        </w:rPr>
        <w:t xml:space="preserve"> have also been identified as being unable to identify unhealthy weight.  These include parents</w:t>
      </w:r>
      <w:r w:rsidR="007C3B65" w:rsidRPr="009B3747">
        <w:rPr>
          <w:rFonts w:eastAsia="Times New Roman" w:cstheme="minorHAnsi"/>
          <w:color w:val="000000"/>
          <w:lang w:eastAsia="en-GB"/>
        </w:rPr>
        <w:t xml:space="preserve"> </w:t>
      </w:r>
      <w:r w:rsidR="007C3B65"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"DOI" : "10.1111/j.1740-8709.2012.00462.x", "ISSN" : "17408695", "PMID" : "23020552", "abstract" : "An increasing number of children worldwide are overweight, and the first step in treating obesity is to identify overweight. However, do parents recognise overweight in their child and which factors influence parental perception? The aim of the present review is to systematically study differences between parental perception and the actual weight status of children. Medline, EMbase, CINAHL and PsychINFO were searched. After screening 2497 abstracts and 106 full texts, two reviewers independently scored the methodological quality of 51 articles (covering 35\u2009103 children), which fulfilled the inclusion criteria. The primary outcome parameters were sensitivity and specificity of parental perception for actual weight status of their child. The methodological quality of the studies ranged from poor to excellent. Pooled results showed that according to objective criteria 11\u2009530 children were overweight; of these, 7191 (62.4%) were incorrectly perceived as having normal weight by their parents. The misperception of overweight children is higher in parents with children aged 2-6 years compared with parents of older children. Sensitivity (correct perception of overweight) of the studies ranged from 0.04 to 0.89, while specificity (correct perception of normal weight) ranged from 0.86 to 1.00. There were no significant differences in sensitivity or specificity for different cut-off points for overweight, or between newer and older studies. Therefore we can conclude that parents are likely to misperceive the weight status of their overweight child, especially in children aged 2-6 years. Because appropriate treatment starts with the correct perception of overweight, health care professionals should be aware of the frequent parental misperception of the overweight status of their children.", "author" : [ { "dropping-particle" : "", "family" : "Rietmeijer-Mentink", "given" : "Marloes", "non-dropping-particle" : "", "parse-names" : false, "suffix" : "" }, { "dropping-particle" : "", "family" : "Paulis", "given" : "Winifred D.", "non-dropping-particle" : "", "parse-names" : false, "suffix" : "" }, { "dropping-particle" : "", "family" : "Middelkoop", "given" : "Marienke", "non-dropping-particle" : "van", "parse-names" : false, "suffix" : "" }, { "dropping-particle" : "", "family" : "Bindels", "given" : "Patrick J.E.", "non-dropping-particle" : "", "parse-names" : false, "suffix" : "" }, { "dropping-particle" : "", "family" : "Wouden", "given" : "Johannes C.", "non-dropping-particle" : "van der", "parse-names" : false, "suffix" : "" } ], "container-title" : "Maternal &amp; Child Nutrition", "id" : "ITEM-1", "issue" : "1", "issued" : { "date-parts" : [ [ "2013", "1" ] ] }, "page" : "3-22", "title" : "Difference between parental perception and actual weight status of children: a systematic review", "type" : "article-journal", "volume" : "9" }, "uris" : [ "http://www.mendeley.com/documents/?uuid=b0a7ab22-4482-3965-a65b-cef6d39ae2be" ] }, { "id" : "ITEM-2", "itemData" : { "author" : [ { "dropping-particle" : "", "family" : "Lundahl", "given" : "Alyssa", "non-dropping-particle" : "", "parse-names" : false, "suffix" : "" }, { "dropping-particle" : "", "family" : "Kidwell", "given" : "Katherine M.", "non-dropping-particle" : "", "parse-names" : false, "suffix" : "" }, { "dropping-particle" : "", "family" : "Nelson", "given" : "Timothy D.", "non-dropping-particle" : "", "parse-names" : false, "suffix" : "" } ], "container-title" : "Pediatrics", "id" : "ITEM-2", "issue" : "3", "issued" : { "date-parts" : [ [ "2014" ] ] }, "title" : "Parental Underestimates of Child Weight: A Meta-analysis", "type" : "article-journal", "volume" : "133" }, "uris" : [ "http://www.mendeley.com/documents/?uuid=f529ab61-e5a0-39f8-aa02-f19ea63ffd09" ] }, { "id" : "ITEM-3", "itemData" : { "DOI" : "10.1007/s10826-014-9945-0", "ISSN" : "1062-1024", "author" : [ { "dropping-particle" : "", "family" : "Tompkins", "given" : "Connie L.", "non-dropping-particle" : "", "parse-names" : false, "suffix" : "" }, { "dropping-particle" : "", "family" : "Seablom", "given" : "Marissa", "non-dropping-particle" : "", "parse-names" : false, "suffix" : "" }, { "dropping-particle" : "", "family" : "Brock", "given" : "David W.", "non-dropping-particle" : "", "parse-names" : false, "suffix" : "" } ], "container-title" : "Journal of Child and Family Studies", "id" : "ITEM-3", "issue" : "5", "issued" : { "date-parts" : [ [ "2015", "5", "22" ] ] }, "page" : "1384-1391", "publisher" : "Springer US", "title" : "Parental Perception of Child\u2019s Body Weight: A Systematic Review", "type" : "article-journal", "volume" : "24" }, "uris" : [ "http://www.mendeley.com/documents/?uuid=772c22b3-a8cd-3b45-9225-aa837f0313df" ] } ], "mendeley" : { "formattedCitation" : "(Rietmeijer-Mentink et al., 2013; Lundahl et al., 2014; Tompkins et al., 2015)", "plainTextFormattedCitation" : "(Rietmeijer-Mentink et al., 2013; Lundahl et al., 2014; Tompkins et al., 2015)", "previouslyFormattedCitation" : "(Rietmeijer-Mentink et al., 2013; Lundahl et al., 2014; Tompkins et al., 2015)" }, "properties" : { "noteIndex" : 0 }, "schema" : "https://github.com/citation-style-language/schema/raw/master/csl-citation.json" }</w:instrText>
      </w:r>
      <w:r w:rsidR="007C3B65" w:rsidRPr="009B3747">
        <w:rPr>
          <w:rFonts w:eastAsia="Times New Roman" w:cstheme="minorHAnsi"/>
          <w:color w:val="000000"/>
          <w:lang w:eastAsia="en-GB"/>
        </w:rPr>
        <w:fldChar w:fldCharType="separate"/>
      </w:r>
      <w:r w:rsidR="007C3B65" w:rsidRPr="009B3747">
        <w:rPr>
          <w:rFonts w:eastAsia="Times New Roman" w:cstheme="minorHAnsi"/>
          <w:noProof/>
          <w:color w:val="000000"/>
          <w:lang w:eastAsia="en-GB"/>
        </w:rPr>
        <w:t>(Rietmeijer-Mentink et al., 2013; Lundahl et al., 2014; Tompkins et al., 2015)</w:t>
      </w:r>
      <w:r w:rsidR="007C3B65" w:rsidRPr="009B3747">
        <w:rPr>
          <w:rFonts w:eastAsia="Times New Roman" w:cstheme="minorHAnsi"/>
          <w:color w:val="000000"/>
          <w:lang w:eastAsia="en-GB"/>
        </w:rPr>
        <w:fldChar w:fldCharType="end"/>
      </w:r>
      <w:r w:rsidR="007C3B65" w:rsidRPr="009B3747">
        <w:rPr>
          <w:rFonts w:eastAsia="Times New Roman" w:cstheme="minorHAnsi"/>
          <w:color w:val="000000"/>
          <w:lang w:eastAsia="en-GB"/>
        </w:rPr>
        <w:t xml:space="preserve">, </w:t>
      </w:r>
      <w:r w:rsidRPr="009B3747">
        <w:rPr>
          <w:rFonts w:eastAsia="Times New Roman" w:cstheme="minorHAnsi"/>
          <w:color w:val="000000"/>
          <w:shd w:val="clear" w:color="auto" w:fill="FFFFFF"/>
          <w:lang w:eastAsia="en-GB"/>
        </w:rPr>
        <w:t>clinicians</w:t>
      </w:r>
      <w:r w:rsidR="007C3B65" w:rsidRPr="009B3747">
        <w:rPr>
          <w:rFonts w:eastAsia="Times New Roman" w:cstheme="minorHAnsi"/>
          <w:color w:val="000000"/>
          <w:shd w:val="clear" w:color="auto" w:fill="FFFFFF"/>
          <w:lang w:eastAsia="en-GB"/>
        </w:rPr>
        <w:t xml:space="preserve"> </w:t>
      </w:r>
      <w:r w:rsidR="007C3B65" w:rsidRPr="009B3747">
        <w:rPr>
          <w:rFonts w:eastAsia="Times New Roman" w:cstheme="minorHAnsi"/>
          <w:color w:val="000000"/>
          <w:shd w:val="clear" w:color="auto" w:fill="FFFFFF"/>
          <w:lang w:eastAsia="en-GB"/>
        </w:rPr>
        <w:fldChar w:fldCharType="begin" w:fldLock="1"/>
      </w:r>
      <w:r w:rsidR="007C3B65" w:rsidRPr="009B3747">
        <w:rPr>
          <w:rFonts w:eastAsia="Times New Roman" w:cstheme="minorHAnsi"/>
          <w:color w:val="000000"/>
          <w:shd w:val="clear" w:color="auto" w:fill="FFFFFF"/>
          <w:lang w:eastAsia="en-GB"/>
        </w:rPr>
        <w:instrText>ADDIN CSL_CITATION { "citationItems" : [ { "id" : "ITEM-1", "itemData" : { "DOI" : "10.3399/bjgp14X682285", "ISSN" : "0960-1643", "PMID" : "25348994", "abstract" : "BACKGROUND Guidelines suggest that GPs should intervene on patients' weight, but to do so GPs must first recognise that a patient may have a weight problem and weigh them. AIM To examine whether GPs and trainee GPs can identify overweight and obese body weights by sight, and if this influences whether they would discuss weight with a potential patient. DESIGN AND SETTING Study of GPs and trainee GPs on the lists of the UK NHS Workforce West Midlands Deanery and NHS Sandwell and West Birmingham Clinical Commissioning Group. METHOD Participants viewed 15 standardised photographs of healthy-weight, overweight, and obese young males, and estimated their BMI, classified their weight status, and reported whether they would be likely to make a brief intervention for weight loss with that person. RESULTS The sample of GPs and trainee GPs correctly classified a mean of 4.0/5.0 of the healthy weight males, a mean of 2.4/5.0 of the overweight, and a mean of 1.7/5.0 of the obese males. For each 1 kg/m(2) increase in actual BMI, participants underestimated BMI by -0.21 (95% CI = -0.22 to -0.18), meaning that participants would underestimate the BMI of a man of 30 kg/m(2) by approximately 2.5 kg/m(2), but were more accurate for lower body weights. Participants were more likely to intervene with those with a higher estimated BMI (OR 1.53, 95% CI = 1.49 to 1.58). CONCLUSION This sample of predominantly trainee GPs perceived overweight and obese weights as being of lower BMI and weight status than they actually are, and this was associated with a lower intention of discussing weight management with a potential patient. This was found to be true for trainee and fully qualified GPs who participated in the study. Healthcare professionals should not rely on visual judgements when identifying patients who may benefit from weight management treatment.", "author" : [ { "dropping-particle" : "", "family" : "Robinson", "given" : "E.", "non-dropping-particle" : "", "parse-names" : false, "suffix" : "" }, { "dropping-particle" : "", "family" : "Parretti", "given" : "H.", "non-dropping-particle" : "", "parse-names" : false, "suffix" : "" }, { "dropping-particle" : "", "family" : "Aveyard", "given" : "P.", "non-dropping-particle" : "", "parse-names" : false, "suffix" : "" } ], "container-title" : "British Journal of General Practice", "id" : "ITEM-1", "issue" : "628", "issued" : { "date-parts" : [ [ "2014", "11", "1" ] ] }, "page" : "e703-e708", "title" : "Visual identification of obesity by healthcare professionals: an experimental study of trainee and qualified GPs", "type" : "article-journal", "volume" : "64" }, "uris" : [ "http://www.mendeley.com/documents/?uuid=2338fa1d-02ca-3b26-8c83-780e3cc3cc0e" ] }, { "id" : "ITEM-2", "itemData" : { "DOI" : "10.1111/1753-6405.12536", "ISSN" : "13260200", "author" : [ { "dropping-particle" : "", "family" : "Wong", "given" : "Carmen", "non-dropping-particle" : "", "parse-names" : false, "suffix" : "" }, { "dropping-particle" : "", "family" : "Harrison", "given" : "Christopher", "non-dropping-particle" : "", "parse-names" : false, "suffix" : "" }, { "dropping-particle" : "", "family" : "Bayram", "given" : "Clare", "non-dropping-particle" : "", "parse-names" : false, "suffix" : "" }, { "dropping-particle" : "", "family" : "Miller", "given" : "Graeme", "non-dropping-particle" : "", "parse-names" : false, "suffix" : "" } ], "container-title" : "Australian and New Zealand Journal of Public Health", "id" : "ITEM-2", "issue" : "6", "issued" : { "date-parts" : [ [ "2016", "12", "1" ] ] }, "page" : "513-517", "title" : "Assessing patients' and GPs' ability to recognise overweight and obesity", "type" : "article-journal", "volume" : "40" }, "uris" : [ "http://www.mendeley.com/documents/?uuid=b37c3232-260a-30a1-9a7f-1008c0bc559d" ] } ], "mendeley" : { "formattedCitation" : "(Robinson et al., 2014; Wong et al., 2016)", "plainTextFormattedCitation" : "(Robinson et al., 2014; Wong et al., 2016)", "previouslyFormattedCitation" : "(Robinson et al., 2014; Wong et al., 2016)" }, "properties" : { "noteIndex" : 0 }, "schema" : "https://github.com/citation-style-language/schema/raw/master/csl-citation.json" }</w:instrText>
      </w:r>
      <w:r w:rsidR="007C3B65" w:rsidRPr="009B3747">
        <w:rPr>
          <w:rFonts w:eastAsia="Times New Roman" w:cstheme="minorHAnsi"/>
          <w:color w:val="000000"/>
          <w:shd w:val="clear" w:color="auto" w:fill="FFFFFF"/>
          <w:lang w:eastAsia="en-GB"/>
        </w:rPr>
        <w:fldChar w:fldCharType="separate"/>
      </w:r>
      <w:r w:rsidR="007C3B65" w:rsidRPr="009B3747">
        <w:rPr>
          <w:rFonts w:eastAsia="Times New Roman" w:cstheme="minorHAnsi"/>
          <w:noProof/>
          <w:color w:val="000000"/>
          <w:shd w:val="clear" w:color="auto" w:fill="FFFFFF"/>
          <w:lang w:eastAsia="en-GB"/>
        </w:rPr>
        <w:t>(Robinson et al., 2014; Wong et al., 2016)</w:t>
      </w:r>
      <w:r w:rsidR="007C3B65" w:rsidRPr="009B3747">
        <w:rPr>
          <w:rFonts w:eastAsia="Times New Roman" w:cstheme="minorHAnsi"/>
          <w:color w:val="000000"/>
          <w:shd w:val="clear" w:color="auto" w:fill="FFFFFF"/>
          <w:lang w:eastAsia="en-GB"/>
        </w:rPr>
        <w:fldChar w:fldCharType="end"/>
      </w:r>
      <w:r w:rsidR="007C3B65" w:rsidRPr="009B3747">
        <w:rPr>
          <w:rFonts w:eastAsia="Times New Roman" w:cstheme="minorHAnsi"/>
          <w:color w:val="000000"/>
          <w:shd w:val="clear" w:color="auto" w:fill="FFFFFF"/>
          <w:lang w:eastAsia="en-GB"/>
        </w:rPr>
        <w:t xml:space="preserve"> </w:t>
      </w:r>
      <w:r w:rsidRPr="009B3747">
        <w:rPr>
          <w:rFonts w:eastAsia="Times New Roman" w:cstheme="minorHAnsi"/>
          <w:color w:val="000000"/>
          <w:shd w:val="clear" w:color="auto" w:fill="FFFFFF"/>
          <w:lang w:eastAsia="en-GB"/>
        </w:rPr>
        <w:t>and adolescents themselves</w:t>
      </w:r>
      <w:r w:rsidR="007C3B65" w:rsidRPr="009B3747">
        <w:rPr>
          <w:rFonts w:eastAsia="Times New Roman" w:cstheme="minorHAnsi"/>
          <w:color w:val="000000"/>
          <w:shd w:val="clear" w:color="auto" w:fill="FFFFFF"/>
          <w:lang w:eastAsia="en-GB"/>
        </w:rPr>
        <w:t xml:space="preserve"> </w:t>
      </w:r>
      <w:r w:rsidR="007C3B65" w:rsidRPr="009B3747">
        <w:rPr>
          <w:rFonts w:eastAsia="Times New Roman" w:cstheme="minorHAnsi"/>
          <w:color w:val="000000"/>
          <w:shd w:val="clear" w:color="auto" w:fill="FFFFFF"/>
          <w:lang w:eastAsia="en-GB"/>
        </w:rPr>
        <w:fldChar w:fldCharType="begin" w:fldLock="1"/>
      </w:r>
      <w:r w:rsidR="007C3B65" w:rsidRPr="009B3747">
        <w:rPr>
          <w:rFonts w:eastAsia="Times New Roman" w:cstheme="minorHAnsi"/>
          <w:color w:val="000000"/>
          <w:shd w:val="clear" w:color="auto" w:fill="FFFFFF"/>
          <w:lang w:eastAsia="en-GB"/>
        </w:rPr>
        <w:instrText>ADDIN CSL_CITATION { "citationItems" : [ { "id" : "ITEM-1", "itemData" : { "DOI" : "10.1097/MPG.0b013e31815a34", "ISSN" : "0277-2116", "PMID" : "18607272", "abstract" : "OBJECTIVES To compare children's, parents' and physicians' perceptions of children's body size. PATIENTS AND METHODS We administered a structured questionnaire of body size perception using a descriptive Likert scale keyed to body image figures to children ages 12 to 18 years. The same scale was given to parents of children ages 5 to 18 years. The sample consisted of 91 children and their parents being seen in the Pediatric Gastroenterology Clinic for concerns unrelated to overweight. Weight and height of the children were measured, and body mass index (BMI) was calculated. The children's BMI percentiles were categorized as underweight (&lt;15th), normal (15th-85th), overweight (85th-95th), and obese (95th and above). The attending physician independently completed the body image and description scale and indicated the figure that most accurately represented the patient without reference to BMI standards. Accuracy of the patients', parents', and doctors' estimates were statistically compared. RESULTS The sample population consisted of 6.4% underweight, 70.5% normal weight, 7.7% overweight, and 15.4% obese. Forty-four percent of parents underestimated children's body size using word descriptions and 47% underestimated using figures. Forty percent of the children underestimated their own body size using descriptions and 43% underestimated using figures. The physicians in this study had a higher percentage of correct estimates; however, they underestimated 33% of the patients using both word descriptions and figures. Some obese children were not recognized, and several average children were perceived as underweight. CONCLUSIONS Many children underestimated their degree of overweight. Their parents and even their attending physicians shared this misperception. This study demonstrates the need to further educate physicians to recognize obesity and overweight so that they can counsel children and their families.", "author" : [ { "dropping-particle" : "", "family" : "Chaimovitz", "given" : "R", "non-dropping-particle" : "", "parse-names" : false, "suffix" : "" }, { "dropping-particle" : "", "family" : "Issenman", "given" : "R", "non-dropping-particle" : "", "parse-names" : false, "suffix" : "" }, { "dropping-particle" : "", "family" : "Moffat", "given" : "T", "non-dropping-particle" : "", "parse-names" : false, "suffix" : "" }, { "dropping-particle" : "", "family" : "Persad", "given" : "R", "non-dropping-particle" : "", "parse-names" : false, "suffix" : "" } ], "container-title" : "Journal of Pediatric Gastroenterology and Nutrition", "id" : "ITEM-1", "issue" : "1", "issued" : { "date-parts" : [ [ "2008", "7" ] ] }, "page" : "76-80", "title" : "Body Perception: Do Parents, Their Children, and Their Children\u02bcs Physicians Perceive Body Image Differently?", "type" : "article-journal", "volume" : "47" }, "uris" : [ "http://www.mendeley.com/documents/?uuid=5d315184-6f0e-3a58-88ec-d03305b3f1fd" ] }, { "id" : "ITEM-2", "itemData" : { "DOI" : "10.1016/j.bodyim.2008.08.004", "ISSN" : "17401445", "author" : [ { "dropping-particle" : "", "family" : "Standley", "given" : "Rebecca", "non-dropping-particle" : "", "parse-names" : false, "suffix" : "" }, { "dropping-particle" : "", "family" : "Sullivan", "given" : "Victoria", "non-dropping-particle" : "", "parse-names" : false, "suffix" : "" }, { "dropping-particle" : "", "family" : "Wardle", "given" : "Jane", "non-dropping-particle" : "", "parse-names" : false, "suffix" : "" } ], "container-title" : "Body Image", "id" : "ITEM-2", "issue" : "1", "issued" : { "date-parts" : [ [ "2009", "1" ] ] }, "page" : "56-59", "title" : "Self-perceived weight in adolescents: Over-estimation or under-estimation?", "type" : "article-journal", "volume" : "6" }, "uris" : [ "http://www.mendeley.com/documents/?uuid=0914b8dd-f0f9-30e5-9f93-7b4423321718" ] }, { "id" : "ITEM-3", "itemData" : { "DOI" : "10.1097/NNR.0b013e318286b790", "ISSN" : "0029-6562", "PMID" : "23636345", "abstract" : "BACKGROUND Previous studies assessing the validity of adolescent self-reported height and weight for estimating obesity prevalence have not accounted for, potential bias due to nonresponse in self-reports. OBJECTIVES The aim of this study was to assess the implications of selective nonresponse in self-reports of height and weight for estimates of adolescent obesity. METHODS The authors analyzed 613 adolescents ages 12-17 years from the 2006-2008 Los Angeles Family and Neighborhood Survey, a longitudinal study of Los Angeles County households with an oversample of poor neighborhoods. Obesity prevalence estimates were compared based on (a) self-report, (b) measured height and weight for those who did report, and (c) measured height and weight for those who did report. RESULTS Among younger teens, measured obesity prevalence was higher for those who did not report height and weight compared with those who did (40% vs. 30%). Consequently, obesity prevalence based on self-reported height and weight underestimated measured prevalence by 12 percentage points (when accounting for nonresponse) versus 9 percentage points (when nonresponse was not accounted for). Results were robust to the choice of difference child growth references. DISCUSSION Adolescent obesity surveillance and prevention efforts must take into account selective nonresponse for self-reported height and weight, particularly for younger teens. Results should be replicated in a nationally representative sample.", "author" : [ { "dropping-particle" : "", "family" : "Buttenheim", "given" : "Alison M.", "non-dropping-particle" : "", "parse-names" : false, "suffix" : "" }, { "dropping-particle" : "", "family" : "Goldman", "given" : "Noreen", "non-dropping-particle" : "", "parse-names" : false, "suffix" : "" }, { "dropping-particle" : "", "family" : "Pebley", "given" : "Anne R.", "non-dropping-particle" : "", "parse-names" : false, "suffix" : "" } ], "container-title" : "Nursing Research", "id" : "ITEM-3", "issue" : "3", "issued" : { "date-parts" : [ [ "2013" ] ] }, "page" : "195-202", "title" : "Underestimation of Adolescent Obesity", "type" : "article-journal", "volume" : "62" }, "uris" : [ "http://www.mendeley.com/documents/?uuid=88daefa2-2167-3553-9dfe-24dc6f7b91c7" ] } ], "mendeley" : { "formattedCitation" : "(Chaimovitz et al., 2008; Standley et al., 2009; Buttenheim et al., 2013)", "plainTextFormattedCitation" : "(Chaimovitz et al., 2008; Standley et al., 2009; Buttenheim et al., 2013)", "previouslyFormattedCitation" : "(Chaimovitz et al., 2008; Standley et al., 2009; Buttenheim et al., 2013)" }, "properties" : { "noteIndex" : 0 }, "schema" : "https://github.com/citation-style-language/schema/raw/master/csl-citation.json" }</w:instrText>
      </w:r>
      <w:r w:rsidR="007C3B65" w:rsidRPr="009B3747">
        <w:rPr>
          <w:rFonts w:eastAsia="Times New Roman" w:cstheme="minorHAnsi"/>
          <w:color w:val="000000"/>
          <w:shd w:val="clear" w:color="auto" w:fill="FFFFFF"/>
          <w:lang w:eastAsia="en-GB"/>
        </w:rPr>
        <w:fldChar w:fldCharType="separate"/>
      </w:r>
      <w:r w:rsidR="007C3B65" w:rsidRPr="009B3747">
        <w:rPr>
          <w:rFonts w:eastAsia="Times New Roman" w:cstheme="minorHAnsi"/>
          <w:noProof/>
          <w:color w:val="000000"/>
          <w:shd w:val="clear" w:color="auto" w:fill="FFFFFF"/>
          <w:lang w:eastAsia="en-GB"/>
        </w:rPr>
        <w:t>(Chaimovitz et al., 2008; Standley et al., 2009; Buttenheim et al., 2013)</w:t>
      </w:r>
      <w:r w:rsidR="007C3B65" w:rsidRPr="009B3747">
        <w:rPr>
          <w:rFonts w:eastAsia="Times New Roman" w:cstheme="minorHAnsi"/>
          <w:color w:val="000000"/>
          <w:shd w:val="clear" w:color="auto" w:fill="FFFFFF"/>
          <w:lang w:eastAsia="en-GB"/>
        </w:rPr>
        <w:fldChar w:fldCharType="end"/>
      </w:r>
      <w:r w:rsidR="007C3B65" w:rsidRPr="009B3747">
        <w:rPr>
          <w:rFonts w:eastAsia="Times New Roman" w:cstheme="minorHAnsi"/>
          <w:color w:val="000000"/>
          <w:shd w:val="clear" w:color="auto" w:fill="FFFFFF"/>
          <w:lang w:eastAsia="en-GB"/>
        </w:rPr>
        <w:t>.</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shd w:val="clear" w:color="auto" w:fill="FFFFFF"/>
          <w:lang w:eastAsia="en-GB"/>
        </w:rPr>
        <w:t>One theoretical explanation that could attempt to account for headteachers and chairs of governors potential inability to visually recognise obesity in adolescents is the normalisation of excess weight in society</w:t>
      </w:r>
      <w:r w:rsidR="007C3B65" w:rsidRPr="009B3747">
        <w:rPr>
          <w:rFonts w:eastAsia="Times New Roman" w:cstheme="minorHAnsi"/>
          <w:color w:val="000000"/>
          <w:shd w:val="clear" w:color="auto" w:fill="FFFFFF"/>
          <w:lang w:eastAsia="en-GB"/>
        </w:rPr>
        <w:t xml:space="preserve"> </w:t>
      </w:r>
      <w:r w:rsidR="007C3B65" w:rsidRPr="009B3747">
        <w:rPr>
          <w:rFonts w:eastAsia="Times New Roman" w:cstheme="minorHAnsi"/>
          <w:color w:val="000000"/>
          <w:shd w:val="clear" w:color="auto" w:fill="FFFFFF"/>
          <w:lang w:eastAsia="en-GB"/>
        </w:rPr>
        <w:fldChar w:fldCharType="begin" w:fldLock="1"/>
      </w:r>
      <w:r w:rsidR="00395650" w:rsidRPr="009B3747">
        <w:rPr>
          <w:rFonts w:eastAsia="Times New Roman" w:cstheme="minorHAnsi"/>
          <w:color w:val="000000"/>
          <w:shd w:val="clear" w:color="auto" w:fill="FFFFFF"/>
          <w:lang w:eastAsia="en-GB"/>
        </w:rPr>
        <w:instrText>ADDIN CSL_CITATION { "citationItems" : [ { "id" : "ITEM-1", "itemData" : { "author" : [ { "dropping-particle" : "", "family" : "Johnson", "given" : "F", "non-dropping-particle" : "", "parse-names" : false, "suffix" : "" }, { "dropping-particle" : "", "family" : "Cooke", "given" : "L", "non-dropping-particle" : "", "parse-names" : false, "suffix" : "" }, { "dropping-particle" : "", "family" : "Croker", "given" : "H", "non-dropping-particle" : "", "parse-names" : false, "suffix" : "" }, { "dropping-particle" : "", "family" : "Wardle", "given" : "Jane", "non-dropping-particle" : "", "parse-names" : false, "suffix" : "" } ], "container-title" : "BMJ", "id" : "ITEM-1", "issue" : "7664", "issued" : { "date-parts" : [ [ "2008" ] ] }, "page" : "270-272", "title" : "Changing perceptions of weight in Great Britain: comparison of two population surveys", "type" : "article-journal", "volume" : "337" }, "uris" : [ "http://www.mendeley.com/documents/?uuid=db38c573-6e41-3700-a0c0-8be2572faf7a" ] }, { "id" : "ITEM-2", "itemData" : { "DOI" : "10.1038/oby.2009.369", "ISSN" : "19307381", "author" : [ { "dropping-particle" : "", "family" : "Burke", "given" : "Mary A.", "non-dropping-particle" : "", "parse-names" : false, "suffix" : "" }, { "dropping-particle" : "", "family" : "Heiland", "given" : "Frank W.", "non-dropping-particle" : "", "parse-names" : false, "suffix" : "" }, { "dropping-particle" : "", "family" : "Nadler", "given" : "Carl M.", "non-dropping-particle" : "", "parse-names" : false, "suffix" : "" } ], "container-title" : "Obesity", "id" : "ITEM-2", "issue" : "6", "issued" : { "date-parts" : [ [ "2010", "6", "1" ] ] }, "page" : "1226-1234", "publisher" : "Blackwell Publishing Ltd", "title" : "From \u201cOverweight\u201d to \u201cAbout Right\u201d: Evidence of a Generational Shift in Body Weight Norms", "type" : "article-journal", "volume" : "18" }, "uris" : [ "http://www.mendeley.com/documents/?uuid=ff9fe1ec-443e-322d-b0e9-973b698e005a" ] } ], "mendeley" : { "formattedCitation" : "(Johnson et al., 2008; Burke et al., 2010)", "plainTextFormattedCitation" : "(Johnson et al., 2008; Burke et al., 2010)", "previouslyFormattedCitation" : "(Johnson et al., 2008; Burke et al., 2010)" }, "properties" : { "noteIndex" : 0 }, "schema" : "https://github.com/citation-style-language/schema/raw/master/csl-citation.json" }</w:instrText>
      </w:r>
      <w:r w:rsidR="007C3B65" w:rsidRPr="009B3747">
        <w:rPr>
          <w:rFonts w:eastAsia="Times New Roman" w:cstheme="minorHAnsi"/>
          <w:color w:val="000000"/>
          <w:shd w:val="clear" w:color="auto" w:fill="FFFFFF"/>
          <w:lang w:eastAsia="en-GB"/>
        </w:rPr>
        <w:fldChar w:fldCharType="separate"/>
      </w:r>
      <w:r w:rsidR="007C3B65" w:rsidRPr="009B3747">
        <w:rPr>
          <w:rFonts w:eastAsia="Times New Roman" w:cstheme="minorHAnsi"/>
          <w:noProof/>
          <w:color w:val="000000"/>
          <w:shd w:val="clear" w:color="auto" w:fill="FFFFFF"/>
          <w:lang w:eastAsia="en-GB"/>
        </w:rPr>
        <w:t>(Johnson et al., 2008; Burke et al., 2010)</w:t>
      </w:r>
      <w:r w:rsidR="007C3B65" w:rsidRPr="009B3747">
        <w:rPr>
          <w:rFonts w:eastAsia="Times New Roman" w:cstheme="minorHAnsi"/>
          <w:color w:val="000000"/>
          <w:shd w:val="clear" w:color="auto" w:fill="FFFFFF"/>
          <w:lang w:eastAsia="en-GB"/>
        </w:rPr>
        <w:fldChar w:fldCharType="end"/>
      </w:r>
      <w:r w:rsidR="007C3B65" w:rsidRPr="009B3747">
        <w:rPr>
          <w:rFonts w:eastAsia="Times New Roman" w:cstheme="minorHAnsi"/>
          <w:color w:val="000000"/>
          <w:shd w:val="clear" w:color="auto" w:fill="FFFFFF"/>
          <w:lang w:eastAsia="en-GB"/>
        </w:rPr>
        <w:t xml:space="preserve">.  </w:t>
      </w:r>
      <w:r w:rsidRPr="009B3747">
        <w:rPr>
          <w:rFonts w:eastAsia="Times New Roman" w:cstheme="minorHAnsi"/>
          <w:color w:val="000000"/>
          <w:shd w:val="clear" w:color="auto" w:fill="FFFFFF"/>
          <w:lang w:eastAsia="en-GB"/>
        </w:rPr>
        <w:t>Underpinning this theory is the concept that as the proportions of obesity in the population have increased over time</w:t>
      </w:r>
      <w:r w:rsidR="00E415F9">
        <w:rPr>
          <w:rFonts w:eastAsia="Times New Roman" w:cstheme="minorHAnsi"/>
          <w:color w:val="000000"/>
          <w:shd w:val="clear" w:color="auto" w:fill="FFFFFF"/>
          <w:lang w:eastAsia="en-GB"/>
        </w:rPr>
        <w:t>,</w:t>
      </w:r>
      <w:r w:rsidRPr="009B3747">
        <w:rPr>
          <w:rFonts w:eastAsia="Times New Roman" w:cstheme="minorHAnsi"/>
          <w:color w:val="000000"/>
          <w:shd w:val="clear" w:color="auto" w:fill="FFFFFF"/>
          <w:lang w:eastAsia="en-GB"/>
        </w:rPr>
        <w:t xml:space="preserve"> the visual perception and acceptance of what constitutes a healthy weight has become distorted and a new social norm has formed</w:t>
      </w:r>
      <w:r w:rsidR="007C3B65" w:rsidRPr="009B3747">
        <w:rPr>
          <w:rFonts w:eastAsia="Times New Roman" w:cstheme="minorHAnsi"/>
          <w:color w:val="000000"/>
          <w:shd w:val="clear" w:color="auto" w:fill="FFFFFF"/>
          <w:lang w:eastAsia="en-GB"/>
        </w:rPr>
        <w:t xml:space="preserve"> </w:t>
      </w:r>
      <w:r w:rsidR="007C3B65" w:rsidRPr="009B3747">
        <w:rPr>
          <w:rFonts w:eastAsia="Times New Roman" w:cstheme="minorHAnsi"/>
          <w:color w:val="000000"/>
          <w:shd w:val="clear" w:color="auto" w:fill="FFFFFF"/>
          <w:lang w:eastAsia="en-GB"/>
        </w:rPr>
        <w:fldChar w:fldCharType="begin" w:fldLock="1"/>
      </w:r>
      <w:r w:rsidR="007C3B65" w:rsidRPr="009B3747">
        <w:rPr>
          <w:rFonts w:eastAsia="Times New Roman" w:cstheme="minorHAnsi"/>
          <w:color w:val="000000"/>
          <w:shd w:val="clear" w:color="auto" w:fill="FFFFFF"/>
          <w:lang w:eastAsia="en-GB"/>
        </w:rPr>
        <w:instrText>ADDIN CSL_CITATION { "citationItems" : [ { "id" : "ITEM-1", "itemData" : { "DOI" : "10.1111/j.1548-1387.2010.01082.x", "ISSN" : "07455194", "author" : [ { "dropping-particle" : "", "family" : "Moffat", "given" : "Tina", "non-dropping-particle" : "", "parse-names" : false, "suffix" : "" } ], "container-title" : "Medical Anthropology Quarterly", "id" : "ITEM-1", "issue" : "1", "issued" : { "date-parts" : [ [ "2010", "3", "1" ] ] }, "page" : "1-21", "publisher" : "Blackwell Publishing Inc", "title" : "The \u201cChildhood Obesity Epidemic\u201d:", "type" : "article-journal", "volume" : "24" }, "uris" : [ "http://www.mendeley.com/documents/?uuid=d428d627-7537-30cd-98ce-4364433a250a" ] }, { "id" : "ITEM-2", "itemData" : { "DOI" : "10.1002/oby.20699", "ISSN" : "19307381", "author" : [ { "dropping-particle" : "", "family" : "Robinson", "given" : "Eric", "non-dropping-particle" : "", "parse-names" : false, "suffix" : "" }, { "dropping-particle" : "", "family" : "Christiansen", "given" : "Paul", "non-dropping-particle" : "", "parse-names" : false, "suffix" : "" } ], "container-title" : "Obesity", "id" : "ITEM-2", "issue" : "5", "issued" : { "date-parts" : [ [ "2014", "5", "1" ] ] }, "page" : "1380-1386", "title" : "The changing face of obesity: Exposure to and acceptance of obesity", "type" : "article-journal", "volume" : "22" }, "uris" : [ "http://www.mendeley.com/documents/?uuid=a10e3516-1e77-3eea-b032-243783f5b1c9" ] } ], "mendeley" : { "formattedCitation" : "(Moffat, 2010; Robinson and Christiansen, 2014)", "plainTextFormattedCitation" : "(Moffat, 2010; Robinson and Christiansen, 2014)", "previouslyFormattedCitation" : "(Moffat, 2010; Robinson and Christiansen, 2014)" }, "properties" : { "noteIndex" : 0 }, "schema" : "https://github.com/citation-style-language/schema/raw/master/csl-citation.json" }</w:instrText>
      </w:r>
      <w:r w:rsidR="007C3B65" w:rsidRPr="009B3747">
        <w:rPr>
          <w:rFonts w:eastAsia="Times New Roman" w:cstheme="minorHAnsi"/>
          <w:color w:val="000000"/>
          <w:shd w:val="clear" w:color="auto" w:fill="FFFFFF"/>
          <w:lang w:eastAsia="en-GB"/>
        </w:rPr>
        <w:fldChar w:fldCharType="separate"/>
      </w:r>
      <w:r w:rsidR="007C3B65" w:rsidRPr="009B3747">
        <w:rPr>
          <w:rFonts w:eastAsia="Times New Roman" w:cstheme="minorHAnsi"/>
          <w:noProof/>
          <w:color w:val="000000"/>
          <w:shd w:val="clear" w:color="auto" w:fill="FFFFFF"/>
          <w:lang w:eastAsia="en-GB"/>
        </w:rPr>
        <w:t>(Moffat, 2010; Robinson and Christiansen, 2014)</w:t>
      </w:r>
      <w:r w:rsidR="007C3B65" w:rsidRPr="009B3747">
        <w:rPr>
          <w:rFonts w:eastAsia="Times New Roman" w:cstheme="minorHAnsi"/>
          <w:color w:val="000000"/>
          <w:shd w:val="clear" w:color="auto" w:fill="FFFFFF"/>
          <w:lang w:eastAsia="en-GB"/>
        </w:rPr>
        <w:fldChar w:fldCharType="end"/>
      </w:r>
      <w:r w:rsidR="007C3B65" w:rsidRPr="009B3747">
        <w:rPr>
          <w:rFonts w:eastAsia="Times New Roman" w:cstheme="minorHAnsi"/>
          <w:color w:val="000000"/>
          <w:shd w:val="clear" w:color="auto" w:fill="FFFFFF"/>
          <w:lang w:eastAsia="en-GB"/>
        </w:rPr>
        <w:t xml:space="preserve">.  </w:t>
      </w:r>
      <w:r w:rsidRPr="009B3747">
        <w:rPr>
          <w:rFonts w:eastAsia="Times New Roman" w:cstheme="minorHAnsi"/>
          <w:color w:val="000000"/>
          <w:shd w:val="clear" w:color="auto" w:fill="FFFFFF"/>
          <w:lang w:eastAsia="en-GB"/>
        </w:rPr>
        <w:t xml:space="preserve">Consequently, with the average weight of children, </w:t>
      </w:r>
      <w:r w:rsidR="007C3B65" w:rsidRPr="009B3747">
        <w:rPr>
          <w:rFonts w:eastAsia="Times New Roman" w:cstheme="minorHAnsi"/>
          <w:color w:val="000000"/>
          <w:shd w:val="clear" w:color="auto" w:fill="FFFFFF"/>
          <w:lang w:eastAsia="en-GB"/>
        </w:rPr>
        <w:t xml:space="preserve">adolescents and adults rising, </w:t>
      </w:r>
      <w:r w:rsidR="007C3B65" w:rsidRPr="009B3747">
        <w:rPr>
          <w:rFonts w:eastAsia="Times New Roman" w:cstheme="minorHAnsi"/>
          <w:i/>
          <w:color w:val="000000"/>
          <w:shd w:val="clear" w:color="auto" w:fill="FFFFFF"/>
          <w:lang w:eastAsia="en-GB"/>
        </w:rPr>
        <w:t>“</w:t>
      </w:r>
      <w:r w:rsidRPr="009B3747">
        <w:rPr>
          <w:rFonts w:eastAsia="Times New Roman" w:cstheme="minorHAnsi"/>
          <w:i/>
          <w:color w:val="000000"/>
          <w:shd w:val="clear" w:color="auto" w:fill="FFFFFF"/>
          <w:lang w:eastAsia="en-GB"/>
        </w:rPr>
        <w:t>so does that population’s familiarity with, and acc</w:t>
      </w:r>
      <w:r w:rsidR="007C3B65" w:rsidRPr="009B3747">
        <w:rPr>
          <w:rFonts w:eastAsia="Times New Roman" w:cstheme="minorHAnsi"/>
          <w:i/>
          <w:color w:val="000000"/>
          <w:shd w:val="clear" w:color="auto" w:fill="FFFFFF"/>
          <w:lang w:eastAsia="en-GB"/>
        </w:rPr>
        <w:t xml:space="preserve">eptance of, increased body mass” </w:t>
      </w:r>
      <w:r w:rsidR="007C3B65" w:rsidRPr="009B3747">
        <w:rPr>
          <w:rFonts w:eastAsia="Times New Roman" w:cstheme="minorHAnsi"/>
          <w:color w:val="000000"/>
          <w:shd w:val="clear" w:color="auto" w:fill="FFFFFF"/>
          <w:lang w:eastAsia="en-GB"/>
        </w:rPr>
        <w:fldChar w:fldCharType="begin" w:fldLock="1"/>
      </w:r>
      <w:r w:rsidR="007C3B65" w:rsidRPr="009B3747">
        <w:rPr>
          <w:rFonts w:eastAsia="Times New Roman" w:cstheme="minorHAnsi"/>
          <w:color w:val="000000"/>
          <w:shd w:val="clear" w:color="auto" w:fill="FFFFFF"/>
          <w:lang w:eastAsia="en-GB"/>
        </w:rPr>
        <w:instrText>ADDIN CSL_CITATION { "citationItems" : [ { "id" : "ITEM-1", "itemData" : { "DOI" : "10.2174/1876823720131001011", "ISSN" : "18768237", "author" : [ { "dropping-particle" : "", "family" : "Patterson", "given" : "Mr. Chris", "non-dropping-particle" : "", "parse-names" : false, "suffix" : "" } ], "container-title" : "The Open Obesity Journal", "id" : "ITEM-1", "issue" : "1", "issued" : { "date-parts" : [ [ "2013", "11", "13" ] ] }, "page" : "82-91", "title" : "Normalisation and Stigmatisation of Obesity in UK Newspapers: a Visual Content Analysis", "type" : "article-journal", "volume" : "5" }, "uris" : [ "http://www.mendeley.com/documents/?uuid=47e27570-c645-30a2-a30c-1781864bd6fd" ] } ], "mendeley" : { "formattedCitation" : "(Patterson, 2013)", "manualFormatting" : "(Patterson, 2013, p.82)", "plainTextFormattedCitation" : "(Patterson, 2013)", "previouslyFormattedCitation" : "(Patterson, 2013)" }, "properties" : { "noteIndex" : 0 }, "schema" : "https://github.com/citation-style-language/schema/raw/master/csl-citation.json" }</w:instrText>
      </w:r>
      <w:r w:rsidR="007C3B65" w:rsidRPr="009B3747">
        <w:rPr>
          <w:rFonts w:eastAsia="Times New Roman" w:cstheme="minorHAnsi"/>
          <w:color w:val="000000"/>
          <w:shd w:val="clear" w:color="auto" w:fill="FFFFFF"/>
          <w:lang w:eastAsia="en-GB"/>
        </w:rPr>
        <w:fldChar w:fldCharType="separate"/>
      </w:r>
      <w:r w:rsidR="007C3B65" w:rsidRPr="009B3747">
        <w:rPr>
          <w:rFonts w:eastAsia="Times New Roman" w:cstheme="minorHAnsi"/>
          <w:noProof/>
          <w:color w:val="000000"/>
          <w:shd w:val="clear" w:color="auto" w:fill="FFFFFF"/>
          <w:lang w:eastAsia="en-GB"/>
        </w:rPr>
        <w:t>(Patterson, 2013, p.82)</w:t>
      </w:r>
      <w:r w:rsidR="007C3B65" w:rsidRPr="009B3747">
        <w:rPr>
          <w:rFonts w:eastAsia="Times New Roman" w:cstheme="minorHAnsi"/>
          <w:color w:val="000000"/>
          <w:shd w:val="clear" w:color="auto" w:fill="FFFFFF"/>
          <w:lang w:eastAsia="en-GB"/>
        </w:rPr>
        <w:fldChar w:fldCharType="end"/>
      </w:r>
      <w:r w:rsidR="007C3B65" w:rsidRPr="009B3747">
        <w:rPr>
          <w:rFonts w:eastAsia="Times New Roman" w:cstheme="minorHAnsi"/>
          <w:color w:val="000000"/>
          <w:shd w:val="clear" w:color="auto" w:fill="FFFFFF"/>
          <w:lang w:eastAsia="en-GB"/>
        </w:rPr>
        <w:t>.</w:t>
      </w: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shd w:val="clear" w:color="auto" w:fill="FFFFFF"/>
          <w:lang w:eastAsia="en-GB"/>
        </w:rPr>
        <w:lastRenderedPageBreak/>
        <w:t>A further consideration for the potential underestimation of weight or the varying level of concern expressed by headteachers and chairs of governors could be linked to the complex and contested language used to define and frame obesity</w:t>
      </w:r>
      <w:r w:rsidR="007C3B65" w:rsidRPr="009B3747">
        <w:rPr>
          <w:rFonts w:eastAsia="Times New Roman" w:cstheme="minorHAnsi"/>
          <w:color w:val="000000"/>
          <w:shd w:val="clear" w:color="auto" w:fill="FFFFFF"/>
          <w:lang w:eastAsia="en-GB"/>
        </w:rPr>
        <w:t xml:space="preserve"> </w:t>
      </w:r>
      <w:r w:rsidR="007C3B65" w:rsidRPr="009B3747">
        <w:rPr>
          <w:rFonts w:eastAsia="Times New Roman" w:cstheme="minorHAnsi"/>
          <w:color w:val="000000"/>
          <w:shd w:val="clear" w:color="auto" w:fill="FFFFFF"/>
          <w:lang w:eastAsia="en-GB"/>
        </w:rPr>
        <w:fldChar w:fldCharType="begin" w:fldLock="1"/>
      </w:r>
      <w:r w:rsidR="00395650" w:rsidRPr="009B3747">
        <w:rPr>
          <w:rFonts w:eastAsia="Times New Roman" w:cstheme="minorHAnsi"/>
          <w:color w:val="000000"/>
          <w:shd w:val="clear" w:color="auto" w:fill="FFFFFF"/>
          <w:lang w:eastAsia="en-GB"/>
        </w:rPr>
        <w:instrText>ADDIN CSL_CITATION { "citationItems" : [ { "id" : "ITEM-1", "itemData" : { "author" : [ { "dropping-particle" : "", "family" : "Flegal", "given" : "KM", "non-dropping-particle" : "", "parse-names" : false, "suffix" : "" }, { "dropping-particle" : "", "family" : "Ogden", "given" : "CL", "non-dropping-particle" : "", "parse-names" : false, "suffix" : "" } ], "container-title" : "Advances in Nutrition: An International Review Journal", "id" : "ITEM-1", "issued" : { "date-parts" : [ [ "2011" ] ] }, "page" : "159S-166S", "title" : "Childhood obesity: are we all speaking the same language?", "type" : "article-journal", "volume" : "2" }, "uris" : [ "http://www.mendeley.com/documents/?uuid=3d7b9d20-bf79-40ae-b176-c31ea8e9206a" ] } ], "mendeley" : { "formattedCitation" : "(Flegal and Ogden, 2011)", "plainTextFormattedCitation" : "(Flegal and Ogden, 2011)", "previouslyFormattedCitation" : "(Flegal and Ogden, 2011)" }, "properties" : { "noteIndex" : 0 }, "schema" : "https://github.com/citation-style-language/schema/raw/master/csl-citation.json" }</w:instrText>
      </w:r>
      <w:r w:rsidR="007C3B65" w:rsidRPr="009B3747">
        <w:rPr>
          <w:rFonts w:eastAsia="Times New Roman" w:cstheme="minorHAnsi"/>
          <w:color w:val="000000"/>
          <w:shd w:val="clear" w:color="auto" w:fill="FFFFFF"/>
          <w:lang w:eastAsia="en-GB"/>
        </w:rPr>
        <w:fldChar w:fldCharType="separate"/>
      </w:r>
      <w:r w:rsidR="007C3B65" w:rsidRPr="009B3747">
        <w:rPr>
          <w:rFonts w:eastAsia="Times New Roman" w:cstheme="minorHAnsi"/>
          <w:noProof/>
          <w:color w:val="000000"/>
          <w:shd w:val="clear" w:color="auto" w:fill="FFFFFF"/>
          <w:lang w:eastAsia="en-GB"/>
        </w:rPr>
        <w:t>(Flegal and Ogden, 2011)</w:t>
      </w:r>
      <w:r w:rsidR="007C3B65" w:rsidRPr="009B3747">
        <w:rPr>
          <w:rFonts w:eastAsia="Times New Roman" w:cstheme="minorHAnsi"/>
          <w:color w:val="000000"/>
          <w:shd w:val="clear" w:color="auto" w:fill="FFFFFF"/>
          <w:lang w:eastAsia="en-GB"/>
        </w:rPr>
        <w:fldChar w:fldCharType="end"/>
      </w:r>
      <w:r w:rsidRPr="009B3747">
        <w:rPr>
          <w:rFonts w:eastAsia="Times New Roman" w:cstheme="minorHAnsi"/>
          <w:color w:val="000000"/>
          <w:shd w:val="clear" w:color="auto" w:fill="FFFFFF"/>
          <w:lang w:eastAsia="en-GB"/>
        </w:rPr>
        <w:t>.  As discussed in the review of the literature, the terminology and definitions used to describe obesity in childhood varies.  Furthermore, it has been argued that there has been an increasing medicalisation of the terms used to depict obesity both in the mainstream media and public health settings</w:t>
      </w:r>
      <w:r w:rsidR="00FE4B4E" w:rsidRPr="009B3747">
        <w:rPr>
          <w:rFonts w:eastAsia="Times New Roman" w:cstheme="minorHAnsi"/>
          <w:color w:val="000000"/>
          <w:shd w:val="clear" w:color="auto" w:fill="FFFFFF"/>
          <w:lang w:eastAsia="en-GB"/>
        </w:rPr>
        <w:t xml:space="preserve"> </w:t>
      </w:r>
      <w:r w:rsidR="00FE4B4E" w:rsidRPr="009B3747">
        <w:rPr>
          <w:rFonts w:eastAsia="Times New Roman" w:cstheme="minorHAnsi"/>
          <w:color w:val="000000"/>
          <w:shd w:val="clear" w:color="auto" w:fill="FFFFFF"/>
          <w:lang w:eastAsia="en-GB"/>
        </w:rPr>
        <w:fldChar w:fldCharType="begin" w:fldLock="1"/>
      </w:r>
      <w:r w:rsidR="00FE4B4E" w:rsidRPr="009B3747">
        <w:rPr>
          <w:rFonts w:eastAsia="Times New Roman" w:cstheme="minorHAnsi"/>
          <w:color w:val="000000"/>
          <w:shd w:val="clear" w:color="auto" w:fill="FFFFFF"/>
          <w:lang w:eastAsia="en-GB"/>
        </w:rPr>
        <w:instrText>ADDIN CSL_CITATION { "citationItems" : [ { "id" : "ITEM-1", "itemData" : { "DOI" : "10.1111/1467-9566.00289", "ISSN" : "0141-9889", "author" : [ { "dropping-particle" : "", "family" : "Chang", "given" : "Virginia W.", "non-dropping-particle" : "", "parse-names" : false, "suffix" : "" }, { "dropping-particle" : "", "family" : "Christakis", "given" : "Nicholas A.", "non-dropping-particle" : "", "parse-names" : false, "suffix" : "" } ], "container-title" : "Sociology of Health &amp;amp; Illness", "id" : "ITEM-1", "issue" : "2", "issued" : { "date-parts" : [ [ "2002", "3", "1" ] ] }, "page" : "151-177", "publisher" : "Blackwell Science Ltd", "title" : "Medical modelling of obesity: a transition from action to experience in a 20th century American medical textbook", "type" : "article-journal", "volume" : "24" }, "uris" : [ "http://www.mendeley.com/documents/?uuid=b85d3572-2688-300b-a876-bebcf53cf151" ] }, { "id" : "ITEM-2", "itemData" : { "ISSN" : "1353-3452", "PMID" : "17703609", "abstract" : "Obesity is increasingly becoming a problem for Western societies, to the extent that politicians, scientists, patient organisations and the media now refer to it as 'the obesity epidemic'. Concerns about the damaging effect of increasing body weight on public health has led to a strong growth in the amount of scientific work on the condition, with the medical professions leading the way. This article discusses that, first of all, scientific evidence for obesity-associated mortality is at best ambiguous, and proposes that at least some of contemporary medical preoccupation with obesity has a moral origin in that it seeks to correct unwanted or immoral behaviour. It then continues to reflect on the effect of the conceptual transformation of healthy children into patients, and concludes with some reflections on the ethical implications of the obesity disease for the wellbeing of children.", "author" : [ { "dropping-particle" : "", "family" : "Vries", "given" : "Jantina", "non-dropping-particle" : "de", "parse-names" : false, "suffix" : "" } ], "container-title" : "Science and engineering ethics", "id" : "ITEM-2", "issue" : "1", "issued" : { "date-parts" : [ [ "2007", "3" ] ] }, "page" : "55-67", "title" : "The obesity epidemic: medical and ethical considerations.", "type" : "article-journal", "volume" : "13" }, "uris" : [ "http://www.mendeley.com/documents/?uuid=a76536f5-9e7e-31fb-9441-93adea90f423" ] }, { "id" : "ITEM-3", "itemData" : { "DOI" : "10.1111/j.1548-1387.2010.01082.x", "ISSN" : "07455194", "author" : [ { "dropping-particle" : "", "family" : "Moffat", "given" : "Tina", "non-dropping-particle" : "", "parse-names" : false, "suffix" : "" } ], "container-title" : "Medical Anthropology Quarterly", "id" : "ITEM-3", "issue" : "1", "issued" : { "date-parts" : [ [ "2010", "3", "1" ] ] }, "page" : "1-21", "publisher" : "Blackwell Publishing Inc", "title" : "The \u201cChildhood Obesity Epidemic\u201d:", "type" : "article-journal", "volume" : "24" }, "uris" : [ "http://www.mendeley.com/documents/?uuid=d428d627-7537-30cd-98ce-4364433a250a" ] } ], "mendeley" : { "formattedCitation" : "(Chang and Christakis, 2002; de Vries, 2007; Moffat, 2010)", "plainTextFormattedCitation" : "(Chang and Christakis, 2002; de Vries, 2007; Moffat, 2010)", "previouslyFormattedCitation" : "(Chang and Christakis, 2002; de Vries, 2007; Moffat, 2010)" }, "properties" : { "noteIndex" : 0 }, "schema" : "https://github.com/citation-style-language/schema/raw/master/csl-citation.json" }</w:instrText>
      </w:r>
      <w:r w:rsidR="00FE4B4E" w:rsidRPr="009B3747">
        <w:rPr>
          <w:rFonts w:eastAsia="Times New Roman" w:cstheme="minorHAnsi"/>
          <w:color w:val="000000"/>
          <w:shd w:val="clear" w:color="auto" w:fill="FFFFFF"/>
          <w:lang w:eastAsia="en-GB"/>
        </w:rPr>
        <w:fldChar w:fldCharType="separate"/>
      </w:r>
      <w:r w:rsidR="00FE4B4E" w:rsidRPr="009B3747">
        <w:rPr>
          <w:rFonts w:eastAsia="Times New Roman" w:cstheme="minorHAnsi"/>
          <w:noProof/>
          <w:color w:val="000000"/>
          <w:shd w:val="clear" w:color="auto" w:fill="FFFFFF"/>
          <w:lang w:eastAsia="en-GB"/>
        </w:rPr>
        <w:t>(Chang and Christakis, 2002; de Vries, 2007; Moffat, 2010)</w:t>
      </w:r>
      <w:r w:rsidR="00FE4B4E" w:rsidRPr="009B3747">
        <w:rPr>
          <w:rFonts w:eastAsia="Times New Roman" w:cstheme="minorHAnsi"/>
          <w:color w:val="000000"/>
          <w:shd w:val="clear" w:color="auto" w:fill="FFFFFF"/>
          <w:lang w:eastAsia="en-GB"/>
        </w:rPr>
        <w:fldChar w:fldCharType="end"/>
      </w:r>
      <w:r w:rsidR="00FE4B4E" w:rsidRPr="009B3747">
        <w:rPr>
          <w:rFonts w:eastAsia="Times New Roman" w:cstheme="minorHAnsi"/>
          <w:color w:val="000000"/>
          <w:shd w:val="clear" w:color="auto" w:fill="FFFFFF"/>
          <w:lang w:eastAsia="en-GB"/>
        </w:rPr>
        <w:t xml:space="preserve">.  </w:t>
      </w:r>
      <w:r w:rsidRPr="009B3747">
        <w:rPr>
          <w:rFonts w:eastAsia="Times New Roman" w:cstheme="minorHAnsi"/>
          <w:color w:val="000000"/>
          <w:shd w:val="clear" w:color="auto" w:fill="FFFFFF"/>
          <w:lang w:eastAsia="en-GB"/>
        </w:rPr>
        <w:t xml:space="preserve">Consequently, when presented with questions regarding concern for or prevalence of excess weight, participants may have only reflected upon on the numbers of adolescents who present extreme obesity or who have been medically diagnosed </w:t>
      </w:r>
      <w:r w:rsidR="00FE4B4E" w:rsidRPr="009B3747">
        <w:rPr>
          <w:rFonts w:eastAsia="Times New Roman" w:cstheme="minorHAnsi"/>
          <w:color w:val="000000"/>
          <w:shd w:val="clear" w:color="auto" w:fill="FFFFFF"/>
          <w:lang w:eastAsia="en-GB"/>
        </w:rPr>
        <w:fldChar w:fldCharType="begin" w:fldLock="1"/>
      </w:r>
      <w:r w:rsidR="00395650" w:rsidRPr="009B3747">
        <w:rPr>
          <w:rFonts w:eastAsia="Times New Roman" w:cstheme="minorHAnsi"/>
          <w:color w:val="000000"/>
          <w:shd w:val="clear" w:color="auto" w:fill="FFFFFF"/>
          <w:lang w:eastAsia="en-GB"/>
        </w:rPr>
        <w:instrText>ADDIN CSL_CITATION { "citationItems" : [ { "id" : "ITEM-1", "itemData" : { "DOI" : "10.1377/hlthaff.2009.0736", "ISSN" : "1544-5208", "PMID" : "20194977", "abstract" : "Overcoming the childhood obesity epidemic will require changes on the scale of a social movement similar to the shift in attitudes and regulations toward smoking and tobacco. Tobacco control became a successful public health movement because of shifts in social norms and because cigarette companies came to be perceived by many as a common enemy. In contrast, obesity advocates have not identified a common threat or mobilized grass-roots change, nor have they identified strategies that resonate across diverse settings and constituencies. Framing obesity as a common threat can lead to consensus regarding the interventions needed to achieve healthier children and communities.", "author" : [ { "dropping-particle" : "", "family" : "Klein", "given" : "Jonathan D", "non-dropping-particle" : "", "parse-names" : false, "suffix" : "" }, { "dropping-particle" : "", "family" : "Dietz", "given" : "William", "non-dropping-particle" : "", "parse-names" : false, "suffix" : "" } ], "container-title" : "Health affairs (Project Hope)", "id" : "ITEM-1", "issue" : "3", "issued" : { "date-parts" : [ [ "2010", "3", "1" ] ] }, "page" : "388-92", "publisher" : "Project HOPE - The People-to-People Health Foundation, Inc.", "title" : "Childhood obesity: the new tobacco.", "type" : "article-journal", "volume" : "29" }, "uris" : [ "http://www.mendeley.com/documents/?uuid=9770c20b-0f71-37e0-b7a3-69b50f480c5a" ] } ], "mendeley" : { "formattedCitation" : "(Klein and Dietz, 2010)", "plainTextFormattedCitation" : "(Klein and Dietz, 2010)", "previouslyFormattedCitation" : "(Klein and Dietz, 2010)" }, "properties" : { "noteIndex" : 0 }, "schema" : "https://github.com/citation-style-language/schema/raw/master/csl-citation.json" }</w:instrText>
      </w:r>
      <w:r w:rsidR="00FE4B4E" w:rsidRPr="009B3747">
        <w:rPr>
          <w:rFonts w:eastAsia="Times New Roman" w:cstheme="minorHAnsi"/>
          <w:color w:val="000000"/>
          <w:shd w:val="clear" w:color="auto" w:fill="FFFFFF"/>
          <w:lang w:eastAsia="en-GB"/>
        </w:rPr>
        <w:fldChar w:fldCharType="separate"/>
      </w:r>
      <w:r w:rsidR="00FE4B4E" w:rsidRPr="009B3747">
        <w:rPr>
          <w:rFonts w:eastAsia="Times New Roman" w:cstheme="minorHAnsi"/>
          <w:noProof/>
          <w:color w:val="000000"/>
          <w:shd w:val="clear" w:color="auto" w:fill="FFFFFF"/>
          <w:lang w:eastAsia="en-GB"/>
        </w:rPr>
        <w:t>(Klein and Dietz, 2010)</w:t>
      </w:r>
      <w:r w:rsidR="00FE4B4E" w:rsidRPr="009B3747">
        <w:rPr>
          <w:rFonts w:eastAsia="Times New Roman" w:cstheme="minorHAnsi"/>
          <w:color w:val="000000"/>
          <w:shd w:val="clear" w:color="auto" w:fill="FFFFFF"/>
          <w:lang w:eastAsia="en-GB"/>
        </w:rPr>
        <w:fldChar w:fldCharType="end"/>
      </w:r>
      <w:r w:rsidR="00E0284E" w:rsidRPr="009B3747">
        <w:rPr>
          <w:rFonts w:eastAsia="Times New Roman" w:cstheme="minorHAnsi"/>
          <w:color w:val="000000"/>
          <w:shd w:val="clear" w:color="auto" w:fill="FFFFFF"/>
          <w:lang w:eastAsia="en-GB"/>
        </w:rPr>
        <w:t>.</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color w:val="000000"/>
          <w:lang w:eastAsia="en-GB"/>
        </w:rPr>
      </w:pPr>
      <w:r w:rsidRPr="009B3747">
        <w:rPr>
          <w:rFonts w:eastAsia="Times New Roman" w:cstheme="minorHAnsi"/>
          <w:color w:val="000000"/>
          <w:shd w:val="clear" w:color="auto" w:fill="FFFFFF"/>
          <w:lang w:eastAsia="en-GB"/>
        </w:rPr>
        <w:t>For specialists and policy makers in public health, the finding that secondary school headteachers and chairs of governors may underestimate the prevalence of adolescent obesity or may not deem the issue as a concern</w:t>
      </w:r>
      <w:r w:rsidR="00E415F9">
        <w:rPr>
          <w:rFonts w:eastAsia="Times New Roman" w:cstheme="minorHAnsi"/>
          <w:color w:val="000000"/>
          <w:shd w:val="clear" w:color="auto" w:fill="FFFFFF"/>
          <w:lang w:eastAsia="en-GB"/>
        </w:rPr>
        <w:t>,</w:t>
      </w:r>
      <w:r w:rsidRPr="009B3747">
        <w:rPr>
          <w:rFonts w:eastAsia="Times New Roman" w:cstheme="minorHAnsi"/>
          <w:color w:val="000000"/>
          <w:shd w:val="clear" w:color="auto" w:fill="FFFFFF"/>
          <w:lang w:eastAsia="en-GB"/>
        </w:rPr>
        <w:t xml:space="preserve"> is of potential significance.  It could reasonably be suggested</w:t>
      </w:r>
      <w:r w:rsidR="00E415F9">
        <w:rPr>
          <w:rFonts w:eastAsia="Times New Roman" w:cstheme="minorHAnsi"/>
          <w:color w:val="000000"/>
          <w:shd w:val="clear" w:color="auto" w:fill="FFFFFF"/>
          <w:lang w:eastAsia="en-GB"/>
        </w:rPr>
        <w:t>,</w:t>
      </w:r>
      <w:r w:rsidRPr="009B3747">
        <w:rPr>
          <w:rFonts w:eastAsia="Times New Roman" w:cstheme="minorHAnsi"/>
          <w:color w:val="000000"/>
          <w:shd w:val="clear" w:color="auto" w:fill="FFFFFF"/>
          <w:lang w:eastAsia="en-GB"/>
        </w:rPr>
        <w:t xml:space="preserve"> that without the awareness or knowledge about the actual scale and severity of the problem in their setting, it is unlikely headteachers and chairs of governors will implement a proportionate response and as per the guidelines issued by NICE</w:t>
      </w:r>
      <w:r w:rsidR="00FE4B4E" w:rsidRPr="009B3747">
        <w:rPr>
          <w:rFonts w:eastAsia="Times New Roman" w:cstheme="minorHAnsi"/>
          <w:color w:val="000000"/>
          <w:shd w:val="clear" w:color="auto" w:fill="FFFFFF"/>
          <w:lang w:eastAsia="en-GB"/>
        </w:rPr>
        <w:t xml:space="preserve"> </w:t>
      </w:r>
      <w:r w:rsidR="00FE4B4E" w:rsidRPr="009B3747">
        <w:rPr>
          <w:rFonts w:eastAsia="Times New Roman" w:cstheme="minorHAnsi"/>
          <w:color w:val="000000"/>
          <w:shd w:val="clear" w:color="auto" w:fill="FFFFFF"/>
          <w:lang w:eastAsia="en-GB"/>
        </w:rPr>
        <w:fldChar w:fldCharType="begin" w:fldLock="1"/>
      </w:r>
      <w:r w:rsidR="00395650" w:rsidRPr="009B3747">
        <w:rPr>
          <w:rFonts w:eastAsia="Times New Roman" w:cstheme="minorHAnsi"/>
          <w:color w:val="000000"/>
          <w:shd w:val="clear" w:color="auto" w:fill="FFFFFF"/>
          <w:lang w:eastAsia="en-GB"/>
        </w:rPr>
        <w:instrText>ADDIN CSL_CITATION { "citationItems" : [ { "id" : "ITEM-1", "itemData" : { "author" : [ { "dropping-particle" : "", "family" : "National Institute of Health and Care Excellence", "given" : "", "non-dropping-particle" : "", "parse-names" : false, "suffix" : "" } ], "id" : "ITEM-1", "issued" : { "date-parts" : [ [ "2015" ] ] }, "publisher-place" : "London", "title" : "NICE Pathway - Preventing Obesity", "type" : "report" }, "uris" : [ "http://www.mendeley.com/documents/?uuid=b4b27288-9afd-4746-a8da-bc42a8085260" ] } ], "mendeley" : { "formattedCitation" : "(National Institute of Health and Care Excellence, 2015a)", "plainTextFormattedCitation" : "(National Institute of Health and Care Excellence, 2015a)", "previouslyFormattedCitation" : "(National Institute of Health and Care Excellence, 2015a)" }, "properties" : { "noteIndex" : 0 }, "schema" : "https://github.com/citation-style-language/schema/raw/master/csl-citation.json" }</w:instrText>
      </w:r>
      <w:r w:rsidR="00FE4B4E" w:rsidRPr="009B3747">
        <w:rPr>
          <w:rFonts w:eastAsia="Times New Roman" w:cstheme="minorHAnsi"/>
          <w:color w:val="000000"/>
          <w:shd w:val="clear" w:color="auto" w:fill="FFFFFF"/>
          <w:lang w:eastAsia="en-GB"/>
        </w:rPr>
        <w:fldChar w:fldCharType="separate"/>
      </w:r>
      <w:r w:rsidR="00FE4B4E" w:rsidRPr="009B3747">
        <w:rPr>
          <w:rFonts w:eastAsia="Times New Roman" w:cstheme="minorHAnsi"/>
          <w:noProof/>
          <w:color w:val="000000"/>
          <w:shd w:val="clear" w:color="auto" w:fill="FFFFFF"/>
          <w:lang w:eastAsia="en-GB"/>
        </w:rPr>
        <w:t>(National Institute of Health and Care Excellence, 2015a)</w:t>
      </w:r>
      <w:r w:rsidR="00FE4B4E" w:rsidRPr="009B3747">
        <w:rPr>
          <w:rFonts w:eastAsia="Times New Roman" w:cstheme="minorHAnsi"/>
          <w:color w:val="000000"/>
          <w:shd w:val="clear" w:color="auto" w:fill="FFFFFF"/>
          <w:lang w:eastAsia="en-GB"/>
        </w:rPr>
        <w:fldChar w:fldCharType="end"/>
      </w:r>
      <w:r w:rsidR="00FE4B4E" w:rsidRPr="009B3747">
        <w:rPr>
          <w:rFonts w:eastAsia="Times New Roman" w:cstheme="minorHAnsi"/>
          <w:color w:val="000000"/>
          <w:shd w:val="clear" w:color="auto" w:fill="FFFFFF"/>
          <w:lang w:eastAsia="en-GB"/>
        </w:rPr>
        <w:t>.  C</w:t>
      </w:r>
      <w:r w:rsidRPr="009B3747">
        <w:rPr>
          <w:rFonts w:eastAsia="Times New Roman" w:cstheme="minorHAnsi"/>
          <w:color w:val="000000"/>
          <w:shd w:val="clear" w:color="auto" w:fill="FFFFFF"/>
          <w:lang w:eastAsia="en-GB"/>
        </w:rPr>
        <w:t>onsequently, this finding may indicate that a need exists for public health professionals to increase the awareness amongst headteachers and chairs of governors regarding adolescent obesity in terms of reporting objective measures of prevalence and associated risks.  </w:t>
      </w:r>
      <w:r w:rsidRPr="009B3747">
        <w:rPr>
          <w:rFonts w:eastAsia="Times New Roman" w:cstheme="minorHAnsi"/>
          <w:color w:val="000000"/>
          <w:lang w:eastAsia="en-GB"/>
        </w:rPr>
        <w:t>Whilst this might not shift the visual perception of obesity, it could foster greater advocacy and engagement from the key decision makers</w:t>
      </w:r>
      <w:r w:rsidR="00E415F9">
        <w:rPr>
          <w:rFonts w:eastAsia="Times New Roman" w:cstheme="minorHAnsi"/>
          <w:color w:val="000000"/>
          <w:lang w:eastAsia="en-GB"/>
        </w:rPr>
        <w:t>,</w:t>
      </w:r>
      <w:r w:rsidRPr="009B3747">
        <w:rPr>
          <w:rFonts w:eastAsia="Times New Roman" w:cstheme="minorHAnsi"/>
          <w:color w:val="000000"/>
          <w:lang w:eastAsia="en-GB"/>
        </w:rPr>
        <w:t xml:space="preserve"> who are able to determine the implementation of preventative action</w:t>
      </w:r>
      <w:r w:rsidR="00FE4B4E" w:rsidRPr="009B3747">
        <w:rPr>
          <w:rFonts w:eastAsia="Times New Roman" w:cstheme="minorHAnsi"/>
          <w:color w:val="000000"/>
          <w:lang w:eastAsia="en-GB"/>
        </w:rPr>
        <w:t xml:space="preserve"> </w:t>
      </w:r>
      <w:r w:rsidR="00FE4B4E" w:rsidRPr="009B3747">
        <w:rPr>
          <w:rFonts w:eastAsia="Times New Roman" w:cstheme="minorHAnsi"/>
          <w:color w:val="000000"/>
          <w:lang w:eastAsia="en-GB"/>
        </w:rPr>
        <w:fldChar w:fldCharType="begin" w:fldLock="1"/>
      </w:r>
      <w:r w:rsidR="00FE4B4E" w:rsidRPr="009B3747">
        <w:rPr>
          <w:rFonts w:eastAsia="Times New Roman" w:cstheme="minorHAnsi"/>
          <w:color w:val="000000"/>
          <w:lang w:eastAsia="en-GB"/>
        </w:rPr>
        <w:instrText>ADDIN CSL_CITATION { "citationItems" : [ { "id" : "ITEM-1", "itemData" : { "DOI" : "10.3109/17477160902763333", "ISSN" : "1747-7166", "author" : [ { "dropping-particle" : "", "family" : "Pagnini", "given" : "Deanna", "non-dropping-particle" : "", "parse-names" : false, "suffix" : "" }, { "dropping-particle" : "", "family" : "King", "given" : "Lesley", "non-dropping-particle" : "", "parse-names" : false, "suffix" : "" }, { "dropping-particle" : "", "family" : "Booth", "given" : "Sue", "non-dropping-particle" : "", "parse-names" : false, "suffix" : "" }, { "dropping-particle" : "", "family" : "Wilkenfeld", "given" : "Rachel", "non-dropping-particle" : "", "parse-names" : false, "suffix" : "" }, { "dropping-particle" : "", "family" : "Booth", "given" : "Michael", "non-dropping-particle" : "", "parse-names" : false, "suffix" : "" } ], "container-title" : "International Journal of Pediatric Obesity", "id" : "ITEM-1", "issue" : "4", "issued" : { "date-parts" : [ [ "2009", "1" ] ] }, "page" : "233-241", "title" : "The weight of opinion on childhood obesity: recognizing complexity and supporting collaborative action", "type" : "article-journal", "volume" : "4" }, "uris" : [ "http://www.mendeley.com/documents/?uuid=110efef0-6974-38f3-8140-aafbefb23fd8" ] }, { "id" : "ITEM-2", "itemData" : { "DOI" : "10.1016/j.appet.2014.12.121", "ISSN" : "01956663", "author" : [ { "dropping-particle" : "", "family" : "Clarke", "given" : "J.", "non-dropping-particle" : "", "parse-names" : false, "suffix" : "" }, { "dropping-particle" : "", "family" : "Lancashire", "given" : "E.", "non-dropping-particle" : "", "parse-names" : false, "suffix" : "" }, { "dropping-particle" : "", "family" : "Pallan", "given" : "M.", "non-dropping-particle" : "", "parse-names" : false, "suffix" : "" }, { "dropping-particle" : "", "family" : "Adab", "given" : "P.", "non-dropping-particle" : "", "parse-names" : false, "suffix" : "" } ], "container-title" : "Appetite", "id" : "ITEM-2", "issued" : { "date-parts" : [ [ "2015", "4" ] ] }, "page" : "377", "title" : "Headteacher perspectives on the role of the primary school in preventing childhood obesity", "type" : "article-journal", "volume" : "87" }, "uris" : [ "http://www.mendeley.com/documents/?uuid=ac79f162-74f2-49d2-a629-f4abdfb486ea" ] } ], "mendeley" : { "formattedCitation" : "(Pagnini et al., 2009; Clarke et al., 2015)", "plainTextFormattedCitation" : "(Pagnini et al., 2009; Clarke et al., 2015)", "previouslyFormattedCitation" : "(Pagnini et al., 2009; Clarke et al., 2015)" }, "properties" : { "noteIndex" : 0 }, "schema" : "https://github.com/citation-style-language/schema/raw/master/csl-citation.json" }</w:instrText>
      </w:r>
      <w:r w:rsidR="00FE4B4E" w:rsidRPr="009B3747">
        <w:rPr>
          <w:rFonts w:eastAsia="Times New Roman" w:cstheme="minorHAnsi"/>
          <w:color w:val="000000"/>
          <w:lang w:eastAsia="en-GB"/>
        </w:rPr>
        <w:fldChar w:fldCharType="separate"/>
      </w:r>
      <w:r w:rsidR="00FE4B4E" w:rsidRPr="009B3747">
        <w:rPr>
          <w:rFonts w:eastAsia="Times New Roman" w:cstheme="minorHAnsi"/>
          <w:noProof/>
          <w:color w:val="000000"/>
          <w:lang w:eastAsia="en-GB"/>
        </w:rPr>
        <w:t>(Pagnini et al., 2009; Clarke et al., 2015)</w:t>
      </w:r>
      <w:r w:rsidR="00FE4B4E" w:rsidRPr="009B3747">
        <w:rPr>
          <w:rFonts w:eastAsia="Times New Roman" w:cstheme="minorHAnsi"/>
          <w:color w:val="000000"/>
          <w:lang w:eastAsia="en-GB"/>
        </w:rPr>
        <w:fldChar w:fldCharType="end"/>
      </w:r>
      <w:r w:rsidR="00FE4B4E" w:rsidRPr="009B3747">
        <w:rPr>
          <w:rFonts w:eastAsia="Times New Roman" w:cstheme="minorHAnsi"/>
          <w:color w:val="000000"/>
          <w:lang w:eastAsia="en-GB"/>
        </w:rPr>
        <w:t>.</w:t>
      </w:r>
    </w:p>
    <w:p w:rsidR="00F20748" w:rsidRPr="009B3747" w:rsidRDefault="00F20748" w:rsidP="00AC3B26">
      <w:pPr>
        <w:rPr>
          <w:rFonts w:eastAsia="Times New Roman" w:cstheme="minorHAnsi"/>
          <w:sz w:val="24"/>
          <w:szCs w:val="24"/>
          <w:lang w:eastAsia="en-GB"/>
        </w:rPr>
      </w:pPr>
    </w:p>
    <w:p w:rsidR="00E415F9" w:rsidRDefault="00AC3B26" w:rsidP="00AC3B26">
      <w:pPr>
        <w:rPr>
          <w:rFonts w:eastAsia="Times New Roman" w:cstheme="minorHAnsi"/>
          <w:sz w:val="24"/>
          <w:szCs w:val="24"/>
          <w:lang w:eastAsia="en-GB"/>
        </w:rPr>
      </w:pPr>
      <w:r w:rsidRPr="009B3747">
        <w:rPr>
          <w:rFonts w:eastAsia="Times New Roman" w:cstheme="minorHAnsi"/>
          <w:color w:val="000000"/>
          <w:shd w:val="clear" w:color="auto" w:fill="FFFFFF"/>
          <w:lang w:eastAsia="en-GB"/>
        </w:rPr>
        <w:t>Although adolescent obesity was broadly speaking not perceived to be a substantial problem in secondary schools, this study found that headteachers and chairs of governors are seriously concerned about unhealthy dietary habits and sedentary behaviour amongst their pupil population.  This consistent finding strongly evidenced in the qualitative phase, was supported by results in the quantitative phase, where participants reported greater concern regarding poor dietary habits (85.8%) and sedentary behaviour (71.6%) than excess weight (52%).  Concerns referenced were predominantly highlighted by headteachers, associated mainly with pupils from state-funded schools and related to behaviours outside of the school setting.  The general consensus was that pupils consume too much unhealthy foods and drinks, spend too long being sedentary and do not do enough physical activity.  </w:t>
      </w: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shd w:val="clear" w:color="auto" w:fill="FFFFFF"/>
          <w:lang w:eastAsia="en-GB"/>
        </w:rPr>
        <w:lastRenderedPageBreak/>
        <w:t>Similar concerns regarding dietary behaviours of children were reported by headteachers and teachers in the USA (Tripp and Choi, 2014), although the lack of supporting data and the context specific nature of the study means it is not possible to confirm the relevance of these findings for this research.  Despite this, the identification from this study that headteachers and chairs of governors are concerned about the food habits of secondary school pupils</w:t>
      </w:r>
      <w:r w:rsidR="00E415F9">
        <w:rPr>
          <w:rFonts w:eastAsia="Times New Roman" w:cstheme="minorHAnsi"/>
          <w:color w:val="000000"/>
          <w:shd w:val="clear" w:color="auto" w:fill="FFFFFF"/>
          <w:lang w:eastAsia="en-GB"/>
        </w:rPr>
        <w:t>,</w:t>
      </w:r>
      <w:r w:rsidRPr="009B3747">
        <w:rPr>
          <w:rFonts w:eastAsia="Times New Roman" w:cstheme="minorHAnsi"/>
          <w:color w:val="000000"/>
          <w:shd w:val="clear" w:color="auto" w:fill="FFFFFF"/>
          <w:lang w:eastAsia="en-GB"/>
        </w:rPr>
        <w:t xml:space="preserve"> is perhaps unsurprising given results from the national survey on diet and nutrition</w:t>
      </w:r>
      <w:r w:rsidR="00FE4B4E" w:rsidRPr="009B3747">
        <w:rPr>
          <w:rFonts w:eastAsia="Times New Roman" w:cstheme="minorHAnsi"/>
          <w:color w:val="000000"/>
          <w:shd w:val="clear" w:color="auto" w:fill="FFFFFF"/>
          <w:lang w:eastAsia="en-GB"/>
        </w:rPr>
        <w:t xml:space="preserve"> </w:t>
      </w:r>
      <w:r w:rsidR="00FE4B4E" w:rsidRPr="009B3747">
        <w:rPr>
          <w:rFonts w:eastAsia="Times New Roman" w:cstheme="minorHAnsi"/>
          <w:color w:val="000000"/>
          <w:shd w:val="clear" w:color="auto" w:fill="FFFFFF"/>
          <w:lang w:eastAsia="en-GB"/>
        </w:rPr>
        <w:fldChar w:fldCharType="begin" w:fldLock="1"/>
      </w:r>
      <w:r w:rsidR="009C2ECF" w:rsidRPr="009B3747">
        <w:rPr>
          <w:rFonts w:eastAsia="Times New Roman" w:cstheme="minorHAnsi"/>
          <w:color w:val="000000"/>
          <w:shd w:val="clear" w:color="auto" w:fill="FFFFFF"/>
          <w:lang w:eastAsia="en-GB"/>
        </w:rPr>
        <w:instrText>ADDIN CSL_CITATION { "citationItems" : [ { "id" : "ITEM-1", "itemData" : { "author" : [ { "dropping-particle" : "", "family" : "Public Health England", "given" : "", "non-dropping-particle" : "", "parse-names" : false, "suffix" : "" } ], "id" : "ITEM-1", "issued" : { "date-parts" : [ [ "2016" ] ] }, "publisher-place" : "London", "title" : "National Diet and Nutrition Survey Results from Years 5 and 6 (combined) of the Rolling Programme (2012/2013 \u2013 2013/2014)", "type" : "report" }, "uris" : [ "http://www.mendeley.com/documents/?uuid=82f714ce-b30a-4605-9043-b2d265dfdf19" ] } ], "mendeley" : { "formattedCitation" : "(Public Health England, 2016a)", "plainTextFormattedCitation" : "(Public Health England, 2016a)", "previouslyFormattedCitation" : "(Public Health England, 2016a)" }, "properties" : { "noteIndex" : 0 }, "schema" : "https://github.com/citation-style-language/schema/raw/master/csl-citation.json" }</w:instrText>
      </w:r>
      <w:r w:rsidR="00FE4B4E" w:rsidRPr="009B3747">
        <w:rPr>
          <w:rFonts w:eastAsia="Times New Roman" w:cstheme="minorHAnsi"/>
          <w:color w:val="000000"/>
          <w:shd w:val="clear" w:color="auto" w:fill="FFFFFF"/>
          <w:lang w:eastAsia="en-GB"/>
        </w:rPr>
        <w:fldChar w:fldCharType="separate"/>
      </w:r>
      <w:r w:rsidR="00FE4B4E" w:rsidRPr="009B3747">
        <w:rPr>
          <w:rFonts w:eastAsia="Times New Roman" w:cstheme="minorHAnsi"/>
          <w:noProof/>
          <w:color w:val="000000"/>
          <w:shd w:val="clear" w:color="auto" w:fill="FFFFFF"/>
          <w:lang w:eastAsia="en-GB"/>
        </w:rPr>
        <w:t>(Public Health England, 2016a)</w:t>
      </w:r>
      <w:r w:rsidR="00FE4B4E" w:rsidRPr="009B3747">
        <w:rPr>
          <w:rFonts w:eastAsia="Times New Roman" w:cstheme="minorHAnsi"/>
          <w:color w:val="000000"/>
          <w:shd w:val="clear" w:color="auto" w:fill="FFFFFF"/>
          <w:lang w:eastAsia="en-GB"/>
        </w:rPr>
        <w:fldChar w:fldCharType="end"/>
      </w:r>
      <w:r w:rsidR="00C01FE7" w:rsidRPr="009B3747">
        <w:rPr>
          <w:rFonts w:eastAsia="Times New Roman" w:cstheme="minorHAnsi"/>
          <w:color w:val="000000"/>
          <w:shd w:val="clear" w:color="auto" w:fill="FFFFFF"/>
          <w:lang w:eastAsia="en-GB"/>
        </w:rPr>
        <w:t xml:space="preserve">.  </w:t>
      </w:r>
      <w:r w:rsidRPr="009B3747">
        <w:rPr>
          <w:rFonts w:eastAsia="Times New Roman" w:cstheme="minorHAnsi"/>
          <w:color w:val="000000"/>
          <w:shd w:val="clear" w:color="auto" w:fill="FFFFFF"/>
          <w:lang w:eastAsia="en-GB"/>
        </w:rPr>
        <w:t>Headteachers</w:t>
      </w:r>
      <w:r w:rsidR="00DB655F" w:rsidRPr="009B3747">
        <w:rPr>
          <w:rFonts w:eastAsia="Times New Roman" w:cstheme="minorHAnsi"/>
          <w:color w:val="000000"/>
          <w:shd w:val="clear" w:color="auto" w:fill="FFFFFF"/>
          <w:lang w:eastAsia="en-GB"/>
        </w:rPr>
        <w:t>’</w:t>
      </w:r>
      <w:r w:rsidRPr="009B3747">
        <w:rPr>
          <w:rFonts w:eastAsia="Times New Roman" w:cstheme="minorHAnsi"/>
          <w:color w:val="000000"/>
          <w:shd w:val="clear" w:color="auto" w:fill="FFFFFF"/>
          <w:lang w:eastAsia="en-GB"/>
        </w:rPr>
        <w:t xml:space="preserve"> and chairs of governors</w:t>
      </w:r>
      <w:r w:rsidR="00DB655F" w:rsidRPr="009B3747">
        <w:rPr>
          <w:rFonts w:eastAsia="Times New Roman" w:cstheme="minorHAnsi"/>
          <w:color w:val="000000"/>
          <w:shd w:val="clear" w:color="auto" w:fill="FFFFFF"/>
          <w:lang w:eastAsia="en-GB"/>
        </w:rPr>
        <w:t>’</w:t>
      </w:r>
      <w:r w:rsidRPr="009B3747">
        <w:rPr>
          <w:rFonts w:eastAsia="Times New Roman" w:cstheme="minorHAnsi"/>
          <w:color w:val="000000"/>
          <w:shd w:val="clear" w:color="auto" w:fill="FFFFFF"/>
          <w:lang w:eastAsia="en-GB"/>
        </w:rPr>
        <w:t xml:space="preserve"> perception that a large proportion of adolescents in England under consume fruit and vegetables and </w:t>
      </w:r>
      <w:r w:rsidR="009025E2">
        <w:rPr>
          <w:rFonts w:eastAsia="Times New Roman" w:cstheme="minorHAnsi"/>
          <w:color w:val="000000"/>
          <w:shd w:val="clear" w:color="auto" w:fill="FFFFFF"/>
          <w:lang w:eastAsia="en-GB"/>
        </w:rPr>
        <w:t xml:space="preserve">overly consume foods and drinks, </w:t>
      </w:r>
      <w:r w:rsidRPr="009B3747">
        <w:rPr>
          <w:rFonts w:eastAsia="Times New Roman" w:cstheme="minorHAnsi"/>
          <w:color w:val="000000"/>
          <w:shd w:val="clear" w:color="auto" w:fill="FFFFFF"/>
          <w:lang w:eastAsia="en-GB"/>
        </w:rPr>
        <w:t>which are high in sugar and fat, is consistent with both reported statistics</w:t>
      </w:r>
      <w:r w:rsidR="00C01FE7" w:rsidRPr="009B3747">
        <w:rPr>
          <w:rFonts w:eastAsia="Times New Roman" w:cstheme="minorHAnsi"/>
          <w:color w:val="000000"/>
          <w:shd w:val="clear" w:color="auto" w:fill="FFFFFF"/>
          <w:lang w:eastAsia="en-GB"/>
        </w:rPr>
        <w:t xml:space="preserve"> </w:t>
      </w:r>
      <w:r w:rsidR="00C01FE7" w:rsidRPr="009B3747">
        <w:rPr>
          <w:rFonts w:eastAsia="Times New Roman" w:cstheme="minorHAnsi"/>
          <w:color w:val="000000"/>
          <w:shd w:val="clear" w:color="auto" w:fill="FFFFFF"/>
          <w:lang w:eastAsia="en-GB"/>
        </w:rPr>
        <w:fldChar w:fldCharType="begin" w:fldLock="1"/>
      </w:r>
      <w:r w:rsidR="009C2ECF" w:rsidRPr="009B3747">
        <w:rPr>
          <w:rFonts w:eastAsia="Times New Roman" w:cstheme="minorHAnsi"/>
          <w:color w:val="000000"/>
          <w:shd w:val="clear" w:color="auto" w:fill="FFFFFF"/>
          <w:lang w:eastAsia="en-GB"/>
        </w:rPr>
        <w:instrText>ADDIN CSL_CITATION { "citationItems" : [ { "id" : "ITEM-1", "itemData" : { "author" : [ { "dropping-particle" : "", "family" : "Public Health England", "given" : "", "non-dropping-particle" : "", "parse-names" : false, "suffix" : "" } ], "id" : "ITEM-1", "issued" : { "date-parts" : [ [ "2016" ] ] }, "publisher-place" : "London", "title" : "National Diet and Nutrition Survey Results from Years 5 and 6 (combined) of the Rolling Programme (2012/2013 \u2013 2013/2014)", "type" : "report" }, "uris" : [ "http://www.mendeley.com/documents/?uuid=82f714ce-b30a-4605-9043-b2d265dfdf19" ] } ], "mendeley" : { "formattedCitation" : "(Public Health England, 2016a)", "plainTextFormattedCitation" : "(Public Health England, 2016a)", "previouslyFormattedCitation" : "(Public Health England, 2016a)" }, "properties" : { "noteIndex" : 0 }, "schema" : "https://github.com/citation-style-language/schema/raw/master/csl-citation.json" }</w:instrText>
      </w:r>
      <w:r w:rsidR="00C01FE7" w:rsidRPr="009B3747">
        <w:rPr>
          <w:rFonts w:eastAsia="Times New Roman" w:cstheme="minorHAnsi"/>
          <w:color w:val="000000"/>
          <w:shd w:val="clear" w:color="auto" w:fill="FFFFFF"/>
          <w:lang w:eastAsia="en-GB"/>
        </w:rPr>
        <w:fldChar w:fldCharType="separate"/>
      </w:r>
      <w:r w:rsidR="00C01FE7" w:rsidRPr="009B3747">
        <w:rPr>
          <w:rFonts w:eastAsia="Times New Roman" w:cstheme="minorHAnsi"/>
          <w:noProof/>
          <w:color w:val="000000"/>
          <w:shd w:val="clear" w:color="auto" w:fill="FFFFFF"/>
          <w:lang w:eastAsia="en-GB"/>
        </w:rPr>
        <w:t>(Public Health England, 2016a)</w:t>
      </w:r>
      <w:r w:rsidR="00C01FE7" w:rsidRPr="009B3747">
        <w:rPr>
          <w:rFonts w:eastAsia="Times New Roman" w:cstheme="minorHAnsi"/>
          <w:color w:val="000000"/>
          <w:shd w:val="clear" w:color="auto" w:fill="FFFFFF"/>
          <w:lang w:eastAsia="en-GB"/>
        </w:rPr>
        <w:fldChar w:fldCharType="end"/>
      </w:r>
      <w:r w:rsidR="00C01FE7" w:rsidRPr="009B3747">
        <w:rPr>
          <w:rFonts w:eastAsia="Times New Roman" w:cstheme="minorHAnsi"/>
          <w:color w:val="000000"/>
          <w:shd w:val="clear" w:color="auto" w:fill="FFFFFF"/>
          <w:lang w:eastAsia="en-GB"/>
        </w:rPr>
        <w:t xml:space="preserve"> </w:t>
      </w:r>
      <w:r w:rsidRPr="009B3747">
        <w:rPr>
          <w:rFonts w:eastAsia="Times New Roman" w:cstheme="minorHAnsi"/>
          <w:color w:val="000000"/>
          <w:shd w:val="clear" w:color="auto" w:fill="FFFFFF"/>
          <w:lang w:eastAsia="en-GB"/>
        </w:rPr>
        <w:t>and wider research</w:t>
      </w:r>
      <w:r w:rsidR="00C01FE7" w:rsidRPr="009B3747">
        <w:rPr>
          <w:rFonts w:eastAsia="Times New Roman" w:cstheme="minorHAnsi"/>
          <w:color w:val="000000"/>
          <w:shd w:val="clear" w:color="auto" w:fill="FFFFFF"/>
          <w:lang w:eastAsia="en-GB"/>
        </w:rPr>
        <w:t xml:space="preserve"> </w:t>
      </w:r>
      <w:r w:rsidR="00C01FE7" w:rsidRPr="009B3747">
        <w:rPr>
          <w:rFonts w:eastAsia="Times New Roman" w:cstheme="minorHAnsi"/>
          <w:color w:val="000000"/>
          <w:shd w:val="clear" w:color="auto" w:fill="FFFFFF"/>
          <w:lang w:eastAsia="en-GB"/>
        </w:rPr>
        <w:fldChar w:fldCharType="begin" w:fldLock="1"/>
      </w:r>
      <w:r w:rsidR="00395650" w:rsidRPr="009B3747">
        <w:rPr>
          <w:rFonts w:eastAsia="Times New Roman" w:cstheme="minorHAnsi"/>
          <w:color w:val="000000"/>
          <w:shd w:val="clear" w:color="auto" w:fill="FFFFFF"/>
          <w:lang w:eastAsia="en-GB"/>
        </w:rPr>
        <w:instrText>ADDIN CSL_CITATION { "citationItems" : [ { "id" : "ITEM-1", "itemData" : { "DOI" : "10.1186/1479-5868-6-45", "ISSN" : "1479-5868", "PMID" : "19624822", "abstract" : "BACKGROUND The potential synergistic effects of multiple dietary and physical activity behaviours on the risk of chronic conditions and health outcomes is a key issue for public health. This study examined the prevalence and clustering patterns of multiple health behaviours among a sample of adolescents in the UK. METHODS Cross-sectional survey of 176 adolescents aged 12-16 years (49% boys). Adolescents wore accelerometers for seven days and completed a questionnaire assessing fruit, vegetable, and breakfast consumption. The prevalence of adolescents meeting the physical activity (&gt;/= 60 minutes moderate-to-vigorous physical activity/day), fruit and vegetable (&gt;/= 5 portions of FV per day) and breakfast recommendations (eating breakfast on &gt;/= 5 days per week), and clustering patterns of these health behaviours are described. RESULTS Boys were more active than girls (p &lt; 0.001) and younger adolescents were more active than older adolescents (p &lt; 0.01). Boys ate breakfast on more days per week than girls (p &lt; 0.01) and older adolescents ate more fruit and vegetables than younger adolescents (p &lt; 0.01). Almost 54% of adolescents had multiple risk behaviours and only 6% achieved all three of the recommendations. Girls had significantly more risk factors than boys (p &lt; 0.01). For adolescents with two risk behaviours, the most prevalent cluster was formed by not meeting the physical activity and fruit and vegetable recommendations. CONCLUSION Many adolescents fail to meet multiple diet and physical activity recommendations, highlighting that physical activity and dietary behaviours do not occur in isolation. Future research should investigate how best to achieve multiple health behaviour change in adolescent boys and girls.", "author" : [ { "dropping-particle" : "", "family" : "Pearson", "given" : "Natalie", "non-dropping-particle" : "", "parse-names" : false, "suffix" : "" }, { "dropping-particle" : "", "family" : "Atkin", "given" : "Andrew J", "non-dropping-particle" : "", "parse-names" : false, "suffix" : "" }, { "dropping-particle" : "", "family" : "Biddle", "given" : "Stuart Jh", "non-dropping-particle" : "", "parse-names" : false, "suffix" : "" }, { "dropping-particle" : "", "family" : "Gorely", "given" : "Trish", "non-dropping-particle" : "", "parse-names" : false, "suffix" : "" }, { "dropping-particle" : "", "family" : "Edwardson", "given" : "Charlotte", "non-dropping-particle" : "", "parse-names" : false, "suffix" : "" } ], "container-title" : "The international journal of behavioral nutrition and physical activity", "id" : "ITEM-1", "issued" : { "date-parts" : [ [ "2009", "7", "22" ] ] }, "page" : "(45)", "publisher" : "BioMed Central", "title" : "Patterns of adolescent physical activity and dietary behaviours.", "type" : "article-journal", "volume" : "6" }, "uris" : [ "http://www.mendeley.com/documents/?uuid=db27b376-2667-3603-bfe9-689683726dbd" ] }, { "id" : "ITEM-2", "itemData" : { "DOI" : "10.1111/cch.12068", "ISSN" : "1365-2214", "PMID" : "23594136", "abstract" : "BACKGROUND: Previous research has established that poor diets and eating patterns are associated with numerous adverse health outcomes. This study explored the relationships between two specific eating behaviours (daily junk food consumption and irregular eating) and self-reported physical and mental health of secondary school children, and their association with perceived parenting and child health.\n\nMETHODS: 10\u2009645 participants aged between 12 and 16 completed measures of junk food consumption, irregular eating, parental style, and mental and physical health through the use of an online survey implemented within 30 schools in a large British city.\n\nRESULTS: 2.9% of the sample reported never eating regularly and while 17.2% reported daily consumption of junk food. Young people who reported eating irregularly and consuming junk food daily were at a significantly greater risk of poorer mental (OR 5.41, 95% confidence interval 4.03-7.25 and 2.75, 95% confidence interval 1.99-3.78) and physical health (OR 4.56, 95% confidence interval 3.56-5.85 and 2.00, 95% confidence interval 1.63-2.47). Authoritative parenting was associated with healthier eating behaviours, and better mental and physical health in comparison to other parenting styles.\n\nDISCUSSION: A worrying proportion of secondary school children report unhealthy eating behaviours, particularly daily consumption of junk food, which may be associated with poorer mental and physical health. Parenting style may influence dietary habits. Interventions to improve diet may be more beneficial if also they address parenting strategies and issues related to mental and physical health.", "author" : [ { "dropping-particle" : "", "family" : "Zahra", "given" : "J", "non-dropping-particle" : "", "parse-names" : false, "suffix" : "" }, { "dropping-particle" : "", "family" : "Ford", "given" : "T", "non-dropping-particle" : "", "parse-names" : false, "suffix" : "" }, { "dropping-particle" : "", "family" : "Jodrell", "given" : "D", "non-dropping-particle" : "", "parse-names" : false, "suffix" : "" } ], "container-title" : "Child: care, health and development", "id" : "ITEM-2", "issue" : "4", "issued" : { "date-parts" : [ [ "2014", "7" ] ] }, "page" : "481-91", "title" : "Cross-sectional survey of daily junk food consumption, irregular eating, mental and physical health and parenting style of British secondary school children.", "type" : "article-journal", "volume" : "40" }, "uris" : [ "http://www.mendeley.com/documents/?uuid=d688cdc3-1eca-4e45-bcbc-03e24485e987" ] }, { "id" : "ITEM-3", "itemData" : { "author" : [ { "dropping-particle" : "", "family" : "Coleman", "given" : "J", "non-dropping-particle" : "", "parse-names" : false, "suffix" : "" }, { "dropping-particle" : "", "family" : "Hagell", "given" : "A", "non-dropping-particle" : "", "parse-names" : false, "suffix" : "" } ], "container-title" : "Youth &amp; Policy", "id" : "ITEM-3", "issued" : { "date-parts" : [ [ "2015" ] ] }, "page" : "17-30", "title" : "Young people, health and youth policy", "type" : "article-journal", "volume" : "114" }, "uris" : [ "http://www.mendeley.com/documents/?uuid=49e3ba16-e4c5-475f-899f-c3bebace1a1b" ] } ], "mendeley" : { "formattedCitation" : "(Pearson et al., 2009; Zahra et al., 2014; Coleman and Hagell, 2015)", "plainTextFormattedCitation" : "(Pearson et al., 2009; Zahra et al., 2014; Coleman and Hagell, 2015)", "previouslyFormattedCitation" : "(Pearson et al., 2009; Zahra et al., 2014; Coleman and Hagell, 2015)" }, "properties" : { "noteIndex" : 0 }, "schema" : "https://github.com/citation-style-language/schema/raw/master/csl-citation.json" }</w:instrText>
      </w:r>
      <w:r w:rsidR="00C01FE7" w:rsidRPr="009B3747">
        <w:rPr>
          <w:rFonts w:eastAsia="Times New Roman" w:cstheme="minorHAnsi"/>
          <w:color w:val="000000"/>
          <w:shd w:val="clear" w:color="auto" w:fill="FFFFFF"/>
          <w:lang w:eastAsia="en-GB"/>
        </w:rPr>
        <w:fldChar w:fldCharType="separate"/>
      </w:r>
      <w:r w:rsidR="00C01FE7" w:rsidRPr="009B3747">
        <w:rPr>
          <w:rFonts w:eastAsia="Times New Roman" w:cstheme="minorHAnsi"/>
          <w:noProof/>
          <w:color w:val="000000"/>
          <w:shd w:val="clear" w:color="auto" w:fill="FFFFFF"/>
          <w:lang w:eastAsia="en-GB"/>
        </w:rPr>
        <w:t>(Pearson et al., 2009; Zahra et al., 2014; Coleman and Hagell, 2015)</w:t>
      </w:r>
      <w:r w:rsidR="00C01FE7" w:rsidRPr="009B3747">
        <w:rPr>
          <w:rFonts w:eastAsia="Times New Roman" w:cstheme="minorHAnsi"/>
          <w:color w:val="000000"/>
          <w:shd w:val="clear" w:color="auto" w:fill="FFFFFF"/>
          <w:lang w:eastAsia="en-GB"/>
        </w:rPr>
        <w:fldChar w:fldCharType="end"/>
      </w:r>
      <w:r w:rsidR="00C01FE7" w:rsidRPr="009B3747">
        <w:rPr>
          <w:rFonts w:eastAsia="Times New Roman" w:cstheme="minorHAnsi"/>
          <w:color w:val="000000"/>
          <w:shd w:val="clear" w:color="auto" w:fill="FFFFFF"/>
          <w:lang w:eastAsia="en-GB"/>
        </w:rPr>
        <w:t>.</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shd w:val="clear" w:color="auto" w:fill="FFFFFF"/>
          <w:lang w:eastAsia="en-GB"/>
        </w:rPr>
        <w:t>In comparison to excess weight and dietary habits, a smaller proportion of headteachers and chairs of governors across both phases of the research expressed concern regarding the levels of physical inactivity in adolescence.  However</w:t>
      </w:r>
      <w:r w:rsidR="00FE4B4E" w:rsidRPr="009B3747">
        <w:rPr>
          <w:rFonts w:eastAsia="Times New Roman" w:cstheme="minorHAnsi"/>
          <w:color w:val="000000"/>
          <w:shd w:val="clear" w:color="auto" w:fill="FFFFFF"/>
          <w:lang w:eastAsia="en-GB"/>
        </w:rPr>
        <w:t>,</w:t>
      </w:r>
      <w:r w:rsidRPr="009B3747">
        <w:rPr>
          <w:rFonts w:eastAsia="Times New Roman" w:cstheme="minorHAnsi"/>
          <w:color w:val="000000"/>
          <w:shd w:val="clear" w:color="auto" w:fill="FFFFFF"/>
          <w:lang w:eastAsia="en-GB"/>
        </w:rPr>
        <w:t xml:space="preserve"> participants still broadly deemed their pupil population to be increasingly engaging in sedentary recreational activities and were therefore argued to be disproportionately inactive outside of the secondary school setting.  In contrast, the only identified study containing headteachers</w:t>
      </w:r>
      <w:r w:rsidR="00DB655F" w:rsidRPr="009B3747">
        <w:rPr>
          <w:rFonts w:eastAsia="Times New Roman" w:cstheme="minorHAnsi"/>
          <w:color w:val="000000"/>
          <w:shd w:val="clear" w:color="auto" w:fill="FFFFFF"/>
          <w:lang w:eastAsia="en-GB"/>
        </w:rPr>
        <w:t>’</w:t>
      </w:r>
      <w:r w:rsidRPr="009B3747">
        <w:rPr>
          <w:rFonts w:eastAsia="Times New Roman" w:cstheme="minorHAnsi"/>
          <w:color w:val="000000"/>
          <w:shd w:val="clear" w:color="auto" w:fill="FFFFFF"/>
          <w:lang w:eastAsia="en-GB"/>
        </w:rPr>
        <w:t xml:space="preserve"> views on this topic, reported their students to be active and fit and engaging extensively in sporting opportunities both within and outside o</w:t>
      </w:r>
      <w:r w:rsidR="00C01FE7" w:rsidRPr="009B3747">
        <w:rPr>
          <w:rFonts w:eastAsia="Times New Roman" w:cstheme="minorHAnsi"/>
          <w:color w:val="000000"/>
          <w:shd w:val="clear" w:color="auto" w:fill="FFFFFF"/>
          <w:lang w:eastAsia="en-GB"/>
        </w:rPr>
        <w:t>f the school curriculum (Nollen et al.,</w:t>
      </w:r>
      <w:r w:rsidRPr="009B3747">
        <w:rPr>
          <w:rFonts w:eastAsia="Times New Roman" w:cstheme="minorHAnsi"/>
          <w:color w:val="000000"/>
          <w:shd w:val="clear" w:color="auto" w:fill="FFFFFF"/>
          <w:lang w:eastAsia="en-GB"/>
        </w:rPr>
        <w:t xml:space="preserve"> 2007).  Despite this it is important to note, that due to an extremely small sample size of eight headteachers, the different geographical context to the UK (USA) and a lack of participant and school demographics, there is an inability to draw useful comparisons between the findings and this research.   </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shd w:val="clear" w:color="auto" w:fill="FFFFFF"/>
          <w:lang w:eastAsia="en-GB"/>
        </w:rPr>
        <w:t>In spite of the paucity of literature exploring headteachers</w:t>
      </w:r>
      <w:r w:rsidR="007E3DE9" w:rsidRPr="009B3747">
        <w:rPr>
          <w:rFonts w:eastAsia="Times New Roman" w:cstheme="minorHAnsi"/>
          <w:color w:val="000000"/>
          <w:shd w:val="clear" w:color="auto" w:fill="FFFFFF"/>
          <w:lang w:eastAsia="en-GB"/>
        </w:rPr>
        <w:t>’</w:t>
      </w:r>
      <w:r w:rsidRPr="009B3747">
        <w:rPr>
          <w:rFonts w:eastAsia="Times New Roman" w:cstheme="minorHAnsi"/>
          <w:color w:val="000000"/>
          <w:shd w:val="clear" w:color="auto" w:fill="FFFFFF"/>
          <w:lang w:eastAsia="en-GB"/>
        </w:rPr>
        <w:t xml:space="preserve"> and chairs of governors</w:t>
      </w:r>
      <w:r w:rsidR="007E3DE9" w:rsidRPr="009B3747">
        <w:rPr>
          <w:rFonts w:eastAsia="Times New Roman" w:cstheme="minorHAnsi"/>
          <w:color w:val="000000"/>
          <w:shd w:val="clear" w:color="auto" w:fill="FFFFFF"/>
          <w:lang w:eastAsia="en-GB"/>
        </w:rPr>
        <w:t>’</w:t>
      </w:r>
      <w:r w:rsidRPr="009B3747">
        <w:rPr>
          <w:rFonts w:eastAsia="Times New Roman" w:cstheme="minorHAnsi"/>
          <w:color w:val="000000"/>
          <w:shd w:val="clear" w:color="auto" w:fill="FFFFFF"/>
          <w:lang w:eastAsia="en-GB"/>
        </w:rPr>
        <w:t xml:space="preserve"> views, as presented in Chapter two, results from the Active Lifestyle Survey do provide weight to the validity of reported perceptions regarding inactivity in secondary school pupils.  Only 22% of children (23%</w:t>
      </w:r>
      <w:r w:rsidR="00C01FE7" w:rsidRPr="009B3747">
        <w:rPr>
          <w:rFonts w:eastAsia="Times New Roman" w:cstheme="minorHAnsi"/>
          <w:color w:val="000000"/>
          <w:shd w:val="clear" w:color="auto" w:fill="FFFFFF"/>
          <w:lang w:eastAsia="en-GB"/>
        </w:rPr>
        <w:t xml:space="preserve"> for boys and 20% girls) aged five</w:t>
      </w:r>
      <w:r w:rsidR="006269B8" w:rsidRPr="009B3747">
        <w:rPr>
          <w:rFonts w:eastAsia="Times New Roman" w:cstheme="minorHAnsi"/>
          <w:color w:val="000000"/>
          <w:shd w:val="clear" w:color="auto" w:fill="FFFFFF"/>
          <w:lang w:eastAsia="en-GB"/>
        </w:rPr>
        <w:t xml:space="preserve"> to 15 years</w:t>
      </w:r>
      <w:r w:rsidRPr="009B3747">
        <w:rPr>
          <w:rFonts w:eastAsia="Times New Roman" w:cstheme="minorHAnsi"/>
          <w:color w:val="000000"/>
          <w:shd w:val="clear" w:color="auto" w:fill="FFFFFF"/>
          <w:lang w:eastAsia="en-GB"/>
        </w:rPr>
        <w:t xml:space="preserve"> met the physical activity guidelines (60 minutes or more on all seven days), with this percentage decreasing with a</w:t>
      </w:r>
      <w:r w:rsidR="00916E28" w:rsidRPr="009B3747">
        <w:rPr>
          <w:rFonts w:eastAsia="Times New Roman" w:cstheme="minorHAnsi"/>
          <w:color w:val="000000"/>
          <w:shd w:val="clear" w:color="auto" w:fill="FFFFFF"/>
          <w:lang w:eastAsia="en-GB"/>
        </w:rPr>
        <w:t>ge for both sexes</w:t>
      </w:r>
      <w:r w:rsidR="006269B8" w:rsidRPr="009B3747">
        <w:rPr>
          <w:rFonts w:eastAsia="Times New Roman" w:cstheme="minorHAnsi"/>
          <w:color w:val="000000"/>
          <w:shd w:val="clear" w:color="auto" w:fill="FFFFFF"/>
          <w:lang w:eastAsia="en-GB"/>
        </w:rPr>
        <w:t xml:space="preserve"> </w:t>
      </w:r>
      <w:r w:rsidR="006269B8" w:rsidRPr="009B3747">
        <w:rPr>
          <w:rFonts w:eastAsia="Times New Roman" w:cstheme="minorHAnsi"/>
          <w:color w:val="000000"/>
          <w:shd w:val="clear" w:color="auto" w:fill="FFFFFF"/>
          <w:lang w:eastAsia="en-GB"/>
        </w:rPr>
        <w:fldChar w:fldCharType="begin" w:fldLock="1"/>
      </w:r>
      <w:r w:rsidR="00395650" w:rsidRPr="009B3747">
        <w:rPr>
          <w:rFonts w:eastAsia="Times New Roman" w:cstheme="minorHAnsi"/>
          <w:color w:val="000000"/>
          <w:shd w:val="clear" w:color="auto" w:fill="FFFFFF"/>
          <w:lang w:eastAsia="en-GB"/>
        </w:rPr>
        <w:instrText>ADDIN CSL_CITATION { "citationItems" : [ { "id" : "ITEM-1", "itemData" : { "author" : [ { "dropping-particle" : "", "family" : "NHS Digital", "given" : "", "non-dropping-particle" : "", "parse-names" : false, "suffix" : "" } ], "id" : "ITEM-1", "issued" : { "date-parts" : [ [ "2017" ] ] }, "publisher-place" : "London", "title" : "Statistics on Obesity, Physical Activity and Diet", "type" : "report" }, "uris" : [ "http://www.mendeley.com/documents/?uuid=035dc8f8-fb51-4f33-bfbe-de6a3fb3b259" ] } ], "mendeley" : { "formattedCitation" : "(NHS Digital, 2017)", "plainTextFormattedCitation" : "(NHS Digital, 2017)", "previouslyFormattedCitation" : "(NHS Digital, 2017)" }, "properties" : { "noteIndex" : 0 }, "schema" : "https://github.com/citation-style-language/schema/raw/master/csl-citation.json" }</w:instrText>
      </w:r>
      <w:r w:rsidR="006269B8" w:rsidRPr="009B3747">
        <w:rPr>
          <w:rFonts w:eastAsia="Times New Roman" w:cstheme="minorHAnsi"/>
          <w:color w:val="000000"/>
          <w:shd w:val="clear" w:color="auto" w:fill="FFFFFF"/>
          <w:lang w:eastAsia="en-GB"/>
        </w:rPr>
        <w:fldChar w:fldCharType="separate"/>
      </w:r>
      <w:r w:rsidR="006269B8" w:rsidRPr="009B3747">
        <w:rPr>
          <w:rFonts w:eastAsia="Times New Roman" w:cstheme="minorHAnsi"/>
          <w:noProof/>
          <w:color w:val="000000"/>
          <w:shd w:val="clear" w:color="auto" w:fill="FFFFFF"/>
          <w:lang w:eastAsia="en-GB"/>
        </w:rPr>
        <w:t>(NHS Digital, 2017)</w:t>
      </w:r>
      <w:r w:rsidR="006269B8" w:rsidRPr="009B3747">
        <w:rPr>
          <w:rFonts w:eastAsia="Times New Roman" w:cstheme="minorHAnsi"/>
          <w:color w:val="000000"/>
          <w:shd w:val="clear" w:color="auto" w:fill="FFFFFF"/>
          <w:lang w:eastAsia="en-GB"/>
        </w:rPr>
        <w:fldChar w:fldCharType="end"/>
      </w:r>
      <w:r w:rsidR="006269B8" w:rsidRPr="009B3747">
        <w:rPr>
          <w:rFonts w:eastAsia="Times New Roman" w:cstheme="minorHAnsi"/>
          <w:color w:val="000000"/>
          <w:shd w:val="clear" w:color="auto" w:fill="FFFFFF"/>
          <w:lang w:eastAsia="en-GB"/>
        </w:rPr>
        <w:t xml:space="preserve">.  </w:t>
      </w:r>
      <w:r w:rsidRPr="009B3747">
        <w:rPr>
          <w:rFonts w:eastAsia="Times New Roman" w:cstheme="minorHAnsi"/>
          <w:color w:val="000000"/>
          <w:shd w:val="clear" w:color="auto" w:fill="FFFFFF"/>
          <w:lang w:eastAsia="en-GB"/>
        </w:rPr>
        <w:t>Furthermore</w:t>
      </w:r>
      <w:r w:rsidR="00C01FE7" w:rsidRPr="009B3747">
        <w:rPr>
          <w:rFonts w:eastAsia="Times New Roman" w:cstheme="minorHAnsi"/>
          <w:color w:val="000000"/>
          <w:shd w:val="clear" w:color="auto" w:fill="FFFFFF"/>
          <w:lang w:eastAsia="en-GB"/>
        </w:rPr>
        <w:t xml:space="preserve">, over a fifth of 11 to </w:t>
      </w:r>
      <w:r w:rsidRPr="009B3747">
        <w:rPr>
          <w:rFonts w:eastAsia="Times New Roman" w:cstheme="minorHAnsi"/>
          <w:color w:val="000000"/>
          <w:shd w:val="clear" w:color="auto" w:fill="FFFFFF"/>
          <w:lang w:eastAsia="en-GB"/>
        </w:rPr>
        <w:t>12 y</w:t>
      </w:r>
      <w:r w:rsidR="00C01FE7" w:rsidRPr="009B3747">
        <w:rPr>
          <w:rFonts w:eastAsia="Times New Roman" w:cstheme="minorHAnsi"/>
          <w:color w:val="000000"/>
          <w:shd w:val="clear" w:color="auto" w:fill="FFFFFF"/>
          <w:lang w:eastAsia="en-GB"/>
        </w:rPr>
        <w:t xml:space="preserve">ear olds and over a third of 13 to </w:t>
      </w:r>
      <w:r w:rsidRPr="009B3747">
        <w:rPr>
          <w:rFonts w:eastAsia="Times New Roman" w:cstheme="minorHAnsi"/>
          <w:color w:val="000000"/>
          <w:shd w:val="clear" w:color="auto" w:fill="FFFFFF"/>
          <w:lang w:eastAsia="en-GB"/>
        </w:rPr>
        <w:t>15 year olds were deemed to be sedentary during weekends (i.e. primarily sitting or lying down for six hours or more per day),</w:t>
      </w:r>
      <w:r w:rsidR="006269B8" w:rsidRPr="009B3747">
        <w:rPr>
          <w:rFonts w:eastAsia="Times New Roman" w:cstheme="minorHAnsi"/>
          <w:color w:val="000000"/>
          <w:shd w:val="clear" w:color="auto" w:fill="FFFFFF"/>
          <w:lang w:eastAsia="en-GB"/>
        </w:rPr>
        <w:t xml:space="preserve"> </w:t>
      </w:r>
      <w:r w:rsidR="006269B8" w:rsidRPr="009B3747">
        <w:rPr>
          <w:rFonts w:eastAsia="Times New Roman" w:cstheme="minorHAnsi"/>
          <w:color w:val="000000"/>
          <w:shd w:val="clear" w:color="auto" w:fill="FFFFFF"/>
          <w:lang w:eastAsia="en-GB"/>
        </w:rPr>
        <w:fldChar w:fldCharType="begin" w:fldLock="1"/>
      </w:r>
      <w:r w:rsidR="00395650" w:rsidRPr="009B3747">
        <w:rPr>
          <w:rFonts w:eastAsia="Times New Roman" w:cstheme="minorHAnsi"/>
          <w:color w:val="000000"/>
          <w:shd w:val="clear" w:color="auto" w:fill="FFFFFF"/>
          <w:lang w:eastAsia="en-GB"/>
        </w:rPr>
        <w:instrText>ADDIN CSL_CITATION { "citationItems" : [ { "id" : "ITEM-1", "itemData" : { "author" : [ { "dropping-particle" : "", "family" : "NHS Digital", "given" : "", "non-dropping-particle" : "", "parse-names" : false, "suffix" : "" } ], "id" : "ITEM-1", "issued" : { "date-parts" : [ [ "2017" ] ] }, "publisher-place" : "London", "title" : "Statistics on Obesity, Physical Activity and Diet", "type" : "report" }, "uris" : [ "http://www.mendeley.com/documents/?uuid=035dc8f8-fb51-4f33-bfbe-de6a3fb3b259" ] } ], "mendeley" : { "formattedCitation" : "(NHS Digital, 2017)", "plainTextFormattedCitation" : "(NHS Digital, 2017)", "previouslyFormattedCitation" : "(NHS Digital, 2017)" }, "properties" : { "noteIndex" : 0 }, "schema" : "https://github.com/citation-style-language/schema/raw/master/csl-citation.json" }</w:instrText>
      </w:r>
      <w:r w:rsidR="006269B8" w:rsidRPr="009B3747">
        <w:rPr>
          <w:rFonts w:eastAsia="Times New Roman" w:cstheme="minorHAnsi"/>
          <w:color w:val="000000"/>
          <w:shd w:val="clear" w:color="auto" w:fill="FFFFFF"/>
          <w:lang w:eastAsia="en-GB"/>
        </w:rPr>
        <w:fldChar w:fldCharType="separate"/>
      </w:r>
      <w:r w:rsidR="006269B8" w:rsidRPr="009B3747">
        <w:rPr>
          <w:rFonts w:eastAsia="Times New Roman" w:cstheme="minorHAnsi"/>
          <w:noProof/>
          <w:color w:val="000000"/>
          <w:shd w:val="clear" w:color="auto" w:fill="FFFFFF"/>
          <w:lang w:eastAsia="en-GB"/>
        </w:rPr>
        <w:t>(NHS Digital, 2017)</w:t>
      </w:r>
      <w:r w:rsidR="006269B8" w:rsidRPr="009B3747">
        <w:rPr>
          <w:rFonts w:eastAsia="Times New Roman" w:cstheme="minorHAnsi"/>
          <w:color w:val="000000"/>
          <w:shd w:val="clear" w:color="auto" w:fill="FFFFFF"/>
          <w:lang w:eastAsia="en-GB"/>
        </w:rPr>
        <w:fldChar w:fldCharType="end"/>
      </w:r>
      <w:r w:rsidRPr="009B3747">
        <w:rPr>
          <w:rFonts w:eastAsia="Times New Roman" w:cstheme="minorHAnsi"/>
          <w:color w:val="000000"/>
          <w:shd w:val="clear" w:color="auto" w:fill="FFFFFF"/>
          <w:lang w:eastAsia="en-GB"/>
        </w:rPr>
        <w:t>.  In addition to national statistics, extensive epidemiological studies have evidenced participants perceptions that during adolescence and towards young adulthood physical activity uptake decreases and sedentary behaviour increases across both genders</w:t>
      </w:r>
      <w:r w:rsidR="006269B8" w:rsidRPr="009B3747">
        <w:rPr>
          <w:rFonts w:eastAsia="Times New Roman" w:cstheme="minorHAnsi"/>
          <w:color w:val="000000"/>
          <w:shd w:val="clear" w:color="auto" w:fill="FFFFFF"/>
          <w:lang w:eastAsia="en-GB"/>
        </w:rPr>
        <w:t xml:space="preserve"> </w:t>
      </w:r>
      <w:r w:rsidR="006269B8" w:rsidRPr="009B3747">
        <w:rPr>
          <w:rFonts w:eastAsia="Times New Roman" w:cstheme="minorHAnsi"/>
          <w:color w:val="000000"/>
          <w:shd w:val="clear" w:color="auto" w:fill="FFFFFF"/>
          <w:lang w:eastAsia="en-GB"/>
        </w:rPr>
        <w:fldChar w:fldCharType="begin" w:fldLock="1"/>
      </w:r>
      <w:r w:rsidR="00395650" w:rsidRPr="009B3747">
        <w:rPr>
          <w:rFonts w:eastAsia="Times New Roman" w:cstheme="minorHAnsi"/>
          <w:color w:val="000000"/>
          <w:shd w:val="clear" w:color="auto" w:fill="FFFFFF"/>
          <w:lang w:eastAsia="en-GB"/>
        </w:rPr>
        <w:instrText>ADDIN CSL_CITATION { "citationItems" : [ { "id" : "ITEM-1", "itemData" : { "DOI" : "10.1136/bjsm.2006.031138", "ISBN" : "1473-0480", "ISSN" : "1473-0480", "PMID" : "17178773", "abstract" : "OBJECTIVE: To assess developmental trends in physical activity and sedentary behaviour in British adolescents in relation to sex, ethnicity and socioeconomic status (SES).\\n\\nDESIGN: A 5-year longitudinal study of a diverse cohort of students aged 11-12 years at baseline in 1999.\\n\\nSETTING: 36 London schools sampled using a stratified random sampling procedure.\\n\\nPARTICIPANTS: A total of 5863 students categorised as white, black or Asian, and stratified for SES using the Townsend Index.\\n\\nMAIN OUTCOME MEASURES: Number of days per week of vigorous activity leading to sweating and breathing hard. Hours of sedentary behaviour, including watching television and playing video games. Data were analysed using multilevel, linear, mixed models.\\n\\nRESULTS: Marked reductions in physical activity and increases in sedentary behaviour were noticed between ages 11-12 and 15-16 years. Boys were more active than girls, and the decline in physical activity was greater in girls (46% reduction) than in boys (23%). Asian students were less active than whites, and this was also true of black girls but not boys. Black students were more sedentary than white students. Levels of sedentary behaviour were greater in respondents from lower SES. Most differences between ethnic and SES groups were present at age 11 years, and did not evolve over the teenage years.\\n\\nCONCLUSIONS: Physical activity declines and sedentary behaviour becomes more common during adolescence. Ethnic and SES differences are observed in physical activity and sedentary behaviour in British youth that anticipate adult variations in adiposity and cardiovascular disease risk. These are largely established by age 11-12 years, so reversing these patterns requires earlier intervention.", "author" : [ { "dropping-particle" : "", "family" : "Brodersen", "given" : "Naomi Henning", "non-dropping-particle" : "", "parse-names" : false, "suffix" : "" }, { "dropping-particle" : "", "family" : "Steptoe", "given" : "Andrew", "non-dropping-particle" : "", "parse-names" : false, "suffix" : "" }, { "dropping-particle" : "", "family" : "Boniface", "given" : "David R", "non-dropping-particle" : "", "parse-names" : false, "suffix" : "" }, { "dropping-particle" : "", "family" : "Wardle", "given" : "Jane", "non-dropping-particle" : "", "parse-names" : false, "suffix" : "" } ], "container-title" : "British journal of sports medicine", "id" : "ITEM-1", "issue" : "3", "issued" : { "date-parts" : [ [ "2007", "3", "1" ] ] }, "page" : "140-4", "title" : "Trends in physical activity and sedentary behaviour in adolescence: ethnic and socioeconomic differences.", "type" : "article-journal", "volume" : "41" }, "uris" : [ "http://www.mendeley.com/documents/?uuid=8504bd67-2c3e-3b39-b316-118b06dd2e6d" ] }, { "id" : "ITEM-2", "itemData" : { "DOI" : "10.1136/bjsports-2013-093190", "ISSN" : "0306-3674", "PMID" : "24273308", "abstract" : "BACKGROUND Physical activity (PA) declines during adolescence but change in different PA intensities across population subgroups is rarely explored. We describe change in sedentary (SED) time, light (LPA), moderate (MPA) and vigorous PA (VPA) assessed at three time points over 4 years. METHODS Accelerometer-assessed PA (min) was obtained at baseline (N=2064), 1 and 4 years later among British children (baseline mean\u00b1SD 10.2\u00b10.3-year-old; 42.5% male). Change in SED (&lt;100 counts/min (cpm)), LPA (101-1999 cpm), MPA (2000-3999 cpm) and VPA (\u22654000 cpm) was studied using three-level (age, individual and school) mixed-effects linear regression including participants with data at \u22652 time points (N=990). Differences in change by sex, home location and weight status were explored with interactions for SED, LPA and moderate and vigorous PA (MVPA). RESULTS SED increased by 10.6 (95% CI 9.1 to 12.2) min/day/year. MPA and VPA decreased by 1.4 (1.0 to 1.8) and 1.5 (1.1 to 1.8) min/day/year, respectively. VPA decreased more than MPA as a percentage of the baseline value. MVPA declined more steeply among boys (3.9 (3.0 to 4.8)) versus girls (2.0 (1.2 to 2.7) min/day/year) despite lower MVPA among girls at all ages; rural (4.4 (3.5 to 5.2)) versus urban individuals (1.3 (0.4 to 2.3) min/day/year) and on weekends (6.7 (5.2 to 8.1)) versus weekdays (2.8 (1.9 to 3.7) min/day/year). MVPA was consistently lower among overweight/obese individuals (-17.5 (-3.9 to -2.5) min/day/year). CONCLUSIONS PA decreases and is replaced by SED during early adolescence in British youth. Results indicate the urgency of PA promotion among all adolescents but especially girls and in rural areas. Increasing VPA and targeting PA promotion during weekends appear important.", "author" : [ { "dropping-particle" : "", "family" : "Corder", "given" : "Kirsten", "non-dropping-particle" : "", "parse-names" : false, "suffix" : "" }, { "dropping-particle" : "", "family" : "Sharp", "given" : "Stephen J", "non-dropping-particle" : "", "parse-names" : false, "suffix" : "" }, { "dropping-particle" : "", "family" : "Atkin", "given" : "Andrew J", "non-dropping-particle" : "", "parse-names" : false, "suffix" : "" }, { "dropping-particle" : "", "family" : "Griffin", "given" : "Simon J", "non-dropping-particle" : "", "parse-names" : false, "suffix" : "" }, { "dropping-particle" : "", "family" : "Jones", "given" : "Andrew P", "non-dropping-particle" : "", "parse-names" : false, "suffix" : "" }, { "dropping-particle" : "", "family" : "Ekelund", "given" : "Ulf", "non-dropping-particle" : "", "parse-names" : false, "suffix" : "" }, { "dropping-particle" : "", "family" : "Sluijs", "given" : "Esther M F", "non-dropping-particle" : "van", "parse-names" : false, "suffix" : "" } ], "container-title" : "British Journal of Sports Medicine", "id" : "ITEM-2", "issue" : "11", "issued" : { "date-parts" : [ [ "2015", "6" ] ] }, "page" : "730-736", "title" : "Change in objectively measured physical activity during the transition to adolescence", "type" : "article-journal", "volume" : "49" }, "uris" : [ "http://www.mendeley.com/documents/?uuid=e4b6f89e-c3ad-3b53-b41e-e8fd4455aec7" ] }, { "id" : "ITEM-3", "itemData" : { "DOI" : "10.1186/s12966-015-0204-6", "ISSN" : "1479-5868", "author" : [ { "dropping-particle" : "", "family" : "Harding", "given" : "Sarah K", "non-dropping-particle" : "", "parse-names" : false, "suffix" : "" }, { "dropping-particle" : "", "family" : "Page", "given" : "Angie S", "non-dropping-particle" : "", "parse-names" : false, "suffix" : "" }, { "dropping-particle" : "", "family" : "Falconer", "given" : "Catherine", "non-dropping-particle" : "", "parse-names" : false, "suffix" : "" }, { "dropping-particle" : "", "family" : "Cooper", "given" : "Ashley R", "non-dropping-particle" : "", "parse-names" : false, "suffix" : "" } ], "container-title" : "International Journal of Behavioral Nutrition and Physical Activity", "id" : "ITEM-3", "issue" : "1", "issued" : { "date-parts" : [ [ "2015", "12", "1" ] ] }, "page" : "44", "title" : "Longitudinal changes in sedentary time and physical activity during adolescence", "type" : "article-journal", "volume" : "12" }, "uris" : [ "http://www.mendeley.com/documents/?uuid=90e84beb-ca06-327a-a7c2-5dfa7c4ed1ca" ] }, { "id" : "ITEM-4", "itemData" : { "DOI" : "10.1111/obr.12352", "ISSN" : "14677881", "author" : [ { "dropping-particle" : "", "family" : "Morton", "given" : "K. L.", "non-dropping-particle" : "", "parse-names" : false, "suffix" : "" }, { "dropping-particle" : "", "family" : "Atkin", "given" : "A. J.", "non-dropping-particle" : "", "parse-names" : false, "suffix" : "" }, { "dropping-particle" : "", "family" : "Corder", "given" : "K.", "non-dropping-particle" : "", "parse-names" : false, "suffix" : "" }, { "dropping-particle" : "", "family" : "Suhrcke", "given" : "M.", "non-dropping-particle" : "", "parse-names" : false, "suffix" : "" }, { "dropping-particle" : "", "family" : "Sluijs", "given" : "E. M. F.", "non-dropping-particle" : "van", "parse-names" : false, "suffix" : "" } ], "container-title" : "Obesity Reviews", "id" : "ITEM-4", "issue" : "2", "issued" : { "date-parts" : [ [ "2016", "2", "1" ] ] }, "page" : "142-158", "title" : "The school environment and adolescent physical activity and sedentary behaviour: a mixed-studies systematic review", "type" : "article-journal", "volume" : "17" }, "uris" : [ "http://www.mendeley.com/documents/?uuid=1e2dfde9-c3cd-3ebc-bc1b-61e24354985a" ] } ], "mendeley" : { "formattedCitation" : "(Brodersen et al., 2007; Corder et al., 2015; Harding et al., 2015; Morton et al., 2016)", "plainTextFormattedCitation" : "(Brodersen et al., 2007; Corder et al., 2015; Harding et al., 2015; Morton et al., 2016)", "previouslyFormattedCitation" : "(Brodersen et al., 2007; Corder et al., 2015; Harding et al., 2015; Morton et al., 2016)" }, "properties" : { "noteIndex" : 0 }, "schema" : "https://github.com/citation-style-language/schema/raw/master/csl-citation.json" }</w:instrText>
      </w:r>
      <w:r w:rsidR="006269B8" w:rsidRPr="009B3747">
        <w:rPr>
          <w:rFonts w:eastAsia="Times New Roman" w:cstheme="minorHAnsi"/>
          <w:color w:val="000000"/>
          <w:shd w:val="clear" w:color="auto" w:fill="FFFFFF"/>
          <w:lang w:eastAsia="en-GB"/>
        </w:rPr>
        <w:fldChar w:fldCharType="separate"/>
      </w:r>
      <w:r w:rsidR="006269B8" w:rsidRPr="009B3747">
        <w:rPr>
          <w:rFonts w:eastAsia="Times New Roman" w:cstheme="minorHAnsi"/>
          <w:noProof/>
          <w:color w:val="000000"/>
          <w:shd w:val="clear" w:color="auto" w:fill="FFFFFF"/>
          <w:lang w:eastAsia="en-GB"/>
        </w:rPr>
        <w:t>(Brodersen et al., 2007; Corder et al., 2015; Harding et al., 2015; Morton et al., 2016)</w:t>
      </w:r>
      <w:r w:rsidR="006269B8" w:rsidRPr="009B3747">
        <w:rPr>
          <w:rFonts w:eastAsia="Times New Roman" w:cstheme="minorHAnsi"/>
          <w:color w:val="000000"/>
          <w:shd w:val="clear" w:color="auto" w:fill="FFFFFF"/>
          <w:lang w:eastAsia="en-GB"/>
        </w:rPr>
        <w:fldChar w:fldCharType="end"/>
      </w:r>
      <w:r w:rsidR="006269B8" w:rsidRPr="009B3747">
        <w:rPr>
          <w:rFonts w:eastAsia="Times New Roman" w:cstheme="minorHAnsi"/>
          <w:color w:val="000000"/>
          <w:shd w:val="clear" w:color="auto" w:fill="FFFFFF"/>
          <w:lang w:eastAsia="en-GB"/>
        </w:rPr>
        <w:t>.</w:t>
      </w:r>
    </w:p>
    <w:p w:rsidR="00AC3B26" w:rsidRPr="009B3747" w:rsidRDefault="00AC3B26" w:rsidP="00AC3B26">
      <w:pPr>
        <w:rPr>
          <w:rFonts w:eastAsia="Times New Roman" w:cstheme="minorHAnsi"/>
          <w:color w:val="000000"/>
          <w:shd w:val="clear" w:color="auto" w:fill="FFFFFF"/>
          <w:lang w:eastAsia="en-GB"/>
        </w:rPr>
      </w:pPr>
      <w:r w:rsidRPr="009B3747">
        <w:rPr>
          <w:rFonts w:eastAsia="Times New Roman" w:cstheme="minorHAnsi"/>
          <w:color w:val="000000"/>
          <w:shd w:val="clear" w:color="auto" w:fill="FFFFFF"/>
          <w:lang w:eastAsia="en-GB"/>
        </w:rPr>
        <w:lastRenderedPageBreak/>
        <w:t>The concern expressed regarding unhealthy dietary habits and inactivity by headteachers and chairs of governors in this study could present crucial opportunities for public health professionals, organisations and policy makers involved in the obesity prevention agenda.  Whilst limited recognition or concern was expressed about the prevalence of obesity in secondary schools, both appear to be applied to the two key behavioural factors influencing adolescent weight status (Butland and Jebb, 2007).  Consequently, and resonating with previous research (Clarke et al</w:t>
      </w:r>
      <w:r w:rsidR="006269B8" w:rsidRPr="009B3747">
        <w:rPr>
          <w:rFonts w:eastAsia="Times New Roman" w:cstheme="minorHAnsi"/>
          <w:color w:val="000000"/>
          <w:shd w:val="clear" w:color="auto" w:fill="FFFFFF"/>
          <w:lang w:eastAsia="en-GB"/>
        </w:rPr>
        <w:t>.</w:t>
      </w:r>
      <w:r w:rsidRPr="009B3747">
        <w:rPr>
          <w:rFonts w:eastAsia="Times New Roman" w:cstheme="minorHAnsi"/>
          <w:color w:val="000000"/>
          <w:shd w:val="clear" w:color="auto" w:fill="FFFFFF"/>
          <w:lang w:eastAsia="en-GB"/>
        </w:rPr>
        <w:t>, 2015), is the argument that instead of attempting to engage schools formally to tackle ‘obesity’, an increased willingness or desire may exist in school leadership or governance to address the unhealthy lifestyle behaviours related to obesity causation</w:t>
      </w:r>
      <w:r w:rsidR="006269B8" w:rsidRPr="009B3747">
        <w:rPr>
          <w:rFonts w:eastAsia="Times New Roman" w:cstheme="minorHAnsi"/>
          <w:color w:val="000000"/>
          <w:shd w:val="clear" w:color="auto" w:fill="FFFFFF"/>
          <w:lang w:eastAsia="en-GB"/>
        </w:rPr>
        <w:t xml:space="preserve"> </w:t>
      </w:r>
      <w:r w:rsidR="006269B8" w:rsidRPr="009B3747">
        <w:rPr>
          <w:rFonts w:eastAsia="Times New Roman" w:cstheme="minorHAnsi"/>
          <w:color w:val="000000"/>
          <w:shd w:val="clear" w:color="auto" w:fill="FFFFFF"/>
          <w:lang w:eastAsia="en-GB"/>
        </w:rPr>
        <w:fldChar w:fldCharType="begin" w:fldLock="1"/>
      </w:r>
      <w:r w:rsidR="009C2ECF" w:rsidRPr="009B3747">
        <w:rPr>
          <w:rFonts w:eastAsia="Times New Roman" w:cstheme="minorHAnsi"/>
          <w:color w:val="000000"/>
          <w:shd w:val="clear" w:color="auto" w:fill="FFFFFF"/>
          <w:lang w:eastAsia="en-GB"/>
        </w:rPr>
        <w:instrText>ADDIN CSL_CITATION { "citationItems" : [ { "id" : "ITEM-1", "itemData" : { "ISSN" : "0002-9165", "PMID" : "16895873", "abstract" : "Consumption of sugar-sweetened beverages (SSBs), particularly carbonated soft drinks, may be a key contributor to the epidemic of overweight and obesity, by virtue of these beverages' high added sugar content, low satiety, and incomplete compensation for total energy. Whether an association exists between SSB intake and weight gain is unclear. We searched English-language MEDLINE publications from 1966 through May 2005 for cross-sectional, prospective cohort, and experimental studies of the relation between SSBs and the risk of weight gain (ie, overweight, obesity, or both). Thirty publications (15 cross-sectional, 10 prospective, and 5 experimental) were selected on the basis of relevance and quality of design and methods. Findings from large cross-sectional studies, in conjunction with those from well-powered prospective cohort studies with long periods of follow-up, show a positive association between greater intakes of SSBs and weight gain and obesity in both children and adults. Findings from short-term feeding trials in adults also support an induction of positive energy balance and weight gain by intake of sugar-sweetened sodas, but these trials are few. A school-based intervention found significantly less soft-drink consumption and prevalence of obese and overweight children in the intervention group than in control subjects after 12 mo, and a recent 25-week randomized controlled trial in adolescents found further evidence linking SSB intake to body weight. The weight of epidemiologic and experimental evidence indicates that a greater consumption of SSBs is associated with weight gain and obesity. Although more research is needed, sufficient evidence exists for public health strategies to discourage consumption of sugary drinks as part of a healthy lifestyle.", "author" : [ { "dropping-particle" : "", "family" : "Malik", "given" : "Vasanti S", "non-dropping-particle" : "", "parse-names" : false, "suffix" : "" }, { "dropping-particle" : "", "family" : "Schulze", "given" : "Matthias B", "non-dropping-particle" : "", "parse-names" : false, "suffix" : "" }, { "dropping-particle" : "", "family" : "Hu", "given" : "Frank B", "non-dropping-particle" : "", "parse-names" : false, "suffix" : "" } ], "container-title" : "The American journal of clinical nutrition", "id" : "ITEM-1", "issue" : "2", "issued" : { "date-parts" : [ [ "2006", "8" ] ] }, "page" : "274-88", "title" : "Intake of sugar-sweetened beverages and weight gain: a systematic review.", "type" : "article-journal", "volume" : "84" }, "uris" : [ "http://www.mendeley.com/documents/?uuid=aaa89195-dbb0-326e-abb9-018e095ec1a5" ] }, { "id" : "ITEM-2", "itemData" : { "DOI" : "10.1080/10408390903467514", "ISSN" : "1040-8398", "PMID" : "20112153", "abstract" : "Skipping breakfast is common among children and adolescents. However, there is uncertainty regarding whether breakfast consumption contributes to or protects against overweight or obesity. We aimed to review the evidence on the effects of breakfast consumption on body weight outcomes in children and adolescents in Europe. The Cochrane Library, MEDLINE, and EMBASE were searched in January 2009. We identified 16 studies. All were cross-sectional or cohort trials involving more than 59,000 children/adolescents from Europe. Thirteen studies (n = 57,481) consistently showed that breakfast has a protective effect against becoming overweight or obese. One trial (n = 886) showed that this effect was significant only for boys. The effect of eating breakfast on the body mass index (BMI) was analyzed in 4 studies (n = 2897). All of these studies showed an increase in BMI in breakfast skippers. In one study (n = 1245), this effect was significant only for boys. The results of this analysis suggest that eating breakfast is associated with a reduced risk of becoming overweight or obese and a reduction in the BMI in children and adolescents in Europe. However, almost all of the data in this review were gathered from observational studies, thus, causality should not be assumed based on these findings.", "author" : [ { "dropping-particle" : "", "family" : "Szajewska", "given" : "Hania", "non-dropping-particle" : "", "parse-names" : false, "suffix" : "" }, { "dropping-particle" : "", "family" : "Ruszczy\u0144ski", "given" : "Marek", "non-dropping-particle" : "", "parse-names" : false, "suffix" : "" } ], "container-title" : "Critical Reviews in Food Science and Nutrition", "id" : "ITEM-2", "issue" : "2", "issued" : { "date-parts" : [ [ "2010", "1", "29" ] ] }, "page" : "113-119", "title" : "Systematic Review Demonstrating that Breakfast Consumption Influences Body Weight Outcomes in Children and Adolescents in Europe", "type" : "article-journal", "volume" : "50" }, "uris" : [ "http://www.mendeley.com/documents/?uuid=f0ce9c65-901a-3405-be7c-d2e99a4e07c3" ] }, { "id" : "ITEM-3", "itemData" : { "DOI" : "10.1016/j.amepre.2011.05.004", "ISSN" : "07493797", "PMID" : "21767729", "abstract" : "CONTEXT To systematically review and provide an informative synthesis of findings from longitudinal studies published since 1996 reporting on relationships between self-reported sedentary behavior and device-based measures of sedentary time with health-related outcomes in adults. EVIDENCE ACQUISITION Studies published between 1996 and January 2011 were identified by examining existing literature reviews and by systematic searches in Web of Science, MEDLINE, PubMed, and PsycINFO. English-written articles were selected according to study design, targeted behavior, and health outcome. EVIDENCE SYNTHESIS Forty-eight articles met the inclusion criteria; of these, 46 incorporated self-reported measures including total sitting time; TV viewing time only; TV viewing time and other screen-time behaviors; and TV viewing time plus other sedentary behaviors. Findings indicate a consistent relationship of self-reported sedentary behavior with mortality and with weight gain from childhood to the adult years. However, findings were mixed for associations with disease incidence, weight gain during adulthood, and cardiometabolic risk. Of the three studies that used device-based measures of sedentary time, one showed that markers of obesity predicted sedentary time, whereas inconclusive findings have been observed for markers of insulin resistance. CONCLUSIONS There is a growing body of evidence that sedentary behavior may be a distinct risk factor, independent of physical activity, for multiple adverse health outcomes in adults. Prospective studies using device-based measures are required to provide a clearer understanding of the impact of sedentary time on health outcomes.", "author" : [ { "dropping-particle" : "", "family" : "Thorp", "given" : "Alicia A.", "non-dropping-particle" : "", "parse-names" : false, "suffix" : "" }, { "dropping-particle" : "", "family" : "Owen", "given" : "Neville", "non-dropping-particle" : "", "parse-names" : false, "suffix" : "" }, { "dropping-particle" : "", "family" : "Neuhaus", "given" : "Maike", "non-dropping-particle" : "", "parse-names" : false, "suffix" : "" }, { "dropping-particle" : "", "family" : "Dunstan", "given" : "David W.", "non-dropping-particle" : "", "parse-names" : false, "suffix" : "" } ], "container-title" : "American Journal of Preventive Medicine", "id" : "ITEM-3", "issue" : "2", "issued" : { "date-parts" : [ [ "2011", "8" ] ] }, "page" : "207-215", "title" : "Sedentary Behaviors and Subsequent Health Outcomes in Adults", "type" : "article-journal", "volume" : "41" }, "uris" : [ "http://www.mendeley.com/documents/?uuid=8d78e46a-0cef-3192-b6fc-74131a4b2140" ] }, { "id" : "ITEM-4", "itemData" : { "DOI" : "10.1186/1479-5868-8-98", "ISSN" : "1479-5868", "PMID" : "21936895", "abstract" : "Accumulating evidence suggests that, independent of physical activity levels, sedentary behaviours are associated with increased risk of cardio-metabolic disease, all-cause mortality, and a variety of physiological and psychological problems. Therefore, the purpose of this systematic review is to determine the relationship between sedentary behaviour and health indicators in school-aged children and youth aged 5-17 years. Online databases (MEDLINE, EMBASE and PsycINFO), personal libraries and government documents were searched for relevant studies examining time spent engaging in sedentary behaviours and six specific health indicators (body composition, fitness, metabolic syndrome and cardiovascular disease, self-esteem, pro-social behaviour and academic achievement). 232 studies including 983,840 participants met inclusion criteria and were included in the review. Television (TV) watching was the most common measure of sedentary behaviour and body composition was the most common outcome measure. Qualitative analysis of all studies revealed a dose-response relation between increased sedentary behaviour and unfavourable health outcomes. Watching TV for more than 2 hours per day was associated with unfavourable body composition, decreased fitness, lowered scores for self-esteem and pro-social behaviour and decreased academic achievement. Meta-analysis was completed for randomized controlled studies that aimed to reduce sedentary time and reported change in body mass index (BMI) as their primary outcome. In this regard, a meta-analysis revealed an overall significant effect of -0.81 (95% CI of -1.44 to -0.17, p = 0.01) indicating an overall decrease in mean BMI associated with the interventions. There is a large body of evidence from all study designs which suggests that decreasing any type of sedentary time is associated with lower health risk in youth aged 5-17 years. In particular, the evidence suggests that daily TV viewing in excess of 2 hours is associated with reduced physical and psychosocial health, and that lowering sedentary time leads to reductions in BMI.", "author" : [ { "dropping-particle" : "", "family" : "Tremblay", "given" : "Mark S", "non-dropping-particle" : "", "parse-names" : false, "suffix" : "" }, { "dropping-particle" : "", "family" : "LeBlanc", "given" : "Allana G", "non-dropping-particle" : "", "parse-names" : false, "suffix" : "" }, { "dropping-particle" : "", "family" : "Kho", "given" : "Michelle E", "non-dropping-particle" : "", "parse-names" : false, "suffix" : "" }, { "dropping-particle" : "", "family" : "Saunders", "given" : "Travis J", "non-dropping-particle" : "", "parse-names" : false, "suffix" : "" }, { "dropping-particle" : "", "family" : "Larouche", "given" : "Richard", "non-dropping-particle" : "", "parse-names" : false, "suffix" : "" }, { "dropping-particle" : "", "family" : "Colley", "given" : "Rachel C", "non-dropping-particle" : "", "parse-names" : false, "suffix" : "" }, { "dropping-particle" : "", "family" : "Goldfield", "given" : "Gary", "non-dropping-particle" : "", "parse-names" : false, "suffix" : "" }, { "dropping-particle" : "", "family" : "Connor Gorber", "given" : "Sarah", "non-dropping-particle" : "", "parse-names" : false, "suffix" : "" } ], "container-title" : "The international journal of behavioral nutrition and physical activity", "id" : "ITEM-4", "issue" : "1", "issued" : { "date-parts" : [ [ "2011", "9", "21" ] ] }, "page" : "98", "publisher" : "BioMed Central", "title" : "Systematic review of sedentary behaviour and health indicators in school-aged children and youth.", "type" : "article-journal", "volume" : "8" }, "uris" : [ "http://www.mendeley.com/documents/?uuid=995984a2-a98c-3e38-80cc-dbe986534fa1" ] }, { "id" : "ITEM-5", "itemData" : { "DOI" : "10.1016/S0140-6736(12)60646-1", "ISSN" : "1474-547X", "PMID" : "22818937", "abstract" : "To implement effective non-communicable disease prevention programmes, policy makers need data for physical activity levels and trends. In this report, we describe physical activity levels worldwide with data for adults (15 years or older) from 122 countries and for adolescents (13-15-years-old) from 105 countries. Worldwide, 31\u00b71% (95% CI 30\u00b79-31\u00b72) of adults are physically inactive, with proportions ranging from 17\u00b70% (16\u00b78-17\u00b72) in southeast Asia to about 43% in the Americas and the eastern Mediterranean. Inactivity rises with age, is higher in women than in men, and is increased in high-income countries. The proportion of 13-15-year-olds doing fewer than 60 min of physical activity of moderate to vigorous intensity per day is 80\u00b73% (80\u00b71-80\u00b75); boys are more active than are girls. Continued improvement in monitoring of physical activity would help to guide development of policies and programmes to increase activity levels and to reduce the burden of non-communicable diseases.", "author" : [ { "dropping-particle" : "", "family" : "Hallal", "given" : "Pedro C", "non-dropping-particle" : "", "parse-names" : false, "suffix" : "" }, { "dropping-particle" : "", "family" : "Andersen", "given" : "Lars Bo", "non-dropping-particle" : "", "parse-names" : false, "suffix" : "" }, { "dropping-particle" : "", "family" : "Bull", "given" : "Fiona C", "non-dropping-particle" : "", "parse-names" : false, "suffix" : "" }, { "dropping-particle" : "", "family" : "Guthold", "given" : "Regina", "non-dropping-particle" : "", "parse-names" : false, "suffix" : "" }, { "dropping-particle" : "", "family" : "Haskell", "given" : "William", "non-dropping-particle" : "", "parse-names" : false, "suffix" : "" }, { "dropping-particle" : "", "family" : "Ekelund", "given" : "Ulf", "non-dropping-particle" : "", "parse-names" : false, "suffix" : "" }, { "dropping-particle" : "", "family" : "Lancet Physical Activity Series Working Group", "given" : "for the Lancet Physical Activity Series Working", "non-dropping-particle" : "", "parse-names" : false, "suffix" : "" } ], "container-title" : "Lancet (London, England)", "id" : "ITEM-5", "issue" : "9838", "issued" : { "date-parts" : [ [ "2012", "7", "21" ] ] }, "page" : "247-57", "publisher" : "World Health Organization, Geneva", "title" : "Global physical activity levels: surveillance progress, pitfalls, and prospects.", "type" : "article-journal", "volume" : "380" }, "uris" : [ "http://www.mendeley.com/documents/?uuid=81d6f253-03e7-367e-951a-aa39be9e16fc" ] }, { "id" : "ITEM-6", "itemData" : { "ISSN" : "1756-1833", "PMID" : "23321486", "abstract" : "OBJECTIVE To summarise evidence on the association between intake of dietary sugars and body weight in adults and children. DESIGN Systematic review and meta-analysis of randomised controlled trials and prospective cohort studies. DATA SOURCES OVID Medline, Embase, PubMed, Cumulative Index to Nursing and Allied Health Literature, Scopus, and Web of Science (up to December 2011). REVIEW METHODS Eligible studies reported the intake of total sugars, intake of a component of total sugars, or intake of sugar containing foods or beverages; and at least one measure of body fatness. Minimum duration was two weeks for trials and one year for cohort studies. Trials of weight loss or confounded by additional medical or lifestyle interventions were excluded. Study selection, assessment, validity, data extraction, and analysis were undertaken as specified by the Cochrane Collaboration and the GRADE working group. For trials, we pooled data for weight change using inverse variance models with random effects. We pooled cohort study data where possible to estimate effect sizes, expressed as odds ratios for risk of obesity or \u03b2 coefficients for change in adiposity per unit of intake. RESULTS 30 of 7895 trials and 38 of 9445 cohort studies were eligible. In trials of adults with ad libitum diets (that is, with no strict control of food intake), reduced intake of dietary sugars was associated with a decrease in body weight (0.80 kg, 95% confidence interval 0.39 to 1.21; P&lt;0.001); increased sugars intake was associated with a comparable weight increase (0.75 kg, 0.30 to 1.19; P=0.001). Isoenergetic exchange of dietary sugars with other carbohydrates showed no change in body weight (0.04 kg, -0.04 to 0.13). Trials in children, which involved recommendations to reduce intake of sugar sweetened foods and beverages, had low participant compliance to dietary advice; these trials showed no overall change in body weight. However, in relation to intakes of sugar sweetened beverages after one year follow-up in prospective studies, the odds ratio for being overweight or obese increased was 1.55 (1.32 to 1.82) among groups with the highest intake compared with those with the lowest intake. Despite significant heterogeneity in one meta-analysis and potential bias in some trials, sensitivity analyses showed that the trends were consistent and associations remained after these studies were excluded. CONCLUSIONS Among free living people involving ad libitum diets, intake of free sugars o\u2026", "author" : [ { "dropping-particle" : "", "family" : "Morenga", "given" : "Lisa", "non-dropping-particle" : "Te", "parse-names" : false, "suffix" : "" }, { "dropping-particle" : "", "family" : "Mallard", "given" : "Simonette", "non-dropping-particle" : "", "parse-names" : false, "suffix" : "" }, { "dropping-particle" : "", "family" : "Mann", "given" : "Jim", "non-dropping-particle" : "", "parse-names" : false, "suffix" : "" } ], "container-title" : "BMJ (Clinical research ed.)", "id" : "ITEM-6", "issued" : { "date-parts" : [ [ "2012", "1", "15" ] ] }, "page" : "e7492", "title" : "Dietary sugars and body weight: systematic review and meta-analyses of randomised controlled trials and cohort studies.", "type" : "article-journal", "volume" : "346" }, "uris" : [ "http://www.mendeley.com/documents/?uuid=1bf9cb87-fc82-3007-b033-cd0c6648a141" ] } ], "mendeley" : { "formattedCitation" : "(Malik et al., 2006; Szajewska and Ruszczy\u0144ski, 2010; Thorp et al., 2011; Tremblay et al., 2011; Hallal et al., 2012; Te Morenga et al., 2012)", "plainTextFormattedCitation" : "(Malik et al., 2006; Szajewska and Ruszczy\u0144ski, 2010; Thorp et al., 2011; Tremblay et al., 2011; Hallal et al., 2012; Te Morenga et al., 2012)", "previouslyFormattedCitation" : "(Malik et al., 2006; Szajewska and Ruszczy\u0144ski, 2010; Thorp et al., 2011; Tremblay et al., 2011; Hallal et al., 2012; Te Morenga et al., 2012)" }, "properties" : { "noteIndex" : 0 }, "schema" : "https://github.com/citation-style-language/schema/raw/master/csl-citation.json" }</w:instrText>
      </w:r>
      <w:r w:rsidR="006269B8" w:rsidRPr="009B3747">
        <w:rPr>
          <w:rFonts w:eastAsia="Times New Roman" w:cstheme="minorHAnsi"/>
          <w:color w:val="000000"/>
          <w:shd w:val="clear" w:color="auto" w:fill="FFFFFF"/>
          <w:lang w:eastAsia="en-GB"/>
        </w:rPr>
        <w:fldChar w:fldCharType="separate"/>
      </w:r>
      <w:r w:rsidR="006269B8" w:rsidRPr="009B3747">
        <w:rPr>
          <w:rFonts w:eastAsia="Times New Roman" w:cstheme="minorHAnsi"/>
          <w:noProof/>
          <w:color w:val="000000"/>
          <w:shd w:val="clear" w:color="auto" w:fill="FFFFFF"/>
          <w:lang w:eastAsia="en-GB"/>
        </w:rPr>
        <w:t>(Malik et al., 2006; Szajewska and Ruszczyński, 2010; Thorp et al., 2011; Tremblay et al., 2011; Hallal et al., 2012; Te Morenga et al., 2012)</w:t>
      </w:r>
      <w:r w:rsidR="006269B8" w:rsidRPr="009B3747">
        <w:rPr>
          <w:rFonts w:eastAsia="Times New Roman" w:cstheme="minorHAnsi"/>
          <w:color w:val="000000"/>
          <w:shd w:val="clear" w:color="auto" w:fill="FFFFFF"/>
          <w:lang w:eastAsia="en-GB"/>
        </w:rPr>
        <w:fldChar w:fldCharType="end"/>
      </w:r>
      <w:r w:rsidR="006269B8" w:rsidRPr="009B3747">
        <w:rPr>
          <w:rFonts w:eastAsia="Times New Roman" w:cstheme="minorHAnsi"/>
          <w:color w:val="000000"/>
          <w:shd w:val="clear" w:color="auto" w:fill="FFFFFF"/>
          <w:lang w:eastAsia="en-GB"/>
        </w:rPr>
        <w:t>.</w:t>
      </w:r>
    </w:p>
    <w:p w:rsidR="00F20748" w:rsidRPr="009B3747" w:rsidRDefault="00F20748" w:rsidP="00AC3B26">
      <w:pPr>
        <w:rPr>
          <w:rFonts w:eastAsia="Times New Roman" w:cstheme="minorHAnsi"/>
          <w:color w:val="000000"/>
          <w:shd w:val="clear" w:color="auto" w:fill="FFFFFF"/>
          <w:lang w:eastAsia="en-GB"/>
        </w:rPr>
      </w:pPr>
    </w:p>
    <w:p w:rsidR="00F20748" w:rsidRPr="009B3747" w:rsidRDefault="000A3628" w:rsidP="00AC3B26">
      <w:pPr>
        <w:rPr>
          <w:rFonts w:eastAsia="Times New Roman" w:cstheme="minorHAnsi"/>
          <w:color w:val="000000"/>
          <w:shd w:val="clear" w:color="auto" w:fill="FFFFFF"/>
          <w:lang w:eastAsia="en-GB"/>
        </w:rPr>
      </w:pPr>
      <w:r w:rsidRPr="009B3747">
        <w:rPr>
          <w:rFonts w:eastAsia="Times New Roman" w:cstheme="minorHAnsi"/>
          <w:color w:val="000000"/>
          <w:shd w:val="clear" w:color="auto" w:fill="FFFFFF"/>
          <w:lang w:eastAsia="en-GB"/>
        </w:rPr>
        <w:t xml:space="preserve">9.3.1.2 </w:t>
      </w:r>
      <w:r w:rsidR="00F20748" w:rsidRPr="009B3747">
        <w:rPr>
          <w:rFonts w:eastAsia="Times New Roman" w:cstheme="minorHAnsi"/>
          <w:color w:val="000000"/>
          <w:shd w:val="clear" w:color="auto" w:fill="FFFFFF"/>
          <w:lang w:eastAsia="en-GB"/>
        </w:rPr>
        <w:t>The multiple spheres of influence</w:t>
      </w:r>
    </w:p>
    <w:p w:rsidR="006269B8" w:rsidRPr="009B3747" w:rsidRDefault="006269B8"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When considering the causes of adolescent obesity, a major finding resulting from this research is the recognition by headteachers and chairs of governors that multiple and connected spheres of influence affect adolescents’ ability and desire to achieve and maintain a healthy weight</w:t>
      </w:r>
      <w:r w:rsidR="006269B8" w:rsidRPr="009B3747">
        <w:rPr>
          <w:rFonts w:eastAsia="Times New Roman" w:cstheme="minorHAnsi"/>
          <w:color w:val="000000"/>
          <w:lang w:eastAsia="en-GB"/>
        </w:rPr>
        <w:t xml:space="preserve"> </w:t>
      </w:r>
      <w:r w:rsidR="006269B8"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"ISSN" : "0195-8402", "PMID" : "3068205", "abstract" : "During the past 20 years there has been a dramatic increase in societal interest in preventing disability and death in the United States by changing individual behaviors linked to the risk of contracting chronic diseases. This renewed interest in health pro- motion and disease prevention has not been without its critics. Some critics have accused proponents of life-style interventions of promoting a victim-blaming ideology by neglecting the importance of social influences on health and disease. This article proposes an ecological model for health promotion which focuses atten- tion on both individual and social environmental factors as targets for health promo- tion interventions. It addresses the importance of interventions directed at changing interpersonal, organizational, community, and public policy, factors which support and maintain unhealthy behaviors. The model assumes that appropriate changes in the social environment will produce changes in individuals, and that the support of individ- uals in the population is essential for implementing environmental changes.", "author" : [ { "dropping-particle" : "", "family" : "McLeroy", "given" : "Kenneth R", "non-dropping-particle" : "", "parse-names" : false, "suffix" : "" }, { "dropping-particle" : "", "family" : "Bibeau", "given" : "Daniel", "non-dropping-particle" : "", "parse-names" : false, "suffix" : "" }, { "dropping-particle" : "", "family" : "Steckler", "given" : "Allan", "non-dropping-particle" : "", "parse-names" : false, "suffix" : "" }, { "dropping-particle" : "", "family" : "Glanz", "given" : "Karen", "non-dropping-particle" : "", "parse-names" : false, "suffix" : "" } ], "container-title" : "Health Education Quarterly", "id" : "ITEM-1", "issue" : "4", "issued" : { "date-parts" : [ [ "1988" ] ] }, "page" : "351-377", "title" : "Ecological Perspective on Promotion Programs", "type" : "article-journal", "volume" : "15" }, "uris" : [ "http://www.mendeley.com/documents/?uuid=1126c3a4-e48e-4537-bf5b-4a7b19026791" ] }, { "id" : "ITEM-2", "itemData" : { "author" : [ { "dropping-particle" : "", "family" : "Butland", "given" : "B", "non-dropping-particle" : "", "parse-names" : false, "suffix" : "" }, { "dropping-particle" : "", "family" : "Jebb", "given" : "S", "non-dropping-particle" : "", "parse-names" : false, "suffix" : "" } ], "id" : "ITEM-2", "issued" : { "date-parts" : [ [ "2007" ] ] }, "title" : "Foresight. Tackling obesities: future choices. Project report.", "type" : "report" }, "uris" : [ "http://www.mendeley.com/documents/?uuid=8ae0e880-41d4-4b61-b434-dc36711dd306" ] }, { "id" : "ITEM-3", "itemData" : { "DOI" : "10.1111/j.1468-0009.2009.00550.x", "ISSN" : "0887378X", "PMID" : "19298418", "abstract" : "CONTEXT Environmental, policy, and societal changes are important contributors to the rapid rise in obesity over the past few decades, and there has been substantial progress toward identifying environmental and policy factors related to eating and physical activity that can point toward solutions. This article is a status report on research on physical activity and food environments, and it suggests how these findings can be used to improve diet and physical activity and to control or reduce obesity. METHODS This article summarizes and synthesizes recent reviews and provides examples of representative studies. It also describes ongoing innovative interventions and policy change efforts that were identified through conference presentations, media coverage, and websites. FINDINGS Numerous cross-sectional studies have consistently demonstrated that some attributes of built and food environments are associated with physical activity, healthful eating, and obesity. Residents of walkable neighborhoods who have good access to recreation facilities are more likely to be physically active and less likely to be overweight or obese. Residents of communities with ready access to healthy foods also tend to have more healthful diets. Disparities in environments and policies that disadvantage low-income communities and racial minorities have been documented as well. Evidence from multilevel studies, prospective research, and quasi-experimental evaluations of environmental changes are just beginning to emerge. CONCLUSIONS Environment, policy, and multilevel strategies for improving diet, physical activity, and obesity control are recommended based on a rapidly growing body of research and the collective wisdom of leading expert organizations. A public health imperative to identify and implement solutions to the obesity epidemic warrants the use of the most promising strategies while continuing to build the evidence base.", "author" : [ { "dropping-particle" : "", "family" : "Sallis", "given" : "JAMES F.", "non-dropping-particle" : "", "parse-names" : false, "suffix" : "" }, { "dropping-particle" : "", "family" : "Glanz", "given" : "KAREN", "non-dropping-particle" : "", "parse-names" : false, "suffix" : "" } ], "container-title" : "Milbank Quarterly", "id" : "ITEM-3", "issue" : "1", "issued" : { "date-parts" : [ [ "2009", "3" ] ] }, "page" : "123-154", "title" : "Physical Activity and Food Environments: Solutions to the Obesity Epidemic", "type" : "article-journal", "volume" : "87" }, "uris" : [ "http://www.mendeley.com/documents/?uuid=28b0605a-952f-384e-8309-c875100ca503" ] } ], "mendeley" : { "formattedCitation" : "(Kenneth R McLeroy et al., 1988; Butland and Jebb, 2007; Sallis and Glanz, 2009)", "plainTextFormattedCitation" : "(Kenneth R McLeroy et al., 1988; Butland and Jebb, 2007; Sallis and Glanz, 2009)", "previouslyFormattedCitation" : "(Kenneth R McLeroy et al., 1988; Butland and Jebb, 2007; Sallis and Glanz, 2009)" }, "properties" : { "noteIndex" : 0 }, "schema" : "https://github.com/citation-style-language/schema/raw/master/csl-citation.json" }</w:instrText>
      </w:r>
      <w:r w:rsidR="006269B8" w:rsidRPr="009B3747">
        <w:rPr>
          <w:rFonts w:eastAsia="Times New Roman" w:cstheme="minorHAnsi"/>
          <w:color w:val="000000"/>
          <w:lang w:eastAsia="en-GB"/>
        </w:rPr>
        <w:fldChar w:fldCharType="separate"/>
      </w:r>
      <w:r w:rsidR="006269B8" w:rsidRPr="009B3747">
        <w:rPr>
          <w:rFonts w:eastAsia="Times New Roman" w:cstheme="minorHAnsi"/>
          <w:noProof/>
          <w:color w:val="000000"/>
          <w:lang w:eastAsia="en-GB"/>
        </w:rPr>
        <w:t>(Kenneth R McLeroy et al., 1988; Butland and Jebb, 2007; Sallis and Glanz, 2009)</w:t>
      </w:r>
      <w:r w:rsidR="006269B8" w:rsidRPr="009B3747">
        <w:rPr>
          <w:rFonts w:eastAsia="Times New Roman" w:cstheme="minorHAnsi"/>
          <w:color w:val="000000"/>
          <w:lang w:eastAsia="en-GB"/>
        </w:rPr>
        <w:fldChar w:fldCharType="end"/>
      </w:r>
      <w:r w:rsidR="006269B8" w:rsidRPr="009B3747">
        <w:rPr>
          <w:rFonts w:eastAsia="Times New Roman" w:cstheme="minorHAnsi"/>
          <w:color w:val="000000"/>
          <w:lang w:eastAsia="en-GB"/>
        </w:rPr>
        <w:t xml:space="preserve">.  </w:t>
      </w:r>
      <w:r w:rsidRPr="009B3747">
        <w:rPr>
          <w:rFonts w:eastAsia="Times New Roman" w:cstheme="minorHAnsi"/>
          <w:color w:val="000000"/>
          <w:lang w:eastAsia="en-GB"/>
        </w:rPr>
        <w:t>Originally identified in the qualitative phase, latterly confirmed in the quantitative phase and extensively supported in the existing evidence base, is the finding that participants view the home environment, the wider food environment and deprivation</w:t>
      </w:r>
      <w:r w:rsidR="00E415F9">
        <w:rPr>
          <w:rFonts w:eastAsia="Times New Roman" w:cstheme="minorHAnsi"/>
          <w:color w:val="000000"/>
          <w:lang w:eastAsia="en-GB"/>
        </w:rPr>
        <w:t>,</w:t>
      </w:r>
      <w:r w:rsidRPr="009B3747">
        <w:rPr>
          <w:rFonts w:eastAsia="Times New Roman" w:cstheme="minorHAnsi"/>
          <w:color w:val="000000"/>
          <w:lang w:eastAsia="en-GB"/>
        </w:rPr>
        <w:t xml:space="preserve"> as significantly influencing the lifestyle behaviours of children and adolescents</w:t>
      </w:r>
      <w:r w:rsidR="00C4197F" w:rsidRPr="009B3747">
        <w:rPr>
          <w:rFonts w:eastAsia="Times New Roman" w:cstheme="minorHAnsi"/>
          <w:color w:val="000000"/>
          <w:lang w:eastAsia="en-GB"/>
        </w:rPr>
        <w:t xml:space="preserve"> </w:t>
      </w:r>
      <w:r w:rsidR="00C4197F"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"Butland", "given" : "B", "non-dropping-particle" : "", "parse-names" : false, "suffix" : "" }, { "dropping-particle" : "", "family" : "Jebb", "given" : "S", "non-dropping-particle" : "", "parse-names" : false, "suffix" : "" } ], "id" : "ITEM-1", "issued" : { "date-parts" : [ [ "2007" ] ] }, "title" : "Foresight. Tackling obesities: future choices. Project report.", "type" : "report" }, "uris" : [ "http://www.mendeley.com/documents/?uuid=8ae0e880-41d4-4b61-b434-dc36711dd306" ] }, { "id" : "ITEM-2", "itemData" : { "DOI" : "10.1111/j.1467-789X.2007.00344.x", "ISSN" : "1467-7881", "author" : [ { "dropping-particle" : "", "family" : "Jebb", "given" : "S. A.", "non-dropping-particle" : "", "parse-names" : false, "suffix" : "" }, { "dropping-particle" : "", "family" : "Kopelman", "given" : "P.", "non-dropping-particle" : "", "parse-names" : false, "suffix" : "" }, { "dropping-particle" : "", "family" : "Butland", "given" : "B.", "non-dropping-particle" : "", "parse-names" : false, "suffix" : "" } ], "container-title" : "Obesity Reviews", "id" : "ITEM-2", "issue" : "s1", "issued" : { "date-parts" : [ [ "2007", "3", "1" ] ] }, "page" : "vi-ix", "publisher" : "Blackwell Publishing Ltd", "title" : "Executive Summary: FORESIGHT ?Tackling Obesities: Future Choices? project", "type" : "article-journal", "volume" : "8" }, "uris" : [ "http://www.mendeley.com/documents/?uuid=e73a53f3-f7de-3576-bb1a-7694a6fd0aa5" ] }, { "id" : "ITEM-3", "itemData" : { "author" : [ { "dropping-particle" : "", "family" : "World Health Organization", "given" : "", "non-dropping-particle" : "", "parse-names" : false, "suffix" : "" } ], "id" : "ITEM-3", "issued" : { "date-parts" : [ [ "2012" ] ] }, "publisher-place" : "Geneva", "title" : "Population-based approaches to childhood obesity prevention", "type" : "report" }, "uris" : [ "http://www.mendeley.com/documents/?uuid=13cb8a82-b4b1-4e1c-9cff-4799581d9a22" ] }, { "id" : "ITEM-4", "itemData" : { "author" : [ { "dropping-particle" : "", "family" : "Lobstein", "given" : "T", "non-dropping-particle" : "", "parse-names" : false, "suffix" : "" }, { "dropping-particle" : "", "family" : "Jackson-Leach", "given" : "R", "non-dropping-particle" : "", "parse-names" : false, "suffix" : "" }, { "dropping-particle" : "", "family" : "Moodie", "given" : "ML", "non-dropping-particle" : "", "parse-names" : false, "suffix" : "" } ], "container-title" : "The Lancet", "id" : "ITEM-4", "issue" : "9986", "issued" : { "date-parts" : [ [ "2015" ] ] }, "page" : "2510-2520", "title" : "Child and adolescent obesity: part of a bigger picture", "type" : "article-journal", "volume" : "385" }, "uris" : [ "http://www.mendeley.com/documents/?uuid=e072a246-f28d-4879-b95a-10b312372cee" ] }, { "id" : "ITEM-5", "itemData" : { "author" : [ { "dropping-particle" : "", "family" : "National Institute of Health and Care Excellence", "given" : "", "non-dropping-particle" : "", "parse-names" : false, "suffix" : "" } ], "id" : "ITEM-5", "issued" : { "date-parts" : [ [ "2015" ] ] }, "publisher-place" : "London", "title" : "Obesity in children and young people: prevention and lifestyle weight management programmes", "type" : "report" }, "uris" : [ "http://www.mendeley.com/documents/?uuid=572b7eec-0d9f-4bd1-8da0-2229d1fa31a3" ] }, { "id" : "ITEM-6", "itemData" : { "DOI" : "ISBN 978 92 4 151006 6", "ISBN" : "978 92 4 151006 6 \u00a9", "abstract" : "1. Over the past decade, the World Health Assembly, the governing body of the World Health Organization (WHO), and the United Nations General Assembly have adopted a series of resolutions1 that acknowledge noncommunicable diseases (NCDs) as a major challenge for development in the 21st century and have identified prevention and control as a core priority. The proposed Sustainable Development Goals propose a target on reducing premature mortality from NCDs2. 2. Among the NCD risk factors, obesity is particularly concerning. In children (aged under 19 years) it is associated with a wide range of health complications and an increased risk of premature onset of illnesses, including diabetes and heart disease. Preventing childhood obesity is a key approach to the primary prevention of NCDs. 3. Childhood obesity has complex origins and progress in tackling the issue has to date been slow. It is clear that a combination of scientific research, government leadership and community partnerships is necessary in order to develop the best recommendations and implement them worldwide. 4. In order to develop a comprehensive response to childhood obesity, the WHO Director- General established a high-level Commission on Ending Childhood Obesity (ECHO), which comprises 15 accomplished and eminent individuals from a variety of relevant backgrounds. The Commission has reviewed, built upon and addressed gaps in existing mandates and strategies with the support of two ad hoc working groups, one on science and evidence for ending childhood obesity (WGSE), and one on implementation, monitoring and accountability for ending childhood obesity (WGIMA). An Interim Report was developed for feedback through a series of regional consultations and hearings with Member States and non-State actors, and an online process for the submission of comments from relevant stakeholders. The Commission has reviewed these inputs and developed this draft final report, which will form the basis for a final round of regional and global consultation.", "author" : [ { "dropping-particle" : "", "family" : "World Health Organization", "given" : "", "non-dropping-particle" : "", "parse-names" : false, "suffix" : "" } ], "id" : "ITEM-6", "issued" : { "date-parts" : [ [ "2016" ] ] }, "publisher-place" : "Geneva", "title" : "Report of the Commission on Ending Childhood Obesity", "type" : "report" }, "uris" : [ "http://www.mendeley.com/documents/?uuid=fc7d72ef-f520-4e44-854a-cc82b135b368" ] }, { "id" : "ITEM-7", "itemData" : { "author" : [ { "dropping-particle" : "", "family" : "House of Commons Health Select Committee", "given" : "", "non-dropping-particle" : "", "parse-names" : false, "suffix" : "" } ], "id" : "ITEM-7", "issued" : { "date-parts" : [ [ "2017" ] ] }, "publisher-place" : "London", "title" : "Childhood obesity: follow up", "type" : "report" }, "uris" : [ "http://www.mendeley.com/documents/?uuid=fd352f61-9c4e-4fcc-b7ea-be308c47a62e" ] } ], "mendeley" : { "formattedCitation" : "(Butland and Jebb, 2007; Jebb et al., 2007; World Health Organization, 2012; Lobstein et al., 2015; National Institute of Health and Care Excellence, 2015b; World Health Organization, 2016c; House of Commons Health Select Committee, 2017)", "plainTextFormattedCitation" : "(Butland and Jebb, 2007; Jebb et al., 2007; World Health Organization, 2012; Lobstein et al., 2015; National Institute of Health and Care Excellence, 2015b; World Health Organization, 2016c; House of Commons Health Select Committee, 2017)", "previouslyFormattedCitation" : "(Butland and Jebb, 2007; Jebb et al., 2007; World Health Organization, 2012; Lobstein et al., 2015; National Institute of Health and Care Excellence, 2015b; World Health Organization, 2016c; House of Commons Health Select Committee, 2017)" }, "properties" : { "noteIndex" : 0 }, "schema" : "https://github.com/citation-style-language/schema/raw/master/csl-citation.json" }</w:instrText>
      </w:r>
      <w:r w:rsidR="00C4197F" w:rsidRPr="009B3747">
        <w:rPr>
          <w:rFonts w:eastAsia="Times New Roman" w:cstheme="minorHAnsi"/>
          <w:color w:val="000000"/>
          <w:lang w:eastAsia="en-GB"/>
        </w:rPr>
        <w:fldChar w:fldCharType="separate"/>
      </w:r>
      <w:r w:rsidR="00C4197F" w:rsidRPr="009B3747">
        <w:rPr>
          <w:rFonts w:eastAsia="Times New Roman" w:cstheme="minorHAnsi"/>
          <w:noProof/>
          <w:color w:val="000000"/>
          <w:lang w:eastAsia="en-GB"/>
        </w:rPr>
        <w:t>(Butland and Jebb, 2007; Jebb et al., 2007; World Health Organization, 2012; Lobstein et al., 2015; National Institute of Health and Care Excellence, 2015b; World Health Organization, 2016c; House of Commons Health Select Committee, 2017)</w:t>
      </w:r>
      <w:r w:rsidR="00C4197F" w:rsidRPr="009B3747">
        <w:rPr>
          <w:rFonts w:eastAsia="Times New Roman" w:cstheme="minorHAnsi"/>
          <w:color w:val="000000"/>
          <w:lang w:eastAsia="en-GB"/>
        </w:rPr>
        <w:fldChar w:fldCharType="end"/>
      </w:r>
      <w:r w:rsidR="00C4197F" w:rsidRPr="009B3747">
        <w:rPr>
          <w:rFonts w:eastAsia="Times New Roman" w:cstheme="minorHAnsi"/>
          <w:color w:val="000000"/>
          <w:lang w:eastAsia="en-GB"/>
        </w:rPr>
        <w:t xml:space="preserve">.  </w:t>
      </w:r>
      <w:r w:rsidRPr="009B3747">
        <w:rPr>
          <w:rFonts w:eastAsia="Times New Roman" w:cstheme="minorHAnsi"/>
          <w:color w:val="000000"/>
          <w:lang w:eastAsia="en-GB"/>
        </w:rPr>
        <w:t>This finding, provides weight to the proposed existence of an ‘obesogenic environment’ (Swinburn et al., 2011), which as presented in the review of the</w:t>
      </w:r>
      <w:r w:rsidR="00C4197F" w:rsidRPr="009B3747">
        <w:rPr>
          <w:rFonts w:eastAsia="Times New Roman" w:cstheme="minorHAnsi"/>
          <w:color w:val="000000"/>
          <w:lang w:eastAsia="en-GB"/>
        </w:rPr>
        <w:t xml:space="preserve"> literature is defined as the </w:t>
      </w:r>
      <w:r w:rsidR="00C4197F" w:rsidRPr="009B3747">
        <w:rPr>
          <w:rFonts w:eastAsia="Times New Roman" w:cstheme="minorHAnsi"/>
          <w:i/>
          <w:color w:val="000000"/>
          <w:lang w:eastAsia="en-GB"/>
        </w:rPr>
        <w:t>“s</w:t>
      </w:r>
      <w:r w:rsidRPr="009B3747">
        <w:rPr>
          <w:rFonts w:eastAsia="Times New Roman" w:cstheme="minorHAnsi"/>
          <w:i/>
          <w:color w:val="000000"/>
          <w:lang w:eastAsia="en-GB"/>
        </w:rPr>
        <w:t>um of the influences that the surroundings, opportunities or conditions of life have on promoting obesity</w:t>
      </w:r>
      <w:r w:rsidR="00C4197F" w:rsidRPr="009B3747">
        <w:rPr>
          <w:rFonts w:eastAsia="Times New Roman" w:cstheme="minorHAnsi"/>
          <w:i/>
          <w:color w:val="000000"/>
          <w:lang w:eastAsia="en-GB"/>
        </w:rPr>
        <w:t xml:space="preserve"> in individuals and populations”</w:t>
      </w:r>
      <w:r w:rsidRPr="009B3747">
        <w:rPr>
          <w:rFonts w:eastAsia="Times New Roman" w:cstheme="minorHAnsi"/>
          <w:color w:val="000000"/>
          <w:lang w:eastAsia="en-GB"/>
        </w:rPr>
        <w:t xml:space="preserve"> (Swinburn et al., 1999, p</w:t>
      </w:r>
      <w:r w:rsidR="00C4197F" w:rsidRPr="009B3747">
        <w:rPr>
          <w:rFonts w:eastAsia="Times New Roman" w:cstheme="minorHAnsi"/>
          <w:color w:val="000000"/>
          <w:lang w:eastAsia="en-GB"/>
        </w:rPr>
        <w:t>.</w:t>
      </w:r>
      <w:r w:rsidRPr="009B3747">
        <w:rPr>
          <w:rFonts w:eastAsia="Times New Roman" w:cstheme="minorHAnsi"/>
          <w:color w:val="000000"/>
          <w:lang w:eastAsia="en-GB"/>
        </w:rPr>
        <w:t>564).  </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Social and environmental influences on obesity as proposed by participants and supported in the Foresight report (2007), can be understood within the Social Ecological Model (SEM) of</w:t>
      </w:r>
      <w:r w:rsidR="00C4197F" w:rsidRPr="009B3747">
        <w:rPr>
          <w:rFonts w:eastAsia="Times New Roman" w:cstheme="minorHAnsi"/>
          <w:color w:val="000000"/>
          <w:lang w:eastAsia="en-GB"/>
        </w:rPr>
        <w:t xml:space="preserve"> Health promotion </w:t>
      </w:r>
      <w:r w:rsidR="00C4197F" w:rsidRPr="009B3747">
        <w:rPr>
          <w:rFonts w:eastAsia="Times New Roman" w:cstheme="minorHAnsi"/>
          <w:color w:val="000000"/>
          <w:lang w:eastAsia="en-GB"/>
        </w:rPr>
        <w:fldChar w:fldCharType="begin" w:fldLock="1"/>
      </w:r>
      <w:r w:rsidR="00C4197F" w:rsidRPr="009B3747">
        <w:rPr>
          <w:rFonts w:eastAsia="Times New Roman" w:cstheme="minorHAnsi"/>
          <w:color w:val="000000"/>
          <w:lang w:eastAsia="en-GB"/>
        </w:rPr>
        <w:instrText>ADDIN CSL_CITATION { "citationItems" : [ { "id" : "ITEM-1", "itemData" : { "ISSN" : "0195-8402", "PMID" : "3068205", "abstract" : "During the past 20 years there has been a dramatic increase in societal interest in preventing disability and death in the United States by changing individual behaviors linked to the risk of contracting chronic diseases. This renewed interest in health pro- motion and disease prevention has not been without its critics. Some critics have accused proponents of life-style interventions of promoting a victim-blaming ideology by neglecting the importance of social influences on health and disease. This article proposes an ecological model for health promotion which focuses atten- tion on both individual and social environmental factors as targets for health promo- tion interventions. It addresses the importance of interventions directed at changing interpersonal, organizational, community, and public policy, factors which support and maintain unhealthy behaviors. The model assumes that appropriate changes in the social environment will produce changes in individuals, and that the support of individ- uals in the population is essential for implementing environmental changes.", "author" : [ { "dropping-particle" : "", "family" : "McLeroy", "given" : "Kenneth R", "non-dropping-particle" : "", "parse-names" : false, "suffix" : "" }, { "dropping-particle" : "", "family" : "Bibeau", "given" : "Daniel", "non-dropping-particle" : "", "parse-names" : false, "suffix" : "" }, { "dropping-particle" : "", "family" : "Steckler", "given" : "Allan", "non-dropping-particle" : "", "parse-names" : false, "suffix" : "" }, { "dropping-particle" : "", "family" : "Glanz", "given" : "Karen", "non-dropping-particle" : "", "parse-names" : false, "suffix" : "" } ], "container-title" : "Health Education Quarterly", "id" : "ITEM-1", "issue" : "4", "issued" : { "date-parts" : [ [ "1988" ] ] }, "page" : "351-377", "title" : "Ecological Perspective on Promotion Programs", "type" : "article-journal", "volume" : "15" }, "uris" : [ "http://www.mendeley.com/documents/?uuid=1126c3a4-e48e-4537-bf5b-4a7b19026791" ] } ], "mendeley" : { "formattedCitation" : "(Kenneth R McLeroy et al., 1988)", "manualFormatting" : "(McLeroy et al., 1988)", "plainTextFormattedCitation" : "(Kenneth R McLeroy et al., 1988)", "previouslyFormattedCitation" : "(Kenneth R McLeroy et al., 1988)" }, "properties" : { "noteIndex" : 0 }, "schema" : "https://github.com/citation-style-language/schema/raw/master/csl-citation.json" }</w:instrText>
      </w:r>
      <w:r w:rsidR="00C4197F" w:rsidRPr="009B3747">
        <w:rPr>
          <w:rFonts w:eastAsia="Times New Roman" w:cstheme="minorHAnsi"/>
          <w:color w:val="000000"/>
          <w:lang w:eastAsia="en-GB"/>
        </w:rPr>
        <w:fldChar w:fldCharType="separate"/>
      </w:r>
      <w:r w:rsidR="00C4197F" w:rsidRPr="009B3747">
        <w:rPr>
          <w:rFonts w:eastAsia="Times New Roman" w:cstheme="minorHAnsi"/>
          <w:noProof/>
          <w:color w:val="000000"/>
          <w:lang w:eastAsia="en-GB"/>
        </w:rPr>
        <w:t>(McLeroy et al., 1988)</w:t>
      </w:r>
      <w:r w:rsidR="00C4197F" w:rsidRPr="009B3747">
        <w:rPr>
          <w:rFonts w:eastAsia="Times New Roman" w:cstheme="minorHAnsi"/>
          <w:color w:val="000000"/>
          <w:lang w:eastAsia="en-GB"/>
        </w:rPr>
        <w:fldChar w:fldCharType="end"/>
      </w:r>
      <w:r w:rsidRPr="009B3747">
        <w:rPr>
          <w:rFonts w:eastAsia="Times New Roman" w:cstheme="minorHAnsi"/>
          <w:color w:val="000000"/>
          <w:lang w:eastAsia="en-GB"/>
        </w:rPr>
        <w:t>.  The SEM recognises the complex, interrelating relationship between an individual and their context and significant contributions to the understanding of the SEM include Bronfenbrenn</w:t>
      </w:r>
      <w:r w:rsidR="00C4197F" w:rsidRPr="009B3747">
        <w:rPr>
          <w:rFonts w:eastAsia="Times New Roman" w:cstheme="minorHAnsi"/>
          <w:color w:val="000000"/>
          <w:lang w:eastAsia="en-GB"/>
        </w:rPr>
        <w:t xml:space="preserve">er’s Ecological Systems Theory </w:t>
      </w:r>
      <w:r w:rsidR="00C4197F"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"DOI" : "10.1016/0190-7409(80)90036-5", "ISBN" : "0674224574", "ISSN" : "01907409", "PMID" : "4629361", "abstract" : "To understand the way children develop, Bronfenbrenner believes that it is necessary to observe their behavior in natural settings, while they are interacting with familiar adults over prolonged periods of time. His book offers an important blueprint for constructing a new and ecologically valid psychology of development.", "author" : [ { "dropping-particle" : "", "family" : "Bronfenbrenner", "given" : "Urie", "non-dropping-particle" : "", "parse-names" : false, "suffix" : "" } ], "id" : "ITEM-1", "issued" : { "date-parts" : [ [ "1979" ] ] }, "publisher" : "Harvard University Press", "publisher-place" : "Cambridge", "title" : "The ecology of human development: Experiments by nature and design", "type" : "book" }, "uris" : [ "http://www.mendeley.com/documents/?uuid=eca263e8-9e26-3a5b-9b5c-791bb8d1b4fc" ] } ], "mendeley" : { "formattedCitation" : "(Bronfenbrenner, 1979)", "plainTextFormattedCitation" : "(Bronfenbrenner, 1979)", "previouslyFormattedCitation" : "(Bronfenbrenner, 1979)" }, "properties" : { "noteIndex" : 0 }, "schema" : "https://github.com/citation-style-language/schema/raw/master/csl-citation.json" }</w:instrText>
      </w:r>
      <w:r w:rsidR="00C4197F" w:rsidRPr="009B3747">
        <w:rPr>
          <w:rFonts w:eastAsia="Times New Roman" w:cstheme="minorHAnsi"/>
          <w:color w:val="000000"/>
          <w:lang w:eastAsia="en-GB"/>
        </w:rPr>
        <w:fldChar w:fldCharType="separate"/>
      </w:r>
      <w:r w:rsidR="00C4197F" w:rsidRPr="009B3747">
        <w:rPr>
          <w:rFonts w:eastAsia="Times New Roman" w:cstheme="minorHAnsi"/>
          <w:noProof/>
          <w:color w:val="000000"/>
          <w:lang w:eastAsia="en-GB"/>
        </w:rPr>
        <w:t>(Bronfenbrenner, 1979)</w:t>
      </w:r>
      <w:r w:rsidR="00C4197F" w:rsidRPr="009B3747">
        <w:rPr>
          <w:rFonts w:eastAsia="Times New Roman" w:cstheme="minorHAnsi"/>
          <w:color w:val="000000"/>
          <w:lang w:eastAsia="en-GB"/>
        </w:rPr>
        <w:fldChar w:fldCharType="end"/>
      </w:r>
      <w:r w:rsidR="00C4197F" w:rsidRPr="009B3747">
        <w:rPr>
          <w:rFonts w:eastAsia="Times New Roman" w:cstheme="minorHAnsi"/>
          <w:color w:val="000000"/>
          <w:lang w:eastAsia="en-GB"/>
        </w:rPr>
        <w:t xml:space="preserve"> and McLeroy and </w:t>
      </w:r>
      <w:r w:rsidR="00C4197F" w:rsidRPr="009B3747">
        <w:rPr>
          <w:rFonts w:eastAsia="Times New Roman" w:cstheme="minorHAnsi"/>
          <w:color w:val="000000"/>
          <w:lang w:eastAsia="en-GB"/>
        </w:rPr>
        <w:lastRenderedPageBreak/>
        <w:t xml:space="preserve">colleagues </w:t>
      </w:r>
      <w:r w:rsidRPr="009B3747">
        <w:rPr>
          <w:rFonts w:eastAsia="Times New Roman" w:cstheme="minorHAnsi"/>
          <w:color w:val="000000"/>
          <w:lang w:eastAsia="en-GB"/>
        </w:rPr>
        <w:t>Ecological Model of Health Behaviours</w:t>
      </w:r>
      <w:r w:rsidR="00C4197F" w:rsidRPr="009B3747">
        <w:rPr>
          <w:rFonts w:eastAsia="Times New Roman" w:cstheme="minorHAnsi"/>
          <w:color w:val="000000"/>
          <w:lang w:eastAsia="en-GB"/>
        </w:rPr>
        <w:t xml:space="preserve"> </w:t>
      </w:r>
      <w:r w:rsidR="00C4197F" w:rsidRPr="009B3747">
        <w:rPr>
          <w:rFonts w:eastAsia="Times New Roman" w:cstheme="minorHAnsi"/>
          <w:color w:val="000000"/>
          <w:lang w:eastAsia="en-GB"/>
        </w:rPr>
        <w:fldChar w:fldCharType="begin" w:fldLock="1"/>
      </w:r>
      <w:r w:rsidR="00C4197F" w:rsidRPr="009B3747">
        <w:rPr>
          <w:rFonts w:eastAsia="Times New Roman" w:cstheme="minorHAnsi"/>
          <w:color w:val="000000"/>
          <w:lang w:eastAsia="en-GB"/>
        </w:rPr>
        <w:instrText>ADDIN CSL_CITATION { "citationItems" : [ { "id" : "ITEM-1", "itemData" : { "ISSN" : "0195-8402", "PMID" : "3068205", "abstract" : "During the past 20 years there has been a dramatic increase in societal interest in preventing disability and death in the United States by changing individual behaviors linked to the risk of contracting chronic diseases. This renewed interest in health pro- motion and disease prevention has not been without its critics. Some critics have accused proponents of life-style interventions of promoting a victim-blaming ideology by neglecting the importance of social influences on health and disease. This article proposes an ecological model for health promotion which focuses atten- tion on both individual and social environmental factors as targets for health promo- tion interventions. It addresses the importance of interventions directed at changing interpersonal, organizational, community, and public policy, factors which support and maintain unhealthy behaviors. The model assumes that appropriate changes in the social environment will produce changes in individuals, and that the support of individ- uals in the population is essential for implementing environmental changes.", "author" : [ { "dropping-particle" : "", "family" : "McLeroy", "given" : "Kenneth R", "non-dropping-particle" : "", "parse-names" : false, "suffix" : "" }, { "dropping-particle" : "", "family" : "Bibeau", "given" : "Daniel", "non-dropping-particle" : "", "parse-names" : false, "suffix" : "" }, { "dropping-particle" : "", "family" : "Steckler", "given" : "Allan", "non-dropping-particle" : "", "parse-names" : false, "suffix" : "" }, { "dropping-particle" : "", "family" : "Glanz", "given" : "Karen", "non-dropping-particle" : "", "parse-names" : false, "suffix" : "" } ], "container-title" : "Health Education Quarterly", "id" : "ITEM-1", "issue" : "4", "issued" : { "date-parts" : [ [ "1988" ] ] }, "page" : "351-377", "title" : "Ecological Perspective on Promotion Programs", "type" : "article-journal", "volume" : "15" }, "uris" : [ "http://www.mendeley.com/documents/?uuid=1126c3a4-e48e-4537-bf5b-4a7b19026791" ] } ], "mendeley" : { "formattedCitation" : "(Kenneth R McLeroy et al., 1988)", "manualFormatting" : "(McLeroy et al., 1988)", "plainTextFormattedCitation" : "(Kenneth R McLeroy et al., 1988)", "previouslyFormattedCitation" : "(Kenneth R McLeroy et al., 1988)" }, "properties" : { "noteIndex" : 0 }, "schema" : "https://github.com/citation-style-language/schema/raw/master/csl-citation.json" }</w:instrText>
      </w:r>
      <w:r w:rsidR="00C4197F" w:rsidRPr="009B3747">
        <w:rPr>
          <w:rFonts w:eastAsia="Times New Roman" w:cstheme="minorHAnsi"/>
          <w:color w:val="000000"/>
          <w:lang w:eastAsia="en-GB"/>
        </w:rPr>
        <w:fldChar w:fldCharType="separate"/>
      </w:r>
      <w:r w:rsidR="00C4197F" w:rsidRPr="009B3747">
        <w:rPr>
          <w:rFonts w:eastAsia="Times New Roman" w:cstheme="minorHAnsi"/>
          <w:noProof/>
          <w:color w:val="000000"/>
          <w:lang w:eastAsia="en-GB"/>
        </w:rPr>
        <w:t>(McLeroy et al., 1988)</w:t>
      </w:r>
      <w:r w:rsidR="00C4197F" w:rsidRPr="009B3747">
        <w:rPr>
          <w:rFonts w:eastAsia="Times New Roman" w:cstheme="minorHAnsi"/>
          <w:color w:val="000000"/>
          <w:lang w:eastAsia="en-GB"/>
        </w:rPr>
        <w:fldChar w:fldCharType="end"/>
      </w:r>
      <w:r w:rsidRPr="009B3747">
        <w:rPr>
          <w:rFonts w:eastAsia="Times New Roman" w:cstheme="minorHAnsi"/>
          <w:color w:val="000000"/>
          <w:lang w:eastAsia="en-GB"/>
        </w:rPr>
        <w:t>.  When applied to obesity causation, the SEM can be utilised to reflect upon physiological, social, economic, physical, political and environmental factors influencing individual energy balance (Butland and Jebb, 2007; Lang and Rayner, 2007).  McLeroy</w:t>
      </w:r>
      <w:r w:rsidR="00C4197F" w:rsidRPr="009B3747">
        <w:rPr>
          <w:rFonts w:eastAsia="Times New Roman" w:cstheme="minorHAnsi"/>
          <w:color w:val="000000"/>
          <w:lang w:eastAsia="en-GB"/>
        </w:rPr>
        <w:t xml:space="preserve"> and colleagues </w:t>
      </w:r>
      <w:r w:rsidR="00C4197F" w:rsidRPr="009B3747">
        <w:rPr>
          <w:rFonts w:eastAsia="Times New Roman" w:cstheme="minorHAnsi"/>
          <w:color w:val="000000"/>
          <w:lang w:eastAsia="en-GB"/>
        </w:rPr>
        <w:fldChar w:fldCharType="begin" w:fldLock="1"/>
      </w:r>
      <w:r w:rsidR="00C4197F" w:rsidRPr="009B3747">
        <w:rPr>
          <w:rFonts w:eastAsia="Times New Roman" w:cstheme="minorHAnsi"/>
          <w:color w:val="000000"/>
          <w:lang w:eastAsia="en-GB"/>
        </w:rPr>
        <w:instrText>ADDIN CSL_CITATION { "citationItems" : [ { "id" : "ITEM-1", "itemData" : { "ISSN" : "0195-8402", "PMID" : "3068205", "abstract" : "During the past 20 years there has been a dramatic increase in societal interest in preventing disability and death in the United States by changing individual behaviors linked to the risk of contracting chronic diseases. This renewed interest in health pro- motion and disease prevention has not been without its critics. Some critics have accused proponents of life-style interventions of promoting a victim-blaming ideology by neglecting the importance of social influences on health and disease. This article proposes an ecological model for health promotion which focuses atten- tion on both individual and social environmental factors as targets for health promo- tion interventions. It addresses the importance of interventions directed at changing interpersonal, organizational, community, and public policy, factors which support and maintain unhealthy behaviors. The model assumes that appropriate changes in the social environment will produce changes in individuals, and that the support of individ- uals in the population is essential for implementing environmental changes.", "author" : [ { "dropping-particle" : "", "family" : "McLeroy", "given" : "Kenneth R", "non-dropping-particle" : "", "parse-names" : false, "suffix" : "" }, { "dropping-particle" : "", "family" : "Bibeau", "given" : "Daniel", "non-dropping-particle" : "", "parse-names" : false, "suffix" : "" }, { "dropping-particle" : "", "family" : "Steckler", "given" : "Allan", "non-dropping-particle" : "", "parse-names" : false, "suffix" : "" }, { "dropping-particle" : "", "family" : "Glanz", "given" : "Karen", "non-dropping-particle" : "", "parse-names" : false, "suffix" : "" } ], "container-title" : "Health Education Quarterly", "id" : "ITEM-1", "issue" : "4", "issued" : { "date-parts" : [ [ "1988" ] ] }, "page" : "351-377", "title" : "Ecological Perspective on Promotion Programs", "type" : "article-journal", "volume" : "15" }, "uris" : [ "http://www.mendeley.com/documents/?uuid=1126c3a4-e48e-4537-bf5b-4a7b19026791" ] } ], "mendeley" : { "formattedCitation" : "(Kenneth R McLeroy et al., 1988)", "manualFormatting" : "(McLeroy et al., 1988)", "plainTextFormattedCitation" : "(Kenneth R McLeroy et al., 1988)", "previouslyFormattedCitation" : "(Kenneth R McLeroy et al., 1988)" }, "properties" : { "noteIndex" : 0 }, "schema" : "https://github.com/citation-style-language/schema/raw/master/csl-citation.json" }</w:instrText>
      </w:r>
      <w:r w:rsidR="00C4197F" w:rsidRPr="009B3747">
        <w:rPr>
          <w:rFonts w:eastAsia="Times New Roman" w:cstheme="minorHAnsi"/>
          <w:color w:val="000000"/>
          <w:lang w:eastAsia="en-GB"/>
        </w:rPr>
        <w:fldChar w:fldCharType="separate"/>
      </w:r>
      <w:r w:rsidR="00C4197F" w:rsidRPr="009B3747">
        <w:rPr>
          <w:rFonts w:eastAsia="Times New Roman" w:cstheme="minorHAnsi"/>
          <w:noProof/>
          <w:color w:val="000000"/>
          <w:lang w:eastAsia="en-GB"/>
        </w:rPr>
        <w:t>(McLeroy et al., 1988)</w:t>
      </w:r>
      <w:r w:rsidR="00C4197F" w:rsidRPr="009B3747">
        <w:rPr>
          <w:rFonts w:eastAsia="Times New Roman" w:cstheme="minorHAnsi"/>
          <w:color w:val="000000"/>
          <w:lang w:eastAsia="en-GB"/>
        </w:rPr>
        <w:fldChar w:fldCharType="end"/>
      </w:r>
      <w:r w:rsidR="00C4197F" w:rsidRPr="009B3747">
        <w:rPr>
          <w:rFonts w:eastAsia="Times New Roman" w:cstheme="minorHAnsi"/>
          <w:color w:val="000000"/>
          <w:lang w:eastAsia="en-GB"/>
        </w:rPr>
        <w:t>,</w:t>
      </w:r>
      <w:r w:rsidRPr="009B3747">
        <w:rPr>
          <w:rFonts w:eastAsia="Times New Roman" w:cstheme="minorHAnsi"/>
          <w:color w:val="000000"/>
          <w:lang w:eastAsia="en-GB"/>
        </w:rPr>
        <w:t xml:space="preserve"> proposed a SEM as sph</w:t>
      </w:r>
      <w:r w:rsidR="00C4197F" w:rsidRPr="009B3747">
        <w:rPr>
          <w:rFonts w:eastAsia="Times New Roman" w:cstheme="minorHAnsi"/>
          <w:color w:val="000000"/>
          <w:lang w:eastAsia="en-GB"/>
        </w:rPr>
        <w:t>eres of influence (</w:t>
      </w:r>
      <w:r w:rsidR="00155D43" w:rsidRPr="009B3747">
        <w:rPr>
          <w:rFonts w:eastAsia="Times New Roman" w:cstheme="minorHAnsi"/>
          <w:color w:val="000000"/>
          <w:lang w:eastAsia="en-GB"/>
        </w:rPr>
        <w:t xml:space="preserve">figure </w:t>
      </w:r>
      <w:r w:rsidR="00C4197F" w:rsidRPr="009B3747">
        <w:rPr>
          <w:rFonts w:eastAsia="Times New Roman" w:cstheme="minorHAnsi"/>
          <w:color w:val="000000"/>
          <w:lang w:eastAsia="en-GB"/>
        </w:rPr>
        <w:t>9.1</w:t>
      </w:r>
      <w:r w:rsidRPr="009B3747">
        <w:rPr>
          <w:rFonts w:eastAsia="Times New Roman" w:cstheme="minorHAnsi"/>
          <w:color w:val="000000"/>
          <w:lang w:eastAsia="en-GB"/>
        </w:rPr>
        <w:t>), namely intrapersonal, interpersonal, organizational, community and public policy to depict factors at mult</w:t>
      </w:r>
      <w:r w:rsidR="00155D43" w:rsidRPr="009B3747">
        <w:rPr>
          <w:rFonts w:eastAsia="Times New Roman" w:cstheme="minorHAnsi"/>
          <w:color w:val="000000"/>
          <w:lang w:eastAsia="en-GB"/>
        </w:rPr>
        <w:t xml:space="preserve">iple levels affecting behaviour </w:t>
      </w:r>
      <w:r w:rsidR="00155D43" w:rsidRPr="009B3747">
        <w:rPr>
          <w:rFonts w:eastAsia="Times New Roman" w:cstheme="minorHAnsi"/>
          <w:color w:val="000000"/>
          <w:lang w:eastAsia="en-GB"/>
        </w:rPr>
        <w:fldChar w:fldCharType="begin" w:fldLock="1"/>
      </w:r>
      <w:r w:rsidR="00155D43" w:rsidRPr="009B3747">
        <w:rPr>
          <w:rFonts w:eastAsia="Times New Roman" w:cstheme="minorHAnsi"/>
          <w:color w:val="000000"/>
          <w:lang w:eastAsia="en-GB"/>
        </w:rPr>
        <w:instrText>ADDIN CSL_CITATION { "citationItems" : [ { "id" : "ITEM-1", "itemData" : { "DOI" : "10.1016/j.puhe.2013.10.005", "ISSN" : "00333506", "PMID" : "24332408", "abstract" : "OBJECTIVE To explore the contextual influences on childhood obesity in Tehran, Iran to inform future development of an obesity prevention intervention for Iranian primary school children. STUDY DESIGN Qualitative study. METHODS Focus groups and interviews with parents and school staff were convened to explore their perceptions of the causes of childhood obesity. Eleven focus groups and three interviews were held with parents and school staff (88 participants in total) from three different socio-economic areas in Iran's capital city, Tehran. All the discussions were transcribed verbatim in Persian. An iterative thematic approach was used for data analysis. RESULTS Overall, the causes of childhood obesity were perceived to relate to macro-level policy influences, the school environment, sociocultural factors, and family and individual behavioural factors, acting in combination. A key emergent theme was the pervasive influence of Government policies on children's food intake and physical activity. Another key theme was the political and sociocultural context that does not support girls and women in Iran in having active lifestyles. CONCLUSION The findings suggest that parents and school staff have sophisticated views on the possible causes of childhood overweight and obesity which encompassed behavioural, structural and social causes. A prominent emerging theme was the need for state level intervention and support for a healthy environment. Any local initiatives in Iran are unlikely to be successful without such support. WHAT IS KNOWN ON THIS SUBJECT Childhood obesity is growing in Iran and it is seen as one of the features of the nutrition transition in developing countries. Findings from cross-sectional studies suggest a range of lifestyle factors contribute to obesity in the Iranian population. WHAT THIS STUDY ADDS This qualitative study explores the socioenvironmental changes contributing to childhood obesity in primary school-aged children in Iran. Findings have provided important contextual data on the perceived contributors to childhood obesity in Iran, such as macro-level policy influences on accessibility to healthy food and physical activity, competing priorities at school level, sociocultural influences on diet and physical activity and limited knowledge and skills of parents. This has laid the foundation for the development of appropriate childhood obesity prevention interventions.", "author" : [ { "dropping-particle" : "", "family" : "Mohammadpour-Ahranjani", "given" : "B.", "non-dropping-particle" : "", "parse-names" : false, "suffix" : "" }, { "dropping-particle" : "", "family" : "Pallan", "given" : "M.J.", "non-dropping-particle" : "", "parse-names" : false, "suffix" : "" }, { "dropping-particle" : "", "family" : "Rashidi", "given" : "A.", "non-dropping-particle" : "", "parse-names" : false, "suffix" : "" }, { "dropping-particle" : "", "family" : "Adab", "given" : "P.", "non-dropping-particle" : "", "parse-names" : false, "suffix" : "" } ], "container-title" : "Public Health", "id" : "ITEM-1", "issue" : "1", "issued" : { "date-parts" : [ [ "2014", "1" ] ] }, "page" : "83-90", "title" : "Contributors to childhood obesity in Iran: the views of parents and school staff", "type" : "article-journal", "volume" : "128" }, "uris" : [ "http://www.mendeley.com/documents/?uuid=a84db3e4-ba55-37b9-83b7-e97786a10ec7" ] } ], "mendeley" : { "formattedCitation" : "(Mohammadpour-Ahranjani et al., 2014)", "plainTextFormattedCitation" : "(Mohammadpour-Ahranjani et al., 2014)", "previouslyFormattedCitation" : "(Mohammadpour-Ahranjani et al., 2014)" }, "properties" : { "noteIndex" : 0 }, "schema" : "https://github.com/citation-style-language/schema/raw/master/csl-citation.json" }</w:instrText>
      </w:r>
      <w:r w:rsidR="00155D43" w:rsidRPr="009B3747">
        <w:rPr>
          <w:rFonts w:eastAsia="Times New Roman" w:cstheme="minorHAnsi"/>
          <w:color w:val="000000"/>
          <w:lang w:eastAsia="en-GB"/>
        </w:rPr>
        <w:fldChar w:fldCharType="separate"/>
      </w:r>
      <w:r w:rsidR="00155D43" w:rsidRPr="009B3747">
        <w:rPr>
          <w:rFonts w:eastAsia="Times New Roman" w:cstheme="minorHAnsi"/>
          <w:noProof/>
          <w:color w:val="000000"/>
          <w:lang w:eastAsia="en-GB"/>
        </w:rPr>
        <w:t>(Mohammadpour-Ahranjani et al., 2014)</w:t>
      </w:r>
      <w:r w:rsidR="00155D43" w:rsidRPr="009B3747">
        <w:rPr>
          <w:rFonts w:eastAsia="Times New Roman" w:cstheme="minorHAnsi"/>
          <w:color w:val="000000"/>
          <w:lang w:eastAsia="en-GB"/>
        </w:rPr>
        <w:fldChar w:fldCharType="end"/>
      </w:r>
      <w:r w:rsidR="00155D43" w:rsidRPr="009B3747">
        <w:rPr>
          <w:rFonts w:eastAsia="Times New Roman" w:cstheme="minorHAnsi"/>
          <w:color w:val="000000"/>
          <w:lang w:eastAsia="en-GB"/>
        </w:rPr>
        <w:t>.</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noProof/>
          <w:color w:val="000000"/>
          <w:lang w:eastAsia="en-GB"/>
        </w:rPr>
        <w:drawing>
          <wp:inline distT="0" distB="0" distL="0" distR="0">
            <wp:extent cx="5715000" cy="2638425"/>
            <wp:effectExtent l="0" t="0" r="0" b="9525"/>
            <wp:docPr id="5" name="Picture 5" descr="https://lh4.googleusercontent.com/GVJRAZ3D7MQyFCYOs1nncEp1fz-MVHo3qPYTa_SuhjjxtRxRMksneuNPFxegMblvTwedN4kwShsaUGjQOZGy5_SRN7DyKoOfUyyOi6EW9fD92e7FEjxMF_0ZcM87_aXcGbwJg7J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GVJRAZ3D7MQyFCYOs1nncEp1fz-MVHo3qPYTa_SuhjjxtRxRMksneuNPFxegMblvTwedN4kwShsaUGjQOZGy5_SRN7DyKoOfUyyOi6EW9fD92e7FEjxMF_0ZcM87_aXcGbwJg7Jv"/>
                    <pic:cNvPicPr>
                      <a:picLocks noChangeAspect="1" noChangeArrowheads="1"/>
                    </pic:cNvPicPr>
                  </pic:nvPicPr>
                  <pic:blipFill>
                    <a:blip r:embed="rId31">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715000" cy="2638425"/>
                    </a:xfrm>
                    <a:prstGeom prst="rect">
                      <a:avLst/>
                    </a:prstGeom>
                    <a:noFill/>
                    <a:ln>
                      <a:noFill/>
                    </a:ln>
                  </pic:spPr>
                </pic:pic>
              </a:graphicData>
            </a:graphic>
          </wp:inline>
        </w:drawing>
      </w:r>
    </w:p>
    <w:p w:rsidR="00155D43" w:rsidRPr="009B3747" w:rsidRDefault="00155D43" w:rsidP="00155D43">
      <w:pPr>
        <w:ind w:left="3600" w:firstLine="720"/>
        <w:rPr>
          <w:rFonts w:eastAsia="Times New Roman" w:cstheme="minorHAnsi"/>
          <w:sz w:val="20"/>
          <w:szCs w:val="20"/>
          <w:u w:val="single"/>
          <w:lang w:eastAsia="en-GB"/>
        </w:rPr>
      </w:pPr>
      <w:r w:rsidRPr="009B3747">
        <w:rPr>
          <w:rFonts w:eastAsia="Times New Roman" w:cstheme="minorHAnsi"/>
          <w:color w:val="000000"/>
          <w:sz w:val="20"/>
          <w:szCs w:val="20"/>
          <w:u w:val="single"/>
          <w:lang w:eastAsia="en-GB"/>
        </w:rPr>
        <w:t>Figure 9.1 – Socio-Ecological Model (McLeroy et al., 1988)</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Universally across both phases of the study, this research found that the belief that when reflecting upon the various layers of influence identified, the most significant determining factor for adolescent obesity and lifestyle behaviours is the role of the home environment and parents (i.e. within the interpersonal sphere).  This finding supports previous research (Nollen et al</w:t>
      </w:r>
      <w:r w:rsidR="00155D43" w:rsidRPr="009B3747">
        <w:rPr>
          <w:rFonts w:eastAsia="Times New Roman" w:cstheme="minorHAnsi"/>
          <w:color w:val="000000"/>
          <w:lang w:eastAsia="en-GB"/>
        </w:rPr>
        <w:t>.</w:t>
      </w:r>
      <w:r w:rsidRPr="009B3747">
        <w:rPr>
          <w:rFonts w:eastAsia="Times New Roman" w:cstheme="minorHAnsi"/>
          <w:color w:val="000000"/>
          <w:lang w:eastAsia="en-GB"/>
        </w:rPr>
        <w:t>, 2007; Tripp and Choi, 2014; Clarke et al</w:t>
      </w:r>
      <w:r w:rsidR="00155D43" w:rsidRPr="009B3747">
        <w:rPr>
          <w:rFonts w:eastAsia="Times New Roman" w:cstheme="minorHAnsi"/>
          <w:color w:val="000000"/>
          <w:lang w:eastAsia="en-GB"/>
        </w:rPr>
        <w:t>.</w:t>
      </w:r>
      <w:r w:rsidRPr="009B3747">
        <w:rPr>
          <w:rFonts w:eastAsia="Times New Roman" w:cstheme="minorHAnsi"/>
          <w:color w:val="000000"/>
          <w:lang w:eastAsia="en-GB"/>
        </w:rPr>
        <w:t>, 2015; H</w:t>
      </w:r>
      <w:r w:rsidR="00155D43" w:rsidRPr="009B3747">
        <w:rPr>
          <w:rFonts w:eastAsia="Times New Roman" w:cstheme="minorHAnsi"/>
          <w:color w:val="000000"/>
          <w:lang w:eastAsia="en-GB"/>
        </w:rPr>
        <w:t xml:space="preserve">oward-Drake and Halliday, 2015; </w:t>
      </w:r>
      <w:r w:rsidRPr="009B3747">
        <w:rPr>
          <w:rFonts w:eastAsia="Times New Roman" w:cstheme="minorHAnsi"/>
          <w:color w:val="000000"/>
          <w:lang w:eastAsia="en-GB"/>
        </w:rPr>
        <w:t>Todd et al</w:t>
      </w:r>
      <w:r w:rsidR="00155D43" w:rsidRPr="009B3747">
        <w:rPr>
          <w:rFonts w:eastAsia="Times New Roman" w:cstheme="minorHAnsi"/>
          <w:color w:val="000000"/>
          <w:lang w:eastAsia="en-GB"/>
        </w:rPr>
        <w:t>.</w:t>
      </w:r>
      <w:r w:rsidRPr="009B3747">
        <w:rPr>
          <w:rFonts w:eastAsia="Times New Roman" w:cstheme="minorHAnsi"/>
          <w:color w:val="000000"/>
          <w:lang w:eastAsia="en-GB"/>
        </w:rPr>
        <w:t>, 2015), where parents were consistently identified by both headteachers and wider school stakeholders as performing the most influential role in childhood and adolescent obesity causation.  </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Although the concept of parental ‘blame’ for childhood and adolescent obesity</w:t>
      </w:r>
      <w:r w:rsidR="00155D43" w:rsidRPr="009B3747">
        <w:rPr>
          <w:rFonts w:eastAsia="Times New Roman" w:cstheme="minorHAnsi"/>
          <w:color w:val="000000"/>
          <w:lang w:eastAsia="en-GB"/>
        </w:rPr>
        <w:t xml:space="preserve"> </w:t>
      </w:r>
      <w:r w:rsidR="00155D43"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"DOI" : "10.1177/1367493507082757", "ISSN" : "1367-4935", "abstract" : "Childhood obesity has reached alarming levels and the problem has assumed great significance for health care staff who work with overweight children and their families. Anecdotal accounts of the difficulties that may emerge when health care providers communicate that a child's weight is outside of the normal range, were a key stimulus for this review. A local government health department commissioned a review of literature on communicating with parents about childhood overweight and obesity. Literature concerned with communicating a child's overweight to parents was limited and, as a result, this review draws upon a disparate body of literature to examine what is known and what might be helpful for health care providers when discussing a child's weight with the child and parents. This paper identifies a range of factors influencing communication between health care workers and parents and offers a number of practical approaches and strategies for facilitating successful communication between health practi...", "author" : [ { "dropping-particle" : "", "family" : "Mikhailovich", "given" : "Katja", "non-dropping-particle" : "", "parse-names" : false, "suffix" : "" }, { "dropping-particle" : "", "family" : "Morrison", "given" : "Paul", "non-dropping-particle" : "", "parse-names" : false, "suffix" : "" } ], "container-title" : "Journal of Child Health Care", "id" : "ITEM-1", "issue" : "4", "issued" : { "date-parts" : [ [ "2007", "12", "25" ] ] }, "page" : "311-322", "publisher" : "Sage PublicationsSage UK: London, England", "title" : "Discussing childhood overweight and obesity with parents: a health communication dilemma", "type" : "article-journal", "volume" : "11" }, "uris" : [ "http://www.mendeley.com/documents/?uuid=142e3f9f-150a-34e3-82c1-d3601dd74eb5" ] }, { "id" : "ITEM-2", "itemData" : { "DOI" : "10.1111/j.1600-0838.2004.00399.x-i1", "ISSN" : "08848971", "author" : [ { "dropping-particle" : "", "family" : "Saguy", "given" : "Abigail C.", "non-dropping-particle" : "", "parse-names" : false, "suffix" : "" }, { "dropping-particle" : "", "family" : "Almeling", "given" : "Rene", "non-dropping-particle" : "", "parse-names" : false, "suffix" : "" } ], "container-title" : "Sociological Forum", "id" : "ITEM-2", "issue" : "1", "issued" : { "date-parts" : [ [ "2008", "3", "1" ] ] }, "page" : "53-83", "publisher" : "Blackwell Publishing Ltd", "title" : "Fat in the Fire? Science, the News Media, and the \u201cObesity Epidemic\u201d 2", "type" : "article-journal", "volume" : "23" }, "uris" : [ "http://www.mendeley.com/documents/?uuid=3d3d7119-c2e9-3f82-961b-200bf1c955bf" ] }, { "id" : "ITEM-3", "itemData" : { "DOI" : "10.1111/j.1746-1561.2009.00461.x", "ISSN" : "00224391", "PMID" : "20051086", "abstract" : "BACKGROUND Obesity is a significant health problem among today's youth; however, most school-based prevention programs in this area have had limited success. Focus groups were conducted with seventh- to eighth-grade students, parents, and teachers to provide insight into the development of a comprehensive program for the prevention of adolescent obesity: the Teen Eating and Activity Mentoring in Schools project (TEAMS). METHODS Questions addressed (1) beliefs about the relationship between early adolescent behavior and health; (2) early adolescents' physical activity habits, preferences, influences, and barriers; (3) early adolescents' dietary habits, preferences, influences, and barriers; and (4) recommendations for interventions to promote physical activity and healthy eating in early adolescence. RESULTS Qualitative analyses revealed that early adolescents had a good understanding of the relationship between their behavior and their health, although they had a limited understanding of what constitutes healthy eating. Youth participants reported preferences for a number of healthy foods and physical activities, but identified numerous barriers preventing their engagement. The major difference between students, parents, and teachers reflected the operation of the fundamental attribution error with early adolescents attributing their unhealthy behaviors to situational factors, teachers blaming parents, and parents blaming their children. CONCLUSIONS Implications of these findings for the development of school-based, integrated strategies for obesity prevention among early adolescents are discussed.", "author" : [ { "dropping-particle" : "", "family" : "Power", "given" : "Thomas G.", "non-dropping-particle" : "", "parse-names" : false, "suffix" : "" }, { "dropping-particle" : "", "family" : "Bindler", "given" : "Ruth C.", "non-dropping-particle" : "", "parse-names" : false, "suffix" : "" }, { "dropping-particle" : "", "family" : "Goetz", "given" : "Summer", "non-dropping-particle" : "", "parse-names" : false, "suffix" : "" }, { "dropping-particle" : "", "family" : "Daratha", "given" : "Kenneth B.", "non-dropping-particle" : "", "parse-names" : false, "suffix" : "" } ], "container-title" : "Journal of School Health", "id" : "ITEM-3", "issue" : "1", "issued" : { "date-parts" : [ [ "2010", "1" ] ] }, "page" : "13-19", "title" : "Obesity Prevention in Early Adolescence: Student, Parent, and Teacher Views", "type" : "article-journal", "volume" : "80" }, "uris" : [ "http://www.mendeley.com/documents/?uuid=88af5a41-9861-3b51-9040-8c2f94b636ff" ] } ], "mendeley" : { "formattedCitation" : "(Mikhailovich and Morrison, 2007; Saguy and Almeling, 2008; Power et al., 2010)", "plainTextFormattedCitation" : "(Mikhailovich and Morrison, 2007; Saguy and Almeling, 2008; Power et al., 2010)", "previouslyFormattedCitation" : "(Mikhailovich and Morrison, 2007; Saguy and Almeling, 2008; Power et al., 2010)" }, "properties" : { "noteIndex" : 0 }, "schema" : "https://github.com/citation-style-language/schema/raw/master/csl-citation.json" }</w:instrText>
      </w:r>
      <w:r w:rsidR="00155D43" w:rsidRPr="009B3747">
        <w:rPr>
          <w:rFonts w:eastAsia="Times New Roman" w:cstheme="minorHAnsi"/>
          <w:color w:val="000000"/>
          <w:lang w:eastAsia="en-GB"/>
        </w:rPr>
        <w:fldChar w:fldCharType="separate"/>
      </w:r>
      <w:r w:rsidR="00155D43" w:rsidRPr="009B3747">
        <w:rPr>
          <w:rFonts w:eastAsia="Times New Roman" w:cstheme="minorHAnsi"/>
          <w:noProof/>
          <w:color w:val="000000"/>
          <w:lang w:eastAsia="en-GB"/>
        </w:rPr>
        <w:t>(Mikhailovich and Morrison, 2007; Saguy and Almeling, 2008; Power et al., 2010)</w:t>
      </w:r>
      <w:r w:rsidR="00155D43"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w:t>
      </w:r>
      <w:r w:rsidR="000C58B7">
        <w:rPr>
          <w:rFonts w:eastAsia="Times New Roman" w:cstheme="minorHAnsi"/>
          <w:color w:val="000000"/>
          <w:lang w:eastAsia="en-GB"/>
        </w:rPr>
        <w:t xml:space="preserve">was </w:t>
      </w:r>
      <w:r w:rsidRPr="009B3747">
        <w:rPr>
          <w:rFonts w:eastAsia="Times New Roman" w:cstheme="minorHAnsi"/>
          <w:color w:val="000000"/>
          <w:lang w:eastAsia="en-GB"/>
        </w:rPr>
        <w:t xml:space="preserve">first proposed in the qualitative phase, the majority of participants across both phases remained neutral </w:t>
      </w:r>
      <w:r w:rsidR="00CF6650" w:rsidRPr="009B3747">
        <w:rPr>
          <w:rFonts w:eastAsia="Times New Roman" w:cstheme="minorHAnsi"/>
          <w:color w:val="000000"/>
          <w:lang w:eastAsia="en-GB"/>
        </w:rPr>
        <w:t>when considering whether it is</w:t>
      </w:r>
      <w:r w:rsidRPr="009B3747">
        <w:rPr>
          <w:rFonts w:eastAsia="Times New Roman" w:cstheme="minorHAnsi"/>
          <w:color w:val="000000"/>
          <w:lang w:eastAsia="en-GB"/>
        </w:rPr>
        <w:t xml:space="preserve"> parents</w:t>
      </w:r>
      <w:r w:rsidR="00CF6650" w:rsidRPr="009B3747">
        <w:rPr>
          <w:rFonts w:eastAsia="Times New Roman" w:cstheme="minorHAnsi"/>
          <w:color w:val="000000"/>
          <w:lang w:eastAsia="en-GB"/>
        </w:rPr>
        <w:t>’</w:t>
      </w:r>
      <w:r w:rsidRPr="009B3747">
        <w:rPr>
          <w:rFonts w:eastAsia="Times New Roman" w:cstheme="minorHAnsi"/>
          <w:color w:val="000000"/>
          <w:lang w:eastAsia="en-GB"/>
        </w:rPr>
        <w:t xml:space="preserve"> fault if their child is of excess weight.  Headteachers and chairs of governors in the qualitative phase were found to broadly </w:t>
      </w:r>
      <w:r w:rsidR="00CF6650" w:rsidRPr="009B3747">
        <w:rPr>
          <w:rFonts w:eastAsia="Times New Roman" w:cstheme="minorHAnsi"/>
          <w:color w:val="000000"/>
          <w:lang w:eastAsia="en-GB"/>
        </w:rPr>
        <w:t>recognise that</w:t>
      </w:r>
      <w:r w:rsidRPr="009B3747">
        <w:rPr>
          <w:rFonts w:eastAsia="Times New Roman" w:cstheme="minorHAnsi"/>
          <w:color w:val="000000"/>
          <w:lang w:eastAsia="en-GB"/>
        </w:rPr>
        <w:t xml:space="preserve"> parents as individuals themselves are </w:t>
      </w:r>
      <w:r w:rsidRPr="009B3747">
        <w:rPr>
          <w:rFonts w:eastAsia="Times New Roman" w:cstheme="minorHAnsi"/>
          <w:color w:val="000000"/>
          <w:lang w:eastAsia="en-GB"/>
        </w:rPr>
        <w:lastRenderedPageBreak/>
        <w:t>products of the multiple spheres of influence affecting their own ability and desire to achieve energy balance</w:t>
      </w:r>
      <w:r w:rsidR="00E0284E" w:rsidRPr="009B3747">
        <w:rPr>
          <w:rFonts w:eastAsia="Times New Roman" w:cstheme="minorHAnsi"/>
          <w:color w:val="000000"/>
          <w:lang w:eastAsia="en-GB"/>
        </w:rPr>
        <w:t xml:space="preserve"> </w:t>
      </w:r>
      <w:r w:rsidR="00E0284E"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"Butland", "given" : "B", "non-dropping-particle" : "", "parse-names" : false, "suffix" : "" }, { "dropping-particle" : "", "family" : "Jebb", "given" : "S", "non-dropping-particle" : "", "parse-names" : false, "suffix" : "" } ], "id" : "ITEM-1", "issued" : { "date-parts" : [ [ "2007" ] ] }, "title" : "Foresight. Tackling obesities: future choices. Project report.", "type" : "report" }, "uris" : [ "http://www.mendeley.com/documents/?uuid=8ae0e880-41d4-4b61-b434-dc36711dd306" ] }, { "id" : "ITEM-2", "itemData" : { "DOI" : "10.1016/j.jadohealth.2009.03.004", "ISSN" : "1054139X", "PMID" : "19699441", "abstract" : "Record levels of obesity in children and adolescents are predictable in light of powerful conditions that promote high consumption of calorie-dense, nutrient-poor foods and discourage physical activity. Default conditions for youth are dangerous, and include multiple and relentless forms of marketing, poor foods promoted in schools, and a variety of other conditions that undermine personal resources, individual responsibility, and parental authority. This article discusses how optimal defaults can be created using five issues as examples: framing of the obesity issue, treating versus preventing obesity, nutrition in schools, marketing, and addressing weight bias and discrimination. By adopting a public health approach that addresses the conditions causing obesity, there is hope of reversing troubling trends in prevalence.", "author" : [ { "dropping-particle" : "", "family" : "Brownell", "given" : "Kelly D.", "non-dropping-particle" : "", "parse-names" : false, "suffix" : "" }, { "dropping-particle" : "", "family" : "Schwartz", "given" : "Marlene B.", "non-dropping-particle" : "", "parse-names" : false, "suffix" : "" }, { "dropping-particle" : "", "family" : "Puhl", "given" : "Rebecca M.", "non-dropping-particle" : "", "parse-names" : false, "suffix" : "" }, { "dropping-particle" : "", "family" : "Henderson", "given" : "Kathryn E.", "non-dropping-particle" : "", "parse-names" : false, "suffix" : "" }, { "dropping-particle" : "", "family" : "Harris", "given" : "Jennifer L.", "non-dropping-particle" : "", "parse-names" : false, "suffix" : "" } ], "container-title" : "Journal of Adolescent Health", "id" : "ITEM-2", "issue" : "3", "issued" : { "date-parts" : [ [ "2009", "9" ] ] }, "page" : "S8-S17", "title" : "The Need for Bold Action to Prevent Adolescent Obesity", "type" : "article-journal", "volume" : "45" }, "uris" : [ "http://www.mendeley.com/documents/?uuid=e065e299-30f0-3473-805f-a2f333ab74bc" ] }, { "id" : "ITEM-3", "itemData" : { "DOI" : "10.3109/17477160902763333", "ISSN" : "1747-7166", "author" : [ { "dropping-particle" : "", "family" : "Pagnini", "given" : "Deanna", "non-dropping-particle" : "", "parse-names" : false, "suffix" : "" }, { "dropping-particle" : "", "family" : "King", "given" : "Lesley", "non-dropping-particle" : "", "parse-names" : false, "suffix" : "" }, { "dropping-particle" : "", "family" : "Booth", "given" : "Sue", "non-dropping-particle" : "", "parse-names" : false, "suffix" : "" }, { "dropping-particle" : "", "family" : "Wilkenfeld", "given" : "Rachel", "non-dropping-particle" : "", "parse-names" : false, "suffix" : "" }, { "dropping-particle" : "", "family" : "Booth", "given" : "Michael", "non-dropping-particle" : "", "parse-names" : false, "suffix" : "" } ], "container-title" : "International Journal of Pediatric Obesity", "id" : "ITEM-3", "issue" : "4", "issued" : { "date-parts" : [ [ "2009", "1" ] ] }, "page" : "233-241", "title" : "The weight of opinion on childhood obesity: recognizing complexity and supporting collaborative action", "type" : "article-journal", "volume" : "4" }, "uris" : [ "http://www.mendeley.com/documents/?uuid=110efef0-6974-38f3-8140-aafbefb23fd8" ] } ], "mendeley" : { "formattedCitation" : "(Butland and Jebb, 2007; Brownell et al., 2009; Pagnini et al., 2009)", "plainTextFormattedCitation" : "(Butland and Jebb, 2007; Brownell et al., 2009; Pagnini et al., 2009)", "previouslyFormattedCitation" : "(Butland and Jebb, 2007; Brownell et al., 2009; Pagnini et al., 2009)" }, "properties" : { "noteIndex" : 0 }, "schema" : "https://github.com/citation-style-language/schema/raw/master/csl-citation.json" }</w:instrText>
      </w:r>
      <w:r w:rsidR="00E0284E" w:rsidRPr="009B3747">
        <w:rPr>
          <w:rFonts w:eastAsia="Times New Roman" w:cstheme="minorHAnsi"/>
          <w:color w:val="000000"/>
          <w:lang w:eastAsia="en-GB"/>
        </w:rPr>
        <w:fldChar w:fldCharType="separate"/>
      </w:r>
      <w:r w:rsidR="00E0284E" w:rsidRPr="009B3747">
        <w:rPr>
          <w:rFonts w:eastAsia="Times New Roman" w:cstheme="minorHAnsi"/>
          <w:noProof/>
          <w:color w:val="000000"/>
          <w:lang w:eastAsia="en-GB"/>
        </w:rPr>
        <w:t>(Butland and Jebb, 2007; Brownell et al., 2009; Pagnini et al., 2009)</w:t>
      </w:r>
      <w:r w:rsidR="00E0284E" w:rsidRPr="009B3747">
        <w:rPr>
          <w:rFonts w:eastAsia="Times New Roman" w:cstheme="minorHAnsi"/>
          <w:color w:val="000000"/>
          <w:lang w:eastAsia="en-GB"/>
        </w:rPr>
        <w:fldChar w:fldCharType="end"/>
      </w:r>
      <w:r w:rsidR="00E0284E" w:rsidRPr="009B3747">
        <w:rPr>
          <w:rFonts w:eastAsia="Times New Roman" w:cstheme="minorHAnsi"/>
          <w:color w:val="000000"/>
          <w:lang w:eastAsia="en-GB"/>
        </w:rPr>
        <w:t>.</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As supported by academic literature, crucial factors were perceived to be underpinning whether parents are able to effectively prevent obesity in their children, namely</w:t>
      </w:r>
      <w:r w:rsidR="000C58B7">
        <w:rPr>
          <w:rFonts w:eastAsia="Times New Roman" w:cstheme="minorHAnsi"/>
          <w:color w:val="000000"/>
          <w:lang w:eastAsia="en-GB"/>
        </w:rPr>
        <w:t>;</w:t>
      </w:r>
      <w:r w:rsidRPr="009B3747">
        <w:rPr>
          <w:rFonts w:eastAsia="Times New Roman" w:cstheme="minorHAnsi"/>
          <w:color w:val="000000"/>
          <w:lang w:eastAsia="en-GB"/>
        </w:rPr>
        <w:t xml:space="preserve"> parental weight status and lifestyle habits</w:t>
      </w:r>
      <w:r w:rsidR="00E0284E" w:rsidRPr="009B3747">
        <w:rPr>
          <w:rFonts w:eastAsia="Times New Roman" w:cstheme="minorHAnsi"/>
          <w:color w:val="000000"/>
          <w:lang w:eastAsia="en-GB"/>
        </w:rPr>
        <w:t xml:space="preserve"> </w:t>
      </w:r>
      <w:r w:rsidR="00E0284E"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"Reilly", "given" : "JJ", "non-dropping-particle" : "", "parse-names" : false, "suffix" : "" } ], "container-title" : "Best Practice &amp; Research Clinical Endocrinology &amp; \u2026", "id" : "ITEM-1", "issue" : "3", "issued" : { "date-parts" : [ [ "2005" ] ] }, "page" : "327-341", "title" : "Descriptive epidemiology and health consequences of childhood obesity", "type" : "article-journal", "volume" : "19" }, "uris" : [ "http://www.mendeley.com/documents/?uuid=50e89351-9988-4ef0-8ba2-b3220ca1c780" ] } ], "mendeley" : { "formattedCitation" : "(Reilly, 2005)", "plainTextFormattedCitation" : "(Reilly, 2005)", "previouslyFormattedCitation" : "(Reilly, 2005)" }, "properties" : { "noteIndex" : 0 }, "schema" : "https://github.com/citation-style-language/schema/raw/master/csl-citation.json" }</w:instrText>
      </w:r>
      <w:r w:rsidR="00E0284E" w:rsidRPr="009B3747">
        <w:rPr>
          <w:rFonts w:eastAsia="Times New Roman" w:cstheme="minorHAnsi"/>
          <w:color w:val="000000"/>
          <w:lang w:eastAsia="en-GB"/>
        </w:rPr>
        <w:fldChar w:fldCharType="separate"/>
      </w:r>
      <w:r w:rsidR="00E0284E" w:rsidRPr="009B3747">
        <w:rPr>
          <w:rFonts w:eastAsia="Times New Roman" w:cstheme="minorHAnsi"/>
          <w:noProof/>
          <w:color w:val="000000"/>
          <w:lang w:eastAsia="en-GB"/>
        </w:rPr>
        <w:t>(Reilly, 2005)</w:t>
      </w:r>
      <w:r w:rsidR="00E0284E" w:rsidRPr="009B3747">
        <w:rPr>
          <w:rFonts w:eastAsia="Times New Roman" w:cstheme="minorHAnsi"/>
          <w:color w:val="000000"/>
          <w:lang w:eastAsia="en-GB"/>
        </w:rPr>
        <w:fldChar w:fldCharType="end"/>
      </w:r>
      <w:r w:rsidRPr="009B3747">
        <w:rPr>
          <w:rFonts w:eastAsia="Times New Roman" w:cstheme="minorHAnsi"/>
          <w:color w:val="000000"/>
          <w:lang w:eastAsia="en-GB"/>
        </w:rPr>
        <w:t>, parenting skills</w:t>
      </w:r>
      <w:r w:rsidR="00E0284E" w:rsidRPr="009B3747">
        <w:rPr>
          <w:rFonts w:eastAsia="Times New Roman" w:cstheme="minorHAnsi"/>
          <w:color w:val="000000"/>
          <w:lang w:eastAsia="en-GB"/>
        </w:rPr>
        <w:t xml:space="preserve"> </w:t>
      </w:r>
      <w:r w:rsidR="00E0284E" w:rsidRPr="009B3747">
        <w:rPr>
          <w:rFonts w:eastAsia="Times New Roman" w:cstheme="minorHAnsi"/>
          <w:color w:val="000000"/>
          <w:lang w:eastAsia="en-GB"/>
        </w:rPr>
        <w:fldChar w:fldCharType="begin" w:fldLock="1"/>
      </w:r>
      <w:r w:rsidR="00E0284E" w:rsidRPr="009B3747">
        <w:rPr>
          <w:rFonts w:eastAsia="Times New Roman" w:cstheme="minorHAnsi"/>
          <w:color w:val="000000"/>
          <w:lang w:eastAsia="en-GB"/>
        </w:rPr>
        <w:instrText>ADDIN CSL_CITATION { "citationItems" : [ { "id" : "ITEM-1", "itemData" : { "DOI" : "10.1007/s13679-015-0139-x", "ISSN" : "2162-4968", "author" : [ { "dropping-particle" : "", "family" : "Gerards", "given" : "S. M. P. L.", "non-dropping-particle" : "", "parse-names" : false, "suffix" : "" }, { "dropping-particle" : "", "family" : "Kremers", "given" : "S. P. J.", "non-dropping-particle" : "", "parse-names" : false, "suffix" : "" } ], "container-title" : "Current Obesity Reports", "id" : "ITEM-1", "issue" : "1", "issued" : { "date-parts" : [ [ "2015", "3", "28" ] ] }, "page" : "30-36", "publisher" : "Springer US", "title" : "The Role of Food Parenting Skills and the Home Food Environment in Children\u2019s Weight Gain and Obesity", "type" : "article-journal", "volume" : "4" }, "uris" : [ "http://www.mendeley.com/documents/?uuid=75b8474a-75a3-3a3d-b208-a2e74ec6a033" ] } ], "mendeley" : { "formattedCitation" : "(Gerards and Kremers, 2015)", "plainTextFormattedCitation" : "(Gerards and Kremers, 2015)", "previouslyFormattedCitation" : "(Gerards and Kremers, 2015)" }, "properties" : { "noteIndex" : 0 }, "schema" : "https://github.com/citation-style-language/schema/raw/master/csl-citation.json" }</w:instrText>
      </w:r>
      <w:r w:rsidR="00E0284E" w:rsidRPr="009B3747">
        <w:rPr>
          <w:rFonts w:eastAsia="Times New Roman" w:cstheme="minorHAnsi"/>
          <w:color w:val="000000"/>
          <w:lang w:eastAsia="en-GB"/>
        </w:rPr>
        <w:fldChar w:fldCharType="separate"/>
      </w:r>
      <w:r w:rsidR="00E0284E" w:rsidRPr="009B3747">
        <w:rPr>
          <w:rFonts w:eastAsia="Times New Roman" w:cstheme="minorHAnsi"/>
          <w:noProof/>
          <w:color w:val="000000"/>
          <w:lang w:eastAsia="en-GB"/>
        </w:rPr>
        <w:t>(Gerards and Kremers, 2015)</w:t>
      </w:r>
      <w:r w:rsidR="00E0284E" w:rsidRPr="009B3747">
        <w:rPr>
          <w:rFonts w:eastAsia="Times New Roman" w:cstheme="minorHAnsi"/>
          <w:color w:val="000000"/>
          <w:lang w:eastAsia="en-GB"/>
        </w:rPr>
        <w:fldChar w:fldCharType="end"/>
      </w:r>
      <w:r w:rsidR="00E0284E" w:rsidRPr="009B3747">
        <w:rPr>
          <w:rFonts w:eastAsia="Times New Roman" w:cstheme="minorHAnsi"/>
          <w:color w:val="000000"/>
          <w:lang w:eastAsia="en-GB"/>
        </w:rPr>
        <w:t xml:space="preserve"> </w:t>
      </w:r>
      <w:r w:rsidRPr="009B3747">
        <w:rPr>
          <w:rFonts w:eastAsia="Times New Roman" w:cstheme="minorHAnsi"/>
          <w:color w:val="000000"/>
          <w:lang w:eastAsia="en-GB"/>
        </w:rPr>
        <w:t>and levels of awareness and knowledge regarding the importance and development of health enhancing behaviours</w:t>
      </w:r>
      <w:r w:rsidR="00E0284E" w:rsidRPr="009B3747">
        <w:rPr>
          <w:rFonts w:eastAsia="Times New Roman" w:cstheme="minorHAnsi"/>
          <w:color w:val="000000"/>
          <w:lang w:eastAsia="en-GB"/>
        </w:rPr>
        <w:t xml:space="preserve"> </w:t>
      </w:r>
      <w:r w:rsidR="00E0284E" w:rsidRPr="009B3747">
        <w:rPr>
          <w:rFonts w:eastAsia="Times New Roman" w:cstheme="minorHAnsi"/>
          <w:color w:val="000000"/>
          <w:lang w:eastAsia="en-GB"/>
        </w:rPr>
        <w:fldChar w:fldCharType="begin" w:fldLock="1"/>
      </w:r>
      <w:r w:rsidR="00E0284E" w:rsidRPr="009B3747">
        <w:rPr>
          <w:rFonts w:eastAsia="Times New Roman" w:cstheme="minorHAnsi"/>
          <w:color w:val="000000"/>
          <w:lang w:eastAsia="en-GB"/>
        </w:rPr>
        <w:instrText>ADDIN CSL_CITATION { "citationItems" : [ { "id" : "ITEM-1", "itemData" : { "DOI" : "10.2307/3556555", "abstract" : "As researchers continue to analyze the role of parenting both in the development of childhood overweight and in obesity prevention, studies of child nutrition and growth are detailing the ways in which parents affect their children's development of food- and activity-related behaviors. Ana Lindsay, Katarina Sussner, Juhee Kim, and Steven Gortmaker argue that interventions aimed at preventing childhood overweight and obesity should involve parents as important forces for change in their children's behaviors. The authors begin by reviewing evidence on how parents can help their children develop and maintain healthful eating and physical activity habits, thereby ultimately helping prevent childhood overweight and obesity. They show how important it is for parents to understand how their roles in preventing obesity change as their children move through critical developmental periods, from before birth and through adolescence. They point out that researchers, policymakers, and practitioners should also make use of such information to develop more effective interventions and educational programs that address childhood obesity right where it starts-at home. The authors review research evaluating school-based obesity-prevention interventions that include components targeted at parents. Although much research has been done on how parents shape their children's eating and physical activity habits, surprisingly few high-quality data exist on the effectiveness of such programs. The authors call for more programs and cost-effectiveness studies aimed at improving parents' ability to shape healthful eating and physical activity behaviors in their children. The authors conclude that preventing and controlling childhood obesity will require multifaceted and community-wide programs and policies, with parents having a critical role to play. Successful intervention efforts, they argue, must involve and work directly with parents from the earliest stages of child development to support healthful practices both in and outside of the home.", "author" : [ { "dropping-particle" : "", "family" : "Lindsay", "given" : "Ana C.", "non-dropping-particle" : "", "parse-names" : false, "suffix" : "" }, { "dropping-particle" : "", "family" : "Sussner", "given" : "Katarina M.", "non-dropping-particle" : "", "parse-names" : false, "suffix" : "" }, { "dropping-particle" : "", "family" : "Kim", "given" : "Juhee", "non-dropping-particle" : "", "parse-names" : false, "suffix" : "" }, { "dropping-particle" : "", "family" : "Gortmaker", "given" : "Steven", "non-dropping-particle" : "", "parse-names" : false, "suffix" : "" } ], "container-title" : "The Future of Children", "id" : "ITEM-1", "issued" : { "date-parts" : [ [ "2006" ] ] }, "page" : "169-186", "publisher" : "Princeton University", "title" : "The Role of Parents in Preventing Childhood Obesity", "type" : "article-journal", "volume" : "16" }, "uris" : [ "http://www.mendeley.com/documents/?uuid=63312040-b356-386c-adf7-a4fd010a6e84" ] } ], "mendeley" : { "formattedCitation" : "(Lindsay et al., 2006)", "plainTextFormattedCitation" : "(Lindsay et al., 2006)", "previouslyFormattedCitation" : "(Lindsay et al., 2006)" }, "properties" : { "noteIndex" : 0 }, "schema" : "https://github.com/citation-style-language/schema/raw/master/csl-citation.json" }</w:instrText>
      </w:r>
      <w:r w:rsidR="00E0284E" w:rsidRPr="009B3747">
        <w:rPr>
          <w:rFonts w:eastAsia="Times New Roman" w:cstheme="minorHAnsi"/>
          <w:color w:val="000000"/>
          <w:lang w:eastAsia="en-GB"/>
        </w:rPr>
        <w:fldChar w:fldCharType="separate"/>
      </w:r>
      <w:r w:rsidR="00E0284E" w:rsidRPr="009B3747">
        <w:rPr>
          <w:rFonts w:eastAsia="Times New Roman" w:cstheme="minorHAnsi"/>
          <w:noProof/>
          <w:color w:val="000000"/>
          <w:lang w:eastAsia="en-GB"/>
        </w:rPr>
        <w:t>(Lindsay et al., 2006)</w:t>
      </w:r>
      <w:r w:rsidR="00E0284E" w:rsidRPr="009B3747">
        <w:rPr>
          <w:rFonts w:eastAsia="Times New Roman" w:cstheme="minorHAnsi"/>
          <w:color w:val="000000"/>
          <w:lang w:eastAsia="en-GB"/>
        </w:rPr>
        <w:fldChar w:fldCharType="end"/>
      </w:r>
      <w:r w:rsidRPr="009B3747">
        <w:rPr>
          <w:rFonts w:eastAsia="Times New Roman" w:cstheme="minorHAnsi"/>
          <w:color w:val="000000"/>
          <w:lang w:eastAsia="en-GB"/>
        </w:rPr>
        <w:t>.  Whilst a deficit in the required awareness and knowledge to prevent obesity was strongly associated with parents from lower socio-economic backgrounds in the qualitative phase, the quantitative phase only identified a statistically significant weak correlation.  Earlier studies (Clarke et al, 2015; Howard-Drake and Halliday, 2015) have however, previously identified the belief that parents from more deprived backgrounds appear to lack the knowledge and skills required to establish and maintain healthy lifestyle behaviours in a familial setting.  </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For public health specialists and policy makers, the finding that headteachers and chairs of governors deem parents to play a more influential role than schools in adolescent obesity could be of importance.  If headteachers and chairs of governors in both secondary and primary schools (Clarke et al, 2015; Howard-Drake and Halliday, 2015) believe they are unable to counteract the influence of the home environment or that parents are able to undermine school efforts, this could substantially impact upon their willingness and desire to engage in national approaches for addressing childhood obesity</w:t>
      </w:r>
      <w:r w:rsidR="00E0284E" w:rsidRPr="009B3747">
        <w:rPr>
          <w:rFonts w:eastAsia="Times New Roman" w:cstheme="minorHAnsi"/>
          <w:color w:val="000000"/>
          <w:lang w:eastAsia="en-GB"/>
        </w:rPr>
        <w:t xml:space="preserve"> </w:t>
      </w:r>
      <w:r w:rsidR="00E0284E" w:rsidRPr="009B3747">
        <w:rPr>
          <w:rFonts w:eastAsia="Times New Roman" w:cstheme="minorHAnsi"/>
          <w:color w:val="000000"/>
          <w:lang w:eastAsia="en-GB"/>
        </w:rPr>
        <w:fldChar w:fldCharType="begin" w:fldLock="1"/>
      </w:r>
      <w:r w:rsidR="00AE78D1" w:rsidRPr="009B3747">
        <w:rPr>
          <w:rFonts w:eastAsia="Times New Roman" w:cstheme="minorHAnsi"/>
          <w:color w:val="000000"/>
          <w:lang w:eastAsia="en-GB"/>
        </w:rPr>
        <w:instrText>ADDIN CSL_CITATION { "citationItems" : [ { "id" : "ITEM-1", "itemData" : { "author" : [ { "dropping-particle" : "", "family" : "HM Government", "given" : "", "non-dropping-particle" : "", "parse-names" : false, "suffix" : "" } ], "id" : "ITEM-1", "issued" : { "date-parts" : [ [ "2016" ] ] }, "title" : "Childhood obesity - A plan for action", "type" : "report" }, "uris" : [ "http://www.mendeley.com/documents/?uuid=b98f114e-5233-47f8-a635-d7641b44ba3f" ] } ], "mendeley" : { "formattedCitation" : "(HM Government, 2016)", "plainTextFormattedCitation" : "(HM Government, 2016)", "previouslyFormattedCitation" : "(HM Government, 2016)" }, "properties" : { "noteIndex" : 0 }, "schema" : "https://github.com/citation-style-language/schema/raw/master/csl-citation.json" }</w:instrText>
      </w:r>
      <w:r w:rsidR="00E0284E" w:rsidRPr="009B3747">
        <w:rPr>
          <w:rFonts w:eastAsia="Times New Roman" w:cstheme="minorHAnsi"/>
          <w:color w:val="000000"/>
          <w:lang w:eastAsia="en-GB"/>
        </w:rPr>
        <w:fldChar w:fldCharType="separate"/>
      </w:r>
      <w:r w:rsidR="00E0284E" w:rsidRPr="009B3747">
        <w:rPr>
          <w:rFonts w:eastAsia="Times New Roman" w:cstheme="minorHAnsi"/>
          <w:noProof/>
          <w:color w:val="000000"/>
          <w:lang w:eastAsia="en-GB"/>
        </w:rPr>
        <w:t>(HM Government, 2016)</w:t>
      </w:r>
      <w:r w:rsidR="00E0284E" w:rsidRPr="009B3747">
        <w:rPr>
          <w:rFonts w:eastAsia="Times New Roman" w:cstheme="minorHAnsi"/>
          <w:color w:val="000000"/>
          <w:lang w:eastAsia="en-GB"/>
        </w:rPr>
        <w:fldChar w:fldCharType="end"/>
      </w:r>
      <w:r w:rsidRPr="009B3747">
        <w:rPr>
          <w:rFonts w:eastAsia="Times New Roman" w:cstheme="minorHAnsi"/>
          <w:color w:val="000000"/>
          <w:lang w:eastAsia="en-GB"/>
        </w:rPr>
        <w:t>.  Consequently, it is important that public health policy aiming to address childhood and adolescent obesity strives to develop consistency in messages and promotion of health enhancing behaviours within both home and school environments (Clarke et al</w:t>
      </w:r>
      <w:r w:rsidR="00E0284E" w:rsidRPr="009B3747">
        <w:rPr>
          <w:rFonts w:eastAsia="Times New Roman" w:cstheme="minorHAnsi"/>
          <w:color w:val="000000"/>
          <w:lang w:eastAsia="en-GB"/>
        </w:rPr>
        <w:t>.</w:t>
      </w:r>
      <w:r w:rsidRPr="009B3747">
        <w:rPr>
          <w:rFonts w:eastAsia="Times New Roman" w:cstheme="minorHAnsi"/>
          <w:color w:val="000000"/>
          <w:lang w:eastAsia="en-GB"/>
        </w:rPr>
        <w:t xml:space="preserve">, 2015). </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In addition to the home environment, this study identified across both phases of the research the finding that headteachers and chairs of governors believe the wider food environment significantly influences the dietary preferences, habits and behaviours of adolescents.  Similarly to the home environment, the recognition of this influence can be viewed through a socio-ecological lens where the wider food environment is reflective of the community sphere (McLeroy et al</w:t>
      </w:r>
      <w:r w:rsidR="00AE78D1" w:rsidRPr="009B3747">
        <w:rPr>
          <w:rFonts w:eastAsia="Times New Roman" w:cstheme="minorHAnsi"/>
          <w:color w:val="000000"/>
          <w:lang w:eastAsia="en-GB"/>
        </w:rPr>
        <w:t>.</w:t>
      </w:r>
      <w:r w:rsidRPr="009B3747">
        <w:rPr>
          <w:rFonts w:eastAsia="Times New Roman" w:cstheme="minorHAnsi"/>
          <w:color w:val="000000"/>
          <w:lang w:eastAsia="en-GB"/>
        </w:rPr>
        <w:t>, 1988).  </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 xml:space="preserve">Of pressing concern for participants predominantly in state-funded schools, was the perceived increasing availability and accessibility of junk and fast food outside of the secondary school setting.  Furthermore, a belief was shared across both research phases that unhealthy convenience food and drinks are typically cheaper and proactively marketed by the food industry for profits.  For </w:t>
      </w:r>
      <w:r w:rsidRPr="009B3747">
        <w:rPr>
          <w:rFonts w:eastAsia="Times New Roman" w:cstheme="minorHAnsi"/>
          <w:color w:val="000000"/>
          <w:lang w:eastAsia="en-GB"/>
        </w:rPr>
        <w:lastRenderedPageBreak/>
        <w:t>headteachers and chairs of governors these factors were deemed to expose weaknesses in an adolescent’s ability and preference to adopt healthy dietary habits and maintain a healthy weight.  The proposed connection made by study participants between the wider food environment and dietary behaviours and obesity in children and adolescents has been extensively explored and established</w:t>
      </w:r>
      <w:r w:rsidR="00AE78D1" w:rsidRPr="009B3747">
        <w:rPr>
          <w:rFonts w:eastAsia="Times New Roman" w:cstheme="minorHAnsi"/>
          <w:color w:val="000000"/>
          <w:lang w:eastAsia="en-GB"/>
        </w:rPr>
        <w:t xml:space="preserve"> </w:t>
      </w:r>
      <w:r w:rsidR="00AE78D1"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"DOI" : "10.2105/AJPH.2008.137638", "ISSN" : "0090-0036", "PMID" : "19106421", "abstract" : "OBJECTIVES We examined the relationship between fast-food restaurants near schools and obesity among middle and high school students in California. METHODS We used geocoded data (obtained from the 2002-2005 California Healthy Kids Survey) on over 500,000 youths and multivariate regression models to estimate associations between adolescent obesity and proximity of fast-food restaurants to schools. RESULTS We found that students with fast-food restaurants near (within one half mile of) their schools (1) consumed fewer servings of fruits and vegetables, (2) consumed more servings of soda, and (3) were more likely to be overweight (odds ratio [OR] = 1.06; 95% confidence interval [CI] = 1.02, 1.10) or obese (OR = 1.07; 95% CI = 1.02, 1.12) than were youths whose schools were not near fast-food restaurants, after we controlled for student- and school-level characteristics. The result was unique to eating at fast-food restaurants (compared with other nearby establishments) and was not observed for another risky behavior (smoking). CONCLUSIONS Exposure to poor-quality food environments has important effects on adolescent eating patterns and overweight. Policy interventions limiting the proximity of fast-food restaurants to schools could help reduce adolescent obesity.", "author" : [ { "dropping-particle" : "", "family" : "Davis", "given" : "Brennan", "non-dropping-particle" : "", "parse-names" : false, "suffix" : "" }, { "dropping-particle" : "", "family" : "Carpenter", "given" : "Christopher", "non-dropping-particle" : "", "parse-names" : false, "suffix" : "" } ], "container-title" : "American Journal of Public Health", "id" : "ITEM-1", "issue" : "3", "issued" : { "date-parts" : [ [ "2009", "3" ] ] }, "page" : "505-510", "title" : "Proximity of Fast-Food Restaurants to Schools and Adolescent Obesity", "type" : "article-journal", "volume" : "99" }, "uris" : [ "http://www.mendeley.com/documents/?uuid=2d11b03d-8e85-3c6b-a7ea-54b3dd5c94b2" ] }, { "id" : "ITEM-2", "itemData" : { "DOI" : "10.1038/ijo.2011.120", "ISSN" : "0307-0565", "PMID" : "21712805", "abstract" : "OBJECTIVE To assess the association between the consumption of fast food (FF) and body mass index (BMI) of teenagers in a large UK birth cohort. METHODS A structural equation modelling (SEM) approach was chosen to allow direct statistical testing of a theoretical model. SEM is a combination of confirmatory factor and path analysis, which allows for the inclusion of latent (unmeasured) variables. This approach was used to build two models: the effect of FF outlet visits and food choices and the effect of FF exposure on consumption and BMI. RESULTS A total of 3620 participants had data for height and weight from the age 13 clinic and the frequency of FF outlet visits, and so were included in these analyses. This SEM model of food choices showed that increased frequency of eating at FF outlets is positively associated with higher consumption of unhealthy foods (\u03b2=0.29, P&lt;0.001) and negatively associated with the consumption of healthy foods (\u03b2=-1.02, P&lt;0.001). The SEM model of FF exposure and BMI showed that higher exposure to FF increases the frequency of visits to FF outlets (\u03b2=0.61, P&lt;0.001), which is associated with higher body mass index standard deviation score (BMISDS; \u03b2=0.08, P&lt;0.001). Deprivation was the largest contributing variable to the exposure (\u03b2=9.2, P&lt;0.001). CONCLUSIONS The teenagers who ate at FF restaurants consumed more unhealthy foods and were more likely to have higher BMISDS than those teenagers who did not eat frequently at FF restaurants. Teenagers who were exposed to more takeaway foods at home ate more frequently at FF restaurants and eating at FF restaurants was also associated with lower intakes of vegetables and raw fruit in this cohort.", "author" : [ { "dropping-particle" : "", "family" : "Fraser", "given" : "L K", "non-dropping-particle" : "", "parse-names" : false, "suffix" : "" }, { "dropping-particle" : "", "family" : "Edwards", "given" : "K L", "non-dropping-particle" : "", "parse-names" : false, "suffix" : "" }, { "dropping-particle" : "", "family" : "Cade", "given" : "J E", "non-dropping-particle" : "", "parse-names" : false, "suffix" : "" }, { "dropping-particle" : "", "family" : "Clarke", "given" : "G P", "non-dropping-particle" : "", "parse-names" : false, "suffix" : "" } ], "container-title" : "International Journal of Obesity", "id" : "ITEM-2", "issue" : "10", "issued" : { "date-parts" : [ [ "2011", "10", "28" ] ] }, "page" : "1325-1330", "title" : "Fast food, other food choices and body mass index in teenagers in the United Kingdom (ALSPAC): a structural equation modelling approach", "type" : "article-journal", "volume" : "35" }, "uris" : [ "http://www.mendeley.com/documents/?uuid=2f368dff-90cb-38b3-baf5-e07e43aecfd8" ] }, { "id" : "ITEM-3", "itemData" : { "DOI" : "10.1017/S1368980010001898", "ISSN" : "1368-9800", "PMID" : "20576201", "abstract" : "OBJECTIVE The aim of the present study was to investigate the relationship between area-level socio-economic status and healthy and less healthy eating behaviours among adolescents and to determine whether the relationship between area-level socio-economic status and dietary behaviours was related to the relevant attitudes and environments. DESIGN Data were collected as part of Youth'07, a nationally representative survey of the health and well-being of New Zealand youth. SETTING New Zealand secondary schools, 2007. SUBJECTS A total of 9107 secondary-school students in New Zealand. RESULTS Students from more deprived areas perceived more supportive school environments and cared as much about healthy eating as students in more affluent areas. However, these students were significantly more likely to report consuming fast food, soft drinks and chocolates. CONCLUSIONS Addressing area-level socio-economic disparities in healthy eating requires addressing the availability, affordability and marketing of unhealthy snack foods, particularly in economically deprived areas.", "author" : [ { "dropping-particle" : "", "family" : "Utter", "given" : "Jennifer", "non-dropping-particle" : "", "parse-names" : false, "suffix" : "" }, { "dropping-particle" : "", "family" : "Denny", "given" : "Simon", "non-dropping-particle" : "", "parse-names" : false, "suffix" : "" }, { "dropping-particle" : "", "family" : "Crengle", "given" : "Sue", "non-dropping-particle" : "", "parse-names" : false, "suffix" : "" }, { "dropping-particle" : "", "family" : "Ameratunga", "given" : "Shanthi", "non-dropping-particle" : "", "parse-names" : false, "suffix" : "" }, { "dropping-particle" : "", "family" : "Clark", "given" : "Terryann", "non-dropping-particle" : "", "parse-names" : false, "suffix" : "" }, { "dropping-particle" : "", "family" : "Maddison", "given" : "Ralph", "non-dropping-particle" : "", "parse-names" : false, "suffix" : "" }, { "dropping-particle" : "", "family" : "Percival", "given" : "Teuila", "non-dropping-particle" : "", "parse-names" : false, "suffix" : "" } ], "container-title" : "Public Health Nutrition", "id" : "ITEM-3", "issue" : "04", "issued" : { "date-parts" : [ [ "2011", "4", "25" ] ] }, "page" : "629-634", "title" : "Socio-economic differences in eating-related attitudes, behaviours and environments of adolescents", "type" : "article-journal", "volume" : "14" }, "uris" : [ "http://www.mendeley.com/documents/?uuid=ac94f83c-05b8-343d-b4bb-6f25b187b05d" ] }, { "id" : "ITEM-4", "itemData" : { "DOI" : "10.1108/BFJ-02-2012-0042", "ISSN" : "0007-070X", "abstract" : "Purpose \u2013 The purpose of this paper is to explore the location of fast-food outlets around secondary schools and the influence of fast-food availability on the food choices of school children in an inner-London borough. Design/methodology/approach \u2013 A number of methods including: mapping of outlets relative to schools; sampling food; gathering data on secondary school food policies; observing food behaviour in fast food outlets and focus groups with young people. Findings were fed back to a committee consisting of representatives from nutrition, public health, planning services and local community groups. Findings \u2013 There are concentrations of fast-food outlets near schools and students reported use of these, including \u201cstories\u201d of skipping lunch in order to save money and eat after school at these outlets. Food from fast-food outlets was high in fat, saturated fat and salt, but these are not the only source of high such foods, with many of the students reporting buying from shops near the school or on th...", "author" : [ { "dropping-particle" : "", "family" : "Caraher", "given" : "M.", "non-dropping-particle" : "", "parse-names" : false, "suffix" : "" }, { "dropping-particle" : "", "family" : "Lloyd", "given" : "S.", "non-dropping-particle" : "", "parse-names" : false, "suffix" : "" }, { "dropping-particle" : "", "family" : "Madelin", "given" : "T.", "non-dropping-particle" : "", "parse-names" : false, "suffix" : "" } ], "container-title" : "British Food Journal", "id" : "ITEM-4", "issue" : "3", "issued" : { "date-parts" : [ [ "2014", "2", "25" ] ] }, "page" : "472-493", "publisher" : "Emerald Group Publishing Limited", "title" : "The \u201cSchool Foodshed\u201d: schools and fast-food outlets in a London borough", "type" : "article-journal", "volume" : "116" }, "uris" : [ "http://www.mendeley.com/documents/?uuid=7ce0fcea-459a-32eb-93e0-a71a9a145c8c" ] }, { "id" : "ITEM-5", "itemData" : { "author" : [ { "dropping-particle" : "", "family" : "Lobstein", "given" : "T", "non-dropping-particle" : "", "parse-names" : false, "suffix" : "" }, { "dropping-particle" : "", "family" : "Jackson-Leach", "given" : "R", "non-dropping-particle" : "", "parse-names" : false, "suffix" : "" }, { "dropping-particle" : "", "family" : "Moodie", "given" : "ML", "non-dropping-particle" : "", "parse-names" : false, "suffix" : "" } ], "container-title" : "The Lancet", "id" : "ITEM-5", "issue" : "9986", "issued" : { "date-parts" : [ [ "2015" ] ] }, "page" : "2510-2520", "title" : "Child and adolescent obesity: part of a bigger picture", "type" : "article-journal", "volume" : "385" }, "uris" : [ "http://www.mendeley.com/documents/?uuid=e072a246-f28d-4879-b95a-10b312372cee" ] }, { "id" : "ITEM-6", "itemData" : { "DOI" : "ISBN 978 92 4 151006 6", "ISBN" : "978 92 4 151006 6 \u00a9", "abstract" : "1. Over the past decade, the World Health Assembly, the governing body of the World Health Organization (WHO), and the United Nations General Assembly have adopted a series of resolutions1 that acknowledge noncommunicable diseases (NCDs) as a major challenge for development in the 21st century and have identified prevention and control as a core priority. The proposed Sustainable Development Goals propose a target on reducing premature mortality from NCDs2. 2. Among the NCD risk factors, obesity is particularly concerning. In children (aged under 19 years) it is associated with a wide range of health complications and an increased risk of premature onset of illnesses, including diabetes and heart disease. Preventing childhood obesity is a key approach to the primary prevention of NCDs. 3. Childhood obesity has complex origins and progress in tackling the issue has to date been slow. It is clear that a combination of scientific research, government leadership and community partnerships is necessary in order to develop the best recommendations and implement them worldwide. 4. In order to develop a comprehensive response to childhood obesity, the WHO Director- General established a high-level Commission on Ending Childhood Obesity (ECHO), which comprises 15 accomplished and eminent individuals from a variety of relevant backgrounds. The Commission has reviewed, built upon and addressed gaps in existing mandates and strategies with the support of two ad hoc working groups, one on science and evidence for ending childhood obesity (WGSE), and one on implementation, monitoring and accountability for ending childhood obesity (WGIMA). An Interim Report was developed for feedback through a series of regional consultations and hearings with Member States and non-State actors, and an online process for the submission of comments from relevant stakeholders. The Commission has reviewed these inputs and developed this draft final report, which will form the basis for a final round of regional and global consultation.", "author" : [ { "dropping-particle" : "", "family" : "World Health Organization", "given" : "", "non-dropping-particle" : "", "parse-names" : false, "suffix" : "" } ], "id" : "ITEM-6", "issued" : { "date-parts" : [ [ "2016" ] ] }, "publisher-place" : "Geneva", "title" : "Report of the Commission on Ending Childhood Obesity", "type" : "report" }, "uris" : [ "http://www.mendeley.com/documents/?uuid=fc7d72ef-f520-4e44-854a-cc82b135b368" ] } ], "mendeley" : { "formattedCitation" : "(Davis and Carpenter, 2009; Fraser et al., 2011; Utter et al., 2011; Caraher et al., 2014; Lobstein et al., 2015; World Health Organization, 2016c)", "plainTextFormattedCitation" : "(Davis and Carpenter, 2009; Fraser et al., 2011; Utter et al., 2011; Caraher et al., 2014; Lobstein et al., 2015; World Health Organization, 2016c)", "previouslyFormattedCitation" : "(Davis and Carpenter, 2009; Fraser et al., 2011; Utter et al., 2011; Caraher et al., 2014; Lobstein et al., 2015; World Health Organization, 2016c)" }, "properties" : { "noteIndex" : 0 }, "schema" : "https://github.com/citation-style-language/schema/raw/master/csl-citation.json" }</w:instrText>
      </w:r>
      <w:r w:rsidR="00AE78D1" w:rsidRPr="009B3747">
        <w:rPr>
          <w:rFonts w:eastAsia="Times New Roman" w:cstheme="minorHAnsi"/>
          <w:color w:val="000000"/>
          <w:lang w:eastAsia="en-GB"/>
        </w:rPr>
        <w:fldChar w:fldCharType="separate"/>
      </w:r>
      <w:r w:rsidR="00AE78D1" w:rsidRPr="009B3747">
        <w:rPr>
          <w:rFonts w:eastAsia="Times New Roman" w:cstheme="minorHAnsi"/>
          <w:noProof/>
          <w:color w:val="000000"/>
          <w:lang w:eastAsia="en-GB"/>
        </w:rPr>
        <w:t>(Davis and Carpenter, 2009; Fraser et al., 2011; Utter et al., 2011; Caraher et al., 2014; Lobstein et al., 2015; World Health Organization, 2016c)</w:t>
      </w:r>
      <w:r w:rsidR="00AE78D1" w:rsidRPr="009B3747">
        <w:rPr>
          <w:rFonts w:eastAsia="Times New Roman" w:cstheme="minorHAnsi"/>
          <w:color w:val="000000"/>
          <w:lang w:eastAsia="en-GB"/>
        </w:rPr>
        <w:fldChar w:fldCharType="end"/>
      </w:r>
      <w:r w:rsidR="00AE78D1" w:rsidRPr="009B3747">
        <w:rPr>
          <w:rFonts w:eastAsia="Times New Roman" w:cstheme="minorHAnsi"/>
          <w:color w:val="000000"/>
          <w:lang w:eastAsia="en-GB"/>
        </w:rPr>
        <w:t>.</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Crucially, was the identification by participants across both research phases that similarly to the home environment, influences within the wider food environment are able to support or undermine their school’s ability to improve the dietary behaviour and resultant weight status of secondary school pupils.  This was especially relevant for those who reported retailers of fast food or convenience foods being in close proximity to their school setting.  Although the majority of schools in the quantitative phase appeared to enforce a ‘locked-gate’ policy at lunch times, qualitative participants referred to adolescents purchasing unhealthy foods before or at the end of the school day.</w:t>
      </w:r>
    </w:p>
    <w:p w:rsidR="00AC3B26" w:rsidRPr="009B3747" w:rsidRDefault="00AC3B26" w:rsidP="00AC3B26">
      <w:pPr>
        <w:rPr>
          <w:rFonts w:eastAsia="Times New Roman" w:cstheme="minorHAnsi"/>
          <w:sz w:val="24"/>
          <w:szCs w:val="24"/>
          <w:lang w:eastAsia="en-GB"/>
        </w:rPr>
      </w:pPr>
    </w:p>
    <w:p w:rsidR="007E3DE9" w:rsidRPr="009B3747" w:rsidRDefault="00AC3B26" w:rsidP="00AC3B26">
      <w:pPr>
        <w:rPr>
          <w:rFonts w:eastAsia="Times New Roman" w:cstheme="minorHAnsi"/>
          <w:color w:val="000000"/>
          <w:lang w:eastAsia="en-GB"/>
        </w:rPr>
      </w:pPr>
      <w:r w:rsidRPr="009B3747">
        <w:rPr>
          <w:rFonts w:eastAsia="Times New Roman" w:cstheme="minorHAnsi"/>
          <w:color w:val="000000"/>
          <w:lang w:eastAsia="en-GB"/>
        </w:rPr>
        <w:t>This finding is relevant to public health policy makers given the increasing focus in the School Food Plan</w:t>
      </w:r>
      <w:r w:rsidR="00AE78D1" w:rsidRPr="009B3747">
        <w:rPr>
          <w:rFonts w:eastAsia="Times New Roman" w:cstheme="minorHAnsi"/>
          <w:color w:val="000000"/>
          <w:lang w:eastAsia="en-GB"/>
        </w:rPr>
        <w:t xml:space="preserve"> </w:t>
      </w:r>
      <w:r w:rsidR="00AE78D1" w:rsidRPr="009B3747">
        <w:rPr>
          <w:rFonts w:eastAsia="Times New Roman" w:cstheme="minorHAnsi"/>
          <w:color w:val="000000"/>
          <w:lang w:eastAsia="en-GB"/>
        </w:rPr>
        <w:fldChar w:fldCharType="begin" w:fldLock="1"/>
      </w:r>
      <w:r w:rsidR="0047189B" w:rsidRPr="009B3747">
        <w:rPr>
          <w:rFonts w:eastAsia="Times New Roman" w:cstheme="minorHAnsi"/>
          <w:color w:val="000000"/>
          <w:lang w:eastAsia="en-GB"/>
        </w:rPr>
        <w:instrText>ADDIN CSL_CITATION { "citationItems" : [ { "id" : "ITEM-1", "itemData" : { "author" : [ { "dropping-particle" : "", "family" : "Department for Education", "given" : "", "non-dropping-particle" : "", "parse-names" : false, "suffix" : "" } ], "id" : "ITEM-1", "issued" : { "date-parts" : [ [ "2013" ] ] }, "publisher-place" : "London", "title" : "The School Food Plan", "type" : "report" }, "uris" : [ "http://www.mendeley.com/documents/?uuid=453ae84a-1c88-4ece-8cf7-56d82e14c454" ] } ], "mendeley" : { "formattedCitation" : "(Department for Education, 2013c)", "plainTextFormattedCitation" : "(Department for Education, 2013c)", "previouslyFormattedCitation" : "(Department for Education, 2013c)" }, "properties" : { "noteIndex" : 0 }, "schema" : "https://github.com/citation-style-language/schema/raw/master/csl-citation.json" }</w:instrText>
      </w:r>
      <w:r w:rsidR="00AE78D1" w:rsidRPr="009B3747">
        <w:rPr>
          <w:rFonts w:eastAsia="Times New Roman" w:cstheme="minorHAnsi"/>
          <w:color w:val="000000"/>
          <w:lang w:eastAsia="en-GB"/>
        </w:rPr>
        <w:fldChar w:fldCharType="separate"/>
      </w:r>
      <w:r w:rsidR="00AE78D1" w:rsidRPr="009B3747">
        <w:rPr>
          <w:rFonts w:eastAsia="Times New Roman" w:cstheme="minorHAnsi"/>
          <w:noProof/>
          <w:color w:val="000000"/>
          <w:lang w:eastAsia="en-GB"/>
        </w:rPr>
        <w:t>(Department for Education, 2013c)</w:t>
      </w:r>
      <w:r w:rsidR="00AE78D1"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and national childhood obesity action plan</w:t>
      </w:r>
      <w:r w:rsidR="008645FA" w:rsidRPr="009B3747">
        <w:rPr>
          <w:rFonts w:eastAsia="Times New Roman" w:cstheme="minorHAnsi"/>
          <w:color w:val="000000"/>
          <w:lang w:eastAsia="en-GB"/>
        </w:rPr>
        <w:t xml:space="preserve"> </w:t>
      </w:r>
      <w:r w:rsidR="008645FA" w:rsidRPr="009B3747">
        <w:rPr>
          <w:rFonts w:eastAsia="Times New Roman" w:cstheme="minorHAnsi"/>
          <w:color w:val="000000"/>
          <w:lang w:eastAsia="en-GB"/>
        </w:rPr>
        <w:fldChar w:fldCharType="begin" w:fldLock="1"/>
      </w:r>
      <w:r w:rsidR="008645FA" w:rsidRPr="009B3747">
        <w:rPr>
          <w:rFonts w:eastAsia="Times New Roman" w:cstheme="minorHAnsi"/>
          <w:color w:val="000000"/>
          <w:lang w:eastAsia="en-GB"/>
        </w:rPr>
        <w:instrText>ADDIN CSL_CITATION { "citationItems" : [ { "id" : "ITEM-1", "itemData" : { "author" : [ { "dropping-particle" : "", "family" : "HM Government", "given" : "", "non-dropping-particle" : "", "parse-names" : false, "suffix" : "" } ], "id" : "ITEM-1", "issued" : { "date-parts" : [ [ "2016" ] ] }, "title" : "Childhood obesity - A plan for action", "type" : "report" }, "uris" : [ "http://www.mendeley.com/documents/?uuid=b98f114e-5233-47f8-a635-d7641b44ba3f" ] } ], "mendeley" : { "formattedCitation" : "(HM Government, 2016)", "plainTextFormattedCitation" : "(HM Government, 2016)", "previouslyFormattedCitation" : "(HM Government, 2016)" }, "properties" : { "noteIndex" : 0 }, "schema" : "https://github.com/citation-style-language/schema/raw/master/csl-citation.json" }</w:instrText>
      </w:r>
      <w:r w:rsidR="008645FA" w:rsidRPr="009B3747">
        <w:rPr>
          <w:rFonts w:eastAsia="Times New Roman" w:cstheme="minorHAnsi"/>
          <w:color w:val="000000"/>
          <w:lang w:eastAsia="en-GB"/>
        </w:rPr>
        <w:fldChar w:fldCharType="separate"/>
      </w:r>
      <w:r w:rsidR="008645FA" w:rsidRPr="009B3747">
        <w:rPr>
          <w:rFonts w:eastAsia="Times New Roman" w:cstheme="minorHAnsi"/>
          <w:noProof/>
          <w:color w:val="000000"/>
          <w:lang w:eastAsia="en-GB"/>
        </w:rPr>
        <w:t>(HM Government, 2016)</w:t>
      </w:r>
      <w:r w:rsidR="008645FA"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on the role of schools and the importance of healthy food within school settings.  If the key stakeholders for obesity prevention within schools</w:t>
      </w:r>
      <w:r w:rsidR="00AE78D1" w:rsidRPr="009B3747">
        <w:rPr>
          <w:rFonts w:eastAsia="Times New Roman" w:cstheme="minorHAnsi"/>
          <w:color w:val="000000"/>
          <w:lang w:eastAsia="en-GB"/>
        </w:rPr>
        <w:t xml:space="preserve"> </w:t>
      </w:r>
      <w:r w:rsidR="00AE78D1"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"National Institute of Health and Care Excellence", "given" : "", "non-dropping-particle" : "", "parse-names" : false, "suffix" : "" } ], "id" : "ITEM-1", "issued" : { "date-parts" : [ [ "2015" ] ] }, "publisher-place" : "London", "title" : "NICE Pathway - Preventing Obesity", "type" : "report" }, "uris" : [ "http://www.mendeley.com/documents/?uuid=b4b27288-9afd-4746-a8da-bc42a8085260" ] } ], "mendeley" : { "formattedCitation" : "(National Institute of Health and Care Excellence, 2015a)", "plainTextFormattedCitation" : "(National Institute of Health and Care Excellence, 2015a)", "previouslyFormattedCitation" : "(National Institute of Health and Care Excellence, 2015a)" }, "properties" : { "noteIndex" : 0 }, "schema" : "https://github.com/citation-style-language/schema/raw/master/csl-citation.json" }</w:instrText>
      </w:r>
      <w:r w:rsidR="00AE78D1" w:rsidRPr="009B3747">
        <w:rPr>
          <w:rFonts w:eastAsia="Times New Roman" w:cstheme="minorHAnsi"/>
          <w:color w:val="000000"/>
          <w:lang w:eastAsia="en-GB"/>
        </w:rPr>
        <w:fldChar w:fldCharType="separate"/>
      </w:r>
      <w:r w:rsidR="00AE78D1" w:rsidRPr="009B3747">
        <w:rPr>
          <w:rFonts w:eastAsia="Times New Roman" w:cstheme="minorHAnsi"/>
          <w:noProof/>
          <w:color w:val="000000"/>
          <w:lang w:eastAsia="en-GB"/>
        </w:rPr>
        <w:t>(National Institute of Health and Care Excellence, 2015a)</w:t>
      </w:r>
      <w:r w:rsidR="00AE78D1" w:rsidRPr="009B3747">
        <w:rPr>
          <w:rFonts w:eastAsia="Times New Roman" w:cstheme="minorHAnsi"/>
          <w:color w:val="000000"/>
          <w:lang w:eastAsia="en-GB"/>
        </w:rPr>
        <w:fldChar w:fldCharType="end"/>
      </w:r>
      <w:r w:rsidR="000C58B7">
        <w:rPr>
          <w:rFonts w:eastAsia="Times New Roman" w:cstheme="minorHAnsi"/>
          <w:color w:val="000000"/>
          <w:lang w:eastAsia="en-GB"/>
        </w:rPr>
        <w:t>,</w:t>
      </w:r>
      <w:r w:rsidR="008645FA" w:rsidRPr="009B3747">
        <w:rPr>
          <w:rFonts w:eastAsia="Times New Roman" w:cstheme="minorHAnsi"/>
          <w:color w:val="000000"/>
          <w:lang w:eastAsia="en-GB"/>
        </w:rPr>
        <w:t xml:space="preserve"> </w:t>
      </w:r>
      <w:r w:rsidRPr="009B3747">
        <w:rPr>
          <w:rFonts w:eastAsia="Times New Roman" w:cstheme="minorHAnsi"/>
          <w:color w:val="000000"/>
          <w:lang w:eastAsia="en-GB"/>
        </w:rPr>
        <w:t>are arguing that the greatest influences on adolescent dietary habits and obesity actually lie outside of their setting, it could be argued that an increasing focus in public health policy on improving the wider food environment should be considered.  This argument is supported and grounded in recommendations within national and international reports on preventing childhood obesity</w:t>
      </w:r>
      <w:r w:rsidR="008645FA" w:rsidRPr="009B3747">
        <w:rPr>
          <w:rFonts w:eastAsia="Times New Roman" w:cstheme="minorHAnsi"/>
          <w:color w:val="000000"/>
          <w:lang w:eastAsia="en-GB"/>
        </w:rPr>
        <w:t xml:space="preserve"> </w:t>
      </w:r>
      <w:r w:rsidR="008645FA"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"DOI" : "ISBN 978 92 4 151006 6", "ISBN" : "978 92 4 151006 6 \u00a9", "ISSN" : "9241565330", "PMID" : "25246403", "abstract" : "1. Over the past decade, the World Health Assembly, the governing body of the World Health Organization (WHO), and the United Nations General Assembly have adopted a series of resolutions1 that acknowledge noncommunicable diseases (NCDs) as a major challenge for development in the 21st century and have identified prevention and control as a core priority. The proposed Sustainable Development Goals propose a target on reducing premature mortality from NCDs2. 2. Among the NCD risk factors, obesity is particularly concerning. In children (aged under 19 years) it is associated with a wide range of health complications and an increased risk of premature onset of illnesses, including diabetes and heart disease. Preventing childhood obesity is a key approach to the primary prevention of NCDs. 3. Childhood obesity has complex origins and progress in tackling the issue has to date been slow. It is clear that a combination of scientific research, government leadership and community partnerships is necessary in order to develop the best recommendations and implement them worldwide. 4. In order to develop a comprehensive response to childhood obesity, the WHO Director- General established a high-level Commission on Ending Childhood Obesity (ECHO), which comprises 15 accomplished and eminent individuals from a variety of relevant backgrounds. The Commission has reviewed, built upon and addressed gaps in existing mandates and strategies with the support of two ad hoc working groups, one on science and evidence for ending childhood obesity (WGSE), and one on implementation, monitoring and accountability for ending childhood obesity (WGIMA). An Interim Report was developed for feedback through a series of regional consultations and hearings with Member States and non-State actors, and an online process for the submission of comments from relevant stakeholders. The Commission has reviewed these inputs and developed this draft final report, which will form the basis for a final round of regional and global consultation.", "author" : [ { "dropping-particle" : "", "family" : "WHO", "given" : "", "non-dropping-particle" : "", "parse-names" : false, "suffix" : "" } ], "container-title" : "WHO", "id" : "ITEM-1", "issued" : { "date-parts" : [ [ "2016" ] ] }, "number-of-pages" : "30", "title" : "Report of the Commission on Ending Childhood Obesity", "type" : "report" }, "uris" : [ "http://www.mendeley.com/documents/?uuid=20d3b405-4ed7-49d8-bdda-fb0b4dc5bd10" ] }, { "id" : "ITEM-2", "itemData" : { "author" : [ { "dropping-particle" : "", "family" : "House of Commons Health Select Committee", "given" : "", "non-dropping-particle" : "", "parse-names" : false, "suffix" : "" } ], "id" : "ITEM-2", "issued" : { "date-parts" : [ [ "2017" ] ] }, "publisher-place" : "London", "title" : "Childhood obesity: follow up", "type" : "report" }, "uris" : [ "http://www.mendeley.com/documents/?uuid=fd352f61-9c4e-4fcc-b7ea-be308c47a62e" ] } ], "mendeley" : { "formattedCitation" : "(WHO, 2016; House of Commons Health Select Committee, 2017)", "plainTextFormattedCitation" : "(WHO, 2016; House of Commons Health Select Committee, 2017)", "previouslyFormattedCitation" : "(WHO, 2016; House of Commons Health Select Committee, 2017)" }, "properties" : { "noteIndex" : 0 }, "schema" : "https://github.com/citation-style-language/schema/raw/master/csl-citation.json" }</w:instrText>
      </w:r>
      <w:r w:rsidR="008645FA" w:rsidRPr="009B3747">
        <w:rPr>
          <w:rFonts w:eastAsia="Times New Roman" w:cstheme="minorHAnsi"/>
          <w:color w:val="000000"/>
          <w:lang w:eastAsia="en-GB"/>
        </w:rPr>
        <w:fldChar w:fldCharType="separate"/>
      </w:r>
      <w:r w:rsidR="008645FA" w:rsidRPr="009B3747">
        <w:rPr>
          <w:rFonts w:eastAsia="Times New Roman" w:cstheme="minorHAnsi"/>
          <w:noProof/>
          <w:color w:val="000000"/>
          <w:lang w:eastAsia="en-GB"/>
        </w:rPr>
        <w:t>(WHO, 2016; House of Commons Health Select Committee, 2017)</w:t>
      </w:r>
      <w:r w:rsidR="008645FA" w:rsidRPr="009B3747">
        <w:rPr>
          <w:rFonts w:eastAsia="Times New Roman" w:cstheme="minorHAnsi"/>
          <w:color w:val="000000"/>
          <w:lang w:eastAsia="en-GB"/>
        </w:rPr>
        <w:fldChar w:fldCharType="end"/>
      </w:r>
      <w:r w:rsidR="008645FA"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and by the recognition </w:t>
      </w:r>
      <w:r w:rsidRPr="009B3747">
        <w:rPr>
          <w:rFonts w:eastAsia="Times New Roman" w:cstheme="minorHAnsi"/>
          <w:i/>
          <w:color w:val="000000"/>
          <w:lang w:eastAsia="en-GB"/>
        </w:rPr>
        <w:t xml:space="preserve">that </w:t>
      </w:r>
      <w:r w:rsidR="008645FA" w:rsidRPr="009B3747">
        <w:rPr>
          <w:rFonts w:eastAsia="Times New Roman" w:cstheme="minorHAnsi"/>
          <w:i/>
          <w:color w:val="000000"/>
          <w:lang w:eastAsia="en-GB"/>
        </w:rPr>
        <w:t>“</w:t>
      </w:r>
      <w:r w:rsidRPr="009B3747">
        <w:rPr>
          <w:rFonts w:eastAsia="Times New Roman" w:cstheme="minorHAnsi"/>
          <w:i/>
          <w:iCs/>
          <w:color w:val="000000"/>
          <w:lang w:eastAsia="en-GB"/>
        </w:rPr>
        <w:t>schools may not be effective in reducing the risks posted in other settings</w:t>
      </w:r>
      <w:r w:rsidR="008645FA" w:rsidRPr="009B3747">
        <w:rPr>
          <w:rFonts w:eastAsia="Times New Roman" w:cstheme="minorHAnsi"/>
          <w:i/>
          <w:iCs/>
          <w:color w:val="000000"/>
          <w:lang w:eastAsia="en-GB"/>
        </w:rPr>
        <w:t>”</w:t>
      </w:r>
      <w:r w:rsidRPr="009B3747">
        <w:rPr>
          <w:rFonts w:eastAsia="Times New Roman" w:cstheme="minorHAnsi"/>
          <w:iCs/>
          <w:color w:val="000000"/>
          <w:lang w:eastAsia="en-GB"/>
        </w:rPr>
        <w:t> </w:t>
      </w:r>
      <w:r w:rsidR="008645FA" w:rsidRPr="009B3747">
        <w:rPr>
          <w:rFonts w:eastAsia="Times New Roman" w:cstheme="minorHAnsi"/>
          <w:iCs/>
          <w:color w:val="000000"/>
          <w:lang w:eastAsia="en-GB"/>
        </w:rPr>
        <w:fldChar w:fldCharType="begin" w:fldLock="1"/>
      </w:r>
      <w:r w:rsidR="009C2ECF" w:rsidRPr="009B3747">
        <w:rPr>
          <w:rFonts w:eastAsia="Times New Roman" w:cstheme="minorHAnsi"/>
          <w:iCs/>
          <w:color w:val="000000"/>
          <w:lang w:eastAsia="en-GB"/>
        </w:rPr>
        <w:instrText>ADDIN CSL_CITATION { "citationItems" : [ { "id" : "ITEM-1", "itemData" : { "author" : [ { "dropping-particle" : "", "family" : "Wang", "given" : "Y", "non-dropping-particle" : "", "parse-names" : false, "suffix" : "" }, { "dropping-particle" : "", "family" : "Wu", "given" : "Y", "non-dropping-particle" : "", "parse-names" : false, "suffix" : "" }, { "dropping-particle" : "", "family" : "Wilson", "given" : "RF", "non-dropping-particle" : "", "parse-names" : false, "suffix" : "" }, { "dropping-particle" : "", "family" : "Bleich", "given" : "S", "non-dropping-particle" : "", "parse-names" : false, "suffix" : "" } ], "container-title" : "Comparative Effectiveness Reviews", "id" : "ITEM-1", "issued" : { "date-parts" : [ [ "2013" ] ] }, "title" : "Childhood obesity prevention programs: comparative effectiveness review and meta-analysis", "type" : "article-journal", "volume" : "115" }, "uris" : [ "http://www.mendeley.com/documents/?uuid=9766fbad-3d9c-402c-8f12-e60cec010d28" ] } ], "mendeley" : { "formattedCitation" : "(Wang et al., 2013)", "manualFormatting" : "(Wang et al., 2013, p.155)", "plainTextFormattedCitation" : "(Wang et al., 2013)", "previouslyFormattedCitation" : "(Wang et al., 2013)" }, "properties" : { "noteIndex" : 0 }, "schema" : "https://github.com/citation-style-language/schema/raw/master/csl-citation.json" }</w:instrText>
      </w:r>
      <w:r w:rsidR="008645FA" w:rsidRPr="009B3747">
        <w:rPr>
          <w:rFonts w:eastAsia="Times New Roman" w:cstheme="minorHAnsi"/>
          <w:iCs/>
          <w:color w:val="000000"/>
          <w:lang w:eastAsia="en-GB"/>
        </w:rPr>
        <w:fldChar w:fldCharType="separate"/>
      </w:r>
      <w:r w:rsidR="008645FA" w:rsidRPr="009B3747">
        <w:rPr>
          <w:rFonts w:eastAsia="Times New Roman" w:cstheme="minorHAnsi"/>
          <w:iCs/>
          <w:noProof/>
          <w:color w:val="000000"/>
          <w:lang w:eastAsia="en-GB"/>
        </w:rPr>
        <w:t>(Wang et al., 2013, p.155)</w:t>
      </w:r>
      <w:r w:rsidR="008645FA" w:rsidRPr="009B3747">
        <w:rPr>
          <w:rFonts w:eastAsia="Times New Roman" w:cstheme="minorHAnsi"/>
          <w:iCs/>
          <w:color w:val="000000"/>
          <w:lang w:eastAsia="en-GB"/>
        </w:rPr>
        <w:fldChar w:fldCharType="end"/>
      </w:r>
      <w:r w:rsidRPr="009B3747">
        <w:rPr>
          <w:rFonts w:eastAsia="Times New Roman" w:cstheme="minorHAnsi"/>
          <w:color w:val="000000"/>
          <w:lang w:eastAsia="en-GB"/>
        </w:rPr>
        <w:t>.  </w:t>
      </w:r>
    </w:p>
    <w:p w:rsidR="007E3DE9" w:rsidRPr="009B3747" w:rsidRDefault="007E3DE9" w:rsidP="00AC3B26">
      <w:pPr>
        <w:rPr>
          <w:rFonts w:eastAsia="Times New Roman" w:cstheme="minorHAnsi"/>
          <w:color w:val="000000"/>
          <w:lang w:eastAsia="en-GB"/>
        </w:rPr>
      </w:pPr>
    </w:p>
    <w:p w:rsidR="008645FA" w:rsidRPr="009B3747" w:rsidRDefault="00AC3B26" w:rsidP="00AC3B26">
      <w:pPr>
        <w:rPr>
          <w:rFonts w:eastAsia="Times New Roman" w:cstheme="minorHAnsi"/>
          <w:color w:val="000000"/>
          <w:lang w:eastAsia="en-GB"/>
        </w:rPr>
      </w:pPr>
      <w:r w:rsidRPr="009B3747">
        <w:rPr>
          <w:rFonts w:eastAsia="Times New Roman" w:cstheme="minorHAnsi"/>
          <w:color w:val="000000"/>
          <w:lang w:eastAsia="en-GB"/>
        </w:rPr>
        <w:t>C</w:t>
      </w:r>
      <w:r w:rsidR="000C58B7">
        <w:rPr>
          <w:rFonts w:eastAsia="Times New Roman" w:cstheme="minorHAnsi"/>
          <w:color w:val="000000"/>
          <w:lang w:eastAsia="en-GB"/>
        </w:rPr>
        <w:t>ritically</w:t>
      </w:r>
      <w:r w:rsidRPr="009B3747">
        <w:rPr>
          <w:rFonts w:eastAsia="Times New Roman" w:cstheme="minorHAnsi"/>
          <w:color w:val="000000"/>
          <w:lang w:eastAsia="en-GB"/>
        </w:rPr>
        <w:t>, it could be argued that the government’s latest childhood obesity plan (HM Government, 2016), fails to adequately consider this fact.  Aside from two key actions the broader negative influence</w:t>
      </w:r>
      <w:r w:rsidR="00B46C02">
        <w:rPr>
          <w:rFonts w:eastAsia="Times New Roman" w:cstheme="minorHAnsi"/>
          <w:color w:val="000000"/>
          <w:lang w:eastAsia="en-GB"/>
        </w:rPr>
        <w:t xml:space="preserve">s in the wider food environment, </w:t>
      </w:r>
      <w:r w:rsidRPr="009B3747">
        <w:rPr>
          <w:rFonts w:eastAsia="Times New Roman" w:cstheme="minorHAnsi"/>
          <w:color w:val="000000"/>
          <w:lang w:eastAsia="en-GB"/>
        </w:rPr>
        <w:t>i.e. junk food marketing and availability are largely unaddressed</w:t>
      </w:r>
      <w:r w:rsidR="008645FA" w:rsidRPr="009B3747">
        <w:rPr>
          <w:rFonts w:eastAsia="Times New Roman" w:cstheme="minorHAnsi"/>
          <w:color w:val="000000"/>
          <w:lang w:eastAsia="en-GB"/>
        </w:rPr>
        <w:t xml:space="preserve"> </w:t>
      </w:r>
      <w:r w:rsidR="008645FA"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"Knai", "given" : "C\u00e9cile", "non-dropping-particle" : "", "parse-names" : false, "suffix" : "" }, { "dropping-particle" : "", "family" : "Petticrew", "given" : "Mark", "non-dropping-particle" : "", "parse-names" : false, "suffix" : "" }, { "dropping-particle" : "", "family" : "Mays", "given" : "Nicholas", "non-dropping-particle" : "", "parse-names" : false, "suffix" : "" } ], "container-title" : "BMJ", "id" : "ITEM-1", "issue" : "4613", "issued" : { "date-parts" : [ [ "2016" ] ] }, "title" : "The childhood obesity strategy", "type" : "article-journal", "volume" : "354" }, "uris" : [ "http://www.mendeley.com/documents/?uuid=e902396d-cc3d-3910-b150-50296986947c" ] } ], "mendeley" : { "formattedCitation" : "(Knai et al., 2016)", "plainTextFormattedCitation" : "(Knai et al., 2016)", "previouslyFormattedCitation" : "(Knai et al., 2016)" }, "properties" : { "noteIndex" : 0 }, "schema" : "https://github.com/citation-style-language/schema/raw/master/csl-citation.json" }</w:instrText>
      </w:r>
      <w:r w:rsidR="008645FA" w:rsidRPr="009B3747">
        <w:rPr>
          <w:rFonts w:eastAsia="Times New Roman" w:cstheme="minorHAnsi"/>
          <w:color w:val="000000"/>
          <w:lang w:eastAsia="en-GB"/>
        </w:rPr>
        <w:fldChar w:fldCharType="separate"/>
      </w:r>
      <w:r w:rsidR="008645FA" w:rsidRPr="009B3747">
        <w:rPr>
          <w:rFonts w:eastAsia="Times New Roman" w:cstheme="minorHAnsi"/>
          <w:noProof/>
          <w:color w:val="000000"/>
          <w:lang w:eastAsia="en-GB"/>
        </w:rPr>
        <w:t>(Knai et al., 2016)</w:t>
      </w:r>
      <w:r w:rsidR="008645FA" w:rsidRPr="009B3747">
        <w:rPr>
          <w:rFonts w:eastAsia="Times New Roman" w:cstheme="minorHAnsi"/>
          <w:color w:val="000000"/>
          <w:lang w:eastAsia="en-GB"/>
        </w:rPr>
        <w:fldChar w:fldCharType="end"/>
      </w:r>
      <w:r w:rsidR="008645FA" w:rsidRPr="009B3747">
        <w:rPr>
          <w:rFonts w:eastAsia="Times New Roman" w:cstheme="minorHAnsi"/>
          <w:color w:val="000000"/>
          <w:lang w:eastAsia="en-GB"/>
        </w:rPr>
        <w:t xml:space="preserve"> </w:t>
      </w:r>
      <w:r w:rsidRPr="009B3747">
        <w:rPr>
          <w:rFonts w:eastAsia="Times New Roman" w:cstheme="minorHAnsi"/>
          <w:color w:val="000000"/>
          <w:lang w:eastAsia="en-GB"/>
        </w:rPr>
        <w:t>adding weight to</w:t>
      </w:r>
      <w:r w:rsidR="008645FA" w:rsidRPr="009B3747">
        <w:rPr>
          <w:rFonts w:eastAsia="Times New Roman" w:cstheme="minorHAnsi"/>
          <w:color w:val="000000"/>
          <w:lang w:eastAsia="en-GB"/>
        </w:rPr>
        <w:t xml:space="preserve"> the argument that the plan is </w:t>
      </w:r>
      <w:r w:rsidR="008645FA" w:rsidRPr="009B3747">
        <w:rPr>
          <w:rFonts w:eastAsia="Times New Roman" w:cstheme="minorHAnsi"/>
          <w:i/>
          <w:color w:val="000000"/>
          <w:lang w:eastAsia="en-GB"/>
        </w:rPr>
        <w:t>“</w:t>
      </w:r>
      <w:r w:rsidRPr="009B3747">
        <w:rPr>
          <w:rFonts w:eastAsia="Times New Roman" w:cstheme="minorHAnsi"/>
          <w:i/>
          <w:color w:val="000000"/>
          <w:lang w:eastAsia="en-GB"/>
        </w:rPr>
        <w:t xml:space="preserve">weak, disappointing, </w:t>
      </w:r>
      <w:r w:rsidR="008645FA" w:rsidRPr="009B3747">
        <w:rPr>
          <w:rFonts w:eastAsia="Times New Roman" w:cstheme="minorHAnsi"/>
          <w:i/>
          <w:color w:val="000000"/>
          <w:lang w:eastAsia="en-GB"/>
        </w:rPr>
        <w:t>watered down, and underwhelming”</w:t>
      </w:r>
      <w:r w:rsidR="008645FA" w:rsidRPr="009B3747">
        <w:rPr>
          <w:rFonts w:eastAsia="Times New Roman" w:cstheme="minorHAnsi"/>
          <w:color w:val="000000"/>
          <w:lang w:eastAsia="en-GB"/>
        </w:rPr>
        <w:t xml:space="preserve"> </w:t>
      </w:r>
      <w:r w:rsidR="008645FA"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"O\u2019Dowd", "given" : "Adrian", "non-dropping-particle" : "", "parse-names" : false, "suffix" : "" } ], "container-title" : "BMJ", "id" : "ITEM-1", "issue" : "i4576", "issued" : { "date-parts" : [ [ "2016" ] ] }, "title" : "Clinicians underwhelmed by \u201cwatered down\u201d childhood obesity strategy", "type" : "article-journal", "volume" : "354" }, "uris" : [ "http://www.mendeley.com/documents/?uuid=d46cea63-c39b-372b-910a-aa4ef9b80311" ] } ], "mendeley" : { "formattedCitation" : "(O\u2019Dowd, 2016)", "manualFormatting" : "(O\u2019Dowd, 2016, p.1)", "plainTextFormattedCitation" : "(O\u2019Dowd, 2016)", "previouslyFormattedCitation" : "(O\u2019Dowd, 2016)" }, "properties" : { "noteIndex" : 0 }, "schema" : "https://github.com/citation-style-language/schema/raw/master/csl-citation.json" }</w:instrText>
      </w:r>
      <w:r w:rsidR="008645FA" w:rsidRPr="009B3747">
        <w:rPr>
          <w:rFonts w:eastAsia="Times New Roman" w:cstheme="minorHAnsi"/>
          <w:color w:val="000000"/>
          <w:lang w:eastAsia="en-GB"/>
        </w:rPr>
        <w:fldChar w:fldCharType="separate"/>
      </w:r>
      <w:r w:rsidR="008645FA" w:rsidRPr="009B3747">
        <w:rPr>
          <w:rFonts w:eastAsia="Times New Roman" w:cstheme="minorHAnsi"/>
          <w:noProof/>
          <w:color w:val="000000"/>
          <w:lang w:eastAsia="en-GB"/>
        </w:rPr>
        <w:t>(O’Dowd, 2016, p.1)</w:t>
      </w:r>
      <w:r w:rsidR="008645FA" w:rsidRPr="009B3747">
        <w:rPr>
          <w:rFonts w:eastAsia="Times New Roman" w:cstheme="minorHAnsi"/>
          <w:color w:val="000000"/>
          <w:lang w:eastAsia="en-GB"/>
        </w:rPr>
        <w:fldChar w:fldCharType="end"/>
      </w:r>
      <w:r w:rsidR="008645FA" w:rsidRPr="009B3747">
        <w:rPr>
          <w:rFonts w:eastAsia="Times New Roman" w:cstheme="minorHAnsi"/>
          <w:color w:val="000000"/>
          <w:lang w:eastAsia="en-GB"/>
        </w:rPr>
        <w:t xml:space="preserve">.  </w:t>
      </w:r>
    </w:p>
    <w:p w:rsidR="008645FA" w:rsidRPr="009B3747" w:rsidRDefault="008645FA" w:rsidP="00AC3B26">
      <w:pPr>
        <w:rPr>
          <w:rFonts w:eastAsia="Times New Roman" w:cstheme="minorHAnsi"/>
          <w:color w:val="000000"/>
          <w:lang w:eastAsia="en-GB"/>
        </w:rPr>
      </w:pPr>
    </w:p>
    <w:p w:rsidR="00AC3B26" w:rsidRPr="009B3747" w:rsidRDefault="00AC3B26" w:rsidP="00AC3B26">
      <w:pPr>
        <w:rPr>
          <w:rFonts w:eastAsia="Times New Roman" w:cstheme="minorHAnsi"/>
          <w:color w:val="000000"/>
          <w:shd w:val="clear" w:color="auto" w:fill="FFFFFF"/>
          <w:lang w:eastAsia="en-GB"/>
        </w:rPr>
      </w:pPr>
      <w:r w:rsidRPr="009B3747">
        <w:rPr>
          <w:rFonts w:eastAsia="Times New Roman" w:cstheme="minorHAnsi"/>
          <w:color w:val="000000"/>
          <w:lang w:eastAsia="en-GB"/>
        </w:rPr>
        <w:lastRenderedPageBreak/>
        <w:t xml:space="preserve">In relation to the intrapersonal sphere of influence in the SEM, the qualitative phase originally identified the perspective that socio-economic status further compounds the negatives influences of the home and wider food environment and that increasing deprivation is associated with higher prevalence of adolescent obesity and particularly unhealthy dietary behaviours.  This finding is perhaps to be expected given that the qualitative sample was predominantly made up of participants from schools with a higher than national average proportion of disadvantaged pupils.  In spite of this, </w:t>
      </w:r>
      <w:r w:rsidR="00EE1B37" w:rsidRPr="009B3747">
        <w:rPr>
          <w:rFonts w:eastAsia="Times New Roman" w:cstheme="minorHAnsi"/>
          <w:color w:val="000000"/>
          <w:lang w:eastAsia="en-GB"/>
        </w:rPr>
        <w:t>n</w:t>
      </w:r>
      <w:r w:rsidRPr="009B3747">
        <w:rPr>
          <w:rFonts w:eastAsia="Times New Roman" w:cstheme="minorHAnsi"/>
          <w:color w:val="000000"/>
          <w:lang w:eastAsia="en-GB"/>
        </w:rPr>
        <w:t>ational reported statistics</w:t>
      </w:r>
      <w:r w:rsidR="00EE1B37" w:rsidRPr="009B3747">
        <w:rPr>
          <w:rFonts w:eastAsia="Times New Roman" w:cstheme="minorHAnsi"/>
          <w:color w:val="000000"/>
          <w:lang w:eastAsia="en-GB"/>
        </w:rPr>
        <w:t xml:space="preserve"> </w:t>
      </w:r>
      <w:r w:rsidR="00EE1B37"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"NHS Digital", "given" : "", "non-dropping-particle" : "", "parse-names" : false, "suffix" : "" } ], "id" : "ITEM-1", "issued" : { "date-parts" : [ [ "2016" ] ] }, "publisher-place" : "London", "title" : "National Child Measurement Programme - England, 2015/2016 school year", "type" : "report" }, "uris" : [ "http://www.mendeley.com/documents/?uuid=c13c8b37-9c1a-4559-8550-5f5e414a2fe2" ] }, { "id" : "ITEM-2", "itemData" : { "author" : [ { "dropping-particle" : "", "family" : "NHS Digital", "given" : "", "non-dropping-particle" : "", "parse-names" : false, "suffix" : "" } ], "id" : "ITEM-2", "issued" : { "date-parts" : [ [ "2016" ] ] }, "publisher-place" : "London", "title" : "Health Survey for England 2015 - Children\u2019s body mass index, overweight and obesity", "type" : "report" }, "uris" : [ "http://www.mendeley.com/documents/?uuid=5a7638ee-a87e-4bc0-a4b3-e4740e162d11" ] } ], "mendeley" : { "formattedCitation" : "(NHS Digital, 2016b, 2016a)", "manualFormatting" : "(NHS Digital, 2016a, 2016b)", "plainTextFormattedCitation" : "(NHS Digital, 2016b, 2016a)", "previouslyFormattedCitation" : "(NHS Digital, 2016b, 2016a)" }, "properties" : { "noteIndex" : 0 }, "schema" : "https://github.com/citation-style-language/schema/raw/master/csl-citation.json" }</w:instrText>
      </w:r>
      <w:r w:rsidR="00EE1B37" w:rsidRPr="009B3747">
        <w:rPr>
          <w:rFonts w:eastAsia="Times New Roman" w:cstheme="minorHAnsi"/>
          <w:color w:val="000000"/>
          <w:lang w:eastAsia="en-GB"/>
        </w:rPr>
        <w:fldChar w:fldCharType="separate"/>
      </w:r>
      <w:r w:rsidR="00EE1B37" w:rsidRPr="009B3747">
        <w:rPr>
          <w:rFonts w:eastAsia="Times New Roman" w:cstheme="minorHAnsi"/>
          <w:noProof/>
          <w:color w:val="000000"/>
          <w:lang w:eastAsia="en-GB"/>
        </w:rPr>
        <w:t>(NHS Digital, 2016a, 2016b)</w:t>
      </w:r>
      <w:r w:rsidR="00EE1B37" w:rsidRPr="009B3747">
        <w:rPr>
          <w:rFonts w:eastAsia="Times New Roman" w:cstheme="minorHAnsi"/>
          <w:color w:val="000000"/>
          <w:lang w:eastAsia="en-GB"/>
        </w:rPr>
        <w:fldChar w:fldCharType="end"/>
      </w:r>
      <w:r w:rsidR="00EE1B37"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and a substantial body of academic literature has rigorously established the existence of this association, with </w:t>
      </w:r>
      <w:r w:rsidRPr="009B3747">
        <w:rPr>
          <w:rFonts w:eastAsia="Times New Roman" w:cstheme="minorHAnsi"/>
          <w:color w:val="000000"/>
          <w:shd w:val="clear" w:color="auto" w:fill="FFFFFF"/>
          <w:lang w:eastAsia="en-GB"/>
        </w:rPr>
        <w:t>children and adolescents from more deprived backgrounds evidenced as being more likely to be above a healthy weight, engage in poorer dietary habits and sedentary behaviour</w:t>
      </w:r>
      <w:r w:rsidR="00EE1B37" w:rsidRPr="009B3747">
        <w:rPr>
          <w:rFonts w:eastAsia="Times New Roman" w:cstheme="minorHAnsi"/>
          <w:color w:val="000000"/>
          <w:shd w:val="clear" w:color="auto" w:fill="FFFFFF"/>
          <w:lang w:eastAsia="en-GB"/>
        </w:rPr>
        <w:t xml:space="preserve"> </w:t>
      </w:r>
      <w:r w:rsidR="00EE1B37" w:rsidRPr="009B3747">
        <w:rPr>
          <w:rFonts w:eastAsia="Times New Roman" w:cstheme="minorHAnsi"/>
          <w:color w:val="000000"/>
          <w:shd w:val="clear" w:color="auto" w:fill="FFFFFF"/>
          <w:lang w:eastAsia="en-GB"/>
        </w:rPr>
        <w:fldChar w:fldCharType="begin" w:fldLock="1"/>
      </w:r>
      <w:r w:rsidR="009C2ECF" w:rsidRPr="009B3747">
        <w:rPr>
          <w:rFonts w:eastAsia="Times New Roman" w:cstheme="minorHAnsi"/>
          <w:color w:val="000000"/>
          <w:shd w:val="clear" w:color="auto" w:fill="FFFFFF"/>
          <w:lang w:eastAsia="en-GB"/>
        </w:rPr>
        <w:instrText>ADDIN CSL_CITATION { "citationItems" : [ { "id" : "ITEM-1", "itemData" : { "DOI" : "10.1136/jech.54.6.456", "ISSN" : "0143005X", "author" : [ { "dropping-particle" : "", "family" : "Kinra", "given" : "S.", "non-dropping-particle" : "", "parse-names" : false, "suffix" : "" } ], "container-title" : "Journal of Epidemiology &amp; Community Health", "id" : "ITEM-1", "issue" : "6", "issued" : { "date-parts" : [ [ "2000", "6", "1" ] ] }, "page" : "456-460", "title" : "Deprivation and childhood obesity: a cross sectional study of 20 973 children in Plymouth, United Kingdom", "type" : "article-journal", "volume" : "54" }, "uris" : [ "http://www.mendeley.com/documents/?uuid=5ef837f4-577f-3448-aa6d-2b9fa3b525bb" ] }, { "id" : "ITEM-2", "itemData" : { "DOI" : "10.1136/adc.2004.068932", "ISSN" : "0003-9888", "author" : [ { "dropping-particle" : "", "family" : "Stamatakis", "given" : "E", "non-dropping-particle" : "", "parse-names" : false, "suffix" : "" }, { "dropping-particle" : "", "family" : "Primatesta", "given" : "P", "non-dropping-particle" : "", "parse-names" : false, "suffix" : "" }, { "dropping-particle" : "", "family" : "Chinn", "given" : "S", "non-dropping-particle" : "", "parse-names" : false, "suffix" : "" }, { "dropping-particle" : "", "family" : "Rona", "given" : "R", "non-dropping-particle" : "", "parse-names" : false, "suffix" : "" }, { "dropping-particle" : "", "family" : "Falascheti", "given" : "E", "non-dropping-particle" : "", "parse-names" : false, "suffix" : "" } ], "container-title" : "Archives of Disease in Childhood", "id" : "ITEM-2", "issue" : "10", "issued" : { "date-parts" : [ [ "2005", "6", "7" ] ] }, "page" : "999-1004", "title" : "Overweight and obesity trends from 1974 to 2003 in English children: what is the role of socioeconomic factors?", "type" : "article-journal", "volume" : "90" }, "uris" : [ "http://www.mendeley.com/documents/?uuid=9939713b-1f1f-3f3e-b244-98d03acd7b7a" ] }, { "id" : "ITEM-3", "itemData" : { "author" : [ { "dropping-particle" : "", "family" : "Marmot", "given" : "M", "non-dropping-particle" : "", "parse-names" : false, "suffix" : "" } ], "id" : "ITEM-3", "issued" : { "date-parts" : [ [ "2010" ] ] }, "publisher-place" : "London", "title" : "Fair society, healthy lives", "type" : "report" }, "uris" : [ "http://www.mendeley.com/documents/?uuid=92d8b594-f348-414d-8048-778a3c9973da" ] }, { "id" : "ITEM-4", "itemData" : { "author" : [ { "dropping-particle" : "", "family" : "Stamatakis", "given" : "E", "non-dropping-particle" : "", "parse-names" : false, "suffix" : "" }, { "dropping-particle" : "", "family" : "Wardle", "given" : "J", "non-dropping-particle" : "", "parse-names" : false, "suffix" : "" }, { "dropping-particle" : "", "family" : "Cole", "given" : "TJ", "non-dropping-particle" : "", "parse-names" : false, "suffix" : "" } ], "container-title" : "International journal of obesity", "id" : "ITEM-4", "issued" : { "date-parts" : [ [ "2010" ] ] }, "title" : "Childhood obesity and overweight prevalence trends in England: evidence for growing socioeconomic disparities", "type" : "article-journal" }, "uris" : [ "http://www.mendeley.com/documents/?uuid=6b68bf99-f040-4362-8367-93e8f0a86f97" ] }, { "id" : "ITEM-5", "itemData" : { "DOI" : "10.1016/j.healthplace.2010.07.003", "ISSN" : "13538292", "author" : [ { "dropping-particle" : "", "family" : "Fraser", "given" : "Lorna K.", "non-dropping-particle" : "", "parse-names" : false, "suffix" : "" }, { "dropping-particle" : "", "family" : "Edwards", "given" : "Kimberley L.", "non-dropping-particle" : "", "parse-names" : false, "suffix" : "" } ], "container-title" : "Health &amp; Place", "id" : "ITEM-5", "issue" : "6", "issued" : { "date-parts" : [ [ "2010", "11" ] ] }, "page" : "1124-1128", "title" : "The association between the geography of fast food outlets and childhood obesity rates in Leeds, UK", "type" : "article-journal", "volume" : "16" }, "uris" : [ "http://www.mendeley.com/documents/?uuid=5d8e3700-feb4-318d-82bd-478e1708f80a" ] }, { "id" : "ITEM-6", "itemData" : { "DOI" : "10.1136/bmjopen-2011-000463", "ISSN" : "2044-6055", "PMID" : "22505306", "abstract" : "OBJECTIVES To investigate the associations between deprivation and rates of childhood overweight and obesity in England, from 2007 to 2010. DESIGN An ecological study using routine data from the National Child Measurement Programme and Indices of Multiple Deprivation (IMD) 2010 scores. SETTING Local authority districts in England. PARTICIPANTS Schoolchildren in Reception year (age 4-5 years) and Year 6 (age 10-11 years) attending non-specialist maintained state schools in England. PRIMARY AND SECONDARY OUTCOME MEASURES Prevalence of overweight in both Reception and Year 6, prevalence of obesity in both Reception and Year 6 and IMD 2010 scores for each local authority. RESULTS In 2009-2010, local authority IMD 2010 scores were strongly correlated with obesity rates among schoolchildren in Reception (r=0.625, p&lt;0.001) and Year 6 (r=0.733, p&lt;0.001). There were no statistically significant changes in association between obesity in Reception or Year 6 and IMD from 2007-2008 to 2009-2010. In contrast, the prevalence of overweight was not statistically significantly correlated with local authority IMD scores in Reception (r=0.095, p=0.092) and only weakly correlated in Year 6 (r=0.184, p=0.001). There were no statistically significant changes in association between overweight in Reception or Year 6 and IMD from 2007-2008 to 2009-2010. CONCLUSIONS Childhood obesity rates in England are strongly associated with deprivation. Given the enormous public health implications of overweight and obesity in the population, these findings suggest that significant effort is required to tackle unhealthy weight in children in all local authorities and that this should be a priority in areas with high levels of deprivation.", "author" : [ { "dropping-particle" : "", "family" : "Conrad", "given" : "David", "non-dropping-particle" : "", "parse-names" : false, "suffix" : "" }, { "dropping-particle" : "", "family" : "Capewell", "given" : "Simon", "non-dropping-particle" : "", "parse-names" : false, "suffix" : "" } ], "container-title" : "BMJ open", "id" : "ITEM-6", "issue" : "2", "issued" : { "date-parts" : [ [ "2012", "1", "1" ] ] }, "page" : "e000463", "publisher" : "British Medical Journal Publishing Group", "title" : "Associations between deprivation and rates of childhood overweight and obesity in England, 2007-2010: an ecological study.", "type" : "article-journal", "volume" : "2" }, "uris" : [ "http://www.mendeley.com/documents/?uuid=0f4918f4-7003-3540-9fc2-4c853b9a587b" ] }, { "id" : "ITEM-7", "itemData" : { "author" : [ { "dropping-particle" : "", "family" : "World Health Organization Regional Office for Europe", "given" : "", "non-dropping-particle" : "", "parse-names" : false, "suffix" : "" } ], "id" : "ITEM-7", "issued" : { "date-parts" : [ [ "2014" ] ] }, "publisher-place" : "Copenhagen", "title" : "Obesity and inequities - Guidance for addressing inequities in overweight and obesity", "type" : "report" }, "uris" : [ "http://www.mendeley.com/documents/?uuid=caff6bad-3812-4574-a91b-a6676d8de8c8" ] }, { "id" : "ITEM-8", "itemData" : { "DOI" : "10.2105/AJPH.2013.301806", "ISSN" : "0090-0036", "PMID" : "24625156", "abstract" : "OBJECTIVES We examined the relationship between timing of poverty and risk of first-incidence obesity from ages 3 to 15.5 years. METHODS We used the National Institute of Child Health and Human Development Study of Early Child Care and Youth Development (1991-2007) to study 1150 children with repeated measures of income, weight, and height from birth to 15.5 years in 10 US cities. Our dependent variable was the first incidence of obesity (body mass index \u2265 95th percentile). We measured poverty (income-to-needs ratio &lt; 2) prior to age 2 years and a lagged, time-varying measure of poverty between ages 2 and 12 years. We estimated discrete-time hazard models of the relative risk of first transition to obesity. RESULTS Poverty prior to age 2 years was associated with risk of obesity by age 15.5 years in fully adjusted models. These associations did not vary by gender. CONCLUSIONS Our findings suggest that there are enduring associations between early life poverty and adolescent obesity. This stage in the life course may serve as a critical period for both poverty and obesity prevention.", "author" : [ { "dropping-particle" : "", "family" : "Lee", "given" : "Hedwig", "non-dropping-particle" : "", "parse-names" : false, "suffix" : "" }, { "dropping-particle" : "", "family" : "Andrew", "given" : "Megan", "non-dropping-particle" : "", "parse-names" : false, "suffix" : "" }, { "dropping-particle" : "", "family" : "Gebremariam", "given" : "Achamyeleh", "non-dropping-particle" : "", "parse-names" : false, "suffix" : "" }, { "dropping-particle" : "", "family" : "Lumeng", "given" : "Julie C.", "non-dropping-particle" : "", "parse-names" : false, "suffix" : "" }, { "dropping-particle" : "", "family" : "Lee", "given" : "Joyce M.", "non-dropping-particle" : "", "parse-names" : false, "suffix" : "" } ], "container-title" : "American Journal of Public Health", "id" : "ITEM-8", "issue" : "5", "issued" : { "date-parts" : [ [ "2014", "5" ] ] }, "page" : "e70-e76", "title" : "Longitudinal Associations Between Poverty and Obesity From Birth Through Adolescence", "type" : "article-journal", "volume" : "104" }, "uris" : [ "http://www.mendeley.com/documents/?uuid=d78a896d-5514-3915-bb74-0db01876cfca" ] } ], "mendeley" : { "formattedCitation" : "(Kinra, 2000; Stamatakis et al., 2005; Marmot, 2010; Stamatakis et al., 2010; Fraser and Edwards, 2010; Conrad and Capewell, 2012; World Health Organization Regional Office for Europe, 2014; Lee et al., 2014)", "plainTextFormattedCitation" : "(Kinra, 2000; Stamatakis et al., 2005; Marmot, 2010; Stamatakis et al., 2010; Fraser and Edwards, 2010; Conrad and Capewell, 2012; World Health Organization Regional Office for Europe, 2014; Lee et al., 2014)", "previouslyFormattedCitation" : "(Kinra, 2000; Stamatakis et al., 2005; Marmot, 2010; Stamatakis et al., 2010; Fraser and Edwards, 2010; Conrad and Capewell, 2012; World Health Organization Regional Office for Europe, 2014; Lee et al., 2014)" }, "properties" : { "noteIndex" : 0 }, "schema" : "https://github.com/citation-style-language/schema/raw/master/csl-citation.json" }</w:instrText>
      </w:r>
      <w:r w:rsidR="00EE1B37" w:rsidRPr="009B3747">
        <w:rPr>
          <w:rFonts w:eastAsia="Times New Roman" w:cstheme="minorHAnsi"/>
          <w:color w:val="000000"/>
          <w:shd w:val="clear" w:color="auto" w:fill="FFFFFF"/>
          <w:lang w:eastAsia="en-GB"/>
        </w:rPr>
        <w:fldChar w:fldCharType="separate"/>
      </w:r>
      <w:r w:rsidR="009C2ECF" w:rsidRPr="009B3747">
        <w:rPr>
          <w:rFonts w:eastAsia="Times New Roman" w:cstheme="minorHAnsi"/>
          <w:noProof/>
          <w:color w:val="000000"/>
          <w:shd w:val="clear" w:color="auto" w:fill="FFFFFF"/>
          <w:lang w:eastAsia="en-GB"/>
        </w:rPr>
        <w:t>(Kinra, 2000; Stamatakis et al., 2005; Marmot, 2010; Stamatakis et al., 2010; Fraser and Edwards, 2010; Conrad and Capewell, 2012; World Health Organization Regional Office for Europe, 2014; Lee et al., 2014)</w:t>
      </w:r>
      <w:r w:rsidR="00EE1B37" w:rsidRPr="009B3747">
        <w:rPr>
          <w:rFonts w:eastAsia="Times New Roman" w:cstheme="minorHAnsi"/>
          <w:color w:val="000000"/>
          <w:shd w:val="clear" w:color="auto" w:fill="FFFFFF"/>
          <w:lang w:eastAsia="en-GB"/>
        </w:rPr>
        <w:fldChar w:fldCharType="end"/>
      </w:r>
      <w:r w:rsidR="00EE1B37" w:rsidRPr="009B3747">
        <w:rPr>
          <w:rFonts w:eastAsia="Times New Roman" w:cstheme="minorHAnsi"/>
          <w:color w:val="000000"/>
          <w:shd w:val="clear" w:color="auto" w:fill="FFFFFF"/>
          <w:lang w:eastAsia="en-GB"/>
        </w:rPr>
        <w:t>.</w:t>
      </w:r>
    </w:p>
    <w:p w:rsidR="00EE1B37" w:rsidRPr="009B3747" w:rsidRDefault="00EE1B37" w:rsidP="00AC3B26">
      <w:pPr>
        <w:rPr>
          <w:rFonts w:eastAsia="Times New Roman" w:cstheme="minorHAnsi"/>
          <w:sz w:val="24"/>
          <w:szCs w:val="24"/>
          <w:lang w:eastAsia="en-GB"/>
        </w:rPr>
      </w:pPr>
    </w:p>
    <w:p w:rsidR="00AC3B26" w:rsidRPr="009B3747" w:rsidRDefault="00AC3B26" w:rsidP="00AC3B26">
      <w:pPr>
        <w:rPr>
          <w:rFonts w:eastAsia="Times New Roman" w:cstheme="minorHAnsi"/>
          <w:color w:val="000000"/>
          <w:lang w:eastAsia="en-GB"/>
        </w:rPr>
      </w:pPr>
      <w:r w:rsidRPr="009B3747">
        <w:rPr>
          <w:rFonts w:eastAsia="Times New Roman" w:cstheme="minorHAnsi"/>
          <w:color w:val="000000"/>
          <w:lang w:eastAsia="en-GB"/>
        </w:rPr>
        <w:t>One explanation provided by participants in the qualitative phase for this observed relationship between deprivation, dietary habits and resultant obesity centred on the issue of low incomes limiting the ability to make healthy food choices and engage in health enhancing opportunities.  The ‘obesity-hunger paradox’, supports this by suggesting children and adolescents from depri</w:t>
      </w:r>
      <w:r w:rsidR="009025E2">
        <w:rPr>
          <w:rFonts w:eastAsia="Times New Roman" w:cstheme="minorHAnsi"/>
          <w:color w:val="000000"/>
          <w:lang w:eastAsia="en-GB"/>
        </w:rPr>
        <w:t xml:space="preserve">ved areas consume cheaper foods, </w:t>
      </w:r>
      <w:r w:rsidRPr="009B3747">
        <w:rPr>
          <w:rFonts w:eastAsia="Times New Roman" w:cstheme="minorHAnsi"/>
          <w:color w:val="000000"/>
          <w:lang w:eastAsia="en-GB"/>
        </w:rPr>
        <w:t>which are typically energy dense and nutrient poor</w:t>
      </w:r>
      <w:r w:rsidR="00EE1B37" w:rsidRPr="009B3747">
        <w:rPr>
          <w:rFonts w:eastAsia="Times New Roman" w:cstheme="minorHAnsi"/>
          <w:color w:val="000000"/>
          <w:lang w:eastAsia="en-GB"/>
        </w:rPr>
        <w:t xml:space="preserve"> </w:t>
      </w:r>
      <w:r w:rsidR="00EE1B37" w:rsidRPr="009B3747">
        <w:rPr>
          <w:rFonts w:eastAsia="Times New Roman" w:cstheme="minorHAnsi"/>
          <w:color w:val="000000"/>
          <w:lang w:eastAsia="en-GB"/>
        </w:rPr>
        <w:fldChar w:fldCharType="begin" w:fldLock="1"/>
      </w:r>
      <w:r w:rsidR="00EE1B37" w:rsidRPr="009B3747">
        <w:rPr>
          <w:rFonts w:eastAsia="Times New Roman" w:cstheme="minorHAnsi"/>
          <w:color w:val="000000"/>
          <w:lang w:eastAsia="en-GB"/>
        </w:rPr>
        <w:instrText>ADDIN CSL_CITATION { "citationItems" : [ { "id" : "ITEM-1", "itemData" : { "DOI" : "10.1016/j.jada.2007.08.007", "ISSN" : "00028223", "PMID" : "17964317", "abstract" : "In the year 2000, multiple global health agencies and stakeholders convened and established eight tenets that, if followed, would make our world a vastly better place. These tenets are called the Millennium Development Goals. Most of these goals are either directly or indirectly related to nutrition. The United Nations has led an evaluation team to monitor and assess the progress toward achieving these goals until 2015. We are midway between when the goals were set and the year 2015. The first goal is to \"eradicate extreme poverty and hunger.\" Our greatest responsibility as nutrition professionals is to understand the ramifications of poverty, chronic hunger, and food insecurity. Food insecurity is complex, and the paradox is that not only can it lead to undernutrition and recurring hunger, but also to overnutrition, which can lead to overweight and obesity. It is estimated that by the year 2015 noncommunicable diseases associated with overnutrition will surpass undernutrition as the leading causes of death in low-income communities. Therefore, we need to take heed of the double burden of malnutrition caused by poverty, hunger, and food insecurity. Informing current practitioners, educators, and policymakers and passing this information on to future generations of nutrition students is of paramount importance.", "author" : [ { "dropping-particle" : "", "family" : "Tanumihardjo", "given" : "Sherry A.", "non-dropping-particle" : "", "parse-names" : false, "suffix" : "" }, { "dropping-particle" : "", "family" : "Anderson", "given" : "Cheryl", "non-dropping-particle" : "", "parse-names" : false, "suffix" : "" }, { "dropping-particle" : "", "family" : "Kaufer-Horwitz", "given" : "Martha", "non-dropping-particle" : "", "parse-names" : false, "suffix" : "" }, { "dropping-particle" : "", "family" : "Bode", "given" : "Lars", "non-dropping-particle" : "", "parse-names" : false, "suffix" : "" }, { "dropping-particle" : "", "family" : "Emenaker", "given" : "Nancy J.", "non-dropping-particle" : "", "parse-names" : false, "suffix" : "" }, { "dropping-particle" : "", "family" : "Haqq", "given" : "Andrea M.", "non-dropping-particle" : "", "parse-names" : false, "suffix" : "" }, { "dropping-particle" : "", "family" : "Satia", "given" : "Jessie A.", "non-dropping-particle" : "", "parse-names" : false, "suffix" : "" }, { "dropping-particle" : "", "family" : "Silver", "given" : "Heidi J.", "non-dropping-particle" : "", "parse-names" : false, "suffix" : "" }, { "dropping-particle" : "", "family" : "Stadler", "given" : "Diane D.", "non-dropping-particle" : "", "parse-names" : false, "suffix" : "" } ], "container-title" : "Journal of the American Dietetic Association", "id" : "ITEM-1", "issue" : "11", "issued" : { "date-parts" : [ [ "2007", "11" ] ] }, "page" : "1966-1972", "title" : "Poverty, Obesity, and Malnutrition: An International Perspective Recognizing the Paradox", "type" : "article-journal", "volume" : "107" }, "uris" : [ "http://www.mendeley.com/documents/?uuid=32367e10-d879-35af-9a4a-40a0ee640dd2" ] } ], "mendeley" : { "formattedCitation" : "(Tanumihardjo et al., 2007)", "plainTextFormattedCitation" : "(Tanumihardjo et al., 2007)", "previouslyFormattedCitation" : "(Tanumihardjo et al., 2007)" }, "properties" : { "noteIndex" : 0 }, "schema" : "https://github.com/citation-style-language/schema/raw/master/csl-citation.json" }</w:instrText>
      </w:r>
      <w:r w:rsidR="00EE1B37" w:rsidRPr="009B3747">
        <w:rPr>
          <w:rFonts w:eastAsia="Times New Roman" w:cstheme="minorHAnsi"/>
          <w:color w:val="000000"/>
          <w:lang w:eastAsia="en-GB"/>
        </w:rPr>
        <w:fldChar w:fldCharType="separate"/>
      </w:r>
      <w:r w:rsidR="00EE1B37" w:rsidRPr="009B3747">
        <w:rPr>
          <w:rFonts w:eastAsia="Times New Roman" w:cstheme="minorHAnsi"/>
          <w:noProof/>
          <w:color w:val="000000"/>
          <w:lang w:eastAsia="en-GB"/>
        </w:rPr>
        <w:t>(Tanumihardjo et al., 2007)</w:t>
      </w:r>
      <w:r w:rsidR="00EE1B37" w:rsidRPr="009B3747">
        <w:rPr>
          <w:rFonts w:eastAsia="Times New Roman" w:cstheme="minorHAnsi"/>
          <w:color w:val="000000"/>
          <w:lang w:eastAsia="en-GB"/>
        </w:rPr>
        <w:fldChar w:fldCharType="end"/>
      </w:r>
      <w:r w:rsidRPr="009B3747">
        <w:rPr>
          <w:rFonts w:eastAsia="Times New Roman" w:cstheme="minorHAnsi"/>
          <w:color w:val="000000"/>
          <w:lang w:eastAsia="en-GB"/>
        </w:rPr>
        <w:t>.  Furthermore in areas of deprivation there is evidence of a higher concentration of opportunities to consume unhealthy foods and less availability to obtain nutritious healthy options</w:t>
      </w:r>
      <w:r w:rsidR="00EE1B37" w:rsidRPr="009B3747">
        <w:rPr>
          <w:rFonts w:eastAsia="Times New Roman" w:cstheme="minorHAnsi"/>
          <w:color w:val="000000"/>
          <w:lang w:eastAsia="en-GB"/>
        </w:rPr>
        <w:t xml:space="preserve"> </w:t>
      </w:r>
      <w:r w:rsidR="00EE1B37" w:rsidRPr="009B3747">
        <w:rPr>
          <w:rFonts w:eastAsia="Times New Roman" w:cstheme="minorHAnsi"/>
          <w:color w:val="000000"/>
          <w:lang w:eastAsia="en-GB"/>
        </w:rPr>
        <w:fldChar w:fldCharType="begin" w:fldLock="1"/>
      </w:r>
      <w:r w:rsidR="00273A2D" w:rsidRPr="009B3747">
        <w:rPr>
          <w:rFonts w:eastAsia="Times New Roman" w:cstheme="minorHAnsi"/>
          <w:color w:val="000000"/>
          <w:lang w:eastAsia="en-GB"/>
        </w:rPr>
        <w:instrText>ADDIN CSL_CITATION { "citationItems" : [ { "id" : "ITEM-1", "itemData" : { "DOI" : "10.1016/j.healthplace.2014.01.007", "ISSN" : "13538292", "author" : [ { "dropping-particle" : "", "family" : "Cetateanu", "given" : "Andreea", "non-dropping-particle" : "", "parse-names" : false, "suffix" : "" }, { "dropping-particle" : "", "family" : "Jones", "given" : "Andy", "non-dropping-particle" : "", "parse-names" : false, "suffix" : "" } ], "container-title" : "Health &amp; Place", "id" : "ITEM-1", "issued" : { "date-parts" : [ [ "2014", "5" ] ] }, "page" : "68-76", "title" : "Understanding the relationship between food environments, deprivation and childhood overweight and obesity: Evidence from a cross sectional England-wide study", "type" : "article-journal", "volume" : "27" }, "uris" : [ "http://www.mendeley.com/documents/?uuid=103800d8-354b-3055-b986-ee03608c89fe" ] } ], "mendeley" : { "formattedCitation" : "(Cetateanu and Jones, 2014)", "plainTextFormattedCitation" : "(Cetateanu and Jones, 2014)", "previouslyFormattedCitation" : "(Cetateanu and Jones, 2014)" }, "properties" : { "noteIndex" : 0 }, "schema" : "https://github.com/citation-style-language/schema/raw/master/csl-citation.json" }</w:instrText>
      </w:r>
      <w:r w:rsidR="00EE1B37" w:rsidRPr="009B3747">
        <w:rPr>
          <w:rFonts w:eastAsia="Times New Roman" w:cstheme="minorHAnsi"/>
          <w:color w:val="000000"/>
          <w:lang w:eastAsia="en-GB"/>
        </w:rPr>
        <w:fldChar w:fldCharType="separate"/>
      </w:r>
      <w:r w:rsidR="00EE1B37" w:rsidRPr="009B3747">
        <w:rPr>
          <w:rFonts w:eastAsia="Times New Roman" w:cstheme="minorHAnsi"/>
          <w:noProof/>
          <w:color w:val="000000"/>
          <w:lang w:eastAsia="en-GB"/>
        </w:rPr>
        <w:t>(Cetateanu and Jones, 2014)</w:t>
      </w:r>
      <w:r w:rsidR="00EE1B37"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shd w:val="clear" w:color="auto" w:fill="FFFFFF"/>
          <w:lang w:eastAsia="en-GB"/>
        </w:rPr>
        <w:t xml:space="preserve">Interestingly, results from the quantitative phase both supported and conflicted the association of deprivation originally identified in the qualitative phase.  When explicitly asked, survey participants remained broadly neutral regarding the relationship between adolescents in receipt of free school meals (i.e. disadvantaged pupils) and excess weight, poor dietary habits and sedentary behaviour.  Despite this, statistically significant positive correlations were identified between the perceived existence and level of concern related to obesity and unhealthy lifestyle behaviours and the demographic variable of free school meal percentage. </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shd w:val="clear" w:color="auto" w:fill="FFFFFF"/>
          <w:lang w:eastAsia="en-GB"/>
        </w:rPr>
        <w:t xml:space="preserve">In the qualitative phase, the strength of opinion regarding the influence of deprivation could be explained by the fact that the sample was overly represented by schools with a higher than national average percentage of pupil disadvantage.  However this does not account for the identified conflict within the survey results and although it is not </w:t>
      </w:r>
      <w:r w:rsidR="000C58B7">
        <w:rPr>
          <w:rFonts w:eastAsia="Times New Roman" w:cstheme="minorHAnsi"/>
          <w:color w:val="000000"/>
          <w:shd w:val="clear" w:color="auto" w:fill="FFFFFF"/>
          <w:lang w:eastAsia="en-GB"/>
        </w:rPr>
        <w:t>clear why this disparity exists.  I</w:t>
      </w:r>
      <w:r w:rsidRPr="009B3747">
        <w:rPr>
          <w:rFonts w:eastAsia="Times New Roman" w:cstheme="minorHAnsi"/>
          <w:color w:val="000000"/>
          <w:shd w:val="clear" w:color="auto" w:fill="FFFFFF"/>
          <w:lang w:eastAsia="en-GB"/>
        </w:rPr>
        <w:t xml:space="preserve">nterestingly a </w:t>
      </w:r>
      <w:r w:rsidRPr="009B3747">
        <w:rPr>
          <w:rFonts w:eastAsia="Times New Roman" w:cstheme="minorHAnsi"/>
          <w:color w:val="000000"/>
          <w:shd w:val="clear" w:color="auto" w:fill="FFFFFF"/>
          <w:lang w:eastAsia="en-GB"/>
        </w:rPr>
        <w:lastRenderedPageBreak/>
        <w:t>dichotomy of views regarding deprivation and obesity is evident in the evidence base.  Despite earlier studies identifying the belief by headteachers in English primary schools that lower socio-economic status and childhood obesity are connected (Clarke et al</w:t>
      </w:r>
      <w:r w:rsidR="00273A2D" w:rsidRPr="009B3747">
        <w:rPr>
          <w:rFonts w:eastAsia="Times New Roman" w:cstheme="minorHAnsi"/>
          <w:color w:val="000000"/>
          <w:shd w:val="clear" w:color="auto" w:fill="FFFFFF"/>
          <w:lang w:eastAsia="en-GB"/>
        </w:rPr>
        <w:t>.</w:t>
      </w:r>
      <w:r w:rsidRPr="009B3747">
        <w:rPr>
          <w:rFonts w:eastAsia="Times New Roman" w:cstheme="minorHAnsi"/>
          <w:color w:val="000000"/>
          <w:shd w:val="clear" w:color="auto" w:fill="FFFFFF"/>
          <w:lang w:eastAsia="en-GB"/>
        </w:rPr>
        <w:t>, 2015; Howard-Drake and Halliday, 2015), others found that variability of obesity prevalence is not perceived by headteachers to be reflective of deprivation (Todd et al</w:t>
      </w:r>
      <w:r w:rsidR="00273A2D" w:rsidRPr="009B3747">
        <w:rPr>
          <w:rFonts w:eastAsia="Times New Roman" w:cstheme="minorHAnsi"/>
          <w:color w:val="000000"/>
          <w:shd w:val="clear" w:color="auto" w:fill="FFFFFF"/>
          <w:lang w:eastAsia="en-GB"/>
        </w:rPr>
        <w:t>.</w:t>
      </w:r>
      <w:r w:rsidRPr="009B3747">
        <w:rPr>
          <w:rFonts w:eastAsia="Times New Roman" w:cstheme="minorHAnsi"/>
          <w:color w:val="000000"/>
          <w:shd w:val="clear" w:color="auto" w:fill="FFFFFF"/>
          <w:lang w:eastAsia="en-GB"/>
        </w:rPr>
        <w:t>, 2015).  In fact, for one study based in Botswana (Shaibu et al</w:t>
      </w:r>
      <w:r w:rsidR="00273A2D" w:rsidRPr="009B3747">
        <w:rPr>
          <w:rFonts w:eastAsia="Times New Roman" w:cstheme="minorHAnsi"/>
          <w:color w:val="000000"/>
          <w:shd w:val="clear" w:color="auto" w:fill="FFFFFF"/>
          <w:lang w:eastAsia="en-GB"/>
        </w:rPr>
        <w:t>.</w:t>
      </w:r>
      <w:r w:rsidRPr="009B3747">
        <w:rPr>
          <w:rFonts w:eastAsia="Times New Roman" w:cstheme="minorHAnsi"/>
          <w:color w:val="000000"/>
          <w:shd w:val="clear" w:color="auto" w:fill="FFFFFF"/>
          <w:lang w:eastAsia="en-GB"/>
        </w:rPr>
        <w:t>, 2011), the reverse relationship was proposed by headteachers between increasing affluence and higher levels of excess weight and unhealthy lifestyle behaviours in adolescence.  </w:t>
      </w:r>
    </w:p>
    <w:p w:rsidR="00AC3B26" w:rsidRPr="009B3747" w:rsidRDefault="00AC3B26" w:rsidP="00AC3B26">
      <w:pPr>
        <w:rPr>
          <w:rFonts w:eastAsia="Times New Roman" w:cstheme="minorHAnsi"/>
          <w:sz w:val="24"/>
          <w:szCs w:val="24"/>
          <w:lang w:eastAsia="en-GB"/>
        </w:rPr>
      </w:pPr>
    </w:p>
    <w:p w:rsidR="000A3628" w:rsidRPr="009B3747" w:rsidRDefault="00AC3B26" w:rsidP="00AC3B26">
      <w:pPr>
        <w:rPr>
          <w:rFonts w:eastAsia="Times New Roman" w:cstheme="minorHAnsi"/>
          <w:color w:val="000000"/>
          <w:shd w:val="clear" w:color="auto" w:fill="FFFFFF"/>
          <w:lang w:eastAsia="en-GB"/>
        </w:rPr>
      </w:pPr>
      <w:r w:rsidRPr="009B3747">
        <w:rPr>
          <w:rFonts w:eastAsia="Times New Roman" w:cstheme="minorHAnsi"/>
          <w:color w:val="000000"/>
          <w:shd w:val="clear" w:color="auto" w:fill="FFFFFF"/>
          <w:lang w:eastAsia="en-GB"/>
        </w:rPr>
        <w:t xml:space="preserve">It is important to acknowledge that </w:t>
      </w:r>
      <w:r w:rsidR="00273A2D" w:rsidRPr="009B3747">
        <w:rPr>
          <w:rFonts w:eastAsia="Times New Roman" w:cstheme="minorHAnsi"/>
          <w:color w:val="000000"/>
          <w:shd w:val="clear" w:color="auto" w:fill="FFFFFF"/>
          <w:lang w:eastAsia="en-GB"/>
        </w:rPr>
        <w:t xml:space="preserve">the perceived relationship between deprivation, adolescent lifestyle behaviours and resultant weight status was believed </w:t>
      </w:r>
      <w:r w:rsidRPr="009B3747">
        <w:rPr>
          <w:rFonts w:eastAsia="Times New Roman" w:cstheme="minorHAnsi"/>
          <w:color w:val="000000"/>
          <w:shd w:val="clear" w:color="auto" w:fill="FFFFFF"/>
          <w:lang w:eastAsia="en-GB"/>
        </w:rPr>
        <w:t>to present a significant barrier to school based obesity prevention.  Despite this and similarly to other UK school settings</w:t>
      </w:r>
      <w:r w:rsidR="00273A2D" w:rsidRPr="009B3747">
        <w:rPr>
          <w:rFonts w:eastAsia="Times New Roman" w:cstheme="minorHAnsi"/>
          <w:color w:val="000000"/>
          <w:shd w:val="clear" w:color="auto" w:fill="FFFFFF"/>
          <w:lang w:eastAsia="en-GB"/>
        </w:rPr>
        <w:t xml:space="preserve"> </w:t>
      </w:r>
      <w:r w:rsidR="00273A2D" w:rsidRPr="009B3747">
        <w:rPr>
          <w:rFonts w:eastAsia="Times New Roman" w:cstheme="minorHAnsi"/>
          <w:color w:val="000000"/>
          <w:shd w:val="clear" w:color="auto" w:fill="FFFFFF"/>
          <w:lang w:eastAsia="en-GB"/>
        </w:rPr>
        <w:fldChar w:fldCharType="begin" w:fldLock="1"/>
      </w:r>
      <w:r w:rsidR="00B22CC4" w:rsidRPr="009B3747">
        <w:rPr>
          <w:rFonts w:eastAsia="Times New Roman" w:cstheme="minorHAnsi"/>
          <w:color w:val="000000"/>
          <w:shd w:val="clear" w:color="auto" w:fill="FFFFFF"/>
          <w:lang w:eastAsia="en-GB"/>
        </w:rPr>
        <w:instrText>ADDIN CSL_CITATION { "citationItems" : [ { "id" : "ITEM-1", "itemData" : { "ISBN" : "1137521562", "abstract" : "Description based upon print version of record. Response 1: Gill Crozier (University of Roehampton, London) This book explores a range of challenges teachers face in dealing with situations of disadvantage, and explores different ways of thinking about these situations. Starting with a variety of incidents written by teachers in schools in disadvantaged settings, the book provides a range of ways of thinking about these - some more psychological, others more sociological - and chapters develop conversations between teachers and academics. These 'conversations' will help teachers reflect more deeply on the contexts in which they work, on what disadvantage means, and how disadvantage manifests in practice. It will also help teachers reflect upon the nature of their work; what it means to be a good and effective teacher; and the particular skills, approaches, relationships and competencies that may need to be developed in differing settings of educational disadvantage. The book explores the tensions between different ways of thinking about education and disadvantage; it will make compelling reading for students and teachers of education, education policy makers, and practising schoolteachers. Responding to Poverty and Disadvantage in Schools; Acknowledgements; Contents; List of Tables; 1 Introduction; Contemporary Realities in English Schools: How Teachers Should Fix the Problems of Poverty and Schooling; Offering an Alternative: What the Book Sets Out to Do; The Teachers and the Academics; References; 2 Disengagement; Introduction; Vignette 2.1: Re-engaging a Disengaged Class; Part 1: The School Context and the Two Students; Part 2: Helen's Analysis and Reflections on Her Teaching; Response 1: Ruth Lupton (University of Manchester); Response 2: Debra Hayes (University of Sydney) Response 3: Mairtin Mac an Ghaill (Newman University, Birmingham)Editorial Comment: Carlo Raffo (University of Manchester); Janet Speaks Back; References; 3 Confrontational Behaviour; Introduction; Vignette 3.1: Charlie and the Mobile Phone; Vignette 3.2: Elsa's Story; Vignette 3.3: Frank's Story; Response 1: Terry Wrigley (Northumbria University); What else is missing?; Response 2: Erica Burman (University of Manchester); Editorial Comment: Tamara Bibby (UCL Institute of Education, London); Claire Speaks Back; References; 4 Culture Clashes; Introduction Vignette 4.1: Neighbourhood Influences and Student IdentitiesVignette 4.2: How Teachers Should Respond to Non-Standard English; \u2026", "author" : [ { "dropping-particle" : "", "family" : "Bibby", "given" : "Tamara.", "non-dropping-particle" : "", "parse-names" : false, "suffix" : "" }, { "dropping-particle" : "", "family" : "Lupton", "given" : "Ruth.", "non-dropping-particle" : "", "parse-names" : false, "suffix" : "" }, { "dropping-particle" : "", "family" : "Raffo", "given" : "Carlo.", "non-dropping-particle" : "", "parse-names" : false, "suffix" : "" } ], "edition" : "1st", "id" : "ITEM-1", "issued" : { "date-parts" : [ [ "2017" ] ] }, "publisher" : "Palgrave Macmillan UK", "publisher-place" : "London", "title" : "Responding to Poverty and Disadvantage in Schools A Reader for Teachers.", "type" : "book" }, "uris" : [ "http://www.mendeley.com/documents/?uuid=a2fb1bc1-9b6e-3bbb-9174-30d2af2edd49" ] } ], "mendeley" : { "formattedCitation" : "(Bibby et al., 2017)", "plainTextFormattedCitation" : "(Bibby et al., 2017)", "previouslyFormattedCitation" : "(Bibby et al., 2017)" }, "properties" : { "noteIndex" : 0 }, "schema" : "https://github.com/citation-style-language/schema/raw/master/csl-citation.json" }</w:instrText>
      </w:r>
      <w:r w:rsidR="00273A2D" w:rsidRPr="009B3747">
        <w:rPr>
          <w:rFonts w:eastAsia="Times New Roman" w:cstheme="minorHAnsi"/>
          <w:color w:val="000000"/>
          <w:shd w:val="clear" w:color="auto" w:fill="FFFFFF"/>
          <w:lang w:eastAsia="en-GB"/>
        </w:rPr>
        <w:fldChar w:fldCharType="separate"/>
      </w:r>
      <w:r w:rsidR="00273A2D" w:rsidRPr="009B3747">
        <w:rPr>
          <w:rFonts w:eastAsia="Times New Roman" w:cstheme="minorHAnsi"/>
          <w:noProof/>
          <w:color w:val="000000"/>
          <w:shd w:val="clear" w:color="auto" w:fill="FFFFFF"/>
          <w:lang w:eastAsia="en-GB"/>
        </w:rPr>
        <w:t>(Bibby et al., 2017)</w:t>
      </w:r>
      <w:r w:rsidR="00273A2D" w:rsidRPr="009B3747">
        <w:rPr>
          <w:rFonts w:eastAsia="Times New Roman" w:cstheme="minorHAnsi"/>
          <w:color w:val="000000"/>
          <w:shd w:val="clear" w:color="auto" w:fill="FFFFFF"/>
          <w:lang w:eastAsia="en-GB"/>
        </w:rPr>
        <w:fldChar w:fldCharType="end"/>
      </w:r>
      <w:r w:rsidR="000C58B7">
        <w:rPr>
          <w:rFonts w:eastAsia="Times New Roman" w:cstheme="minorHAnsi"/>
          <w:color w:val="000000"/>
          <w:shd w:val="clear" w:color="auto" w:fill="FFFFFF"/>
          <w:lang w:eastAsia="en-GB"/>
        </w:rPr>
        <w:t>,</w:t>
      </w:r>
      <w:r w:rsidR="00273A2D" w:rsidRPr="009B3747">
        <w:rPr>
          <w:rFonts w:eastAsia="Times New Roman" w:cstheme="minorHAnsi"/>
          <w:color w:val="000000"/>
          <w:shd w:val="clear" w:color="auto" w:fill="FFFFFF"/>
          <w:lang w:eastAsia="en-GB"/>
        </w:rPr>
        <w:t xml:space="preserve"> </w:t>
      </w:r>
      <w:r w:rsidRPr="009B3747">
        <w:rPr>
          <w:rFonts w:eastAsia="Times New Roman" w:cstheme="minorHAnsi"/>
          <w:color w:val="000000"/>
          <w:shd w:val="clear" w:color="auto" w:fill="FFFFFF"/>
          <w:lang w:eastAsia="en-GB"/>
        </w:rPr>
        <w:t xml:space="preserve">pupil premium funding was reported to be utilised for providing disadvantaged pupils with health enhancing opportunities although this was not deemed sufficient to reduce the disparity in lifestyle behaviours attributed to the influence of socio-economic status.  Therefore, </w:t>
      </w:r>
      <w:r w:rsidRPr="009B3747">
        <w:rPr>
          <w:rFonts w:eastAsia="Times New Roman" w:cstheme="minorHAnsi"/>
          <w:color w:val="000000"/>
          <w:lang w:eastAsia="en-GB"/>
        </w:rPr>
        <w:t xml:space="preserve">whilst </w:t>
      </w:r>
      <w:r w:rsidRPr="009B3747">
        <w:rPr>
          <w:rFonts w:eastAsia="Times New Roman" w:cstheme="minorHAnsi"/>
          <w:color w:val="000000"/>
          <w:shd w:val="clear" w:color="auto" w:fill="FFFFFF"/>
          <w:lang w:eastAsia="en-GB"/>
        </w:rPr>
        <w:t>engagement with schools to prevent obesity is entirely appropriate</w:t>
      </w:r>
      <w:r w:rsidR="00273A2D" w:rsidRPr="009B3747">
        <w:rPr>
          <w:rFonts w:eastAsia="Times New Roman" w:cstheme="minorHAnsi"/>
          <w:color w:val="000000"/>
          <w:shd w:val="clear" w:color="auto" w:fill="FFFFFF"/>
          <w:lang w:eastAsia="en-GB"/>
        </w:rPr>
        <w:t xml:space="preserve"> </w:t>
      </w:r>
      <w:r w:rsidR="00273A2D" w:rsidRPr="009B3747">
        <w:rPr>
          <w:rFonts w:eastAsia="Times New Roman" w:cstheme="minorHAnsi"/>
          <w:color w:val="000000"/>
          <w:shd w:val="clear" w:color="auto" w:fill="FFFFFF"/>
          <w:lang w:eastAsia="en-GB"/>
        </w:rPr>
        <w:fldChar w:fldCharType="begin" w:fldLock="1"/>
      </w:r>
      <w:r w:rsidR="009C2ECF" w:rsidRPr="009B3747">
        <w:rPr>
          <w:rFonts w:eastAsia="Times New Roman" w:cstheme="minorHAnsi"/>
          <w:color w:val="000000"/>
          <w:shd w:val="clear" w:color="auto" w:fill="FFFFFF"/>
          <w:lang w:eastAsia="en-GB"/>
        </w:rPr>
        <w:instrText>ADDIN CSL_CITATION { "citationItems" : [ { "id" : "ITEM-1", "itemData" : { "author" : [ { "dropping-particle" : "", "family" : "Waters", "given" : "E", "non-dropping-particle" : "", "parse-names" : false, "suffix" : "" }, { "dropping-particle" : "de", "family" : "Silva-Sanigorski", "given" : "A", "non-dropping-particle" : "", "parse-names" : false, "suffix" : "" } ], "container-title" : "Cochrane Database of Systematic Reviews", "id" : "ITEM-1", "issue" : "12", "issued" : { "date-parts" : [ [ "2011" ] ] }, "title" : "Interventions for preventing obesity in children", "type" : "article-journal" }, "uris" : [ "http://www.mendeley.com/documents/?uuid=edceb688-e3c5-459d-b1d2-e8f0aa963cd2" ] }, { "id" : "ITEM-2", "itemData" : { "DOI" : "10.1111/obr.12277", "ISSN" : "14677881", "PMID" : "25893796", "abstract" : "Previous reviews of childhood obesity prevention have focused largely on schools and findings have been inconsistent. Funded by the US Agency for Healthcare Research and Quality (AHRQ) and the National Institutes of Health, we systematically evaluated the effectiveness of childhood obesity prevention programmes conducted in high-income countries and implemented in various settings. We searched MEDLINE\u00ae, Embase, PsycINFO, CINAHL\u00ae, ClinicalTrials.gov and the Cochrane Library from inception through 22 April 2013 for relevant studies, including randomized controlled trials, quasi-experimental studies and natural experiments, targeting diet, physical activity or both, and conducted in children aged 2-18 in high-income countries. Two reviewers independently abstracted the data. The strength of evidence (SOE) supporting interventions was graded for each study setting (e.g. home, school). Meta-analyses were performed on studies judged sufficiently similar and appropriate to pool using random effect models. This paper reported our findings on various adiposity-related outcomes. We identified 147 articles (139 intervention studies) of which 115 studies were primarily school based, although\u2009other settings could have been involved. Most were conducted in the United States and within the past decade. SOE was high for physical activity-only interventions delivered in schools with home involvement or combined diet-physical activity interventions delivered in schools with both home and community components. SOE was moderate for school-based interventions targeting either diet or physical activity, combined interventions delivered in schools with home or community components or combined interventions delivered in the community with a school component. SOE was low for combined interventions in childcare or home settings. Evidence was insufficient for other interventions. In conclusion, at least moderately strong evidence supports the effectiveness of school-based interventions for preventing childhood obesity. More research is needed to evaluate programmes in other settings or of other design types, especially environmental, policy and consumer health informatics-oriented interventions.", "author" : [ { "dropping-particle" : "", "family" : "Wang", "given" : "Y.", "non-dropping-particle" : "", "parse-names" : false, "suffix" : "" }, { "dropping-particle" : "", "family" : "Cai", "given" : "L.", "non-dropping-particle" : "", "parse-names" : false, "suffix" : "" }, { "dropping-particle" : "", "family" : "Wu", "given" : "Y.", "non-dropping-particle" : "", "parse-names" : false, "suffix" : "" }, { "dropping-particle" : "", "family" : "Wilson", "given" : "R. F.", "non-dropping-particle" : "", "parse-names" : false, "suffix" : "" }, { "dropping-particle" : "", "family" : "Weston", "given" : "C.", "non-dropping-particle" : "", "parse-names" : false, "suffix" : "" }, { "dropping-particle" : "", "family" : "Fawole", "given" : "O.", "non-dropping-particle" : "", "parse-names" : false, "suffix" : "" }, { "dropping-particle" : "", "family" : "Bleich", "given" : "S. N.", "non-dropping-particle" : "", "parse-names" : false, "suffix" : "" }, { "dropping-particle" : "", "family" : "Cheskin", "given" : "L. J.", "non-dropping-particle" : "", "parse-names" : false, "suffix" : "" }, { "dropping-particle" : "", "family" : "Showell", "given" : "N. N.", "non-dropping-particle" : "", "parse-names" : false, "suffix" : "" }, { "dropping-particle" : "", "family" : "Lau", "given" : "B. D.", "non-dropping-particle" : "", "parse-names" : false, "suffix" : "" }, { "dropping-particle" : "", "family" : "Chiu", "given" : "D. T.", "non-dropping-particle" : "", "parse-names" : false, "suffix" : "" }, { "dropping-particle" : "", "family" : "Zhang", "given" : "A.", "non-dropping-particle" : "", "parse-names" : false, "suffix" : "" }, { "dropping-particle" : "", "family" : "Segal", "given" : "J.", "non-dropping-particle" : "", "parse-names" : false, "suffix" : "" } ], "container-title" : "Obesity Reviews", "id" : "ITEM-2", "issue" : "7", "issued" : { "date-parts" : [ [ "2015", "7", "20" ] ] }, "page" : "547-565", "title" : "What childhood obesity prevention programmes work? A systematic review and meta-analysis", "type" : "article-journal", "volume" : "16" }, "uris" : [ "http://www.mendeley.com/documents/?uuid=6062d135-073b-40bc-a5de-04435d42cd04" ] } ], "mendeley" : { "formattedCitation" : "(Waters and Silva-Sanigorski, 2011; Wang et al., 2015)", "plainTextFormattedCitation" : "(Waters and Silva-Sanigorski, 2011; Wang et al., 2015)", "previouslyFormattedCitation" : "(Waters and Silva-Sanigorski, 2011; Wang et al., 2015)" }, "properties" : { "noteIndex" : 0 }, "schema" : "https://github.com/citation-style-language/schema/raw/master/csl-citation.json" }</w:instrText>
      </w:r>
      <w:r w:rsidR="00273A2D" w:rsidRPr="009B3747">
        <w:rPr>
          <w:rFonts w:eastAsia="Times New Roman" w:cstheme="minorHAnsi"/>
          <w:color w:val="000000"/>
          <w:shd w:val="clear" w:color="auto" w:fill="FFFFFF"/>
          <w:lang w:eastAsia="en-GB"/>
        </w:rPr>
        <w:fldChar w:fldCharType="separate"/>
      </w:r>
      <w:r w:rsidR="00273A2D" w:rsidRPr="009B3747">
        <w:rPr>
          <w:rFonts w:eastAsia="Times New Roman" w:cstheme="minorHAnsi"/>
          <w:noProof/>
          <w:color w:val="000000"/>
          <w:shd w:val="clear" w:color="auto" w:fill="FFFFFF"/>
          <w:lang w:eastAsia="en-GB"/>
        </w:rPr>
        <w:t>(Waters and Silva-Sanigorski, 2011; Wang et al., 2015)</w:t>
      </w:r>
      <w:r w:rsidR="00273A2D" w:rsidRPr="009B3747">
        <w:rPr>
          <w:rFonts w:eastAsia="Times New Roman" w:cstheme="minorHAnsi"/>
          <w:color w:val="000000"/>
          <w:shd w:val="clear" w:color="auto" w:fill="FFFFFF"/>
          <w:lang w:eastAsia="en-GB"/>
        </w:rPr>
        <w:fldChar w:fldCharType="end"/>
      </w:r>
      <w:r w:rsidR="00273A2D" w:rsidRPr="009B3747">
        <w:rPr>
          <w:rFonts w:eastAsia="Times New Roman" w:cstheme="minorHAnsi"/>
          <w:color w:val="000000"/>
          <w:shd w:val="clear" w:color="auto" w:fill="FFFFFF"/>
          <w:lang w:eastAsia="en-GB"/>
        </w:rPr>
        <w:t>,</w:t>
      </w:r>
      <w:r w:rsidRPr="009B3747">
        <w:rPr>
          <w:rFonts w:eastAsia="Times New Roman" w:cstheme="minorHAnsi"/>
          <w:color w:val="000000"/>
          <w:shd w:val="clear" w:color="auto" w:fill="FFFFFF"/>
          <w:lang w:eastAsia="en-GB"/>
        </w:rPr>
        <w:t xml:space="preserve"> it is perhaps misguided to disproportionately expect a single setting to counteract the complex interrelating factors driving an individual’s behaviour and resultant weight status</w:t>
      </w:r>
      <w:r w:rsidR="00273A2D" w:rsidRPr="009B3747">
        <w:rPr>
          <w:rFonts w:eastAsia="Times New Roman" w:cstheme="minorHAnsi"/>
          <w:color w:val="000000"/>
          <w:shd w:val="clear" w:color="auto" w:fill="FFFFFF"/>
          <w:lang w:eastAsia="en-GB"/>
        </w:rPr>
        <w:t xml:space="preserve"> </w:t>
      </w:r>
      <w:r w:rsidR="00273A2D" w:rsidRPr="009B3747">
        <w:rPr>
          <w:rFonts w:eastAsia="Times New Roman" w:cstheme="minorHAnsi"/>
          <w:color w:val="000000"/>
          <w:shd w:val="clear" w:color="auto" w:fill="FFFFFF"/>
          <w:lang w:eastAsia="en-GB"/>
        </w:rPr>
        <w:fldChar w:fldCharType="begin" w:fldLock="1"/>
      </w:r>
      <w:r w:rsidR="009C2ECF" w:rsidRPr="009B3747">
        <w:rPr>
          <w:rFonts w:eastAsia="Times New Roman" w:cstheme="minorHAnsi"/>
          <w:color w:val="000000"/>
          <w:shd w:val="clear" w:color="auto" w:fill="FFFFFF"/>
          <w:lang w:eastAsia="en-GB"/>
        </w:rPr>
        <w:instrText>ADDIN CSL_CITATION { "citationItems" : [ { "id" : "ITEM-1", "itemData" : { "author" : [ { "dropping-particle" : "", "family" : "Butland", "given" : "B", "non-dropping-particle" : "", "parse-names" : false, "suffix" : "" }, { "dropping-particle" : "", "family" : "Jebb", "given" : "S", "non-dropping-particle" : "", "parse-names" : false, "suffix" : "" } ], "id" : "ITEM-1", "issued" : { "date-parts" : [ [ "2007" ] ] }, "title" : "Foresight. Tackling obesities: future choices. Project report.", "type" : "report" }, "uris" : [ "http://www.mendeley.com/documents/?uuid=8ae0e880-41d4-4b61-b434-dc36711dd306" ] }, { "id" : "ITEM-2", "itemData" : { "author" : [ { "dropping-particle" : "", "family" : "Wang", "given" : "Y", "non-dropping-particle" : "", "parse-names" : false, "suffix" : "" }, { "dropping-particle" : "", "family" : "Wu", "given" : "Y", "non-dropping-particle" : "", "parse-names" : false, "suffix" : "" }, { "dropping-particle" : "", "family" : "Wilson", "given" : "RF", "non-dropping-particle" : "", "parse-names" : false, "suffix" : "" }, { "dropping-particle" : "", "family" : "Bleich", "given" : "S", "non-dropping-particle" : "", "parse-names" : false, "suffix" : "" } ], "container-title" : "Comparative Effectiveness Reviews", "id" : "ITEM-2", "issued" : { "date-parts" : [ [ "2013" ] ] }, "title" : "Childhood obesity prevention programs: comparative effectiveness review and meta-analysis", "type" : "article-journal", "volume" : "115" }, "uris" : [ "http://www.mendeley.com/documents/?uuid=9766fbad-3d9c-402c-8f12-e60cec010d28" ] } ], "mendeley" : { "formattedCitation" : "(Butland and Jebb, 2007; Wang et al., 2013)", "plainTextFormattedCitation" : "(Butland and Jebb, 2007; Wang et al., 2013)", "previouslyFormattedCitation" : "(Butland and Jebb, 2007; Wang et al., 2013)" }, "properties" : { "noteIndex" : 0 }, "schema" : "https://github.com/citation-style-language/schema/raw/master/csl-citation.json" }</w:instrText>
      </w:r>
      <w:r w:rsidR="00273A2D" w:rsidRPr="009B3747">
        <w:rPr>
          <w:rFonts w:eastAsia="Times New Roman" w:cstheme="minorHAnsi"/>
          <w:color w:val="000000"/>
          <w:shd w:val="clear" w:color="auto" w:fill="FFFFFF"/>
          <w:lang w:eastAsia="en-GB"/>
        </w:rPr>
        <w:fldChar w:fldCharType="separate"/>
      </w:r>
      <w:r w:rsidR="00273A2D" w:rsidRPr="009B3747">
        <w:rPr>
          <w:rFonts w:eastAsia="Times New Roman" w:cstheme="minorHAnsi"/>
          <w:noProof/>
          <w:color w:val="000000"/>
          <w:shd w:val="clear" w:color="auto" w:fill="FFFFFF"/>
          <w:lang w:eastAsia="en-GB"/>
        </w:rPr>
        <w:t>(Butland and Jebb, 2007; Wang et al., 2013)</w:t>
      </w:r>
      <w:r w:rsidR="00273A2D" w:rsidRPr="009B3747">
        <w:rPr>
          <w:rFonts w:eastAsia="Times New Roman" w:cstheme="minorHAnsi"/>
          <w:color w:val="000000"/>
          <w:shd w:val="clear" w:color="auto" w:fill="FFFFFF"/>
          <w:lang w:eastAsia="en-GB"/>
        </w:rPr>
        <w:fldChar w:fldCharType="end"/>
      </w:r>
      <w:r w:rsidR="00273A2D" w:rsidRPr="009B3747">
        <w:rPr>
          <w:rFonts w:eastAsia="Times New Roman" w:cstheme="minorHAnsi"/>
          <w:color w:val="000000"/>
          <w:shd w:val="clear" w:color="auto" w:fill="FFFFFF"/>
          <w:lang w:eastAsia="en-GB"/>
        </w:rPr>
        <w:t xml:space="preserve">.  </w:t>
      </w:r>
    </w:p>
    <w:p w:rsidR="000A3628" w:rsidRPr="009B3747" w:rsidRDefault="000A3628" w:rsidP="00AC3B26">
      <w:pPr>
        <w:rPr>
          <w:rFonts w:eastAsia="Times New Roman" w:cstheme="minorHAnsi"/>
          <w:color w:val="000000"/>
          <w:shd w:val="clear" w:color="auto" w:fill="FFFFFF"/>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shd w:val="clear" w:color="auto" w:fill="FFFFFF"/>
          <w:lang w:eastAsia="en-GB"/>
        </w:rPr>
        <w:t>Consequently and similar to considerations of the home and wider food environment, public health action to prevent obesity across the social gradient will not succeed if the underlying causes of unhealthy behaviour are not understood and addressed</w:t>
      </w:r>
      <w:r w:rsidR="00273A2D" w:rsidRPr="009B3747">
        <w:rPr>
          <w:rFonts w:eastAsia="Times New Roman" w:cstheme="minorHAnsi"/>
          <w:color w:val="000000"/>
          <w:shd w:val="clear" w:color="auto" w:fill="FFFFFF"/>
          <w:lang w:eastAsia="en-GB"/>
        </w:rPr>
        <w:t xml:space="preserve"> </w:t>
      </w:r>
      <w:r w:rsidR="00273A2D" w:rsidRPr="009B3747">
        <w:rPr>
          <w:rFonts w:eastAsia="Times New Roman" w:cstheme="minorHAnsi"/>
          <w:color w:val="000000"/>
          <w:shd w:val="clear" w:color="auto" w:fill="FFFFFF"/>
          <w:lang w:eastAsia="en-GB"/>
        </w:rPr>
        <w:fldChar w:fldCharType="begin" w:fldLock="1"/>
      </w:r>
      <w:r w:rsidR="009C2ECF" w:rsidRPr="009B3747">
        <w:rPr>
          <w:rFonts w:eastAsia="Times New Roman" w:cstheme="minorHAnsi"/>
          <w:color w:val="000000"/>
          <w:shd w:val="clear" w:color="auto" w:fill="FFFFFF"/>
          <w:lang w:eastAsia="en-GB"/>
        </w:rPr>
        <w:instrText>ADDIN CSL_CITATION { "citationItems" : [ { "id" : "ITEM-1", "itemData" : { "author" : [ { "dropping-particle" : "", "family" : "Marmot", "given" : "M", "non-dropping-particle" : "", "parse-names" : false, "suffix" : "" } ], "id" : "ITEM-1", "issued" : { "date-parts" : [ [ "2010" ] ] }, "publisher-place" : "London", "title" : "Fair society, healthy lives", "type" : "report" }, "uris" : [ "http://www.mendeley.com/documents/?uuid=92d8b594-f348-414d-8048-778a3c9973da" ] }, { "id" : "ITEM-2", "itemData" : { "DOI" : "ISBN 978 92 4 151006 6", "ISBN" : "978 92 4 151006 6 \u00a9", "abstract" : "1. Over the past decade, the World Health Assembly, the governing body of the World Health Organization (WHO), and the United Nations General Assembly have adopted a series of resolutions1 that acknowledge noncommunicable diseases (NCDs) as a major challenge for development in the 21st century and have identified prevention and control as a core priority. The proposed Sustainable Development Goals propose a target on reducing premature mortality from NCDs2. 2. Among the NCD risk factors, obesity is particularly concerning. In children (aged under 19 years) it is associated with a wide range of health complications and an increased risk of premature onset of illnesses, including diabetes and heart disease. Preventing childhood obesity is a key approach to the primary prevention of NCDs. 3. Childhood obesity has complex origins and progress in tackling the issue has to date been slow. It is clear that a combination of scientific research, government leadership and community partnerships is necessary in order to develop the best recommendations and implement them worldwide. 4. In order to develop a comprehensive response to childhood obesity, the WHO Director- General established a high-level Commission on Ending Childhood Obesity (ECHO), which comprises 15 accomplished and eminent individuals from a variety of relevant backgrounds. The Commission has reviewed, built upon and addressed gaps in existing mandates and strategies with the support of two ad hoc working groups, one on science and evidence for ending childhood obesity (WGSE), and one on implementation, monitoring and accountability for ending childhood obesity (WGIMA). An Interim Report was developed for feedback through a series of regional consultations and hearings with Member States and non-State actors, and an online process for the submission of comments from relevant stakeholders. The Commission has reviewed these inputs and developed this draft final report, which will form the basis for a final round of regional and global consultation.", "author" : [ { "dropping-particle" : "", "family" : "World Health Organization", "given" : "", "non-dropping-particle" : "", "parse-names" : false, "suffix" : "" } ], "id" : "ITEM-2", "issued" : { "date-parts" : [ [ "2016" ] ] }, "publisher-place" : "Geneva", "title" : "Report of the Commission on Ending Childhood Obesity", "type" : "report" }, "uris" : [ "http://www.mendeley.com/documents/?uuid=fc7d72ef-f520-4e44-854a-cc82b135b368" ] } ], "mendeley" : { "formattedCitation" : "(Marmot, 2010; World Health Organization, 2016c)", "plainTextFormattedCitation" : "(Marmot, 2010; World Health Organization, 2016c)", "previouslyFormattedCitation" : "(Marmot, 2010; World Health Organization, 2016c)" }, "properties" : { "noteIndex" : 0 }, "schema" : "https://github.com/citation-style-language/schema/raw/master/csl-citation.json" }</w:instrText>
      </w:r>
      <w:r w:rsidR="00273A2D" w:rsidRPr="009B3747">
        <w:rPr>
          <w:rFonts w:eastAsia="Times New Roman" w:cstheme="minorHAnsi"/>
          <w:color w:val="000000"/>
          <w:shd w:val="clear" w:color="auto" w:fill="FFFFFF"/>
          <w:lang w:eastAsia="en-GB"/>
        </w:rPr>
        <w:fldChar w:fldCharType="separate"/>
      </w:r>
      <w:r w:rsidR="00273A2D" w:rsidRPr="009B3747">
        <w:rPr>
          <w:rFonts w:eastAsia="Times New Roman" w:cstheme="minorHAnsi"/>
          <w:noProof/>
          <w:color w:val="000000"/>
          <w:shd w:val="clear" w:color="auto" w:fill="FFFFFF"/>
          <w:lang w:eastAsia="en-GB"/>
        </w:rPr>
        <w:t>(Marmot, 2010; World Health Organization, 2016c)</w:t>
      </w:r>
      <w:r w:rsidR="00273A2D" w:rsidRPr="009B3747">
        <w:rPr>
          <w:rFonts w:eastAsia="Times New Roman" w:cstheme="minorHAnsi"/>
          <w:color w:val="000000"/>
          <w:shd w:val="clear" w:color="auto" w:fill="FFFFFF"/>
          <w:lang w:eastAsia="en-GB"/>
        </w:rPr>
        <w:fldChar w:fldCharType="end"/>
      </w:r>
      <w:r w:rsidR="00A76F38" w:rsidRPr="009B3747">
        <w:rPr>
          <w:rFonts w:eastAsia="Times New Roman" w:cstheme="minorHAnsi"/>
          <w:color w:val="000000"/>
          <w:shd w:val="clear" w:color="auto" w:fill="FFFFFF"/>
          <w:lang w:eastAsia="en-GB"/>
        </w:rPr>
        <w:t xml:space="preserve">.  </w:t>
      </w:r>
      <w:r w:rsidRPr="009B3747">
        <w:rPr>
          <w:rFonts w:eastAsia="Times New Roman" w:cstheme="minorHAnsi"/>
          <w:color w:val="000000"/>
          <w:lang w:eastAsia="en-GB"/>
        </w:rPr>
        <w:t>Public health interventions and action must recognise and account for changing contextual influences for different demographics ov</w:t>
      </w:r>
      <w:r w:rsidR="00A76F38" w:rsidRPr="009B3747">
        <w:rPr>
          <w:rFonts w:eastAsia="Times New Roman" w:cstheme="minorHAnsi"/>
          <w:color w:val="000000"/>
          <w:lang w:eastAsia="en-GB"/>
        </w:rPr>
        <w:t xml:space="preserve">er time, in order to deliver a </w:t>
      </w:r>
      <w:r w:rsidR="00A76F38" w:rsidRPr="009B3747">
        <w:rPr>
          <w:rFonts w:eastAsia="Times New Roman" w:cstheme="minorHAnsi"/>
          <w:i/>
          <w:color w:val="000000"/>
          <w:lang w:eastAsia="en-GB"/>
        </w:rPr>
        <w:t>“</w:t>
      </w:r>
      <w:r w:rsidRPr="009B3747">
        <w:rPr>
          <w:rFonts w:eastAsia="Times New Roman" w:cstheme="minorHAnsi"/>
          <w:i/>
          <w:color w:val="000000"/>
          <w:lang w:eastAsia="en-GB"/>
        </w:rPr>
        <w:t xml:space="preserve">broader interdisciplinary analysis and a </w:t>
      </w:r>
      <w:r w:rsidR="00A76F38" w:rsidRPr="009B3747">
        <w:rPr>
          <w:rFonts w:eastAsia="Times New Roman" w:cstheme="minorHAnsi"/>
          <w:i/>
          <w:color w:val="000000"/>
          <w:lang w:eastAsia="en-GB"/>
        </w:rPr>
        <w:t>sustained society wide response”</w:t>
      </w:r>
      <w:r w:rsidR="00A76F38" w:rsidRPr="009B3747">
        <w:rPr>
          <w:rFonts w:eastAsia="Times New Roman" w:cstheme="minorHAnsi"/>
          <w:color w:val="000000"/>
          <w:lang w:eastAsia="en-GB"/>
        </w:rPr>
        <w:t xml:space="preserve"> </w:t>
      </w:r>
      <w:r w:rsidR="00A76F38" w:rsidRPr="009B3747">
        <w:rPr>
          <w:rFonts w:eastAsia="Times New Roman" w:cstheme="minorHAnsi"/>
          <w:color w:val="000000"/>
          <w:lang w:eastAsia="en-GB"/>
        </w:rPr>
        <w:fldChar w:fldCharType="begin" w:fldLock="1"/>
      </w:r>
      <w:r w:rsidR="00A76F38" w:rsidRPr="009B3747">
        <w:rPr>
          <w:rFonts w:eastAsia="Times New Roman" w:cstheme="minorHAnsi"/>
          <w:color w:val="000000"/>
          <w:lang w:eastAsia="en-GB"/>
        </w:rPr>
        <w:instrText>ADDIN CSL_CITATION { "citationItems" : [ { "id" : "ITEM-1", "itemData" : { "DOI" : "10.1111/j.1467-789X.2007.00338.x", "ISSN" : "1467-7881", "PMID" : "17316322", "author" : [ { "dropping-particle" : "", "family" : "Lang", "given" : "T", "non-dropping-particle" : "", "parse-names" : false, "suffix" : "" }, { "dropping-particle" : "", "family" : "Rayner", "given" : "G", "non-dropping-particle" : "", "parse-names" : false, "suffix" : "" } ], "container-title" : "Obesity reviews : an official journal of the International Association for the Study of Obesity", "id" : "ITEM-1", "issued" : { "date-parts" : [ [ "2007", "3" ] ] }, "page" : "165-81", "title" : "Overcoming policy cacophony on obesity: an ecological public health framework for policymakers.", "type" : "article-journal", "volume" : "8 Suppl 1" }, "uris" : [ "http://www.mendeley.com/documents/?uuid=c414b30a-1f50-4553-bada-51225850574b" ] } ], "mendeley" : { "formattedCitation" : "(Lang and Rayner, 2007)", "manualFormatting" : "(Lang and Rayner, 2007, p.165)", "plainTextFormattedCitation" : "(Lang and Rayner, 2007)", "previouslyFormattedCitation" : "(Lang and Rayner, 2007)" }, "properties" : { "noteIndex" : 0 }, "schema" : "https://github.com/citation-style-language/schema/raw/master/csl-citation.json" }</w:instrText>
      </w:r>
      <w:r w:rsidR="00A76F38" w:rsidRPr="009B3747">
        <w:rPr>
          <w:rFonts w:eastAsia="Times New Roman" w:cstheme="minorHAnsi"/>
          <w:color w:val="000000"/>
          <w:lang w:eastAsia="en-GB"/>
        </w:rPr>
        <w:fldChar w:fldCharType="separate"/>
      </w:r>
      <w:r w:rsidR="00A76F38" w:rsidRPr="009B3747">
        <w:rPr>
          <w:rFonts w:eastAsia="Times New Roman" w:cstheme="minorHAnsi"/>
          <w:noProof/>
          <w:color w:val="000000"/>
          <w:lang w:eastAsia="en-GB"/>
        </w:rPr>
        <w:t>(Lang and Rayner, 2007, p.165)</w:t>
      </w:r>
      <w:r w:rsidR="00A76F38" w:rsidRPr="009B3747">
        <w:rPr>
          <w:rFonts w:eastAsia="Times New Roman" w:cstheme="minorHAnsi"/>
          <w:color w:val="000000"/>
          <w:lang w:eastAsia="en-GB"/>
        </w:rPr>
        <w:fldChar w:fldCharType="end"/>
      </w:r>
      <w:r w:rsidR="00A76F38" w:rsidRPr="009B3747">
        <w:rPr>
          <w:rFonts w:eastAsia="Times New Roman" w:cstheme="minorHAnsi"/>
          <w:color w:val="000000"/>
          <w:lang w:eastAsia="en-GB"/>
        </w:rPr>
        <w:t>.</w:t>
      </w:r>
    </w:p>
    <w:p w:rsidR="00AC3B26" w:rsidRPr="009B3747" w:rsidRDefault="00AC3B26" w:rsidP="00AC3B26">
      <w:pPr>
        <w:rPr>
          <w:rFonts w:eastAsia="Times New Roman" w:cstheme="minorHAnsi"/>
          <w:sz w:val="24"/>
          <w:szCs w:val="24"/>
          <w:lang w:eastAsia="en-GB"/>
        </w:rPr>
      </w:pPr>
    </w:p>
    <w:p w:rsidR="00F20748" w:rsidRPr="009B3747" w:rsidRDefault="000A3628" w:rsidP="00AC3B26">
      <w:pPr>
        <w:rPr>
          <w:rFonts w:eastAsia="Times New Roman" w:cstheme="minorHAnsi"/>
          <w:lang w:eastAsia="en-GB"/>
        </w:rPr>
      </w:pPr>
      <w:r w:rsidRPr="009B3747">
        <w:rPr>
          <w:rFonts w:eastAsia="Times New Roman" w:cstheme="minorHAnsi"/>
          <w:lang w:eastAsia="en-GB"/>
        </w:rPr>
        <w:t xml:space="preserve">9.3.1.3 </w:t>
      </w:r>
      <w:r w:rsidR="00F20748" w:rsidRPr="009B3747">
        <w:rPr>
          <w:rFonts w:eastAsia="Times New Roman" w:cstheme="minorHAnsi"/>
          <w:lang w:eastAsia="en-GB"/>
        </w:rPr>
        <w:t xml:space="preserve">The degrees of responsibility </w:t>
      </w:r>
    </w:p>
    <w:p w:rsidR="00F20748" w:rsidRPr="009B3747" w:rsidRDefault="00F20748" w:rsidP="00AC3B26">
      <w:pPr>
        <w:rPr>
          <w:rFonts w:eastAsia="Times New Roman" w:cstheme="minorHAnsi"/>
          <w:sz w:val="24"/>
          <w:szCs w:val="24"/>
          <w:lang w:eastAsia="en-GB"/>
        </w:rPr>
      </w:pPr>
    </w:p>
    <w:p w:rsidR="00AC3B26" w:rsidRPr="009B3747" w:rsidRDefault="00AC3B26" w:rsidP="00AC3B26">
      <w:pPr>
        <w:rPr>
          <w:rFonts w:eastAsia="Times New Roman" w:cstheme="minorHAnsi"/>
          <w:color w:val="000000"/>
          <w:shd w:val="clear" w:color="auto" w:fill="FFFFFF"/>
          <w:lang w:eastAsia="en-GB"/>
        </w:rPr>
      </w:pPr>
      <w:r w:rsidRPr="009B3747">
        <w:rPr>
          <w:rFonts w:eastAsia="Times New Roman" w:cstheme="minorHAnsi"/>
          <w:color w:val="000000"/>
          <w:shd w:val="clear" w:color="auto" w:fill="FFFFFF"/>
          <w:lang w:eastAsia="en-GB"/>
        </w:rPr>
        <w:t>Given that headteachers and chairs of governors origi</w:t>
      </w:r>
      <w:r w:rsidR="00916E28" w:rsidRPr="009B3747">
        <w:rPr>
          <w:rFonts w:eastAsia="Times New Roman" w:cstheme="minorHAnsi"/>
          <w:color w:val="000000"/>
          <w:shd w:val="clear" w:color="auto" w:fill="FFFFFF"/>
          <w:lang w:eastAsia="en-GB"/>
        </w:rPr>
        <w:t xml:space="preserve">nally in the qualitative phase, identified </w:t>
      </w:r>
      <w:r w:rsidRPr="009B3747">
        <w:rPr>
          <w:rFonts w:eastAsia="Times New Roman" w:cstheme="minorHAnsi"/>
          <w:color w:val="000000"/>
          <w:shd w:val="clear" w:color="auto" w:fill="FFFFFF"/>
          <w:lang w:eastAsia="en-GB"/>
        </w:rPr>
        <w:t>obesity causation as complex and contested, they supported the theory that no single stakeholder, organisation or setting has solo responsibility for addressing the issue</w:t>
      </w:r>
      <w:r w:rsidR="00A76F38" w:rsidRPr="009B3747">
        <w:rPr>
          <w:rFonts w:eastAsia="Times New Roman" w:cstheme="minorHAnsi"/>
          <w:color w:val="000000"/>
          <w:shd w:val="clear" w:color="auto" w:fill="FFFFFF"/>
          <w:lang w:eastAsia="en-GB"/>
        </w:rPr>
        <w:t xml:space="preserve"> </w:t>
      </w:r>
      <w:r w:rsidR="00A76F38" w:rsidRPr="009B3747">
        <w:rPr>
          <w:rFonts w:eastAsia="Times New Roman" w:cstheme="minorHAnsi"/>
          <w:color w:val="000000"/>
          <w:shd w:val="clear" w:color="auto" w:fill="FFFFFF"/>
          <w:lang w:eastAsia="en-GB"/>
        </w:rPr>
        <w:fldChar w:fldCharType="begin" w:fldLock="1"/>
      </w:r>
      <w:r w:rsidR="009C2ECF" w:rsidRPr="009B3747">
        <w:rPr>
          <w:rFonts w:eastAsia="Times New Roman" w:cstheme="minorHAnsi"/>
          <w:color w:val="000000"/>
          <w:shd w:val="clear" w:color="auto" w:fill="FFFFFF"/>
          <w:lang w:eastAsia="en-GB"/>
        </w:rPr>
        <w:instrText>ADDIN CSL_CITATION { "citationItems" : [ { "id" : "ITEM-1", "itemData" : { "author" : [ { "dropping-particle" : "", "family" : "Butland", "given" : "B", "non-dropping-particle" : "", "parse-names" : false, "suffix" : "" }, { "dropping-particle" : "", "family" : "Jebb", "given" : "S", "non-dropping-particle" : "", "parse-names" : false, "suffix" : "" } ], "id" : "ITEM-1", "issued" : { "date-parts" : [ [ "2007" ] ] }, "title" : "Foresight. Tackling obesities: future choices. Project report.", "type" : "report" }, "uris" : [ "http://www.mendeley.com/documents/?uuid=8ae0e880-41d4-4b61-b434-dc36711dd306" ] }, { "id" : "ITEM-2", "itemData" : { "author" : [ { "dropping-particle" : "", "family" : "World Health Organization", "given" : "", "non-dropping-particle" : "", "parse-names" : false, "suffix" : "" } ], "id" : "ITEM-2", "issued" : { "date-parts" : [ [ "2012" ] ] }, "publisher-place" : "Geneva", "title" : "Population-based approaches to childhood obesity prevention", "type" : "report" }, "uris" : [ "http://www.mendeley.com/documents/?uuid=13cb8a82-b4b1-4e1c-9cff-4799581d9a22" ] }, { "id" : "ITEM-3", "itemData" : { "author" : [ { "dropping-particle" : "", "family" : "Lobstein", "given" : "T", "non-dropping-particle" : "", "parse-names" : false, "suffix" : "" }, { "dropping-particle" : "", "family" : "Jackson-Leach", "given" : "R", "non-dropping-particle" : "", "parse-names" : false, "suffix" : "" }, { "dropping-particle" : "", "family" : "Moodie", "given" : "ML", "non-dropping-particle" : "", "parse-names" : false, "suffix" : "" } ], "container-title" : "The Lancet", "id" : "ITEM-3", "issue" : "9986", "issued" : { "date-parts" : [ [ "2015" ] ] }, "page" : "2510-2520", "title" : "Child and adolescent obesity: part of a bigger picture", "type" : "article-journal", "volume" : "385" }, "uris" : [ "http://www.mendeley.com/documents/?uuid=e072a246-f28d-4879-b95a-10b312372cee" ] }, { "id" : "ITEM-4", "itemData" : { "DOI" : "ISBN 978 92 4 151006 6", "ISBN" : "978 92 4 151006 6 \u00a9", "ISSN" : "9241565330", "PMID" : "25246403", "abstract" : "1. Over the past decade, the World Health Assembly, the governing body of the World Health Organization (WHO), and the United Nations General Assembly have adopted a series of resolutions1 that acknowledge noncommunicable diseases (NCDs) as a major challenge for development in the 21st century and have identified prevention and control as a core priority. The proposed Sustainable Development Goals propose a target on reducing premature mortality from NCDs2. 2. Among the NCD risk factors, obesity is particularly concerning. In children (aged under 19 years) it is associated with a wide range of health complications and an increased risk of premature onset of illnesses, including diabetes and heart disease. Preventing childhood obesity is a key approach to the primary prevention of NCDs. 3. Childhood obesity has complex origins and progress in tackling the issue has to date been slow. It is clear that a combination of scientific research, government leadership and community partnerships is necessary in order to develop the best recommendations and implement them worldwide. 4. In order to develop a comprehensive response to childhood obesity, the WHO Director- General established a high-level Commission on Ending Childhood Obesity (ECHO), which comprises 15 accomplished and eminent individuals from a variety of relevant backgrounds. The Commission has reviewed, built upon and addressed gaps in existing mandates and strategies with the support of two ad hoc working groups, one on science and evidence for ending childhood obesity (WGSE), and one on implementation, monitoring and accountability for ending childhood obesity (WGIMA). An Interim Report was developed for feedback through a series of regional consultations and hearings with Member States and non-State actors, and an online process for the submission of comments from relevant stakeholders. The Commission has reviewed these inputs and developed this draft final report, which will form the basis for a final round of regional and global consultation.", "author" : [ { "dropping-particle" : "", "family" : "WHO", "given" : "", "non-dropping-particle" : "", "parse-names" : false, "suffix" : "" } ], "container-title" : "WHO", "id" : "ITEM-4", "issued" : { "date-parts" : [ [ "2016" ] ] }, "number-of-pages" : "30", "title" : "Report of the Commission on Ending Childhood Obesity", "type" : "report" }, "uris" : [ "http://www.mendeley.com/documents/?uuid=20d3b405-4ed7-49d8-bdda-fb0b4dc5bd10" ] }, { "id" : "ITEM-5", "itemData" : { "author" : [ { "dropping-particle" : "", "family" : "House of Commons Health Select Committee", "given" : "", "non-dropping-particle" : "", "parse-names" : false, "suffix" : "" } ], "id" : "ITEM-5", "issued" : { "date-parts" : [ [ "2017" ] ] }, "publisher-place" : "London", "title" : "Childhood obesity: follow up", "type" : "report" }, "uris" : [ "http://www.mendeley.com/documents/?uuid=fd352f61-9c4e-4fcc-b7ea-be308c47a62e" ] } ], "mendeley" : { "formattedCitation" : "(Butland and Jebb, 2007; World Health Organization, 2012; Lobstein et al., 2015; WHO, 2016; House of Commons Health Select Committee, 2017)", "plainTextFormattedCitation" : "(Butland and Jebb, 2007; World Health Organization, 2012; Lobstein et al., 2015; WHO, 2016; House of Commons Health Select Committee, 2017)", "previouslyFormattedCitation" : "(Butland and Jebb, 2007; World Health Organization, 2012; Lobstein et al., 2015; WHO, 2016; House of Commons Health Select Committee, 2017)" }, "properties" : { "noteIndex" : 0 }, "schema" : "https://github.com/citation-style-language/schema/raw/master/csl-citation.json" }</w:instrText>
      </w:r>
      <w:r w:rsidR="00A76F38" w:rsidRPr="009B3747">
        <w:rPr>
          <w:rFonts w:eastAsia="Times New Roman" w:cstheme="minorHAnsi"/>
          <w:color w:val="000000"/>
          <w:shd w:val="clear" w:color="auto" w:fill="FFFFFF"/>
          <w:lang w:eastAsia="en-GB"/>
        </w:rPr>
        <w:fldChar w:fldCharType="separate"/>
      </w:r>
      <w:r w:rsidR="00A76F38" w:rsidRPr="009B3747">
        <w:rPr>
          <w:rFonts w:eastAsia="Times New Roman" w:cstheme="minorHAnsi"/>
          <w:noProof/>
          <w:color w:val="000000"/>
          <w:shd w:val="clear" w:color="auto" w:fill="FFFFFF"/>
          <w:lang w:eastAsia="en-GB"/>
        </w:rPr>
        <w:t>(Butland and Jebb, 2007; World Health Organization, 2012; Lobstein et al., 2015; WHO, 2016; House of Commons Health Select Committee, 2017)</w:t>
      </w:r>
      <w:r w:rsidR="00A76F38" w:rsidRPr="009B3747">
        <w:rPr>
          <w:rFonts w:eastAsia="Times New Roman" w:cstheme="minorHAnsi"/>
          <w:color w:val="000000"/>
          <w:shd w:val="clear" w:color="auto" w:fill="FFFFFF"/>
          <w:lang w:eastAsia="en-GB"/>
        </w:rPr>
        <w:fldChar w:fldCharType="end"/>
      </w:r>
      <w:r w:rsidRPr="009B3747">
        <w:rPr>
          <w:rFonts w:eastAsia="Times New Roman" w:cstheme="minorHAnsi"/>
          <w:color w:val="000000"/>
          <w:shd w:val="clear" w:color="auto" w:fill="FFFFFF"/>
          <w:lang w:eastAsia="en-GB"/>
        </w:rPr>
        <w:t xml:space="preserve">.  Despite this, this study found that participants attributed different degrees of responsibility to the various key stakeholders perceived to be involved in influencing </w:t>
      </w:r>
      <w:r w:rsidRPr="009B3747">
        <w:rPr>
          <w:rFonts w:eastAsia="Times New Roman" w:cstheme="minorHAnsi"/>
          <w:color w:val="000000"/>
          <w:shd w:val="clear" w:color="auto" w:fill="FFFFFF"/>
          <w:lang w:eastAsia="en-GB"/>
        </w:rPr>
        <w:lastRenderedPageBreak/>
        <w:t>adolescent lifestyle behaviours and obesity.  Extensive research has explored and discussed the concept of responsibility related to the prevention and treatment of obesity</w:t>
      </w:r>
      <w:r w:rsidR="00A76F38" w:rsidRPr="009B3747">
        <w:rPr>
          <w:rFonts w:eastAsia="Times New Roman" w:cstheme="minorHAnsi"/>
          <w:color w:val="000000"/>
          <w:shd w:val="clear" w:color="auto" w:fill="FFFFFF"/>
          <w:lang w:eastAsia="en-GB"/>
        </w:rPr>
        <w:t xml:space="preserve"> </w:t>
      </w:r>
      <w:r w:rsidR="00B63180" w:rsidRPr="009B3747">
        <w:rPr>
          <w:rFonts w:eastAsia="Times New Roman" w:cstheme="minorHAnsi"/>
          <w:color w:val="000000"/>
          <w:shd w:val="clear" w:color="auto" w:fill="FFFFFF"/>
          <w:lang w:eastAsia="en-GB"/>
        </w:rPr>
        <w:fldChar w:fldCharType="begin" w:fldLock="1"/>
      </w:r>
      <w:r w:rsidR="00395650" w:rsidRPr="009B3747">
        <w:rPr>
          <w:rFonts w:eastAsia="Times New Roman" w:cstheme="minorHAnsi"/>
          <w:color w:val="000000"/>
          <w:shd w:val="clear" w:color="auto" w:fill="FFFFFF"/>
          <w:lang w:eastAsia="en-GB"/>
        </w:rPr>
        <w:instrText>ADDIN CSL_CITATION { "citationItems" : [ { "id" : "ITEM-1", "itemData" : { "author" : [ { "dropping-particle" : "", "family" : "Branson", "given" : "C", "non-dropping-particle" : "", "parse-names" : false, "suffix" : "" }, { "dropping-particle" : "", "family" : "Duffy", "given" : "B", "non-dropping-particle" : "", "parse-names" : false, "suffix" : "" }, { "dropping-particle" : "", "family" : "Perry", "given" : "C", "non-dropping-particle" : "", "parse-names" : false, "suffix" : "" }, { "dropping-particle" : "", "family" : "Wellings", "given" : "D", "non-dropping-particle" : "", "parse-names" : false, "suffix" : "" } ], "container-title" : "Behaviour", "id" : "ITEM-1", "issued" : { "date-parts" : [ [ "2012" ] ] }, "page" : "1-28", "title" : "Acceptable behaviour? Public opinion on behaviour change policy", "type" : "article-journal" }, "uris" : [ "http://www.mendeley.com/documents/?uuid=be68c3bd-0297-4b6a-b0b1-42a8e354a83d" ] }, { "id" : "ITEM-2", "itemData" : { "DOI" : "10.1136/medethics-2012-100774", "ISSN" : "0306-6800", "author" : [ { "dropping-particle" : "", "family" : "Brown", "given" : "Rebecca C H", "non-dropping-particle" : "", "parse-names" : false, "suffix" : "" } ], "container-title" : "Journal of Medical Ethics", "id" : "ITEM-2", "issue" : "11", "issued" : { "date-parts" : [ [ "2013", "11" ] ] }, "page" : "695-698", "title" : "Moral responsibility for (un)healthy behaviour", "type" : "article-journal", "volume" : "39" }, "uris" : [ "http://www.mendeley.com/documents/?uuid=e04e4c52-22be-3d1c-96cb-ac4fce4e311d" ] }, { "id" : "ITEM-3", "itemData" : { "DOI" : "10.1377/hlthaff.2009.0739", "ISSN" : "0278-2715", "PMID" : "20194976", "abstract" : "The concept of personal responsibility has been central to social, legal, and political approaches to obesity. It evokes language of blame, weakness, and vice and is a leading basis for inadequate government efforts, given the importance of environmental conditions in explaining high rates of obesity. These environmental conditions can override individual physical and psychological regulatory systems that might otherwise stand in the way of weight gain and obesity, hence undermining personal responsibility, narrowing choices, and eroding personal freedoms. Personal responsibility can be embraced as a value by placing priority on legislative and regulatory actions such as improving school nutrition, menu labeling, altering industry marketing practices, and even such controversial measures as the use of food taxes that create healthier defaults, thus supporting responsible behavior and bridging the divide between views based on individualistic versus collective responsibility.", "author" : [ { "dropping-particle" : "", "family" : "Brownell", "given" : "K. D.", "non-dropping-particle" : "", "parse-names" : false, "suffix" : "" }, { "dropping-particle" : "", "family" : "Kersh", "given" : "R.", "non-dropping-particle" : "", "parse-names" : false, "suffix" : "" }, { "dropping-particle" : "", "family" : "Ludwig", "given" : "D. S.", "non-dropping-particle" : "", "parse-names" : false, "suffix" : "" }, { "dropping-particle" : "", "family" : "Post", "given" : "R. C.", "non-dropping-particle" : "", "parse-names" : false, "suffix" : "" }, { "dropping-particle" : "", "family" : "Puhl", "given" : "R. M.", "non-dropping-particle" : "", "parse-names" : false, "suffix" : "" }, { "dropping-particle" : "", "family" : "Schwartz", "given" : "M. B.", "non-dropping-particle" : "", "parse-names" : false, "suffix" : "" }, { "dropping-particle" : "", "family" : "Willett", "given" : "W. C.", "non-dropping-particle" : "", "parse-names" : false, "suffix" : "" } ], "container-title" : "Health Affairs", "id" : "ITEM-3", "issue" : "3", "issued" : { "date-parts" : [ [ "2010", "3", "1" ] ] }, "page" : "379-387", "title" : "Personal Responsibility And Obesity: A Constructive Approach To A Controversial Issue", "type" : "article-journal", "volume" : "29" }, "uris" : [ "http://www.mendeley.com/documents/?uuid=0ef1a1af-d593-38d6-809b-d9cf42593a26" ] }, { "id" : "ITEM-4", "itemData" : { "DOI" : "10.1016/j.appet.2013.04.001", "ISSN" : "01956663", "PMID" : "23578943", "abstract" : "We sought to determine who the public perceives as most contributing to the rise in obesity and to identify the determinants of such perceptions. A nationwide survey was conducted among 800 US individuals. Respondents were asked to place each of seven entities (food manufacturers, grocery stores, restaurants, government policies, farmers, individuals, and parents) into three categories: primarily, somewhat, and not to blame for the rise in obesity. Eighty percent said individuals were primarily to blame for the rise in obesity. Parents were the next-most blameworthy group, with 59% ascribing primary blame. Responses fell along three dimensions related to individual responsibility, agribusiness responsibility, and government-farm policy. A number of individual-specific factors were associated with perceptions of blame. For example, individuals with a more statist score on the economic political ideology scale were more likely to blame the government and agribusiness for obesity.", "author" : [ { "dropping-particle" : "", "family" : "Lusk", "given" : "Jayson L.", "non-dropping-particle" : "", "parse-names" : false, "suffix" : "" }, { "dropping-particle" : "", "family" : "Ellison", "given" : "Brenna", "non-dropping-particle" : "", "parse-names" : false, "suffix" : "" } ], "container-title" : "Appetite", "id" : "ITEM-4", "issued" : { "date-parts" : [ [ "2013", "9" ] ] }, "page" : "(14-20)", "title" : "Who is to blame for the rise in obesity?", "type" : "article-journal", "volume" : "68" }, "uris" : [ "http://www.mendeley.com/documents/?uuid=5136c360-a7dd-37f2-ac09-83902586b48e" ] }, { "id" : "ITEM-5", "itemData" : { "DOI" : "10.1080/08870446.2014.916807", "ISSN" : "0887-0446", "PMID" : "24754230", "abstract" : "OBJECTIVE The objective of this research was to compare the effects of different causal attributions for overweight and obesity, among individuals with overweight and obesity, on weight-related beliefs, stigmatising attitudes and policy support. DESIGN In Study 1, an online sample of 95 US adults rated the extent to which they believed various factors caused their own weight status. In Study 2, 125 US adults read one of three randomly assigned online passages attributing obesity to personal responsibility, biology, or the 'food environment.' All participants in both studies were overweight or obese. MAIN OUTCOME MEASURES All participants reported beliefs about weight loss, weight-stigmatising attitudes, and support for obesity-related policies. RESULTS In Study 1, biological attributions were associated with low weight-malleability beliefs and blame, high policy support, but high internalised weight bias. 'Food environment' attributions were not associated with any outcomes, while 'personal responsibility' attributions were associated with high prejudice and blame. In Study 2, participants who received information about the food environment reported greater support for food-related policies and greater self-efficacy to lose weight. CONCLUSION Emphasising the role of the food environment in causing obesity may promote food policy support and health behaviours without imposing the negative consequences associated with other attributions.", "author" : [ { "dropping-particle" : "", "family" : "Pearl", "given" : "Rebecca L.", "non-dropping-particle" : "", "parse-names" : false, "suffix" : "" }, { "dropping-particle" : "", "family" : "Lebowitz", "given" : "Matthew S.", "non-dropping-particle" : "", "parse-names" : false, "suffix" : "" } ], "container-title" : "Psychology &amp; Health", "id" : "ITEM-5", "issue" : "10", "issued" : { "date-parts" : [ [ "2014", "10", "3" ] ] }, "page" : "1176-1191", "title" : "Beyond personal responsibility: Effects of causal attributions for overweight and obesity on weight-related beliefs, stigma, and policy support", "type" : "article-journal", "volume" : "29" }, "uris" : [ "http://www.mendeley.com/documents/?uuid=3a5bbd2a-dd52-3db8-baad-55b34875fb36" ] }, { "id" : "ITEM-6", "itemData" : { "DOI" : "10.1016/j.foodpol.2014.07.006", "ISSN" : "03069192", "author" : [ { "dropping-particle" : "", "family" : "Kraak", "given" : "Vivica I.", "non-dropping-particle" : "", "parse-names" : false, "suffix" : "" }, { "dropping-particle" : "", "family" : "Swinburn", "given" : "Boyd", "non-dropping-particle" : "", "parse-names" : false, "suffix" : "" }, { "dropping-particle" : "", "family" : "Lawrence", "given" : "Mark", "non-dropping-particle" : "", "parse-names" : false, "suffix" : "" }, { "dropping-particle" : "", "family" : "Harrison", "given" : "Paul", "non-dropping-particle" : "", "parse-names" : false, "suffix" : "" } ], "container-title" : "Food Policy", "id" : "ITEM-6", "issue" : "1", "issued" : { "date-parts" : [ [ "2014", "12" ] ] }, "page" : "207-218", "title" : "A Q methodology study of stakeholders\u2019 views about accountability for promoting healthy food environments in England through the Responsibility Deal Food Network", "type" : "article-journal", "volume" : "49" }, "uris" : [ "http://www.mendeley.com/documents/?uuid=ee47ccb4-388e-3855-b2d2-dd19846cca3b" ] } ], "mendeley" : { "formattedCitation" : "(Branson et al., 2012; Brown, 2013; Brownell et al., 2010; Lusk and Ellison, 2013; Pearl and Lebowitz, 2014; Kraak et al., 2014)", "manualFormatting" : "(Branson et al., 2012; Brown, 2013; Brownell et al., 2010; Lusk and Ellison, 2013; Pearl and Lebowitz, 2014; Kraak et al., 2014)", "plainTextFormattedCitation" : "(Branson et al., 2012; Brown, 2013; Brownell et al., 2010; Lusk and Ellison, 2013; Pearl and Lebowitz, 2014; Kraak et al., 2014)", "previouslyFormattedCitation" : "(Branson et al., 2012; Brown, 2013; Brownell et al., 2010; Lusk and Ellison, 2013; Pearl and Lebowitz, 2014; Kraak et al., 2014)" }, "properties" : { "noteIndex" : 0 }, "schema" : "https://github.com/citation-style-language/schema/raw/master/csl-citation.json" }</w:instrText>
      </w:r>
      <w:r w:rsidR="00B63180" w:rsidRPr="009B3747">
        <w:rPr>
          <w:rFonts w:eastAsia="Times New Roman" w:cstheme="minorHAnsi"/>
          <w:color w:val="000000"/>
          <w:shd w:val="clear" w:color="auto" w:fill="FFFFFF"/>
          <w:lang w:eastAsia="en-GB"/>
        </w:rPr>
        <w:fldChar w:fldCharType="separate"/>
      </w:r>
      <w:r w:rsidR="00B63180" w:rsidRPr="009B3747">
        <w:rPr>
          <w:rFonts w:eastAsia="Times New Roman" w:cstheme="minorHAnsi"/>
          <w:noProof/>
          <w:color w:val="000000"/>
          <w:shd w:val="clear" w:color="auto" w:fill="FFFFFF"/>
          <w:lang w:eastAsia="en-GB"/>
        </w:rPr>
        <w:t>(Branso</w:t>
      </w:r>
      <w:r w:rsidR="006476FA" w:rsidRPr="009B3747">
        <w:rPr>
          <w:rFonts w:eastAsia="Times New Roman" w:cstheme="minorHAnsi"/>
          <w:noProof/>
          <w:color w:val="000000"/>
          <w:shd w:val="clear" w:color="auto" w:fill="FFFFFF"/>
          <w:lang w:eastAsia="en-GB"/>
        </w:rPr>
        <w:t xml:space="preserve">n et al., 2012; Brown, 2013; </w:t>
      </w:r>
      <w:r w:rsidR="00B63180" w:rsidRPr="009B3747">
        <w:rPr>
          <w:rFonts w:eastAsia="Times New Roman" w:cstheme="minorHAnsi"/>
          <w:noProof/>
          <w:color w:val="000000"/>
          <w:shd w:val="clear" w:color="auto" w:fill="FFFFFF"/>
          <w:lang w:eastAsia="en-GB"/>
        </w:rPr>
        <w:t>Brownell et al., 2010; Lusk and Ellison, 2013; Pearl and Lebowitz, 2014; Kraak et al., 2014)</w:t>
      </w:r>
      <w:r w:rsidR="00B63180" w:rsidRPr="009B3747">
        <w:rPr>
          <w:rFonts w:eastAsia="Times New Roman" w:cstheme="minorHAnsi"/>
          <w:color w:val="000000"/>
          <w:shd w:val="clear" w:color="auto" w:fill="FFFFFF"/>
          <w:lang w:eastAsia="en-GB"/>
        </w:rPr>
        <w:fldChar w:fldCharType="end"/>
      </w:r>
      <w:r w:rsidR="000C58B7">
        <w:rPr>
          <w:rFonts w:eastAsia="Times New Roman" w:cstheme="minorHAnsi"/>
          <w:color w:val="000000"/>
          <w:shd w:val="clear" w:color="auto" w:fill="FFFFFF"/>
          <w:lang w:eastAsia="en-GB"/>
        </w:rPr>
        <w:t>.  A</w:t>
      </w:r>
      <w:r w:rsidRPr="009B3747">
        <w:rPr>
          <w:rFonts w:eastAsia="Times New Roman" w:cstheme="minorHAnsi"/>
          <w:color w:val="000000"/>
          <w:shd w:val="clear" w:color="auto" w:fill="FFFFFF"/>
          <w:lang w:eastAsia="en-GB"/>
        </w:rPr>
        <w:t>cademic literature has supported the connection made by some interview participants that perceptions of responsibility can relate to an individual’s political ideology</w:t>
      </w:r>
      <w:r w:rsidR="00B63180" w:rsidRPr="009B3747">
        <w:rPr>
          <w:rFonts w:eastAsia="Times New Roman" w:cstheme="minorHAnsi"/>
          <w:color w:val="000000"/>
          <w:shd w:val="clear" w:color="auto" w:fill="FFFFFF"/>
          <w:lang w:eastAsia="en-GB"/>
        </w:rPr>
        <w:t xml:space="preserve"> </w:t>
      </w:r>
      <w:r w:rsidR="00B63180" w:rsidRPr="009B3747">
        <w:rPr>
          <w:rFonts w:eastAsia="Times New Roman" w:cstheme="minorHAnsi"/>
          <w:color w:val="000000"/>
          <w:shd w:val="clear" w:color="auto" w:fill="FFFFFF"/>
          <w:lang w:eastAsia="en-GB"/>
        </w:rPr>
        <w:fldChar w:fldCharType="begin" w:fldLock="1"/>
      </w:r>
      <w:r w:rsidR="00395650" w:rsidRPr="009B3747">
        <w:rPr>
          <w:rFonts w:eastAsia="Times New Roman" w:cstheme="minorHAnsi"/>
          <w:color w:val="000000"/>
          <w:shd w:val="clear" w:color="auto" w:fill="FFFFFF"/>
          <w:lang w:eastAsia="en-GB"/>
        </w:rPr>
        <w:instrText>ADDIN CSL_CITATION { "citationItems" : [ { "id" : "ITEM-1", "itemData" : { "DOI" : "10.1056/NEJMp1206519", "ISBN" : "0028-4793", "ISSN" : "0028-4793", "PMID" : "22853011", "abstract" : "This increasing use of EDs for inpatient admissions has impor- tant implications for the redesign of delivery systems. The need for more efficient use of inpatient resources is a clear focus of the Affordable Care Act (ACA), and the increased role of EDs in inpa- tient admissions will affect the implementation of central ACA principles, such as quality mea- surement, care coordination, and payment reform. Yet policymakers seem to view EDs as little more than a locus of inefficient or un- necessary care \u2014 the place where patients without access or insur- ance seek care at great expense to taxpayers. This popular view fails to address the ED\u2019s increas- ingly important role in hospital admissions, and it is not sup- ported by the data", "author" : [ { "dropping-particle" : "", "family" : "Barry", "given" : "Colleen L.", "non-dropping-particle" : "", "parse-names" : false, "suffix" : "" }, { "dropping-particle" : "", "family" : "Gollust", "given" : "Sarah E.", "non-dropping-particle" : "", "parse-names" : false, "suffix" : "" }, { "dropping-particle" : "", "family" : "Niederdeppe", "given" : "Jeff", "non-dropping-particle" : "", "parse-names" : false, "suffix" : "" } ], "container-title" : "New England Journal of Medicine", "id" : "ITEM-1", "issue" : "5", "issued" : { "date-parts" : [ [ "2012", "8", "2" ] ] }, "page" : "389-391", "publisher" : "Massachusetts Medical Society", "title" : "Are Americans Ready to Solve the Weight of the Nation?", "type" : "article-journal", "volume" : "367" }, "uris" : [ "http://www.mendeley.com/documents/?uuid=db984620-3dfd-3fdb-9715-43d31e347f73" ] }, { "id" : "ITEM-2", "itemData" : { "author" : [ { "dropping-particle" : "", "family" : "Branson", "given" : "C", "non-dropping-particle" : "", "parse-names" : false, "suffix" : "" }, { "dropping-particle" : "", "family" : "Duffy", "given" : "B", "non-dropping-particle" : "", "parse-names" : false, "suffix" : "" }, { "dropping-particle" : "", "family" : "Perry", "given" : "C", "non-dropping-particle" : "", "parse-names" : false, "suffix" : "" }, { "dropping-particle" : "", "family" : "Wellings", "given" : "D", "non-dropping-particle" : "", "parse-names" : false, "suffix" : "" } ], "container-title" : "Behaviour", "id" : "ITEM-2", "issued" : { "date-parts" : [ [ "2012" ] ] }, "page" : "1-28", "title" : "Acceptable behaviour? Public opinion on behaviour change policy", "type" : "article-journal" }, "uris" : [ "http://www.mendeley.com/documents/?uuid=be68c3bd-0297-4b6a-b0b1-42a8e354a83d" ] }, { "id" : "ITEM-3", "itemData" : { "DOI" : "10.1016/j.foodpol.2014.07.006", "ISSN" : "03069192", "author" : [ { "dropping-particle" : "", "family" : "Kraak", "given" : "Vivica I.", "non-dropping-particle" : "", "parse-names" : false, "suffix" : "" }, { "dropping-particle" : "", "family" : "Swinburn", "given" : "Boyd", "non-dropping-particle" : "", "parse-names" : false, "suffix" : "" }, { "dropping-particle" : "", "family" : "Lawrence", "given" : "Mark", "non-dropping-particle" : "", "parse-names" : false, "suffix" : "" }, { "dropping-particle" : "", "family" : "Harrison", "given" : "Paul", "non-dropping-particle" : "", "parse-names" : false, "suffix" : "" } ], "container-title" : "Food Policy", "id" : "ITEM-3", "issue" : "1", "issued" : { "date-parts" : [ [ "2014", "12" ] ] }, "page" : "207-218", "title" : "A Q methodology study of stakeholders\u2019 views about accountability for promoting healthy food environments in England through the Responsibility Deal Food Network", "type" : "article-journal", "volume" : "49" }, "uris" : [ "http://www.mendeley.com/documents/?uuid=ee47ccb4-388e-3855-b2d2-dd19846cca3b" ] } ], "mendeley" : { "formattedCitation" : "(Barry et al., 2012; Branson et al., 2012; Kraak et al., 2014)", "plainTextFormattedCitation" : "(Barry et al., 2012; Branson et al., 2012; Kraak et al., 2014)", "previouslyFormattedCitation" : "(Barry et al., 2012; Branson et al., 2012; Kraak et al., 2014)" }, "properties" : { "noteIndex" : 0 }, "schema" : "https://github.com/citation-style-language/schema/raw/master/csl-citation.json" }</w:instrText>
      </w:r>
      <w:r w:rsidR="00B63180" w:rsidRPr="009B3747">
        <w:rPr>
          <w:rFonts w:eastAsia="Times New Roman" w:cstheme="minorHAnsi"/>
          <w:color w:val="000000"/>
          <w:shd w:val="clear" w:color="auto" w:fill="FFFFFF"/>
          <w:lang w:eastAsia="en-GB"/>
        </w:rPr>
        <w:fldChar w:fldCharType="separate"/>
      </w:r>
      <w:r w:rsidR="00B63180" w:rsidRPr="009B3747">
        <w:rPr>
          <w:rFonts w:eastAsia="Times New Roman" w:cstheme="minorHAnsi"/>
          <w:noProof/>
          <w:color w:val="000000"/>
          <w:shd w:val="clear" w:color="auto" w:fill="FFFFFF"/>
          <w:lang w:eastAsia="en-GB"/>
        </w:rPr>
        <w:t>(Barry et al., 2012; Branson et al., 2012; Kraak et al., 2014)</w:t>
      </w:r>
      <w:r w:rsidR="00B63180" w:rsidRPr="009B3747">
        <w:rPr>
          <w:rFonts w:eastAsia="Times New Roman" w:cstheme="minorHAnsi"/>
          <w:color w:val="000000"/>
          <w:shd w:val="clear" w:color="auto" w:fill="FFFFFF"/>
          <w:lang w:eastAsia="en-GB"/>
        </w:rPr>
        <w:fldChar w:fldCharType="end"/>
      </w:r>
      <w:r w:rsidR="00B63180" w:rsidRPr="009B3747">
        <w:rPr>
          <w:rFonts w:eastAsia="Times New Roman" w:cstheme="minorHAnsi"/>
          <w:color w:val="000000"/>
          <w:shd w:val="clear" w:color="auto" w:fill="FFFFFF"/>
          <w:lang w:eastAsia="en-GB"/>
        </w:rPr>
        <w:t>.</w:t>
      </w:r>
    </w:p>
    <w:p w:rsidR="00B63180" w:rsidRPr="009B3747" w:rsidRDefault="00B63180"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shd w:val="clear" w:color="auto" w:fill="FFFFFF"/>
          <w:lang w:eastAsia="en-GB"/>
        </w:rPr>
        <w:t>Resonating with earlier research regarding</w:t>
      </w:r>
      <w:r w:rsidR="00B63180" w:rsidRPr="009B3747">
        <w:rPr>
          <w:rFonts w:eastAsia="Times New Roman" w:cstheme="minorHAnsi"/>
          <w:color w:val="000000"/>
          <w:shd w:val="clear" w:color="auto" w:fill="FFFFFF"/>
          <w:lang w:eastAsia="en-GB"/>
        </w:rPr>
        <w:t xml:space="preserve"> headteachers</w:t>
      </w:r>
      <w:r w:rsidR="004B590A" w:rsidRPr="009B3747">
        <w:rPr>
          <w:rFonts w:eastAsia="Times New Roman" w:cstheme="minorHAnsi"/>
          <w:color w:val="000000"/>
          <w:shd w:val="clear" w:color="auto" w:fill="FFFFFF"/>
          <w:lang w:eastAsia="en-GB"/>
        </w:rPr>
        <w:t>’</w:t>
      </w:r>
      <w:r w:rsidR="00B63180" w:rsidRPr="009B3747">
        <w:rPr>
          <w:rFonts w:eastAsia="Times New Roman" w:cstheme="minorHAnsi"/>
          <w:color w:val="000000"/>
          <w:shd w:val="clear" w:color="auto" w:fill="FFFFFF"/>
          <w:lang w:eastAsia="en-GB"/>
        </w:rPr>
        <w:t xml:space="preserve"> views (Clarke et al.,</w:t>
      </w:r>
      <w:r w:rsidRPr="009B3747">
        <w:rPr>
          <w:rFonts w:eastAsia="Times New Roman" w:cstheme="minorHAnsi"/>
          <w:color w:val="000000"/>
          <w:shd w:val="clear" w:color="auto" w:fill="FFFFFF"/>
          <w:lang w:eastAsia="en-GB"/>
        </w:rPr>
        <w:t xml:space="preserve"> 2015</w:t>
      </w:r>
      <w:r w:rsidR="00B63180" w:rsidRPr="009B3747">
        <w:rPr>
          <w:rFonts w:eastAsia="Times New Roman" w:cstheme="minorHAnsi"/>
          <w:color w:val="000000"/>
          <w:shd w:val="clear" w:color="auto" w:fill="FFFFFF"/>
          <w:lang w:eastAsia="en-GB"/>
        </w:rPr>
        <w:t>; Howard-Drake, 2015; Todd et al.</w:t>
      </w:r>
      <w:r w:rsidRPr="009B3747">
        <w:rPr>
          <w:rFonts w:eastAsia="Times New Roman" w:cstheme="minorHAnsi"/>
          <w:color w:val="000000"/>
          <w:shd w:val="clear" w:color="auto" w:fill="FFFFFF"/>
          <w:lang w:eastAsia="en-GB"/>
        </w:rPr>
        <w:t>, 2015)</w:t>
      </w:r>
      <w:r w:rsidR="000C58B7">
        <w:rPr>
          <w:rFonts w:eastAsia="Times New Roman" w:cstheme="minorHAnsi"/>
          <w:color w:val="000000"/>
          <w:shd w:val="clear" w:color="auto" w:fill="FFFFFF"/>
          <w:lang w:eastAsia="en-GB"/>
        </w:rPr>
        <w:t>,</w:t>
      </w:r>
      <w:r w:rsidRPr="009B3747">
        <w:rPr>
          <w:rFonts w:eastAsia="Times New Roman" w:cstheme="minorHAnsi"/>
          <w:color w:val="000000"/>
          <w:shd w:val="clear" w:color="auto" w:fill="FFFFFF"/>
          <w:lang w:eastAsia="en-GB"/>
        </w:rPr>
        <w:t xml:space="preserve"> was the overwhelming view across both study phases that parents have personal and primary responsibility for the prevention of obesity.  Central to this belief was the proposed parental obligation or duty to keep their children healthy and provide health enhancing opportunities.  Secondary to parents, adolescents were viewed particularly in the quantitative phase and by non-state school participants, as having increasing personal responsibility for maintaining a healthy weight and engaging in healthy lifestyle behaviours as they transition into young adulthood. </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shd w:val="clear" w:color="auto" w:fill="FFFFFF"/>
          <w:lang w:eastAsia="en-GB"/>
        </w:rPr>
        <w:t>In contrast to the promotion of personal responsibility and given the general recognition by participants that obesity results from an increasing obesogenic environment (Swinburn et al</w:t>
      </w:r>
      <w:r w:rsidR="00B63180" w:rsidRPr="009B3747">
        <w:rPr>
          <w:rFonts w:eastAsia="Times New Roman" w:cstheme="minorHAnsi"/>
          <w:color w:val="000000"/>
          <w:shd w:val="clear" w:color="auto" w:fill="FFFFFF"/>
          <w:lang w:eastAsia="en-GB"/>
        </w:rPr>
        <w:t>.</w:t>
      </w:r>
      <w:r w:rsidRPr="009B3747">
        <w:rPr>
          <w:rFonts w:eastAsia="Times New Roman" w:cstheme="minorHAnsi"/>
          <w:color w:val="000000"/>
          <w:shd w:val="clear" w:color="auto" w:fill="FFFFFF"/>
          <w:lang w:eastAsia="en-GB"/>
        </w:rPr>
        <w:t>, 2011), this study found support albeit to varying degrees, for responsibility to also be attributed to the food industry and government.  Whilst this view was not referenced in studies resulting from the systematic review and qualitative synthesis, responses from the quantitative survey provided additional evidence for this original qualitative finding.  </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shd w:val="clear" w:color="auto" w:fill="FFFFFF"/>
          <w:lang w:eastAsia="en-GB"/>
        </w:rPr>
        <w:t>Food manufacturers and retailers were proposed as having a significant responsibility for ensuring the appropriate production and marketing of food and drinks, with results from the survey, supporting this attribution of responsibility.  The food i</w:t>
      </w:r>
      <w:r w:rsidR="00CF6650" w:rsidRPr="009B3747">
        <w:rPr>
          <w:rFonts w:eastAsia="Times New Roman" w:cstheme="minorHAnsi"/>
          <w:color w:val="000000"/>
          <w:shd w:val="clear" w:color="auto" w:fill="FFFFFF"/>
          <w:lang w:eastAsia="en-GB"/>
        </w:rPr>
        <w:t>ndustry was deemed to have the third</w:t>
      </w:r>
      <w:r w:rsidRPr="009B3747">
        <w:rPr>
          <w:rFonts w:eastAsia="Times New Roman" w:cstheme="minorHAnsi"/>
          <w:color w:val="000000"/>
          <w:shd w:val="clear" w:color="auto" w:fill="FFFFFF"/>
          <w:lang w:eastAsia="en-GB"/>
        </w:rPr>
        <w:t xml:space="preserve"> </w:t>
      </w:r>
      <w:r w:rsidR="00CF6650" w:rsidRPr="009B3747">
        <w:rPr>
          <w:rFonts w:eastAsia="Times New Roman" w:cstheme="minorHAnsi"/>
          <w:color w:val="000000"/>
          <w:shd w:val="clear" w:color="auto" w:fill="FFFFFF"/>
          <w:lang w:eastAsia="en-GB"/>
        </w:rPr>
        <w:t>greatest responsibility (after</w:t>
      </w:r>
      <w:r w:rsidRPr="009B3747">
        <w:rPr>
          <w:rFonts w:eastAsia="Times New Roman" w:cstheme="minorHAnsi"/>
          <w:color w:val="000000"/>
          <w:shd w:val="clear" w:color="auto" w:fill="FFFFFF"/>
          <w:lang w:eastAsia="en-GB"/>
        </w:rPr>
        <w:t xml:space="preserve"> parents and adolescents) for preventing excess weight.  Greater division and variation in beliefs however were evidenced both within and across the study phases regarding the government’s role in and responsibility for obesity prevention.  C</w:t>
      </w:r>
      <w:r w:rsidR="00B63180" w:rsidRPr="009B3747">
        <w:rPr>
          <w:rFonts w:eastAsia="Times New Roman" w:cstheme="minorHAnsi"/>
          <w:color w:val="000000"/>
          <w:shd w:val="clear" w:color="auto" w:fill="FFFFFF"/>
          <w:lang w:eastAsia="en-GB"/>
        </w:rPr>
        <w:t xml:space="preserve">oncerns </w:t>
      </w:r>
      <w:r w:rsidR="000C58B7">
        <w:rPr>
          <w:rFonts w:eastAsia="Times New Roman" w:cstheme="minorHAnsi"/>
          <w:color w:val="000000"/>
          <w:shd w:val="clear" w:color="auto" w:fill="FFFFFF"/>
          <w:lang w:eastAsia="en-GB"/>
        </w:rPr>
        <w:t xml:space="preserve">were </w:t>
      </w:r>
      <w:r w:rsidR="00B63180" w:rsidRPr="009B3747">
        <w:rPr>
          <w:rFonts w:eastAsia="Times New Roman" w:cstheme="minorHAnsi"/>
          <w:color w:val="000000"/>
          <w:shd w:val="clear" w:color="auto" w:fill="FFFFFF"/>
          <w:lang w:eastAsia="en-GB"/>
        </w:rPr>
        <w:t>raised in the qualitative data</w:t>
      </w:r>
      <w:r w:rsidRPr="009B3747">
        <w:rPr>
          <w:rFonts w:eastAsia="Times New Roman" w:cstheme="minorHAnsi"/>
          <w:color w:val="000000"/>
          <w:shd w:val="clear" w:color="auto" w:fill="FFFFFF"/>
          <w:lang w:eastAsia="en-GB"/>
        </w:rPr>
        <w:t xml:space="preserve"> regarding whether governmental involvement in tackling obesity would reduce personal responsibility and foster a ‘nanny state’</w:t>
      </w:r>
      <w:r w:rsidR="000C58B7">
        <w:rPr>
          <w:rFonts w:eastAsia="Times New Roman" w:cstheme="minorHAnsi"/>
          <w:color w:val="000000"/>
          <w:shd w:val="clear" w:color="auto" w:fill="FFFFFF"/>
          <w:lang w:eastAsia="en-GB"/>
        </w:rPr>
        <w:t xml:space="preserve">.  In contrast, </w:t>
      </w:r>
      <w:r w:rsidRPr="009B3747">
        <w:rPr>
          <w:rFonts w:eastAsia="Times New Roman" w:cstheme="minorHAnsi"/>
          <w:color w:val="000000"/>
          <w:shd w:val="clear" w:color="auto" w:fill="FFFFFF"/>
          <w:lang w:eastAsia="en-GB"/>
        </w:rPr>
        <w:t xml:space="preserve">support for increased governmental action </w:t>
      </w:r>
      <w:r w:rsidR="000C58B7">
        <w:rPr>
          <w:rFonts w:eastAsia="Times New Roman" w:cstheme="minorHAnsi"/>
          <w:color w:val="000000"/>
          <w:shd w:val="clear" w:color="auto" w:fill="FFFFFF"/>
          <w:lang w:eastAsia="en-GB"/>
        </w:rPr>
        <w:t>was also advocated in interviews, on the justification of</w:t>
      </w:r>
      <w:r w:rsidRPr="009B3747">
        <w:rPr>
          <w:rFonts w:eastAsia="Times New Roman" w:cstheme="minorHAnsi"/>
          <w:color w:val="000000"/>
          <w:shd w:val="clear" w:color="auto" w:fill="FFFFFF"/>
          <w:lang w:eastAsia="en-GB"/>
        </w:rPr>
        <w:t xml:space="preserve"> the national scale and significance of the public health challenge</w:t>
      </w:r>
      <w:r w:rsidR="00B63180" w:rsidRPr="009B3747">
        <w:rPr>
          <w:rFonts w:eastAsia="Times New Roman" w:cstheme="minorHAnsi"/>
          <w:color w:val="000000"/>
          <w:shd w:val="clear" w:color="auto" w:fill="FFFFFF"/>
          <w:lang w:eastAsia="en-GB"/>
        </w:rPr>
        <w:t xml:space="preserve"> </w:t>
      </w:r>
      <w:r w:rsidRPr="009B3747">
        <w:rPr>
          <w:rFonts w:eastAsia="Times New Roman" w:cstheme="minorHAnsi"/>
          <w:color w:val="000000"/>
          <w:shd w:val="clear" w:color="auto" w:fill="FFFFFF"/>
          <w:lang w:eastAsia="en-GB"/>
        </w:rPr>
        <w:t>(Brownell et al</w:t>
      </w:r>
      <w:r w:rsidR="00B63180" w:rsidRPr="009B3747">
        <w:rPr>
          <w:rFonts w:eastAsia="Times New Roman" w:cstheme="minorHAnsi"/>
          <w:color w:val="000000"/>
          <w:shd w:val="clear" w:color="auto" w:fill="FFFFFF"/>
          <w:lang w:eastAsia="en-GB"/>
        </w:rPr>
        <w:t>.</w:t>
      </w:r>
      <w:r w:rsidRPr="009B3747">
        <w:rPr>
          <w:rFonts w:eastAsia="Times New Roman" w:cstheme="minorHAnsi"/>
          <w:color w:val="000000"/>
          <w:shd w:val="clear" w:color="auto" w:fill="FFFFFF"/>
          <w:lang w:eastAsia="en-GB"/>
        </w:rPr>
        <w:t xml:space="preserve">, 2010).  This contested position was evidenced in the quantitative phase, where the government was deemed to have the least responsibility out of the key stakeholders listed.  For those proposing the appropriateness of state involvement, </w:t>
      </w:r>
      <w:r w:rsidR="00B63180" w:rsidRPr="009B3747">
        <w:rPr>
          <w:rFonts w:eastAsia="Times New Roman" w:cstheme="minorHAnsi"/>
          <w:color w:val="000000"/>
          <w:shd w:val="clear" w:color="auto" w:fill="FFFFFF"/>
          <w:lang w:eastAsia="en-GB"/>
        </w:rPr>
        <w:t>participants’</w:t>
      </w:r>
      <w:r w:rsidRPr="009B3747">
        <w:rPr>
          <w:rFonts w:eastAsia="Times New Roman" w:cstheme="minorHAnsi"/>
          <w:color w:val="000000"/>
          <w:shd w:val="clear" w:color="auto" w:fill="FFFFFF"/>
          <w:lang w:eastAsia="en-GB"/>
        </w:rPr>
        <w:t xml:space="preserve"> </w:t>
      </w:r>
      <w:r w:rsidRPr="009B3747">
        <w:rPr>
          <w:rFonts w:eastAsia="Times New Roman" w:cstheme="minorHAnsi"/>
          <w:color w:val="000000"/>
          <w:shd w:val="clear" w:color="auto" w:fill="FFFFFF"/>
          <w:lang w:eastAsia="en-GB"/>
        </w:rPr>
        <w:lastRenderedPageBreak/>
        <w:t>perceived value in the government’s ability to enhance public awareness, regulate private industry and utilise legislation and taxation as a means to influence population behaviour (Jebb et al</w:t>
      </w:r>
      <w:r w:rsidR="00B63180" w:rsidRPr="009B3747">
        <w:rPr>
          <w:rFonts w:eastAsia="Times New Roman" w:cstheme="minorHAnsi"/>
          <w:color w:val="000000"/>
          <w:shd w:val="clear" w:color="auto" w:fill="FFFFFF"/>
          <w:lang w:eastAsia="en-GB"/>
        </w:rPr>
        <w:t>.</w:t>
      </w:r>
      <w:r w:rsidRPr="009B3747">
        <w:rPr>
          <w:rFonts w:eastAsia="Times New Roman" w:cstheme="minorHAnsi"/>
          <w:color w:val="000000"/>
          <w:shd w:val="clear" w:color="auto" w:fill="FFFFFF"/>
          <w:lang w:eastAsia="en-GB"/>
        </w:rPr>
        <w:t>, 2013).  </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shd w:val="clear" w:color="auto" w:fill="FFFFFF"/>
          <w:lang w:eastAsia="en-GB"/>
        </w:rPr>
        <w:t>Whilst not as contentious as the food industry and government, the responsibility and role of secondary schools in obesity prevention remained contested for headteachers and chairs of governors across both research phases.  Participants broadly supported the concept that schools are an appropriate setting for preventing obesity and should play an active role in improving adolescent lifestyle behaviours</w:t>
      </w:r>
      <w:r w:rsidR="00B63180" w:rsidRPr="009B3747">
        <w:rPr>
          <w:rFonts w:eastAsia="Times New Roman" w:cstheme="minorHAnsi"/>
          <w:color w:val="000000"/>
          <w:shd w:val="clear" w:color="auto" w:fill="FFFFFF"/>
          <w:lang w:eastAsia="en-GB"/>
        </w:rPr>
        <w:t xml:space="preserve"> </w:t>
      </w:r>
      <w:r w:rsidR="00B63180" w:rsidRPr="009B3747">
        <w:rPr>
          <w:rFonts w:eastAsia="Times New Roman" w:cstheme="minorHAnsi"/>
          <w:color w:val="000000"/>
          <w:shd w:val="clear" w:color="auto" w:fill="FFFFFF"/>
          <w:lang w:eastAsia="en-GB"/>
        </w:rPr>
        <w:fldChar w:fldCharType="begin" w:fldLock="1"/>
      </w:r>
      <w:r w:rsidR="00395650" w:rsidRPr="009B3747">
        <w:rPr>
          <w:rFonts w:eastAsia="Times New Roman" w:cstheme="minorHAnsi"/>
          <w:color w:val="000000"/>
          <w:shd w:val="clear" w:color="auto" w:fill="FFFFFF"/>
          <w:lang w:eastAsia="en-GB"/>
        </w:rPr>
        <w:instrText>ADDIN CSL_CITATION { "citationItems" : [ { "id" : "ITEM-1", "itemData" : { "author" : [ { "dropping-particle" : "", "family" : "Bonell", "given" : "C", "non-dropping-particle" : "", "parse-names" : false, "suffix" : "" }, { "dropping-particle" : "", "family" : "Humphrey", "given" : "N", "non-dropping-particle" : "", "parse-names" : false, "suffix" : "" }, { "dropping-particle" : "", "family" : "Fletcher", "given" : "A", "non-dropping-particle" : "", "parse-names" : false, "suffix" : "" } ], "container-title" : "BMJ", "id" : "ITEM-1", "issue" : "13", "issued" : { "date-parts" : [ [ "2014" ] ] }, "title" : "Why schools should promote students' health and wellbeing", "type" : "article-journal", "volume" : "348" }, "uris" : [ "http://www.mendeley.com/documents/?uuid=dca5dbfa-95df-4e15-aaf7-44d4a78d1056" ] }, { "id" : "ITEM-2", "itemData" : { "author" : [ { "dropping-particle" : "", "family" : "Langford", "given" : "R", "non-dropping-particle" : "", "parse-names" : false, "suffix" : "" }, { "dropping-particle" : "", "family" : "Bonell", "given" : "C", "non-dropping-particle" : "", "parse-names" : false, "suffix" : "" } ], "container-title" : "International Journal of Behavioral Nutrition and Physical Activity", "id" : "ITEM-2", "issue" : "15", "issued" : { "date-parts" : [ [ "2015" ] ] }, "title" : "Obesity prevention and the Health promoting Schools framework: essential components and barriers to success", "type" : "article-journal", "volume" : "12" }, "uris" : [ "http://www.mendeley.com/documents/?uuid=33a18f66-3855-47de-96c1-ab2efb0e4b0c" ] }, { "id" : "ITEM-3", "itemData" : { "DOI" : "10.1111/obr.12277", "ISSN" : "14677881", "PMID" : "25893796", "abstract" : "Previous reviews of childhood obesity prevention have focused largely on schools and findings have been inconsistent. Funded by the US Agency for Healthcare Research and Quality (AHRQ) and the National Institutes of Health, we systematically evaluated the effectiveness of childhood obesity prevention programmes conducted in high-income countries and implemented in various settings. We searched MEDLINE\u00ae, Embase, PsycINFO, CINAHL\u00ae, ClinicalTrials.gov and the Cochrane Library from inception through 22 April 2013 for relevant studies, including randomized controlled trials, quasi-experimental studies and natural experiments, targeting diet, physical activity or both, and conducted in children aged 2-18 in high-income countries. Two reviewers independently abstracted the data. The strength of evidence (SOE) supporting interventions was graded for each study setting (e.g. home, school). Meta-analyses were performed on studies judged sufficiently similar and appropriate to pool using random effect models. This paper reported our findings on various adiposity-related outcomes. We identified 147 articles (139 intervention studies) of which 115 studies were primarily school based, although\u2009other settings could have been involved. Most were conducted in the United States and within the past decade. SOE was high for physical activity-only interventions delivered in schools with home involvement or combined diet-physical activity interventions delivered in schools with both home and community components. SOE was moderate for school-based interventions targeting either diet or physical activity, combined interventions delivered in schools with home or community components or combined interventions delivered in the community with a school component. SOE was low for combined interventions in childcare or home settings. Evidence was insufficient for other interventions. In conclusion, at least moderately strong evidence supports the effectiveness of school-based interventions for preventing childhood obesity. More research is needed to evaluate programmes in other settings or of other design types, especially environmental, policy and consumer health informatics-oriented interventions.", "author" : [ { "dropping-particle" : "", "family" : "Wang", "given" : "Y.", "non-dropping-particle" : "", "parse-names" : false, "suffix" : "" }, { "dropping-particle" : "", "family" : "Cai", "given" : "L.", "non-dropping-particle" : "", "parse-names" : false, "suffix" : "" }, { "dropping-particle" : "", "family" : "Wu", "given" : "Y.", "non-dropping-particle" : "", "parse-names" : false, "suffix" : "" }, { "dropping-particle" : "", "family" : "Wilson", "given" : "R. F.", "non-dropping-particle" : "", "parse-names" : false, "suffix" : "" }, { "dropping-particle" : "", "family" : "Weston", "given" : "C.", "non-dropping-particle" : "", "parse-names" : false, "suffix" : "" }, { "dropping-particle" : "", "family" : "Fawole", "given" : "O.", "non-dropping-particle" : "", "parse-names" : false, "suffix" : "" }, { "dropping-particle" : "", "family" : "Bleich", "given" : "S. N.", "non-dropping-particle" : "", "parse-names" : false, "suffix" : "" }, { "dropping-particle" : "", "family" : "Cheskin", "given" : "L. J.", "non-dropping-particle" : "", "parse-names" : false, "suffix" : "" }, { "dropping-particle" : "", "family" : "Showell", "given" : "N. N.", "non-dropping-particle" : "", "parse-names" : false, "suffix" : "" }, { "dropping-particle" : "", "family" : "Lau", "given" : "B. D.", "non-dropping-particle" : "", "parse-names" : false, "suffix" : "" }, { "dropping-particle" : "", "family" : "Chiu", "given" : "D. T.", "non-dropping-particle" : "", "parse-names" : false, "suffix" : "" }, { "dropping-particle" : "", "family" : "Zhang", "given" : "A.", "non-dropping-particle" : "", "parse-names" : false, "suffix" : "" }, { "dropping-particle" : "", "family" : "Segal", "given" : "J.", "non-dropping-particle" : "", "parse-names" : false, "suffix" : "" } ], "container-title" : "Obesity Reviews", "id" : "ITEM-3", "issue" : "7", "issued" : { "date-parts" : [ [ "2015", "7", "20" ] ] }, "page" : "547-565", "title" : "What childhood obesity prevention programmes work? A systematic review and meta-analysis", "type" : "article-journal", "volume" : "16" }, "uris" : [ "http://www.mendeley.com/documents/?uuid=6062d135-073b-40bc-a5de-04435d42cd04" ] } ], "mendeley" : { "formattedCitation" : "(Bonell et al., 2014; Langford and Bonell, 2015; Wang et al., 2015)", "plainTextFormattedCitation" : "(Bonell et al., 2014; Langford and Bonell, 2015; Wang et al., 2015)", "previouslyFormattedCitation" : "(Bonell et al., 2014; Langford and Bonell, 2015; Wang et al., 2015)" }, "properties" : { "noteIndex" : 0 }, "schema" : "https://github.com/citation-style-language/schema/raw/master/csl-citation.json" }</w:instrText>
      </w:r>
      <w:r w:rsidR="00B63180" w:rsidRPr="009B3747">
        <w:rPr>
          <w:rFonts w:eastAsia="Times New Roman" w:cstheme="minorHAnsi"/>
          <w:color w:val="000000"/>
          <w:shd w:val="clear" w:color="auto" w:fill="FFFFFF"/>
          <w:lang w:eastAsia="en-GB"/>
        </w:rPr>
        <w:fldChar w:fldCharType="separate"/>
      </w:r>
      <w:r w:rsidR="00B63180" w:rsidRPr="009B3747">
        <w:rPr>
          <w:rFonts w:eastAsia="Times New Roman" w:cstheme="minorHAnsi"/>
          <w:noProof/>
          <w:color w:val="000000"/>
          <w:shd w:val="clear" w:color="auto" w:fill="FFFFFF"/>
          <w:lang w:eastAsia="en-GB"/>
        </w:rPr>
        <w:t>(Bonell et al., 2014; Langford and Bonell, 2015; Wang et al., 2015)</w:t>
      </w:r>
      <w:r w:rsidR="00B63180" w:rsidRPr="009B3747">
        <w:rPr>
          <w:rFonts w:eastAsia="Times New Roman" w:cstheme="minorHAnsi"/>
          <w:color w:val="000000"/>
          <w:shd w:val="clear" w:color="auto" w:fill="FFFFFF"/>
          <w:lang w:eastAsia="en-GB"/>
        </w:rPr>
        <w:fldChar w:fldCharType="end"/>
      </w:r>
      <w:r w:rsidR="006F0E5F" w:rsidRPr="009B3747">
        <w:rPr>
          <w:rFonts w:eastAsia="Times New Roman" w:cstheme="minorHAnsi"/>
          <w:color w:val="000000"/>
          <w:shd w:val="clear" w:color="auto" w:fill="FFFFFF"/>
          <w:lang w:eastAsia="en-GB"/>
        </w:rPr>
        <w:t xml:space="preserve">.  </w:t>
      </w:r>
      <w:r w:rsidRPr="009B3747">
        <w:rPr>
          <w:rFonts w:eastAsia="Times New Roman" w:cstheme="minorHAnsi"/>
          <w:color w:val="000000"/>
          <w:shd w:val="clear" w:color="auto" w:fill="FFFFFF"/>
          <w:lang w:eastAsia="en-GB"/>
        </w:rPr>
        <w:t xml:space="preserve">They perceived schools could and should provide health education (i.e. through </w:t>
      </w:r>
      <w:r w:rsidR="006F0E5F" w:rsidRPr="009B3747">
        <w:rPr>
          <w:rFonts w:eastAsia="Times New Roman" w:cstheme="minorHAnsi"/>
          <w:color w:val="000000"/>
          <w:shd w:val="clear" w:color="auto" w:fill="FFFFFF"/>
          <w:lang w:eastAsia="en-GB"/>
        </w:rPr>
        <w:t>PHSE</w:t>
      </w:r>
      <w:r w:rsidRPr="009B3747">
        <w:rPr>
          <w:rFonts w:eastAsia="Times New Roman" w:cstheme="minorHAnsi"/>
          <w:color w:val="000000"/>
          <w:shd w:val="clear" w:color="auto" w:fill="FFFFFF"/>
          <w:lang w:eastAsia="en-GB"/>
        </w:rPr>
        <w:t>) and opportunities to enhance health (i.e. through healthy school catering, extra-curricular activities).  </w:t>
      </w:r>
    </w:p>
    <w:p w:rsidR="00AC3B26" w:rsidRPr="009B3747" w:rsidRDefault="00AC3B26" w:rsidP="00AC3B26">
      <w:pPr>
        <w:rPr>
          <w:rFonts w:eastAsia="Times New Roman" w:cstheme="minorHAnsi"/>
          <w:sz w:val="24"/>
          <w:szCs w:val="24"/>
          <w:lang w:eastAsia="en-GB"/>
        </w:rPr>
      </w:pPr>
    </w:p>
    <w:p w:rsidR="00AC3B26" w:rsidRPr="009B3747" w:rsidRDefault="006F0E5F" w:rsidP="00AC3B26">
      <w:pPr>
        <w:rPr>
          <w:rFonts w:eastAsia="Times New Roman" w:cstheme="minorHAnsi"/>
          <w:sz w:val="24"/>
          <w:szCs w:val="24"/>
          <w:lang w:eastAsia="en-GB"/>
        </w:rPr>
      </w:pPr>
      <w:r w:rsidRPr="009B3747">
        <w:rPr>
          <w:rFonts w:eastAsia="Times New Roman" w:cstheme="minorHAnsi"/>
          <w:color w:val="000000"/>
          <w:shd w:val="clear" w:color="auto" w:fill="FFFFFF"/>
          <w:lang w:eastAsia="en-GB"/>
        </w:rPr>
        <w:t xml:space="preserve">However, </w:t>
      </w:r>
      <w:r w:rsidR="00AC3B26" w:rsidRPr="009B3747">
        <w:rPr>
          <w:rFonts w:eastAsia="Times New Roman" w:cstheme="minorHAnsi"/>
          <w:color w:val="000000"/>
          <w:shd w:val="clear" w:color="auto" w:fill="FFFFFF"/>
          <w:lang w:eastAsia="en-GB"/>
        </w:rPr>
        <w:t>as discussed in the qualitative phase and supported by earlier studies (Clarke et al</w:t>
      </w:r>
      <w:r w:rsidRPr="009B3747">
        <w:rPr>
          <w:rFonts w:eastAsia="Times New Roman" w:cstheme="minorHAnsi"/>
          <w:color w:val="000000"/>
          <w:shd w:val="clear" w:color="auto" w:fill="FFFFFF"/>
          <w:lang w:eastAsia="en-GB"/>
        </w:rPr>
        <w:t>.</w:t>
      </w:r>
      <w:r w:rsidR="00AC3B26" w:rsidRPr="009B3747">
        <w:rPr>
          <w:rFonts w:eastAsia="Times New Roman" w:cstheme="minorHAnsi"/>
          <w:color w:val="000000"/>
          <w:shd w:val="clear" w:color="auto" w:fill="FFFFFF"/>
          <w:lang w:eastAsia="en-GB"/>
        </w:rPr>
        <w:t xml:space="preserve">, 2015; </w:t>
      </w:r>
      <w:r w:rsidRPr="009B3747">
        <w:rPr>
          <w:rFonts w:eastAsia="Times New Roman" w:cstheme="minorHAnsi"/>
          <w:color w:val="000000"/>
          <w:shd w:val="clear" w:color="auto" w:fill="FFFFFF"/>
          <w:lang w:eastAsia="en-GB"/>
        </w:rPr>
        <w:fldChar w:fldCharType="begin" w:fldLock="1"/>
      </w:r>
      <w:r w:rsidR="009C2ECF" w:rsidRPr="009B3747">
        <w:rPr>
          <w:rFonts w:eastAsia="Times New Roman" w:cstheme="minorHAnsi"/>
          <w:color w:val="000000"/>
          <w:shd w:val="clear" w:color="auto" w:fill="FFFFFF"/>
          <w:lang w:eastAsia="en-GB"/>
        </w:rPr>
        <w:instrText>ADDIN CSL_CITATION { "citationItems" : [ { "id" : "ITEM-1", "itemData" : { "DOI" : "10.1016/j.appet.2014.12.121", "ISSN" : "01956663", "author" : [ { "dropping-particle" : "", "family" : "Clarke", "given" : "J.", "non-dropping-particle" : "", "parse-names" : false, "suffix" : "" }, { "dropping-particle" : "", "family" : "Lancashire", "given" : "E.", "non-dropping-particle" : "", "parse-names" : false, "suffix" : "" }, { "dropping-particle" : "", "family" : "Pallan", "given" : "M.", "non-dropping-particle" : "", "parse-names" : false, "suffix" : "" }, { "dropping-particle" : "", "family" : "Adab", "given" : "P.", "non-dropping-particle" : "", "parse-names" : false, "suffix" : "" } ], "container-title" : "Appetite", "id" : "ITEM-1", "issued" : { "date-parts" : [ [ "2015", "4" ] ] }, "page" : "377", "title" : "Headteacher perspectives on the role of the primary school in preventing childhood obesity", "type" : "article-journal", "volume" : "87" }, "uris" : [ "http://www.mendeley.com/documents/?uuid=ac79f162-74f2-49d2-a629-f4abdfb486ea" ] }, { "id" : "ITEM-2", "itemData" : { "author" : [ { "dropping-particle" : "", "family" : "Christian", "given" : "D", "non-dropping-particle" : "", "parse-names" : false, "suffix" : "" }, { "dropping-particle" : "", "family" : "Todd", "given" : "C", "non-dropping-particle" : "", "parse-names" : false, "suffix" : "" }, { "dropping-particle" : "", "family" : "Davies", "given" : "H", "non-dropping-particle" : "", "parse-names" : false, "suffix" : "" } ], "container-title" : "BMC Public Health", "id" : "ITEM-2", "issue" : "1", "issued" : { "date-parts" : [ [ "2015" ] ] }, "page" : "238", "title" : "Community led active schools programme (CLASP) exploring the implementation of health interventions in primary schools: headteachers' perspectives", "type" : "article-journal", "volume" : "15" }, "uris" : [ "http://www.mendeley.com/documents/?uuid=6ff4652c-3611-4c14-9801-3bd7c877f021" ] }, { "id" : "ITEM-3", "itemData" : { "author" : [ { "dropping-particle" : "", "family" : "Howard-Drake", "given" : "EJ", "non-dropping-particle" : "", "parse-names" : false, "suffix" : "" }, { "dropping-particle" : "", "family" : "Halliday", "given" : "V", "non-dropping-particle" : "", "parse-names" : false, "suffix" : "" } ], "container-title" : "Journal of Public Health", "id" : "ITEM-3", "issue" : "1", "issued" : { "date-parts" : [ [ "2015" ] ] }, "page" : "44-52", "title" : "Exploring primary school headteachers' perspectives on the barriers and facilitators of preventing childhood obesity", "type" : "article-journal", "volume" : "38" }, "uris" : [ "http://www.mendeley.com/documents/?uuid=5809992c-2717-4e23-9b1e-b80b2a030870" ] }, { "id" : "ITEM-4", "itemData" : { "author" : [ { "dropping-particle" : "", "family" : "Todd", "given" : "C", "non-dropping-particle" : "", "parse-names" : false, "suffix" : "" }, { "dropping-particle" : "", "family" : "Christian", "given" : "D", "non-dropping-particle" : "", "parse-names" : false, "suffix" : "" }, { "dropping-particle" : "", "family" : "Davies", "given" : "H", "non-dropping-particle" : "", "parse-names" : false, "suffix" : "" } ], "container-title" : "BMC research \u2026", "id" : "ITEM-4", "issue" : "1", "issued" : { "date-parts" : [ [ "2015" ] ] }, "page" : "161", "title" : "Headteachers' prior beliefs on child health and their engagement in school based health interventions: a qualitative study", "type" : "article-journal", "volume" : "8" }, "uris" : [ "http://www.mendeley.com/documents/?uuid=9a740b7c-28ec-4b9a-99a5-b768fe7c3a4e" ] } ], "mendeley" : { "formattedCitation" : "(Clarke et al., 2015; Christian et al., 2015; Howard-Drake and Halliday, 2015; Todd et al., 2015)", "manualFormatting" : "(Clarke et al., 2015; Christian et al., 2015; Howard-Drake and Halliday, 2015; Todd et al., 2015)", "plainTextFormattedCitation" : "(Clarke et al., 2015; Christian et al., 2015; Howard-Drake and Halliday, 2015; Todd et al., 2015)", "previouslyFormattedCitation" : "(Clarke et al., 2015; Christian et al., 2015; Howard-Drake and Halliday, 2015; Todd et al., 2015)" }, "properties" : { "noteIndex" : 0 }, "schema" : "https://github.com/citation-style-language/schema/raw/master/csl-citation.json" }</w:instrText>
      </w:r>
      <w:r w:rsidRPr="009B3747">
        <w:rPr>
          <w:rFonts w:eastAsia="Times New Roman" w:cstheme="minorHAnsi"/>
          <w:color w:val="000000"/>
          <w:shd w:val="clear" w:color="auto" w:fill="FFFFFF"/>
          <w:lang w:eastAsia="en-GB"/>
        </w:rPr>
        <w:fldChar w:fldCharType="separate"/>
      </w:r>
      <w:r w:rsidRPr="009B3747">
        <w:rPr>
          <w:rFonts w:eastAsia="Times New Roman" w:cstheme="minorHAnsi"/>
          <w:noProof/>
          <w:color w:val="000000"/>
          <w:shd w:val="clear" w:color="auto" w:fill="FFFFFF"/>
          <w:lang w:eastAsia="en-GB"/>
        </w:rPr>
        <w:t>(Clarke et al., 2015; Christian et al., 2015; Howard-Drake and Halliday, 2015; Todd et al., 2015)</w:t>
      </w:r>
      <w:r w:rsidRPr="009B3747">
        <w:rPr>
          <w:rFonts w:eastAsia="Times New Roman" w:cstheme="minorHAnsi"/>
          <w:color w:val="000000"/>
          <w:shd w:val="clear" w:color="auto" w:fill="FFFFFF"/>
          <w:lang w:eastAsia="en-GB"/>
        </w:rPr>
        <w:fldChar w:fldCharType="end"/>
      </w:r>
      <w:r w:rsidR="00AC3B26" w:rsidRPr="009B3747">
        <w:rPr>
          <w:rFonts w:eastAsia="Times New Roman" w:cstheme="minorHAnsi"/>
          <w:color w:val="000000"/>
          <w:shd w:val="clear" w:color="auto" w:fill="FFFFFF"/>
          <w:lang w:eastAsia="en-GB"/>
        </w:rPr>
        <w:t xml:space="preserve">, given the identified social and environmental influences on adolescent lifestyle behaviours, schools were argued to hold only part </w:t>
      </w:r>
      <w:r w:rsidR="000C58B7">
        <w:rPr>
          <w:rFonts w:eastAsia="Times New Roman" w:cstheme="minorHAnsi"/>
          <w:color w:val="000000"/>
          <w:shd w:val="clear" w:color="auto" w:fill="FFFFFF"/>
          <w:lang w:eastAsia="en-GB"/>
        </w:rPr>
        <w:t>responsibility.  A</w:t>
      </w:r>
      <w:r w:rsidR="00AC3B26" w:rsidRPr="009B3747">
        <w:rPr>
          <w:rFonts w:eastAsia="Times New Roman" w:cstheme="minorHAnsi"/>
          <w:color w:val="000000"/>
          <w:shd w:val="clear" w:color="auto" w:fill="FFFFFF"/>
          <w:lang w:eastAsia="en-GB"/>
        </w:rPr>
        <w:t>s evidenced in the quantitative phase</w:t>
      </w:r>
      <w:r w:rsidR="000C58B7">
        <w:rPr>
          <w:rFonts w:eastAsia="Times New Roman" w:cstheme="minorHAnsi"/>
          <w:color w:val="000000"/>
          <w:shd w:val="clear" w:color="auto" w:fill="FFFFFF"/>
          <w:lang w:eastAsia="en-GB"/>
        </w:rPr>
        <w:t>, this was argued to be</w:t>
      </w:r>
      <w:r w:rsidR="00AC3B26" w:rsidRPr="009B3747">
        <w:rPr>
          <w:rFonts w:eastAsia="Times New Roman" w:cstheme="minorHAnsi"/>
          <w:color w:val="000000"/>
          <w:shd w:val="clear" w:color="auto" w:fill="FFFFFF"/>
          <w:lang w:eastAsia="en-GB"/>
        </w:rPr>
        <w:t xml:space="preserve"> notably less than other key stakeholders (i.e. parents, adolescents).  Quantitative results indicated greater attribution of responsibility to primary rather than secondary schools, which could in part be due to the opinion shared during interviews that earlier intervention in obesity prevention is more effective (Sharma, 2006).  </w:t>
      </w:r>
      <w:r w:rsidR="00AC3B26" w:rsidRPr="009B3747">
        <w:rPr>
          <w:rFonts w:eastAsia="Times New Roman" w:cstheme="minorHAnsi"/>
          <w:color w:val="000000"/>
          <w:lang w:eastAsia="en-GB"/>
        </w:rPr>
        <w:t>Whilst evidence supports this position (Waters and Silva-Sanigorski, 2011), it has been argued to be unjustified</w:t>
      </w:r>
      <w:r w:rsidRPr="009B3747">
        <w:rPr>
          <w:rFonts w:eastAsia="Times New Roman" w:cstheme="minorHAnsi"/>
          <w:color w:val="000000"/>
          <w:lang w:eastAsia="en-GB"/>
        </w:rPr>
        <w:t xml:space="preserve"> </w:t>
      </w:r>
      <w:r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"Williams", "given" : "AJ", "non-dropping-particle" : "", "parse-names" : false, "suffix" : "" }, { "dropping-particle" : "", "family" : "Henley", "given" : "WE", "non-dropping-particle" : "", "parse-names" : false, "suffix" : "" } ], "container-title" : "International Journal of Behavioral nutrition and Physical activity", "id" : "ITEM-1", "issue" : "1", "issued" : { "date-parts" : [ [ "2013" ] ] }, "page" : "101", "title" : "Systematic review and meta-analysis of the association between childhood overweight and obesity and primary school diet and physical activity policies", "type" : "article-journal", "volume" : "10" }, "uris" : [ "http://www.mendeley.com/documents/?uuid=beb93714-7d75-43d0-b012-585371461b08" ] }, { "id" : "ITEM-2", "itemData" : { "author" : [ { "dropping-particle" : "", "family" : "Langford", "given" : "R", "non-dropping-particle" : "", "parse-names" : false, "suffix" : "" }, { "dropping-particle" : "", "family" : "Bonell", "given" : "C", "non-dropping-particle" : "", "parse-names" : false, "suffix" : "" } ], "container-title" : "International Journal of Behavioral Nutrition and Physical Activity", "id" : "ITEM-2", "issue" : "15", "issued" : { "date-parts" : [ [ "2015" ] ] }, "title" : "Obesity prevention and the Health promoting Schools framework: essential components and barriers to success", "type" : "article-journal", "volume" : "12" }, "uris" : [ "http://www.mendeley.com/documents/?uuid=33a18f66-3855-47de-96c1-ab2efb0e4b0c" ] } ], "mendeley" : { "formattedCitation" : "(Williams and Henley, 2013; Langford and Bonell, 2015)", "plainTextFormattedCitation" : "(Williams and Henley, 2013; Langford and Bonell, 2015)", "previouslyFormattedCitation" : "(Williams and Henley, 2013; Langford and Bonell, 2015)" }, "properties" : { "noteIndex" : 0 }, "schema" : "https://github.com/citation-style-language/schema/raw/master/csl-citation.json" }</w:instrText>
      </w:r>
      <w:r w:rsidRPr="009B3747">
        <w:rPr>
          <w:rFonts w:eastAsia="Times New Roman" w:cstheme="minorHAnsi"/>
          <w:color w:val="000000"/>
          <w:lang w:eastAsia="en-GB"/>
        </w:rPr>
        <w:fldChar w:fldCharType="separate"/>
      </w:r>
      <w:r w:rsidRPr="009B3747">
        <w:rPr>
          <w:rFonts w:eastAsia="Times New Roman" w:cstheme="minorHAnsi"/>
          <w:noProof/>
          <w:color w:val="000000"/>
          <w:lang w:eastAsia="en-GB"/>
        </w:rPr>
        <w:t>(Williams and Henley, 2013; Langford and Bonell, 2015)</w:t>
      </w:r>
      <w:r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given </w:t>
      </w:r>
      <w:r w:rsidR="00AC3B26" w:rsidRPr="009B3747">
        <w:rPr>
          <w:rFonts w:eastAsia="Times New Roman" w:cstheme="minorHAnsi"/>
          <w:color w:val="000000"/>
          <w:lang w:eastAsia="en-GB"/>
        </w:rPr>
        <w:t>that adolescence provides critical windows of opportunity to influence physical activity and dietary behaviour</w:t>
      </w:r>
      <w:r w:rsidRPr="009B3747">
        <w:rPr>
          <w:rFonts w:eastAsia="Times New Roman" w:cstheme="minorHAnsi"/>
          <w:color w:val="000000"/>
          <w:lang w:eastAsia="en-GB"/>
        </w:rPr>
        <w:t xml:space="preserve"> </w:t>
      </w:r>
      <w:r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"Crone", "given" : "EA", "non-dropping-particle" : "", "parse-names" : false, "suffix" : "" }, { "dropping-particle" : "", "family" : "Dahl", "given" : "RE", "non-dropping-particle" : "", "parse-names" : false, "suffix" : "" } ], "container-title" : "Nature Reviews Neuroscience", "id" : "ITEM-1", "issue" : "9", "issued" : { "date-parts" : [ [ "2012" ] ] }, "page" : "636-50", "title" : "Understanding adolescence as a period of social\u2013affective engagement and goal flexibility", "type" : "article-journal", "volume" : "13" }, "uris" : [ "http://www.mendeley.com/documents/?uuid=ff3e7fb9-06b6-417f-976a-af5ff659fa27" ] }, { "id" : "ITEM-2", "itemData" : { "author" : [ { "dropping-particle" : "", "family" : "Hagell", "given" : "A", "non-dropping-particle" : "", "parse-names" : false, "suffix" : "" }, { "dropping-particle" : "", "family" : "Rigby", "given" : "E", "non-dropping-particle" : "", "parse-names" : false, "suffix" : "" }, { "dropping-particle" : "", "family" : "Perrow", "given" : "F", "non-dropping-particle" : "", "parse-names" : false, "suffix" : "" } ], "container-title" : "British Journal of School \u2026", "id" : "ITEM-2", "issue" : "2", "issued" : { "date-parts" : [ [ "2015" ] ] }, "page" : "82-87", "title" : "Promoting health literacy in secondary schools: A review", "type" : "article-journal", "volume" : "10" }, "uris" : [ "http://www.mendeley.com/documents/?uuid=851306bb-02a9-43d7-835d-f758ee6265eb" ] } ], "mendeley" : { "formattedCitation" : "(Crone and Dahl, 2012; Hagell et al., 2015)", "plainTextFormattedCitation" : "(Crone and Dahl, 2012; Hagell et al., 2015)", "previouslyFormattedCitation" : "(Crone and Dahl, 2012; Hagell et al., 2015)" }, "properties" : { "noteIndex" : 0 }, "schema" : "https://github.com/citation-style-language/schema/raw/master/csl-citation.json" }</w:instrText>
      </w:r>
      <w:r w:rsidRPr="009B3747">
        <w:rPr>
          <w:rFonts w:eastAsia="Times New Roman" w:cstheme="minorHAnsi"/>
          <w:color w:val="000000"/>
          <w:lang w:eastAsia="en-GB"/>
        </w:rPr>
        <w:fldChar w:fldCharType="separate"/>
      </w:r>
      <w:r w:rsidRPr="009B3747">
        <w:rPr>
          <w:rFonts w:eastAsia="Times New Roman" w:cstheme="minorHAnsi"/>
          <w:noProof/>
          <w:color w:val="000000"/>
          <w:lang w:eastAsia="en-GB"/>
        </w:rPr>
        <w:t>(Crone and Dahl, 2012; Hagell et al., 2015)</w:t>
      </w:r>
      <w:r w:rsidRPr="009B3747">
        <w:rPr>
          <w:rFonts w:eastAsia="Times New Roman" w:cstheme="minorHAnsi"/>
          <w:color w:val="000000"/>
          <w:lang w:eastAsia="en-GB"/>
        </w:rPr>
        <w:fldChar w:fldCharType="end"/>
      </w:r>
      <w:r w:rsidRPr="009B3747">
        <w:rPr>
          <w:rFonts w:eastAsia="Times New Roman" w:cstheme="minorHAnsi"/>
          <w:color w:val="000000"/>
          <w:lang w:eastAsia="en-GB"/>
        </w:rPr>
        <w:t>.</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shd w:val="clear" w:color="auto" w:fill="FFFFFF"/>
          <w:lang w:eastAsia="en-GB"/>
        </w:rPr>
        <w:t>Polarised beliefs about responsibility for obesity identified in this research, is reflective of the complex discourse evident in academic literature (Brownell et al</w:t>
      </w:r>
      <w:r w:rsidR="006F0E5F" w:rsidRPr="009B3747">
        <w:rPr>
          <w:rFonts w:eastAsia="Times New Roman" w:cstheme="minorHAnsi"/>
          <w:color w:val="000000"/>
          <w:shd w:val="clear" w:color="auto" w:fill="FFFFFF"/>
          <w:lang w:eastAsia="en-GB"/>
        </w:rPr>
        <w:t>.</w:t>
      </w:r>
      <w:r w:rsidRPr="009B3747">
        <w:rPr>
          <w:rFonts w:eastAsia="Times New Roman" w:cstheme="minorHAnsi"/>
          <w:color w:val="000000"/>
          <w:shd w:val="clear" w:color="auto" w:fill="FFFFFF"/>
          <w:lang w:eastAsia="en-GB"/>
        </w:rPr>
        <w:t>, 2010).  Narratives portrayed in the media and academic research surrounding responsibility for obesity and health more broadly, often centre on two simplistic and conflicting views - either individuals or society are responsible for the existence of excess weight</w:t>
      </w:r>
      <w:r w:rsidR="006F0E5F" w:rsidRPr="009B3747">
        <w:rPr>
          <w:rFonts w:eastAsia="Times New Roman" w:cstheme="minorHAnsi"/>
          <w:color w:val="000000"/>
          <w:shd w:val="clear" w:color="auto" w:fill="FFFFFF"/>
          <w:lang w:eastAsia="en-GB"/>
        </w:rPr>
        <w:t xml:space="preserve"> </w:t>
      </w:r>
      <w:r w:rsidR="006F0E5F" w:rsidRPr="009B3747">
        <w:rPr>
          <w:rFonts w:eastAsia="Times New Roman" w:cstheme="minorHAnsi"/>
          <w:color w:val="000000"/>
          <w:shd w:val="clear" w:color="auto" w:fill="FFFFFF"/>
          <w:lang w:eastAsia="en-GB"/>
        </w:rPr>
        <w:fldChar w:fldCharType="begin" w:fldLock="1"/>
      </w:r>
      <w:r w:rsidR="009C2ECF" w:rsidRPr="009B3747">
        <w:rPr>
          <w:rFonts w:eastAsia="Times New Roman" w:cstheme="minorHAnsi"/>
          <w:color w:val="000000"/>
          <w:shd w:val="clear" w:color="auto" w:fill="FFFFFF"/>
          <w:lang w:eastAsia="en-GB"/>
        </w:rPr>
        <w:instrText>ADDIN CSL_CITATION { "citationItems" : [ { "id" : "ITEM-1", "itemData" : { "DOI" : "10.1111/j.1747-7093.2002.tb00396.x", "ISSN" : "0892-6794", "author" : [ { "dropping-particle" : "", "family" : "Wikler", "given" : "Daniel", "non-dropping-particle" : "", "parse-names" : false, "suffix" : "" } ], "container-title" : "Ethics &amp; International Affairs", "id" : "ITEM-1", "issue" : "02", "issued" : { "date-parts" : [ [ "2002", "9", "28" ] ] }, "page" : "47-55", "publisher" : "Blackwell Publishing Ltd", "title" : "Personal and Social Responsibility for Health", "type" : "article-journal", "volume" : "16" }, "uris" : [ "http://www.mendeley.com/documents/?uuid=b2ecf151-792f-3385-bfde-b605695b404e" ] }, { "id" : "ITEM-2", "itemData" : { "DOI" : "10.1080/10810730701326051", "ISSN" : "1081-0730", "PMID" : "17558788", "abstract" : "Analyzing newspaper articles and television news, we explore how American news media have framed the issue of obesity. More specifically, we analyze the way the media present the question of who is responsible for causing and fixing the problem. Our data reveal that over the last 10 years, mentions of personal causes and solutions significantly have outnumbered societal attributions of responsibility. Recently, however, a balance was established between individualistic and societal attributions of responsibility. Mentions of societal causes and solutions have increased considerably, whereas decreasing numbers of personal solutions have appeared in the media. Findings also indicate that television news is more likely than newspapers to mention personal solutions, but less likely to attribute the responsibility to society.", "author" : [ { "dropping-particle" : "", "family" : "Kim", "given" : "Sei-Hill", "non-dropping-particle" : "", "parse-names" : false, "suffix" : "" }, { "dropping-particle" : "", "family" : "Anne Willis", "given" : "L.", "non-dropping-particle" : "", "parse-names" : false, "suffix" : "" } ], "container-title" : "Journal of Health Communication", "id" : "ITEM-2", "issue" : "4", "issued" : { "date-parts" : [ [ "2007", "6", "14" ] ] }, "page" : "359-376", "title" : "Talking about Obesity: News Framing of Who Is Responsible for Causing and Fixing the Problem", "type" : "article-journal", "volume" : "12" }, "uris" : [ "http://www.mendeley.com/documents/?uuid=8b3c44eb-7939-37bd-bc43-2f0bccc4305f" ] }, { "id" : "ITEM-3", "itemData" : { "author" : [ { "dropping-particle" : "", "family" : "Roberto", "given" : "CA", "non-dropping-particle" : "", "parse-names" : false, "suffix" : "" }, { "dropping-particle" : "", "family" : "Swinburn", "given" : "B", "non-dropping-particle" : "", "parse-names" : false, "suffix" : "" }, { "dropping-particle" : "", "family" : "Hawkes", "given" : "C", "non-dropping-particle" : "", "parse-names" : false, "suffix" : "" } ], "container-title" : "The Lancet", "id" : "ITEM-3", "issue" : "9985", "issued" : { "date-parts" : [ [ "2015" ] ] }, "page" : "2400\u20132409", "title" : "Patchy progress on obesity prevention: emerging examples, entrenched barriers, and new thinking", "type" : "article-journal", "volume" : "385" }, "uris" : [ "http://www.mendeley.com/documents/?uuid=6815ad69-33a9-48c6-8e24-5ea4f9900a6e" ] } ], "mendeley" : { "formattedCitation" : "(Wikler, 2002; Kim and Anne Willis, 2007; Roberto et al., 2015)", "plainTextFormattedCitation" : "(Wikler, 2002; Kim and Anne Willis, 2007; Roberto et al., 2015)", "previouslyFormattedCitation" : "(Wikler, 2002; Kim and Anne Willis, 2007; Roberto et al., 2015)" }, "properties" : { "noteIndex" : 0 }, "schema" : "https://github.com/citation-style-language/schema/raw/master/csl-citation.json" }</w:instrText>
      </w:r>
      <w:r w:rsidR="006F0E5F" w:rsidRPr="009B3747">
        <w:rPr>
          <w:rFonts w:eastAsia="Times New Roman" w:cstheme="minorHAnsi"/>
          <w:color w:val="000000"/>
          <w:shd w:val="clear" w:color="auto" w:fill="FFFFFF"/>
          <w:lang w:eastAsia="en-GB"/>
        </w:rPr>
        <w:fldChar w:fldCharType="separate"/>
      </w:r>
      <w:r w:rsidR="006F0E5F" w:rsidRPr="009B3747">
        <w:rPr>
          <w:rFonts w:eastAsia="Times New Roman" w:cstheme="minorHAnsi"/>
          <w:noProof/>
          <w:color w:val="000000"/>
          <w:shd w:val="clear" w:color="auto" w:fill="FFFFFF"/>
          <w:lang w:eastAsia="en-GB"/>
        </w:rPr>
        <w:t>(Wikler, 2002; Kim and Anne Willis, 2007; Roberto et al., 2015)</w:t>
      </w:r>
      <w:r w:rsidR="006F0E5F" w:rsidRPr="009B3747">
        <w:rPr>
          <w:rFonts w:eastAsia="Times New Roman" w:cstheme="minorHAnsi"/>
          <w:color w:val="000000"/>
          <w:shd w:val="clear" w:color="auto" w:fill="FFFFFF"/>
          <w:lang w:eastAsia="en-GB"/>
        </w:rPr>
        <w:fldChar w:fldCharType="end"/>
      </w:r>
      <w:r w:rsidR="00FA078F" w:rsidRPr="009B3747">
        <w:rPr>
          <w:rFonts w:eastAsia="Times New Roman" w:cstheme="minorHAnsi"/>
          <w:color w:val="000000"/>
          <w:shd w:val="clear" w:color="auto" w:fill="FFFFFF"/>
          <w:lang w:eastAsia="en-GB"/>
        </w:rPr>
        <w:t xml:space="preserve">.  </w:t>
      </w:r>
      <w:r w:rsidRPr="009B3747">
        <w:rPr>
          <w:rFonts w:eastAsia="Times New Roman" w:cstheme="minorHAnsi"/>
          <w:color w:val="000000"/>
          <w:shd w:val="clear" w:color="auto" w:fill="FFFFFF"/>
          <w:lang w:eastAsia="en-GB"/>
        </w:rPr>
        <w:t xml:space="preserve">Whilst the qualitative findings identified an understanding </w:t>
      </w:r>
      <w:r w:rsidR="00FA078F" w:rsidRPr="009B3747">
        <w:rPr>
          <w:rFonts w:eastAsia="Times New Roman" w:cstheme="minorHAnsi"/>
          <w:color w:val="000000"/>
          <w:shd w:val="clear" w:color="auto" w:fill="FFFFFF"/>
          <w:lang w:eastAsia="en-GB"/>
        </w:rPr>
        <w:t xml:space="preserve">of the importance of collective </w:t>
      </w:r>
      <w:r w:rsidR="009A167D" w:rsidRPr="009B3747">
        <w:rPr>
          <w:rFonts w:eastAsia="Times New Roman" w:cstheme="minorHAnsi"/>
          <w:color w:val="000000"/>
          <w:shd w:val="clear" w:color="auto" w:fill="FFFFFF"/>
          <w:lang w:eastAsia="en-GB"/>
        </w:rPr>
        <w:t>responsibility</w:t>
      </w:r>
      <w:r w:rsidR="00FA078F" w:rsidRPr="009B3747">
        <w:rPr>
          <w:rFonts w:eastAsia="Times New Roman" w:cstheme="minorHAnsi"/>
          <w:color w:val="000000"/>
          <w:shd w:val="clear" w:color="auto" w:fill="FFFFFF"/>
          <w:lang w:eastAsia="en-GB"/>
        </w:rPr>
        <w:t xml:space="preserve"> </w:t>
      </w:r>
      <w:r w:rsidRPr="009B3747">
        <w:rPr>
          <w:rFonts w:eastAsia="Times New Roman" w:cstheme="minorHAnsi"/>
          <w:color w:val="000000"/>
          <w:shd w:val="clear" w:color="auto" w:fill="FFFFFF"/>
          <w:lang w:eastAsia="en-GB"/>
        </w:rPr>
        <w:t>(Christian et al</w:t>
      </w:r>
      <w:r w:rsidR="00FA078F" w:rsidRPr="009B3747">
        <w:rPr>
          <w:rFonts w:eastAsia="Times New Roman" w:cstheme="minorHAnsi"/>
          <w:color w:val="000000"/>
          <w:shd w:val="clear" w:color="auto" w:fill="FFFFFF"/>
          <w:lang w:eastAsia="en-GB"/>
        </w:rPr>
        <w:t>.</w:t>
      </w:r>
      <w:r w:rsidRPr="009B3747">
        <w:rPr>
          <w:rFonts w:eastAsia="Times New Roman" w:cstheme="minorHAnsi"/>
          <w:color w:val="000000"/>
          <w:shd w:val="clear" w:color="auto" w:fill="FFFFFF"/>
          <w:lang w:eastAsia="en-GB"/>
        </w:rPr>
        <w:t xml:space="preserve">, 2015), survey results indicated that the vast majority of headteachers and chairs of governors still broadly deem parents and adolescents to have more responsibility than schools, government and society as a whole.  This attribution of personal responsibility could reflect more broadly, </w:t>
      </w:r>
      <w:r w:rsidR="00FA078F" w:rsidRPr="009B3747">
        <w:rPr>
          <w:rFonts w:eastAsia="Times New Roman" w:cstheme="minorHAnsi"/>
          <w:color w:val="000000"/>
          <w:shd w:val="clear" w:color="auto" w:fill="FFFFFF"/>
          <w:lang w:eastAsia="en-GB"/>
        </w:rPr>
        <w:t>participants’</w:t>
      </w:r>
      <w:r w:rsidRPr="009B3747">
        <w:rPr>
          <w:rFonts w:eastAsia="Times New Roman" w:cstheme="minorHAnsi"/>
          <w:color w:val="000000"/>
          <w:shd w:val="clear" w:color="auto" w:fill="FFFFFF"/>
          <w:lang w:eastAsia="en-GB"/>
        </w:rPr>
        <w:t xml:space="preserve"> support of a libertarian worldview or belief system</w:t>
      </w:r>
      <w:r w:rsidR="00FA078F" w:rsidRPr="009B3747">
        <w:rPr>
          <w:rFonts w:eastAsia="Times New Roman" w:cstheme="minorHAnsi"/>
          <w:color w:val="000000"/>
          <w:shd w:val="clear" w:color="auto" w:fill="FFFFFF"/>
          <w:lang w:eastAsia="en-GB"/>
        </w:rPr>
        <w:t xml:space="preserve"> </w:t>
      </w:r>
      <w:r w:rsidR="00FA078F" w:rsidRPr="009B3747">
        <w:rPr>
          <w:rFonts w:eastAsia="Times New Roman" w:cstheme="minorHAnsi"/>
          <w:color w:val="000000"/>
          <w:shd w:val="clear" w:color="auto" w:fill="FFFFFF"/>
          <w:lang w:eastAsia="en-GB"/>
        </w:rPr>
        <w:fldChar w:fldCharType="begin" w:fldLock="1"/>
      </w:r>
      <w:r w:rsidR="006476FA" w:rsidRPr="009B3747">
        <w:rPr>
          <w:rFonts w:eastAsia="Times New Roman" w:cstheme="minorHAnsi"/>
          <w:color w:val="000000"/>
          <w:shd w:val="clear" w:color="auto" w:fill="FFFFFF"/>
          <w:lang w:eastAsia="en-GB"/>
        </w:rPr>
        <w:instrText>ADDIN CSL_CITATION { "citationItems" : [ { "id" : "ITEM-1", "itemData" : { "DOI" : "10.1057/jphp.2010.28", "ISSN" : "0197-5897", "PMID" : "21119650", "abstract" : "Childhood obesity and chronic disease rates continue to climb, but policy and programme responses are mainly limited to education and awareness activities. These encourage individuals to make responsible lifestyle choices. Regulation and environmental change have a minor role, as they involve more intrusive roles for government, invading traditionally private domains of nutrition and physical activity. But to address children's health needs, today's emphasis on self-management is inappropriate. Children, especially the very young, are dependent and vulnerable. I describe why the current public health strategies, with their political and moral foundations, remain ineffective. The foundations are based primarily upon the traditional liberal understanding of the public/private divide, while neglecting to recognize the legal obligations and implications of the United Nations Convention on the Rights of the Child and theories of justice and citizenship as they apply to children.", "author" : [ { "dropping-particle" : "", "family" : "Purcell", "given" : "Megan", "non-dropping-particle" : "", "parse-names" : false, "suffix" : "" } ], "container-title" : "Journal of Public Health Policy", "id" : "ITEM-1", "issue" : "4", "issued" : { "date-parts" : [ [ "2010", "12", "30" ] ] }, "page" : "433-446", "title" : "Raising healthy children: Moral and political responsibility for childhood obesity", "type" : "article-journal", "volume" : "31" }, "uris" : [ "http://www.mendeley.com/documents/?uuid=2821ae5d-c9b5-3a1f-b6dc-02b6c97c72aa" ] } ], "mendeley" : { "formattedCitation" : "(Purcell, 2010)", "plainTextFormattedCitation" : "(Purcell, 2010)", "previouslyFormattedCitation" : "(Purcell, 2010)" }, "properties" : { "noteIndex" : 0 }, "schema" : "https://github.com/citation-style-language/schema/raw/master/csl-citation.json" }</w:instrText>
      </w:r>
      <w:r w:rsidR="00FA078F" w:rsidRPr="009B3747">
        <w:rPr>
          <w:rFonts w:eastAsia="Times New Roman" w:cstheme="minorHAnsi"/>
          <w:color w:val="000000"/>
          <w:shd w:val="clear" w:color="auto" w:fill="FFFFFF"/>
          <w:lang w:eastAsia="en-GB"/>
        </w:rPr>
        <w:fldChar w:fldCharType="separate"/>
      </w:r>
      <w:r w:rsidR="00FA078F" w:rsidRPr="009B3747">
        <w:rPr>
          <w:rFonts w:eastAsia="Times New Roman" w:cstheme="minorHAnsi"/>
          <w:noProof/>
          <w:color w:val="000000"/>
          <w:shd w:val="clear" w:color="auto" w:fill="FFFFFF"/>
          <w:lang w:eastAsia="en-GB"/>
        </w:rPr>
        <w:t>(Purcell, 2010)</w:t>
      </w:r>
      <w:r w:rsidR="00FA078F" w:rsidRPr="009B3747">
        <w:rPr>
          <w:rFonts w:eastAsia="Times New Roman" w:cstheme="minorHAnsi"/>
          <w:color w:val="000000"/>
          <w:shd w:val="clear" w:color="auto" w:fill="FFFFFF"/>
          <w:lang w:eastAsia="en-GB"/>
        </w:rPr>
        <w:fldChar w:fldCharType="end"/>
      </w:r>
      <w:r w:rsidR="00FA078F" w:rsidRPr="009B3747">
        <w:rPr>
          <w:rFonts w:eastAsia="Times New Roman" w:cstheme="minorHAnsi"/>
          <w:color w:val="000000"/>
          <w:shd w:val="clear" w:color="auto" w:fill="FFFFFF"/>
          <w:lang w:eastAsia="en-GB"/>
        </w:rPr>
        <w:t>.</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shd w:val="clear" w:color="auto" w:fill="FFFFFF"/>
          <w:lang w:eastAsia="en-GB"/>
        </w:rPr>
        <w:lastRenderedPageBreak/>
        <w:t>The belief at both a secondary and primary school level (Clarke et al, 2015; Howard-Drake and Halli</w:t>
      </w:r>
      <w:r w:rsidR="000C58B7">
        <w:rPr>
          <w:rFonts w:eastAsia="Times New Roman" w:cstheme="minorHAnsi"/>
          <w:color w:val="000000"/>
          <w:shd w:val="clear" w:color="auto" w:fill="FFFFFF"/>
          <w:lang w:eastAsia="en-GB"/>
        </w:rPr>
        <w:t xml:space="preserve">day, 2015 and Todd et al, 2015), </w:t>
      </w:r>
      <w:r w:rsidRPr="009B3747">
        <w:rPr>
          <w:rFonts w:eastAsia="Times New Roman" w:cstheme="minorHAnsi"/>
          <w:color w:val="000000"/>
          <w:shd w:val="clear" w:color="auto" w:fill="FFFFFF"/>
          <w:lang w:eastAsia="en-GB"/>
        </w:rPr>
        <w:t xml:space="preserve">that personal responsibility is valued and the main responsibility for preventing childhood and adolescent obesity lies </w:t>
      </w:r>
      <w:r w:rsidR="000C58B7">
        <w:rPr>
          <w:rFonts w:eastAsia="Times New Roman" w:cstheme="minorHAnsi"/>
          <w:color w:val="000000"/>
          <w:shd w:val="clear" w:color="auto" w:fill="FFFFFF"/>
          <w:lang w:eastAsia="en-GB"/>
        </w:rPr>
        <w:t xml:space="preserve">outside of educational settings, </w:t>
      </w:r>
      <w:r w:rsidRPr="009B3747">
        <w:rPr>
          <w:rFonts w:eastAsia="Times New Roman" w:cstheme="minorHAnsi"/>
          <w:color w:val="000000"/>
          <w:shd w:val="clear" w:color="auto" w:fill="FFFFFF"/>
          <w:lang w:eastAsia="en-GB"/>
        </w:rPr>
        <w:t>could impact upon schools engagement in public health policy.  Furthermore, it also indicates a disparity exists between recent national policy direction and the perceptions of the school stakeholders tasked with implementing key actions.  A search of terms in the ch</w:t>
      </w:r>
      <w:r w:rsidR="006476FA" w:rsidRPr="009B3747">
        <w:rPr>
          <w:rFonts w:eastAsia="Times New Roman" w:cstheme="minorHAnsi"/>
          <w:color w:val="000000"/>
          <w:shd w:val="clear" w:color="auto" w:fill="FFFFFF"/>
          <w:lang w:eastAsia="en-GB"/>
        </w:rPr>
        <w:t>ildhood obesity action plan (HM Government</w:t>
      </w:r>
      <w:r w:rsidRPr="009B3747">
        <w:rPr>
          <w:rFonts w:eastAsia="Times New Roman" w:cstheme="minorHAnsi"/>
          <w:color w:val="000000"/>
          <w:shd w:val="clear" w:color="auto" w:fill="FFFFFF"/>
          <w:lang w:eastAsia="en-GB"/>
        </w:rPr>
        <w:t>, 2016), identifies 61 references to ‘schools’ (mainly primary), compared to 22 for ‘parents’ or ‘families’ and 17 for ‘industry’ or ‘businesses’.  For headteachers and chairs of governors, this potentially disproportionate focus, could prevent a barrier to engagement.  It is imperative therefore, that public health policy and action facilitates shared responsibility for addressing the drivers of obesity and a collaborative approach to implementing preventative solutions.</w:t>
      </w:r>
    </w:p>
    <w:p w:rsidR="00AC3B26" w:rsidRPr="009B3747" w:rsidRDefault="00AC3B26" w:rsidP="00AC3B26">
      <w:pPr>
        <w:rPr>
          <w:rFonts w:eastAsia="Times New Roman" w:cstheme="minorHAnsi"/>
          <w:lang w:eastAsia="en-GB"/>
        </w:rPr>
      </w:pPr>
    </w:p>
    <w:p w:rsidR="00F20748" w:rsidRPr="009B3747" w:rsidRDefault="000A3628" w:rsidP="00AC3B26">
      <w:pPr>
        <w:rPr>
          <w:rFonts w:eastAsia="Times New Roman" w:cstheme="minorHAnsi"/>
          <w:lang w:eastAsia="en-GB"/>
        </w:rPr>
      </w:pPr>
      <w:r w:rsidRPr="009B3747">
        <w:rPr>
          <w:rFonts w:eastAsia="Times New Roman" w:cstheme="minorHAnsi"/>
          <w:lang w:eastAsia="en-GB"/>
        </w:rPr>
        <w:t xml:space="preserve">9.3.1.4 </w:t>
      </w:r>
      <w:r w:rsidR="00F20748" w:rsidRPr="009B3747">
        <w:rPr>
          <w:rFonts w:eastAsia="Times New Roman" w:cstheme="minorHAnsi"/>
          <w:lang w:eastAsia="en-GB"/>
        </w:rPr>
        <w:t>The ‘ladder’ of preventative interventions</w:t>
      </w:r>
    </w:p>
    <w:p w:rsidR="00F20748" w:rsidRPr="009B3747" w:rsidRDefault="00F20748" w:rsidP="00AC3B26">
      <w:pPr>
        <w:rPr>
          <w:rFonts w:eastAsia="Times New Roman" w:cstheme="minorHAnsi"/>
          <w:lang w:eastAsia="en-GB"/>
        </w:rPr>
      </w:pPr>
    </w:p>
    <w:p w:rsidR="00C32874" w:rsidRDefault="00AC3B26" w:rsidP="00AC3B26">
      <w:pPr>
        <w:rPr>
          <w:rFonts w:eastAsia="Times New Roman" w:cstheme="minorHAnsi"/>
          <w:color w:val="000000"/>
          <w:lang w:eastAsia="en-GB"/>
        </w:rPr>
      </w:pPr>
      <w:r w:rsidRPr="009B3747">
        <w:rPr>
          <w:rFonts w:eastAsia="Times New Roman" w:cstheme="minorHAnsi"/>
          <w:color w:val="000000"/>
          <w:lang w:eastAsia="en-GB"/>
        </w:rPr>
        <w:t xml:space="preserve">When considering what preventative solutions </w:t>
      </w:r>
      <w:r w:rsidR="00B8292E">
        <w:rPr>
          <w:rFonts w:eastAsia="Times New Roman" w:cstheme="minorHAnsi"/>
          <w:color w:val="000000"/>
          <w:lang w:eastAsia="en-GB"/>
        </w:rPr>
        <w:t xml:space="preserve">level </w:t>
      </w:r>
      <w:r w:rsidRPr="009B3747">
        <w:rPr>
          <w:rFonts w:eastAsia="Times New Roman" w:cstheme="minorHAnsi"/>
          <w:color w:val="000000"/>
          <w:lang w:eastAsia="en-GB"/>
        </w:rPr>
        <w:t xml:space="preserve">would be effective, headteachers and chairs of governors in the qualitative phase proposed a </w:t>
      </w:r>
      <w:r w:rsidR="00A84723" w:rsidRPr="009B3747">
        <w:rPr>
          <w:rFonts w:eastAsia="Times New Roman" w:cstheme="minorHAnsi"/>
          <w:color w:val="000000"/>
          <w:lang w:eastAsia="en-GB"/>
        </w:rPr>
        <w:t>range</w:t>
      </w:r>
      <w:r w:rsidRPr="009B3747">
        <w:rPr>
          <w:rFonts w:eastAsia="Times New Roman" w:cstheme="minorHAnsi"/>
          <w:color w:val="000000"/>
          <w:lang w:eastAsia="en-GB"/>
        </w:rPr>
        <w:t xml:space="preserve"> </w:t>
      </w:r>
      <w:r w:rsidR="00C32874">
        <w:rPr>
          <w:rFonts w:eastAsia="Times New Roman" w:cstheme="minorHAnsi"/>
          <w:color w:val="000000"/>
          <w:lang w:eastAsia="en-GB"/>
        </w:rPr>
        <w:t xml:space="preserve">of </w:t>
      </w:r>
      <w:r w:rsidRPr="009B3747">
        <w:rPr>
          <w:rFonts w:eastAsia="Times New Roman" w:cstheme="minorHAnsi"/>
          <w:color w:val="000000"/>
          <w:lang w:eastAsia="en-GB"/>
        </w:rPr>
        <w:t xml:space="preserve">behaviour change </w:t>
      </w:r>
      <w:r w:rsidR="00F10C2F">
        <w:rPr>
          <w:rFonts w:eastAsia="Times New Roman" w:cstheme="minorHAnsi"/>
          <w:color w:val="000000"/>
          <w:lang w:eastAsia="en-GB"/>
        </w:rPr>
        <w:t>interventions</w:t>
      </w:r>
      <w:r w:rsidR="00071EBF">
        <w:rPr>
          <w:rFonts w:eastAsia="Times New Roman" w:cstheme="minorHAnsi"/>
          <w:color w:val="000000"/>
          <w:lang w:eastAsia="en-GB"/>
        </w:rPr>
        <w:t>,</w:t>
      </w:r>
      <w:r w:rsidRPr="009B3747">
        <w:rPr>
          <w:rFonts w:eastAsia="Times New Roman" w:cstheme="minorHAnsi"/>
          <w:color w:val="000000"/>
          <w:lang w:eastAsia="en-GB"/>
        </w:rPr>
        <w:t xml:space="preserve"> both inside and outside of the secondary school setting.</w:t>
      </w:r>
      <w:r w:rsidR="00A84723" w:rsidRPr="009B3747">
        <w:rPr>
          <w:rFonts w:eastAsia="Times New Roman" w:cstheme="minorHAnsi"/>
          <w:color w:val="000000"/>
          <w:lang w:eastAsia="en-GB"/>
        </w:rPr>
        <w:t xml:space="preserve">  These</w:t>
      </w:r>
      <w:r w:rsidR="00F10C2F">
        <w:rPr>
          <w:rFonts w:eastAsia="Times New Roman" w:cstheme="minorHAnsi"/>
          <w:color w:val="000000"/>
          <w:lang w:eastAsia="en-GB"/>
        </w:rPr>
        <w:t xml:space="preserve"> interventions</w:t>
      </w:r>
      <w:r w:rsidR="00A84723" w:rsidRPr="009B3747">
        <w:rPr>
          <w:rFonts w:eastAsia="Times New Roman" w:cstheme="minorHAnsi"/>
          <w:color w:val="000000"/>
          <w:lang w:eastAsia="en-GB"/>
        </w:rPr>
        <w:t>, could be identified as ranging from policies which encouraged personal autono</w:t>
      </w:r>
      <w:r w:rsidR="00B314A7" w:rsidRPr="009B3747">
        <w:rPr>
          <w:rFonts w:eastAsia="Times New Roman" w:cstheme="minorHAnsi"/>
          <w:color w:val="000000"/>
          <w:lang w:eastAsia="en-GB"/>
        </w:rPr>
        <w:t>my (e.g. delivering education in schools), to government mandated approaches for changing behaviour (e.g. use of legisla</w:t>
      </w:r>
      <w:r w:rsidR="00C32874">
        <w:rPr>
          <w:rFonts w:eastAsia="Times New Roman" w:cstheme="minorHAnsi"/>
          <w:color w:val="000000"/>
          <w:lang w:eastAsia="en-GB"/>
        </w:rPr>
        <w:t xml:space="preserve">tion, regulation and taxation).  </w:t>
      </w:r>
    </w:p>
    <w:p w:rsidR="00C32874" w:rsidRDefault="00C32874" w:rsidP="00AC3B26">
      <w:pPr>
        <w:rPr>
          <w:rFonts w:eastAsia="Times New Roman" w:cstheme="minorHAnsi"/>
          <w:color w:val="000000"/>
          <w:lang w:eastAsia="en-GB"/>
        </w:rPr>
      </w:pPr>
    </w:p>
    <w:p w:rsidR="00C32874" w:rsidRDefault="00B314A7" w:rsidP="00C32874">
      <w:pPr>
        <w:rPr>
          <w:rFonts w:eastAsia="Times New Roman" w:cstheme="minorHAnsi"/>
          <w:color w:val="000000"/>
          <w:lang w:eastAsia="en-GB"/>
        </w:rPr>
      </w:pPr>
      <w:r w:rsidRPr="009B3747">
        <w:rPr>
          <w:rFonts w:eastAsia="Times New Roman" w:cstheme="minorHAnsi"/>
          <w:color w:val="000000"/>
          <w:lang w:eastAsia="en-GB"/>
        </w:rPr>
        <w:t xml:space="preserve">The ‘Intervention Ladder’ </w:t>
      </w:r>
      <w:r w:rsidR="004A38CB"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"Nuffield Council on Bioethics", "given" : "", "non-dropping-particle" : "", "parse-names" : false, "suffix" : "" } ], "id" : "ITEM-1", "issued" : { "date-parts" : [ [ "2007" ] ] }, "publisher-place" : "London", "title" : "Public health: ethical issues", "type" : "report" }, "uris" : [ "http://www.mendeley.com/documents/?uuid=27d464c1-0ace-499e-a3db-50ad0846a8a7" ] } ], "mendeley" : { "formattedCitation" : "(Nuffield Council on Bioethics, 2007)", "plainTextFormattedCitation" : "(Nuffield Council on Bioethics, 2007)", "previouslyFormattedCitation" : "(Nuffield Council on Bioethics, 2007)" }, "properties" : { "noteIndex" : 0 }, "schema" : "https://github.com/citation-style-language/schema/raw/master/csl-citation.json" }</w:instrText>
      </w:r>
      <w:r w:rsidR="004A38CB" w:rsidRPr="009B3747">
        <w:rPr>
          <w:rFonts w:eastAsia="Times New Roman" w:cstheme="minorHAnsi"/>
          <w:color w:val="000000"/>
          <w:lang w:eastAsia="en-GB"/>
        </w:rPr>
        <w:fldChar w:fldCharType="separate"/>
      </w:r>
      <w:r w:rsidR="004A38CB" w:rsidRPr="009B3747">
        <w:rPr>
          <w:rFonts w:eastAsia="Times New Roman" w:cstheme="minorHAnsi"/>
          <w:noProof/>
          <w:color w:val="000000"/>
          <w:lang w:eastAsia="en-GB"/>
        </w:rPr>
        <w:t>(Nuffield Council on Bioethics, 2007)</w:t>
      </w:r>
      <w:r w:rsidR="004A38CB" w:rsidRPr="009B3747">
        <w:rPr>
          <w:rFonts w:eastAsia="Times New Roman" w:cstheme="minorHAnsi"/>
          <w:color w:val="000000"/>
          <w:lang w:eastAsia="en-GB"/>
        </w:rPr>
        <w:fldChar w:fldCharType="end"/>
      </w:r>
      <w:r w:rsidR="00AC3B26" w:rsidRPr="009B3747">
        <w:rPr>
          <w:rFonts w:eastAsia="Times New Roman" w:cstheme="minorHAnsi"/>
          <w:color w:val="000000"/>
          <w:lang w:eastAsia="en-GB"/>
        </w:rPr>
        <w:t xml:space="preserve">, </w:t>
      </w:r>
      <w:r w:rsidRPr="009B3747">
        <w:rPr>
          <w:rFonts w:eastAsia="Times New Roman" w:cstheme="minorHAnsi"/>
          <w:color w:val="000000"/>
          <w:lang w:eastAsia="en-GB"/>
        </w:rPr>
        <w:t>provides a useful way to reflect on this finding</w:t>
      </w:r>
      <w:r w:rsidR="00C32874">
        <w:rPr>
          <w:rFonts w:eastAsia="Times New Roman" w:cstheme="minorHAnsi"/>
          <w:color w:val="000000"/>
          <w:lang w:eastAsia="en-GB"/>
        </w:rPr>
        <w:t xml:space="preserve">.  The interventions or action advocated by headteachers and chairs of governors </w:t>
      </w:r>
      <w:r w:rsidR="00F10C2F">
        <w:rPr>
          <w:rFonts w:eastAsia="Times New Roman" w:cstheme="minorHAnsi"/>
          <w:color w:val="000000"/>
          <w:lang w:eastAsia="en-GB"/>
        </w:rPr>
        <w:t>at a school or</w:t>
      </w:r>
      <w:r w:rsidR="00950699">
        <w:rPr>
          <w:rFonts w:eastAsia="Times New Roman" w:cstheme="minorHAnsi"/>
          <w:color w:val="000000"/>
          <w:lang w:eastAsia="en-GB"/>
        </w:rPr>
        <w:t xml:space="preserve"> societal level </w:t>
      </w:r>
      <w:r w:rsidR="00C32874">
        <w:rPr>
          <w:rFonts w:eastAsia="Times New Roman" w:cstheme="minorHAnsi"/>
          <w:color w:val="000000"/>
          <w:lang w:eastAsia="en-GB"/>
        </w:rPr>
        <w:t>can be viewed in relation to a particular rung of the ladder (as presented in figure 9.2).</w:t>
      </w:r>
      <w:r w:rsidR="00D8212B">
        <w:rPr>
          <w:rFonts w:eastAsia="Times New Roman" w:cstheme="minorHAnsi"/>
          <w:color w:val="000000"/>
          <w:lang w:eastAsia="en-GB"/>
        </w:rPr>
        <w:t xml:space="preserve">  The higher up the rungs on the ladder of interventions,</w:t>
      </w:r>
      <w:r w:rsidR="00C32874">
        <w:rPr>
          <w:rFonts w:eastAsia="Times New Roman" w:cstheme="minorHAnsi"/>
          <w:color w:val="000000"/>
          <w:lang w:eastAsia="en-GB"/>
        </w:rPr>
        <w:t xml:space="preserve"> the greater restricti</w:t>
      </w:r>
      <w:r w:rsidR="00D8212B">
        <w:rPr>
          <w:rFonts w:eastAsia="Times New Roman" w:cstheme="minorHAnsi"/>
          <w:color w:val="000000"/>
          <w:lang w:eastAsia="en-GB"/>
        </w:rPr>
        <w:t xml:space="preserve">on on individual choices occurs (Nuffield Council on Bioethics, 2007). </w:t>
      </w:r>
      <w:r w:rsidR="00C32874">
        <w:rPr>
          <w:rFonts w:eastAsia="Times New Roman" w:cstheme="minorHAnsi"/>
          <w:color w:val="000000"/>
          <w:lang w:eastAsia="en-GB"/>
        </w:rPr>
        <w:t xml:space="preserve">  </w:t>
      </w:r>
    </w:p>
    <w:p w:rsidR="00C32874" w:rsidRDefault="00C32874" w:rsidP="00C32874">
      <w:pPr>
        <w:rPr>
          <w:rFonts w:eastAsia="Times New Roman" w:cstheme="minorHAnsi"/>
          <w:color w:val="000000"/>
          <w:lang w:eastAsia="en-GB"/>
        </w:rPr>
      </w:pPr>
    </w:p>
    <w:p w:rsidR="002E65A4" w:rsidRPr="009B3747" w:rsidRDefault="00AC3B26" w:rsidP="002E65A4">
      <w:pPr>
        <w:rPr>
          <w:rFonts w:eastAsia="Times New Roman" w:cstheme="minorHAnsi"/>
          <w:sz w:val="24"/>
          <w:szCs w:val="24"/>
          <w:lang w:eastAsia="en-GB"/>
        </w:rPr>
      </w:pPr>
      <w:r w:rsidRPr="009B3747">
        <w:rPr>
          <w:rFonts w:eastAsia="Times New Roman" w:cstheme="minorHAnsi"/>
          <w:noProof/>
          <w:sz w:val="24"/>
          <w:szCs w:val="24"/>
          <w:lang w:eastAsia="en-GB"/>
        </w:rPr>
        <w:lastRenderedPageBreak/>
        <w:drawing>
          <wp:inline distT="0" distB="0" distL="0" distR="0">
            <wp:extent cx="5113048" cy="3400425"/>
            <wp:effectExtent l="19050" t="19050" r="11430" b="9525"/>
            <wp:docPr id="4" name="Picture 4" descr="https://lh3.googleusercontent.com/1lIGtTW4dKJq5SD1DkUykEu_rs05ny6f9dTy06Y1mSIQXNN9TnPZLBezRIm42S1U6UFGvia08PEBYYsz95RizgEWMN_zJqnYHmSNYb1hEJhkzbl3GOiRgU0bc3RUtWnGNQnrOz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1lIGtTW4dKJq5SD1DkUykEu_rs05ny6f9dTy06Y1mSIQXNN9TnPZLBezRIm42S1U6UFGvia08PEBYYsz95RizgEWMN_zJqnYHmSNYb1hEJhkzbl3GOiRgU0bc3RUtWnGNQnrOzpN"/>
                    <pic:cNvPicPr>
                      <a:picLocks noChangeAspect="1" noChangeArrowheads="1"/>
                    </pic:cNvPicPr>
                  </pic:nvPicPr>
                  <pic:blipFill rotWithShape="1">
                    <a:blip r:embed="rId32">
                      <a:extLst>
                        <a:ext uri="{28A0092B-C50C-407E-A947-70E740481C1C}">
                          <a14:useLocalDpi xmlns:a14="http://schemas.microsoft.com/office/drawing/2010/main" val="0"/>
                        </a:ext>
                      </a:extLst>
                    </a:blip>
                    <a:srcRect l="1165" t="7616" r="2798" b="1655"/>
                    <a:stretch/>
                  </pic:blipFill>
                  <pic:spPr bwMode="auto">
                    <a:xfrm>
                      <a:off x="0" y="0"/>
                      <a:ext cx="5120988" cy="340570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6476FA" w:rsidRPr="009B3747" w:rsidRDefault="002E65A4" w:rsidP="002E65A4">
      <w:pPr>
        <w:rPr>
          <w:rFonts w:eastAsia="Times New Roman" w:cstheme="minorHAnsi"/>
          <w:color w:val="000000"/>
          <w:sz w:val="20"/>
          <w:szCs w:val="20"/>
          <w:u w:val="single"/>
          <w:lang w:eastAsia="en-GB"/>
        </w:rPr>
      </w:pPr>
      <w:r w:rsidRPr="009B3747">
        <w:rPr>
          <w:rFonts w:eastAsia="Times New Roman" w:cstheme="minorHAnsi"/>
          <w:sz w:val="24"/>
          <w:szCs w:val="24"/>
          <w:lang w:eastAsia="en-GB"/>
        </w:rPr>
        <w:t xml:space="preserve">                        </w:t>
      </w:r>
      <w:r w:rsidR="004A38CB" w:rsidRPr="009B3747">
        <w:rPr>
          <w:rFonts w:eastAsia="Times New Roman" w:cstheme="minorHAnsi"/>
          <w:color w:val="000000"/>
          <w:sz w:val="20"/>
          <w:szCs w:val="20"/>
          <w:lang w:eastAsia="en-GB"/>
        </w:rPr>
        <w:t xml:space="preserve">         </w:t>
      </w:r>
      <w:r w:rsidR="006476FA" w:rsidRPr="009B3747">
        <w:rPr>
          <w:rFonts w:eastAsia="Times New Roman" w:cstheme="minorHAnsi"/>
          <w:color w:val="000000"/>
          <w:sz w:val="20"/>
          <w:szCs w:val="20"/>
          <w:u w:val="single"/>
          <w:lang w:eastAsia="en-GB"/>
        </w:rPr>
        <w:t>Figure 9.2 - Nuffield Intervention Ladder</w:t>
      </w:r>
      <w:r w:rsidR="004A38CB" w:rsidRPr="009B3747">
        <w:rPr>
          <w:rFonts w:eastAsia="Times New Roman" w:cstheme="minorHAnsi"/>
          <w:color w:val="000000"/>
          <w:sz w:val="20"/>
          <w:szCs w:val="20"/>
          <w:u w:val="single"/>
          <w:lang w:eastAsia="en-GB"/>
        </w:rPr>
        <w:t xml:space="preserve"> </w:t>
      </w:r>
      <w:r w:rsidR="004A38CB" w:rsidRPr="009B3747">
        <w:rPr>
          <w:rFonts w:eastAsia="Times New Roman" w:cstheme="minorHAnsi"/>
          <w:color w:val="000000"/>
          <w:sz w:val="20"/>
          <w:szCs w:val="20"/>
          <w:u w:val="single"/>
          <w:lang w:eastAsia="en-GB"/>
        </w:rPr>
        <w:fldChar w:fldCharType="begin" w:fldLock="1"/>
      </w:r>
      <w:r w:rsidR="00395650" w:rsidRPr="009B3747">
        <w:rPr>
          <w:rFonts w:eastAsia="Times New Roman" w:cstheme="minorHAnsi"/>
          <w:color w:val="000000"/>
          <w:sz w:val="20"/>
          <w:szCs w:val="20"/>
          <w:u w:val="single"/>
          <w:lang w:eastAsia="en-GB"/>
        </w:rPr>
        <w:instrText>ADDIN CSL_CITATION { "citationItems" : [ { "id" : "ITEM-1", "itemData" : { "author" : [ { "dropping-particle" : "", "family" : "Nuffield Council on Bioethics", "given" : "", "non-dropping-particle" : "", "parse-names" : false, "suffix" : "" } ], "id" : "ITEM-1", "issued" : { "date-parts" : [ [ "2007" ] ] }, "publisher-place" : "London", "title" : "Public health: ethical issues", "type" : "report" }, "uris" : [ "http://www.mendeley.com/documents/?uuid=27d464c1-0ace-499e-a3db-50ad0846a8a7" ] } ], "mendeley" : { "formattedCitation" : "(Nuffield Council on Bioethics, 2007)", "plainTextFormattedCitation" : "(Nuffield Council on Bioethics, 2007)", "previouslyFormattedCitation" : "(Nuffield Council on Bioethics, 2007)" }, "properties" : { "noteIndex" : 0 }, "schema" : "https://github.com/citation-style-language/schema/raw/master/csl-citation.json" }</w:instrText>
      </w:r>
      <w:r w:rsidR="004A38CB" w:rsidRPr="009B3747">
        <w:rPr>
          <w:rFonts w:eastAsia="Times New Roman" w:cstheme="minorHAnsi"/>
          <w:color w:val="000000"/>
          <w:sz w:val="20"/>
          <w:szCs w:val="20"/>
          <w:u w:val="single"/>
          <w:lang w:eastAsia="en-GB"/>
        </w:rPr>
        <w:fldChar w:fldCharType="separate"/>
      </w:r>
      <w:r w:rsidR="004A38CB" w:rsidRPr="009B3747">
        <w:rPr>
          <w:rFonts w:eastAsia="Times New Roman" w:cstheme="minorHAnsi"/>
          <w:noProof/>
          <w:color w:val="000000"/>
          <w:sz w:val="20"/>
          <w:szCs w:val="20"/>
          <w:u w:val="single"/>
          <w:lang w:eastAsia="en-GB"/>
        </w:rPr>
        <w:t>(Nuffield Council on Bioethics, 2007)</w:t>
      </w:r>
      <w:r w:rsidR="004A38CB" w:rsidRPr="009B3747">
        <w:rPr>
          <w:rFonts w:eastAsia="Times New Roman" w:cstheme="minorHAnsi"/>
          <w:color w:val="000000"/>
          <w:sz w:val="20"/>
          <w:szCs w:val="20"/>
          <w:u w:val="single"/>
          <w:lang w:eastAsia="en-GB"/>
        </w:rPr>
        <w:fldChar w:fldCharType="end"/>
      </w:r>
    </w:p>
    <w:p w:rsidR="00C32874" w:rsidRDefault="00C32874" w:rsidP="00AC3B26">
      <w:pPr>
        <w:rPr>
          <w:rFonts w:eastAsia="Times New Roman" w:cstheme="minorHAnsi"/>
          <w:sz w:val="24"/>
          <w:szCs w:val="24"/>
          <w:lang w:eastAsia="en-GB"/>
        </w:rPr>
      </w:pPr>
    </w:p>
    <w:p w:rsidR="002727ED" w:rsidRDefault="00D8212B" w:rsidP="002727ED">
      <w:pPr>
        <w:rPr>
          <w:rFonts w:eastAsia="Times New Roman" w:cstheme="minorHAnsi"/>
          <w:color w:val="000000"/>
          <w:lang w:eastAsia="en-GB"/>
        </w:rPr>
      </w:pPr>
      <w:r>
        <w:rPr>
          <w:rFonts w:eastAsia="Times New Roman" w:cstheme="minorHAnsi"/>
          <w:color w:val="000000"/>
          <w:lang w:eastAsia="en-GB"/>
        </w:rPr>
        <w:t xml:space="preserve">Across both phases, education in schools and public health awareness campaigns as a means to change adolescent lifestyle behaviours gained the greatest support from participants.  </w:t>
      </w:r>
      <w:r w:rsidR="00094059">
        <w:rPr>
          <w:rFonts w:eastAsia="Times New Roman" w:cstheme="minorHAnsi"/>
          <w:color w:val="000000"/>
          <w:lang w:eastAsia="en-GB"/>
        </w:rPr>
        <w:t>Furthermore, school action which enabled or restricted c</w:t>
      </w:r>
      <w:r w:rsidR="002727ED">
        <w:rPr>
          <w:rFonts w:eastAsia="Times New Roman" w:cstheme="minorHAnsi"/>
          <w:color w:val="000000"/>
          <w:lang w:eastAsia="en-GB"/>
        </w:rPr>
        <w:t xml:space="preserve">hoice </w:t>
      </w:r>
      <w:r w:rsidR="00950699">
        <w:rPr>
          <w:rFonts w:eastAsia="Times New Roman" w:cstheme="minorHAnsi"/>
          <w:color w:val="000000"/>
          <w:lang w:eastAsia="en-GB"/>
        </w:rPr>
        <w:t>(i.e. by</w:t>
      </w:r>
      <w:r w:rsidR="00094059">
        <w:rPr>
          <w:rFonts w:eastAsia="Times New Roman" w:cstheme="minorHAnsi"/>
          <w:color w:val="000000"/>
          <w:lang w:eastAsia="en-GB"/>
        </w:rPr>
        <w:t xml:space="preserve"> providing health enhancing opportunities or limiting</w:t>
      </w:r>
      <w:r w:rsidR="00950699">
        <w:rPr>
          <w:rFonts w:eastAsia="Times New Roman" w:cstheme="minorHAnsi"/>
          <w:color w:val="000000"/>
          <w:lang w:eastAsia="en-GB"/>
        </w:rPr>
        <w:t xml:space="preserve"> </w:t>
      </w:r>
      <w:r w:rsidR="00825B02">
        <w:rPr>
          <w:rFonts w:eastAsia="Times New Roman" w:cstheme="minorHAnsi"/>
          <w:color w:val="000000"/>
          <w:lang w:eastAsia="en-GB"/>
        </w:rPr>
        <w:t>behaviours deemed unhealthy)</w:t>
      </w:r>
      <w:r w:rsidR="00094059">
        <w:rPr>
          <w:rFonts w:eastAsia="Times New Roman" w:cstheme="minorHAnsi"/>
          <w:color w:val="000000"/>
          <w:lang w:eastAsia="en-GB"/>
        </w:rPr>
        <w:t xml:space="preserve"> </w:t>
      </w:r>
      <w:r w:rsidR="00825B02">
        <w:rPr>
          <w:rFonts w:eastAsia="Times New Roman" w:cstheme="minorHAnsi"/>
          <w:color w:val="000000"/>
          <w:lang w:eastAsia="en-GB"/>
        </w:rPr>
        <w:t>were</w:t>
      </w:r>
      <w:r w:rsidR="002727ED">
        <w:rPr>
          <w:rFonts w:eastAsia="Times New Roman" w:cstheme="minorHAnsi"/>
          <w:color w:val="000000"/>
          <w:lang w:eastAsia="en-GB"/>
        </w:rPr>
        <w:t xml:space="preserve"> strongly advocated.  </w:t>
      </w:r>
      <w:r w:rsidR="00950699">
        <w:rPr>
          <w:rFonts w:eastAsia="Times New Roman" w:cstheme="minorHAnsi"/>
          <w:color w:val="000000"/>
          <w:lang w:eastAsia="en-GB"/>
        </w:rPr>
        <w:t>In contrast, t</w:t>
      </w:r>
      <w:r w:rsidR="002727ED">
        <w:rPr>
          <w:rFonts w:eastAsia="Times New Roman" w:cstheme="minorHAnsi"/>
          <w:color w:val="000000"/>
          <w:lang w:eastAsia="en-GB"/>
        </w:rPr>
        <w:t xml:space="preserve">he use of incentives or disincentives for influencing adolescent lifestyle behaviour </w:t>
      </w:r>
      <w:r w:rsidR="00950699">
        <w:rPr>
          <w:rFonts w:eastAsia="Times New Roman" w:cstheme="minorHAnsi"/>
          <w:color w:val="000000"/>
          <w:lang w:eastAsia="en-GB"/>
        </w:rPr>
        <w:t>within</w:t>
      </w:r>
      <w:r w:rsidR="002727ED">
        <w:rPr>
          <w:rFonts w:eastAsia="Times New Roman" w:cstheme="minorHAnsi"/>
          <w:color w:val="000000"/>
          <w:lang w:eastAsia="en-GB"/>
        </w:rPr>
        <w:t xml:space="preserve"> school settings was not referenced in the qualitative phase or evident in responses to open questions in the survey.   </w:t>
      </w:r>
    </w:p>
    <w:p w:rsidR="002727ED" w:rsidRDefault="002727ED" w:rsidP="00AC3B26">
      <w:pPr>
        <w:rPr>
          <w:rFonts w:eastAsia="Times New Roman" w:cstheme="minorHAnsi"/>
          <w:color w:val="000000"/>
          <w:lang w:eastAsia="en-GB"/>
        </w:rPr>
      </w:pPr>
    </w:p>
    <w:p w:rsidR="00AC3B26" w:rsidRPr="00950699" w:rsidRDefault="002727ED" w:rsidP="00AC3B26">
      <w:pPr>
        <w:rPr>
          <w:rFonts w:eastAsia="Times New Roman" w:cstheme="minorHAnsi"/>
          <w:color w:val="000000"/>
          <w:lang w:eastAsia="en-GB"/>
        </w:rPr>
      </w:pPr>
      <w:r>
        <w:rPr>
          <w:rFonts w:eastAsia="Times New Roman" w:cstheme="minorHAnsi"/>
          <w:color w:val="000000"/>
          <w:lang w:eastAsia="en-GB"/>
        </w:rPr>
        <w:t xml:space="preserve">Whilst </w:t>
      </w:r>
      <w:r w:rsidR="00950699">
        <w:rPr>
          <w:rFonts w:eastAsia="Times New Roman" w:cstheme="minorHAnsi"/>
          <w:color w:val="000000"/>
          <w:lang w:eastAsia="en-GB"/>
        </w:rPr>
        <w:t>the restriction of choice w</w:t>
      </w:r>
      <w:r>
        <w:rPr>
          <w:rFonts w:eastAsia="Times New Roman" w:cstheme="minorHAnsi"/>
          <w:color w:val="000000"/>
          <w:lang w:eastAsia="en-GB"/>
        </w:rPr>
        <w:t xml:space="preserve">ithin secondary school settings was </w:t>
      </w:r>
      <w:r w:rsidR="00FC497A">
        <w:rPr>
          <w:rFonts w:eastAsia="Times New Roman" w:cstheme="minorHAnsi"/>
          <w:color w:val="000000"/>
          <w:lang w:eastAsia="en-GB"/>
        </w:rPr>
        <w:t xml:space="preserve">broadly </w:t>
      </w:r>
      <w:r>
        <w:rPr>
          <w:rFonts w:eastAsia="Times New Roman" w:cstheme="minorHAnsi"/>
          <w:color w:val="000000"/>
          <w:lang w:eastAsia="en-GB"/>
        </w:rPr>
        <w:t>promoted</w:t>
      </w:r>
      <w:r w:rsidR="00950699">
        <w:rPr>
          <w:rFonts w:eastAsia="Times New Roman" w:cstheme="minorHAnsi"/>
          <w:color w:val="000000"/>
          <w:lang w:eastAsia="en-GB"/>
        </w:rPr>
        <w:t xml:space="preserve"> (i.e. through a locked-gate policy or ban on particular foods)</w:t>
      </w:r>
      <w:r>
        <w:rPr>
          <w:rFonts w:eastAsia="Times New Roman" w:cstheme="minorHAnsi"/>
          <w:color w:val="000000"/>
          <w:lang w:eastAsia="en-GB"/>
        </w:rPr>
        <w:t xml:space="preserve">, </w:t>
      </w:r>
      <w:r w:rsidR="00950699">
        <w:rPr>
          <w:rFonts w:eastAsia="Times New Roman" w:cstheme="minorHAnsi"/>
          <w:color w:val="000000"/>
          <w:lang w:eastAsia="en-GB"/>
        </w:rPr>
        <w:t>the concept of restricting</w:t>
      </w:r>
      <w:r>
        <w:rPr>
          <w:rFonts w:eastAsia="Times New Roman" w:cstheme="minorHAnsi"/>
          <w:color w:val="000000"/>
          <w:lang w:eastAsia="en-GB"/>
        </w:rPr>
        <w:t xml:space="preserve"> choice at a societal level was more controversial.</w:t>
      </w:r>
      <w:r w:rsidR="00FC497A">
        <w:rPr>
          <w:rFonts w:eastAsia="Times New Roman" w:cstheme="minorHAnsi"/>
          <w:color w:val="000000"/>
          <w:lang w:eastAsia="en-GB"/>
        </w:rPr>
        <w:t xml:space="preserve">  Recognition was apparent,</w:t>
      </w:r>
      <w:r w:rsidR="00950699">
        <w:rPr>
          <w:rFonts w:eastAsia="Times New Roman" w:cstheme="minorHAnsi"/>
          <w:color w:val="000000"/>
          <w:lang w:eastAsia="en-GB"/>
        </w:rPr>
        <w:t xml:space="preserve"> across both phases</w:t>
      </w:r>
      <w:r w:rsidR="00FC497A">
        <w:rPr>
          <w:rFonts w:eastAsia="Times New Roman" w:cstheme="minorHAnsi"/>
          <w:color w:val="000000"/>
          <w:lang w:eastAsia="en-GB"/>
        </w:rPr>
        <w:t>,</w:t>
      </w:r>
      <w:r w:rsidR="00950699">
        <w:rPr>
          <w:rFonts w:eastAsia="Times New Roman" w:cstheme="minorHAnsi"/>
          <w:color w:val="000000"/>
          <w:lang w:eastAsia="en-GB"/>
        </w:rPr>
        <w:t xml:space="preserve"> of the complex social and environment fac</w:t>
      </w:r>
      <w:r w:rsidR="00FC497A">
        <w:rPr>
          <w:rFonts w:eastAsia="Times New Roman" w:cstheme="minorHAnsi"/>
          <w:color w:val="000000"/>
          <w:lang w:eastAsia="en-GB"/>
        </w:rPr>
        <w:t>tors influencing obesity.  De</w:t>
      </w:r>
      <w:r w:rsidR="00950699">
        <w:rPr>
          <w:rFonts w:eastAsia="Times New Roman" w:cstheme="minorHAnsi"/>
          <w:color w:val="000000"/>
          <w:lang w:eastAsia="en-GB"/>
        </w:rPr>
        <w:t xml:space="preserve">spite this, study participants were found to </w:t>
      </w:r>
      <w:r w:rsidR="00AC3B26" w:rsidRPr="009B3747">
        <w:rPr>
          <w:rFonts w:eastAsia="Times New Roman" w:cstheme="minorHAnsi"/>
          <w:color w:val="000000"/>
          <w:lang w:eastAsia="en-GB"/>
        </w:rPr>
        <w:t xml:space="preserve">generally </w:t>
      </w:r>
      <w:r w:rsidR="00950699">
        <w:rPr>
          <w:rFonts w:eastAsia="Times New Roman" w:cstheme="minorHAnsi"/>
          <w:color w:val="000000"/>
          <w:lang w:eastAsia="en-GB"/>
        </w:rPr>
        <w:t xml:space="preserve">favour </w:t>
      </w:r>
      <w:r w:rsidR="00AC3B26" w:rsidRPr="009B3747">
        <w:rPr>
          <w:rFonts w:eastAsia="Times New Roman" w:cstheme="minorHAnsi"/>
          <w:color w:val="000000"/>
          <w:lang w:eastAsia="en-GB"/>
        </w:rPr>
        <w:t>individual behavioural interventions as opposed to system level approaches</w:t>
      </w:r>
      <w:r w:rsidR="00B46C02">
        <w:rPr>
          <w:rFonts w:eastAsia="Times New Roman" w:cstheme="minorHAnsi"/>
          <w:color w:val="000000"/>
          <w:lang w:eastAsia="en-GB"/>
        </w:rPr>
        <w:t>,</w:t>
      </w:r>
      <w:r w:rsidR="00AC3B26" w:rsidRPr="009B3747">
        <w:rPr>
          <w:rFonts w:eastAsia="Times New Roman" w:cstheme="minorHAnsi"/>
          <w:color w:val="000000"/>
          <w:lang w:eastAsia="en-GB"/>
        </w:rPr>
        <w:t xml:space="preserve"> i.e. lower </w:t>
      </w:r>
      <w:r w:rsidR="00D8212B">
        <w:rPr>
          <w:rFonts w:eastAsia="Times New Roman" w:cstheme="minorHAnsi"/>
          <w:color w:val="000000"/>
          <w:lang w:eastAsia="en-GB"/>
        </w:rPr>
        <w:t xml:space="preserve">on </w:t>
      </w:r>
      <w:r w:rsidR="00AC3B26" w:rsidRPr="009B3747">
        <w:rPr>
          <w:rFonts w:eastAsia="Times New Roman" w:cstheme="minorHAnsi"/>
          <w:color w:val="000000"/>
          <w:lang w:eastAsia="en-GB"/>
        </w:rPr>
        <w:t>the</w:t>
      </w:r>
      <w:r w:rsidR="00950699">
        <w:rPr>
          <w:rFonts w:eastAsia="Times New Roman" w:cstheme="minorHAnsi"/>
          <w:color w:val="000000"/>
          <w:lang w:eastAsia="en-GB"/>
        </w:rPr>
        <w:t xml:space="preserve"> Nuffield intervention ladder.  T</w:t>
      </w:r>
      <w:r w:rsidR="00AC3B26" w:rsidRPr="009B3747">
        <w:rPr>
          <w:rFonts w:eastAsia="Times New Roman" w:cstheme="minorHAnsi"/>
          <w:color w:val="000000"/>
          <w:lang w:eastAsia="en-GB"/>
        </w:rPr>
        <w:t xml:space="preserve">he use of legislation/regulation and taxation </w:t>
      </w:r>
      <w:r w:rsidR="00950699">
        <w:rPr>
          <w:rFonts w:eastAsia="Times New Roman" w:cstheme="minorHAnsi"/>
          <w:color w:val="000000"/>
          <w:lang w:eastAsia="en-GB"/>
        </w:rPr>
        <w:t xml:space="preserve">to restrict or eliminate choice </w:t>
      </w:r>
      <w:r w:rsidR="00AC3B26" w:rsidRPr="009B3747">
        <w:rPr>
          <w:rFonts w:eastAsia="Times New Roman" w:cstheme="minorHAnsi"/>
          <w:color w:val="000000"/>
          <w:lang w:eastAsia="en-GB"/>
        </w:rPr>
        <w:t>remained the most contested and</w:t>
      </w:r>
      <w:r w:rsidR="00950699">
        <w:rPr>
          <w:rFonts w:eastAsia="Times New Roman" w:cstheme="minorHAnsi"/>
          <w:color w:val="000000"/>
          <w:lang w:eastAsia="en-GB"/>
        </w:rPr>
        <w:t xml:space="preserve"> divisive </w:t>
      </w:r>
      <w:r w:rsidR="00F10C2F">
        <w:rPr>
          <w:rFonts w:eastAsia="Times New Roman" w:cstheme="minorHAnsi"/>
          <w:color w:val="000000"/>
          <w:lang w:eastAsia="en-GB"/>
        </w:rPr>
        <w:t>of preventative</w:t>
      </w:r>
      <w:r w:rsidR="00950699">
        <w:rPr>
          <w:rFonts w:eastAsia="Times New Roman" w:cstheme="minorHAnsi"/>
          <w:color w:val="000000"/>
          <w:lang w:eastAsia="en-GB"/>
        </w:rPr>
        <w:t xml:space="preserve"> interventions</w:t>
      </w:r>
      <w:r w:rsidR="00AC3B26" w:rsidRPr="009B3747">
        <w:rPr>
          <w:rFonts w:eastAsia="Times New Roman" w:cstheme="minorHAnsi"/>
          <w:color w:val="000000"/>
          <w:lang w:eastAsia="en-GB"/>
        </w:rPr>
        <w:t>.  This dichotomy regarding people recognising complex causation</w:t>
      </w:r>
      <w:r w:rsidR="00071EBF">
        <w:rPr>
          <w:rFonts w:eastAsia="Times New Roman" w:cstheme="minorHAnsi"/>
          <w:color w:val="000000"/>
          <w:lang w:eastAsia="en-GB"/>
        </w:rPr>
        <w:t>,</w:t>
      </w:r>
      <w:r w:rsidR="00AC3B26" w:rsidRPr="009B3747">
        <w:rPr>
          <w:rFonts w:eastAsia="Times New Roman" w:cstheme="minorHAnsi"/>
          <w:color w:val="000000"/>
          <w:lang w:eastAsia="en-GB"/>
        </w:rPr>
        <w:t xml:space="preserve"> yet advocating for i</w:t>
      </w:r>
      <w:r w:rsidR="00071EBF">
        <w:rPr>
          <w:rFonts w:eastAsia="Times New Roman" w:cstheme="minorHAnsi"/>
          <w:color w:val="000000"/>
          <w:lang w:eastAsia="en-GB"/>
        </w:rPr>
        <w:t xml:space="preserve">ndividual solutions for obesity, </w:t>
      </w:r>
      <w:r w:rsidR="00AC3B26" w:rsidRPr="009B3747">
        <w:rPr>
          <w:rFonts w:eastAsia="Times New Roman" w:cstheme="minorHAnsi"/>
          <w:color w:val="000000"/>
          <w:lang w:eastAsia="en-GB"/>
        </w:rPr>
        <w:t>was evidenced in previous research in the UK, with overweight individuals, health professionals and policy makers</w:t>
      </w:r>
      <w:r w:rsidR="006476FA" w:rsidRPr="009B3747">
        <w:rPr>
          <w:rFonts w:eastAsia="Times New Roman" w:cstheme="minorHAnsi"/>
          <w:color w:val="000000"/>
          <w:lang w:eastAsia="en-GB"/>
        </w:rPr>
        <w:t xml:space="preserve"> </w:t>
      </w:r>
      <w:r w:rsidR="006476FA" w:rsidRPr="009B3747">
        <w:rPr>
          <w:rFonts w:eastAsia="Times New Roman" w:cstheme="minorHAnsi"/>
          <w:color w:val="000000"/>
          <w:lang w:eastAsia="en-GB"/>
        </w:rPr>
        <w:fldChar w:fldCharType="begin" w:fldLock="1"/>
      </w:r>
      <w:r w:rsidR="0041720E" w:rsidRPr="009B3747">
        <w:rPr>
          <w:rFonts w:eastAsia="Times New Roman" w:cstheme="minorHAnsi"/>
          <w:color w:val="000000"/>
          <w:lang w:eastAsia="en-GB"/>
        </w:rPr>
        <w:instrText>ADDIN CSL_CITATION { "citationItems" : [ { "id" : "ITEM-1", "itemData" : { "DOI" : "10.1016/j.socscimed.2009.11.017", "ISSN" : "02779536", "PMID" : "20106576", "abstract" : "This paper presents the findings of a qualitative study conducted in the United Kingdom of the perceptions of overweight individuals, as well as health professionals and policy makers working in the area of obesity prevention and weight management. In 2006-2007, we conducted interviews with 34 men and women (18-50 years old) who self identified as being overweight; 20 health professionals; and 9 policy makers. We explored their understandings of the causes of obesity/overweight; beliefs about factors that enabled or inhibited weight loss/gain; and opinions regarding effective obesity/overweight interventions. We found a range of views, which corresponded with biomedical and socio-ecological perspectives of health and disease. The lay overweight respondents viewed the problem of obesity arising from their personal shortcomings (i.e. motivational and physical), juxtaposed to blame-absolving accounts often involving specific challenges associated with day-to-day living. All respondents presented personal stories of complex battles of short-term weight loss and longer-term weight gain, usually characterised by a sense of failure. All expressed a strong sense of personal responsibility to overcome their weight problems, and looked to another not-yet-tried, technocratic weight loss programme to address the problem, despite all reporting past failures. Health professionals and policy makers on the other hand viewed obesity as a socio-ecologically determined problem, detailing social and environmental explanations. Health professionals were more inclined towards individual-orientated weight management interventions as effective responses. Policy makers considered environmental and social policy changes as most likely to make a substantial difference to current obesity trends, but considered it unlikely that such policies would be implemented without the political will and popular support. Our data highlight dissonance between policy maker, health professional and public obesity perceptions and points to a challenge for those who believe that wholesale systemic change is required if obesity trends are to be reduced or halted.", "author" : [ { "dropping-particle" : "", "family" : "Greener", "given" : "Joe", "non-dropping-particle" : "", "parse-names" : false, "suffix" : "" }, { "dropping-particle" : "", "family" : "Douglas", "given" : "Flora", "non-dropping-particle" : "", "parse-names" : false, "suffix" : "" }, { "dropping-particle" : "", "family" : "Teijlingen", "given" : "Edwin", "non-dropping-particle" : "van", "parse-names" : false, "suffix" : "" } ], "container-title" : "Social Science &amp; Medicine", "id" : "ITEM-1", "issue" : "7", "issued" : { "date-parts" : [ [ "2010", "4" ] ] }, "page" : "1042-1049", "title" : "More of the same? Conflicting perspectives of obesity causation and intervention amongst overweight people, health professionals and policy makers", "type" : "article-journal", "volume" : "70" }, "uris" : [ "http://www.mendeley.com/documents/?uuid=865712e7-23f1-36ea-9b2b-ede9c0a20588" ] } ], "mendeley" : { "formattedCitation" : "(Greener et al., 2010)", "plainTextFormattedCitation" : "(Greener et al., 2010)", "previouslyFormattedCitation" : "(Greener et al., 2010)" }, "properties" : { "noteIndex" : 0 }, "schema" : "https://github.com/citation-style-language/schema/raw/master/csl-citation.json" }</w:instrText>
      </w:r>
      <w:r w:rsidR="006476FA" w:rsidRPr="009B3747">
        <w:rPr>
          <w:rFonts w:eastAsia="Times New Roman" w:cstheme="minorHAnsi"/>
          <w:color w:val="000000"/>
          <w:lang w:eastAsia="en-GB"/>
        </w:rPr>
        <w:fldChar w:fldCharType="separate"/>
      </w:r>
      <w:r w:rsidR="006476FA" w:rsidRPr="009B3747">
        <w:rPr>
          <w:rFonts w:eastAsia="Times New Roman" w:cstheme="minorHAnsi"/>
          <w:noProof/>
          <w:color w:val="000000"/>
          <w:lang w:eastAsia="en-GB"/>
        </w:rPr>
        <w:t>(Greener et al., 2010)</w:t>
      </w:r>
      <w:r w:rsidR="006476FA" w:rsidRPr="009B3747">
        <w:rPr>
          <w:rFonts w:eastAsia="Times New Roman" w:cstheme="minorHAnsi"/>
          <w:color w:val="000000"/>
          <w:lang w:eastAsia="en-GB"/>
        </w:rPr>
        <w:fldChar w:fldCharType="end"/>
      </w:r>
      <w:r w:rsidR="0056540E" w:rsidRPr="009B3747">
        <w:rPr>
          <w:rFonts w:eastAsia="Times New Roman" w:cstheme="minorHAnsi"/>
          <w:color w:val="000000"/>
          <w:lang w:eastAsia="en-GB"/>
        </w:rPr>
        <w:t>.</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lastRenderedPageBreak/>
        <w:t>Due to the paucity of literature exploring headteachers</w:t>
      </w:r>
      <w:r w:rsidR="006476FA" w:rsidRPr="009B3747">
        <w:rPr>
          <w:rFonts w:eastAsia="Times New Roman" w:cstheme="minorHAnsi"/>
          <w:color w:val="000000"/>
          <w:lang w:eastAsia="en-GB"/>
        </w:rPr>
        <w:t>’</w:t>
      </w:r>
      <w:r w:rsidRPr="009B3747">
        <w:rPr>
          <w:rFonts w:eastAsia="Times New Roman" w:cstheme="minorHAnsi"/>
          <w:color w:val="000000"/>
          <w:lang w:eastAsia="en-GB"/>
        </w:rPr>
        <w:t xml:space="preserve"> and chairs of governors</w:t>
      </w:r>
      <w:r w:rsidR="006476FA" w:rsidRPr="009B3747">
        <w:rPr>
          <w:rFonts w:eastAsia="Times New Roman" w:cstheme="minorHAnsi"/>
          <w:color w:val="000000"/>
          <w:lang w:eastAsia="en-GB"/>
        </w:rPr>
        <w:t>’</w:t>
      </w:r>
      <w:r w:rsidRPr="009B3747">
        <w:rPr>
          <w:rFonts w:eastAsia="Times New Roman" w:cstheme="minorHAnsi"/>
          <w:color w:val="000000"/>
          <w:lang w:eastAsia="en-GB"/>
        </w:rPr>
        <w:t xml:space="preserve"> views on obesity and its prevention, it is not possible to draw conclusions as to whether views regarding behaviour change interventions resonate outside of this research context.  In spite of this, findings do appear to be c</w:t>
      </w:r>
      <w:r w:rsidR="00281979">
        <w:rPr>
          <w:rFonts w:eastAsia="Times New Roman" w:cstheme="minorHAnsi"/>
          <w:color w:val="000000"/>
          <w:lang w:eastAsia="en-GB"/>
        </w:rPr>
        <w:t xml:space="preserve">onsistent with wider literature, </w:t>
      </w:r>
      <w:r w:rsidRPr="009B3747">
        <w:rPr>
          <w:rFonts w:eastAsia="Times New Roman" w:cstheme="minorHAnsi"/>
          <w:color w:val="000000"/>
          <w:lang w:eastAsia="en-GB"/>
        </w:rPr>
        <w:t xml:space="preserve">which identified that in the UK, </w:t>
      </w:r>
      <w:r w:rsidR="0041720E" w:rsidRPr="009B3747">
        <w:rPr>
          <w:rFonts w:eastAsia="Times New Roman" w:cstheme="minorHAnsi"/>
          <w:i/>
          <w:color w:val="000000"/>
          <w:shd w:val="clear" w:color="auto" w:fill="FFFFFF"/>
          <w:lang w:eastAsia="en-GB"/>
        </w:rPr>
        <w:t>“</w:t>
      </w:r>
      <w:r w:rsidRPr="009B3747">
        <w:rPr>
          <w:rFonts w:eastAsia="Times New Roman" w:cstheme="minorHAnsi"/>
          <w:i/>
          <w:color w:val="000000"/>
          <w:shd w:val="clear" w:color="auto" w:fill="FFFFFF"/>
          <w:lang w:eastAsia="en-GB"/>
        </w:rPr>
        <w:t xml:space="preserve">people are less likely to support government interventions that </w:t>
      </w:r>
      <w:r w:rsidR="004862DC">
        <w:rPr>
          <w:rFonts w:eastAsia="Times New Roman" w:cstheme="minorHAnsi"/>
          <w:i/>
          <w:color w:val="000000"/>
          <w:shd w:val="clear" w:color="auto" w:fill="FFFFFF"/>
          <w:lang w:eastAsia="en-GB"/>
        </w:rPr>
        <w:t>restrict personal choices (e.g.</w:t>
      </w:r>
      <w:r w:rsidRPr="009B3747">
        <w:rPr>
          <w:rFonts w:eastAsia="Times New Roman" w:cstheme="minorHAnsi"/>
          <w:i/>
          <w:color w:val="000000"/>
          <w:shd w:val="clear" w:color="auto" w:fill="FFFFFF"/>
          <w:lang w:eastAsia="en-GB"/>
        </w:rPr>
        <w:t xml:space="preserve"> banning unhealthy f</w:t>
      </w:r>
      <w:r w:rsidR="00EB44DD">
        <w:rPr>
          <w:rFonts w:eastAsia="Times New Roman" w:cstheme="minorHAnsi"/>
          <w:i/>
          <w:color w:val="000000"/>
          <w:shd w:val="clear" w:color="auto" w:fill="FFFFFF"/>
          <w:lang w:eastAsia="en-GB"/>
        </w:rPr>
        <w:t xml:space="preserve">oods), </w:t>
      </w:r>
      <w:r w:rsidRPr="009B3747">
        <w:rPr>
          <w:rFonts w:eastAsia="Times New Roman" w:cstheme="minorHAnsi"/>
          <w:i/>
          <w:color w:val="000000"/>
          <w:shd w:val="clear" w:color="auto" w:fill="FFFFFF"/>
          <w:lang w:eastAsia="en-GB"/>
        </w:rPr>
        <w:t>but more likely to support healthy lifestyle campaig</w:t>
      </w:r>
      <w:r w:rsidR="0041720E" w:rsidRPr="009B3747">
        <w:rPr>
          <w:rFonts w:eastAsia="Times New Roman" w:cstheme="minorHAnsi"/>
          <w:i/>
          <w:color w:val="000000"/>
          <w:shd w:val="clear" w:color="auto" w:fill="FFFFFF"/>
          <w:lang w:eastAsia="en-GB"/>
        </w:rPr>
        <w:t>ns and voluntary food labelling”</w:t>
      </w:r>
      <w:r w:rsidR="0041720E" w:rsidRPr="009B3747">
        <w:rPr>
          <w:rFonts w:eastAsia="Times New Roman" w:cstheme="minorHAnsi"/>
          <w:color w:val="000000"/>
          <w:shd w:val="clear" w:color="auto" w:fill="FFFFFF"/>
          <w:lang w:eastAsia="en-GB"/>
        </w:rPr>
        <w:t xml:space="preserve"> </w:t>
      </w:r>
      <w:r w:rsidR="0041720E" w:rsidRPr="009B3747">
        <w:rPr>
          <w:rFonts w:eastAsia="Times New Roman" w:cstheme="minorHAnsi"/>
          <w:color w:val="000000"/>
          <w:shd w:val="clear" w:color="auto" w:fill="FFFFFF"/>
          <w:lang w:eastAsia="en-GB"/>
        </w:rPr>
        <w:fldChar w:fldCharType="begin" w:fldLock="1"/>
      </w:r>
      <w:r w:rsidR="00395650" w:rsidRPr="009B3747">
        <w:rPr>
          <w:rFonts w:eastAsia="Times New Roman" w:cstheme="minorHAnsi"/>
          <w:color w:val="000000"/>
          <w:shd w:val="clear" w:color="auto" w:fill="FFFFFF"/>
          <w:lang w:eastAsia="en-GB"/>
        </w:rPr>
        <w:instrText>ADDIN CSL_CITATION { "citationItems" : [ { "id" : "ITEM-1", "itemData" : { "DOI" : "10.1016/j.foodpol.2014.07.006", "ISSN" : "03069192", "author" : [ { "dropping-particle" : "", "family" : "Kraak", "given" : "Vivica I.", "non-dropping-particle" : "", "parse-names" : false, "suffix" : "" }, { "dropping-particle" : "", "family" : "Swinburn", "given" : "Boyd", "non-dropping-particle" : "", "parse-names" : false, "suffix" : "" }, { "dropping-particle" : "", "family" : "Lawrence", "given" : "Mark", "non-dropping-particle" : "", "parse-names" : false, "suffix" : "" }, { "dropping-particle" : "", "family" : "Harrison", "given" : "Paul", "non-dropping-particle" : "", "parse-names" : false, "suffix" : "" } ], "container-title" : "Food Policy", "id" : "ITEM-1", "issue" : "1", "issued" : { "date-parts" : [ [ "2014", "12" ] ] }, "page" : "207-218", "title" : "A Q methodology study of stakeholders\u2019 views about accountability for promoting healthy food environments in England through the Responsibility Deal Food Network", "type" : "article-journal", "volume" : "49" }, "uris" : [ "http://www.mendeley.com/documents/?uuid=ee47ccb4-388e-3855-b2d2-dd19846cca3b" ] } ], "mendeley" : { "formattedCitation" : "(Kraak et al., 2014)", "manualFormatting" : "(Kraak et al., 2014, p.213)", "plainTextFormattedCitation" : "(Kraak et al., 2014)", "previouslyFormattedCitation" : "(Kraak et al., 2014)" }, "properties" : { "noteIndex" : 0 }, "schema" : "https://github.com/citation-style-language/schema/raw/master/csl-citation.json" }</w:instrText>
      </w:r>
      <w:r w:rsidR="0041720E" w:rsidRPr="009B3747">
        <w:rPr>
          <w:rFonts w:eastAsia="Times New Roman" w:cstheme="minorHAnsi"/>
          <w:color w:val="000000"/>
          <w:shd w:val="clear" w:color="auto" w:fill="FFFFFF"/>
          <w:lang w:eastAsia="en-GB"/>
        </w:rPr>
        <w:fldChar w:fldCharType="separate"/>
      </w:r>
      <w:r w:rsidR="0041720E" w:rsidRPr="009B3747">
        <w:rPr>
          <w:rFonts w:eastAsia="Times New Roman" w:cstheme="minorHAnsi"/>
          <w:noProof/>
          <w:color w:val="000000"/>
          <w:shd w:val="clear" w:color="auto" w:fill="FFFFFF"/>
          <w:lang w:eastAsia="en-GB"/>
        </w:rPr>
        <w:t>(Kraak et al., 2014, p.213)</w:t>
      </w:r>
      <w:r w:rsidR="0041720E" w:rsidRPr="009B3747">
        <w:rPr>
          <w:rFonts w:eastAsia="Times New Roman" w:cstheme="minorHAnsi"/>
          <w:color w:val="000000"/>
          <w:shd w:val="clear" w:color="auto" w:fill="FFFFFF"/>
          <w:lang w:eastAsia="en-GB"/>
        </w:rPr>
        <w:fldChar w:fldCharType="end"/>
      </w:r>
      <w:r w:rsidRPr="009B3747">
        <w:rPr>
          <w:rFonts w:eastAsia="Times New Roman" w:cstheme="minorHAnsi"/>
          <w:color w:val="000000"/>
          <w:shd w:val="clear" w:color="auto" w:fill="FFFFFF"/>
          <w:lang w:eastAsia="en-GB"/>
        </w:rPr>
        <w:t>.  Furthermore the study supports the theory that attribution of responsibility influences individuals proposed solutions for public hea</w:t>
      </w:r>
      <w:r w:rsidR="0041720E" w:rsidRPr="009B3747">
        <w:rPr>
          <w:rFonts w:eastAsia="Times New Roman" w:cstheme="minorHAnsi"/>
          <w:color w:val="000000"/>
          <w:shd w:val="clear" w:color="auto" w:fill="FFFFFF"/>
          <w:lang w:eastAsia="en-GB"/>
        </w:rPr>
        <w:t>lth challenges (Brownell et al.,</w:t>
      </w:r>
      <w:r w:rsidR="00FC497A">
        <w:rPr>
          <w:rFonts w:eastAsia="Times New Roman" w:cstheme="minorHAnsi"/>
          <w:color w:val="000000"/>
          <w:shd w:val="clear" w:color="auto" w:fill="FFFFFF"/>
          <w:lang w:eastAsia="en-GB"/>
        </w:rPr>
        <w:t xml:space="preserve"> 2010).  This is reflective in the fact that p</w:t>
      </w:r>
      <w:r w:rsidRPr="009B3747">
        <w:rPr>
          <w:rFonts w:eastAsia="Times New Roman" w:cstheme="minorHAnsi"/>
          <w:color w:val="000000"/>
          <w:lang w:eastAsia="en-GB"/>
        </w:rPr>
        <w:t>articipants who advocated for collective societal responsibility justified legislation as a means to make a meaningful difference to the health outcomes of children and adolescents</w:t>
      </w:r>
      <w:r w:rsidR="0041720E" w:rsidRPr="009B3747">
        <w:rPr>
          <w:rFonts w:eastAsia="Times New Roman" w:cstheme="minorHAnsi"/>
          <w:color w:val="000000"/>
          <w:lang w:eastAsia="en-GB"/>
        </w:rPr>
        <w:t xml:space="preserve"> </w:t>
      </w:r>
      <w:r w:rsidR="0041720E"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"Nuffield Council on Bioethics", "given" : "", "non-dropping-particle" : "", "parse-names" : false, "suffix" : "" } ], "id" : "ITEM-1", "issued" : { "date-parts" : [ [ "2007" ] ] }, "publisher-place" : "London", "title" : "Public health: ethical issues", "type" : "report" }, "uris" : [ "http://www.mendeley.com/documents/?uuid=27d464c1-0ace-499e-a3db-50ad0846a8a7" ] } ], "mendeley" : { "formattedCitation" : "(Nuffield Council on Bioethics, 2007)", "plainTextFormattedCitation" : "(Nuffield Council on Bioethics, 2007)", "previouslyFormattedCitation" : "(Nuffield Council on Bioethics, 2007)" }, "properties" : { "noteIndex" : 0 }, "schema" : "https://github.com/citation-style-language/schema/raw/master/csl-citation.json" }</w:instrText>
      </w:r>
      <w:r w:rsidR="0041720E" w:rsidRPr="009B3747">
        <w:rPr>
          <w:rFonts w:eastAsia="Times New Roman" w:cstheme="minorHAnsi"/>
          <w:color w:val="000000"/>
          <w:lang w:eastAsia="en-GB"/>
        </w:rPr>
        <w:fldChar w:fldCharType="separate"/>
      </w:r>
      <w:r w:rsidR="0041720E" w:rsidRPr="009B3747">
        <w:rPr>
          <w:rFonts w:eastAsia="Times New Roman" w:cstheme="minorHAnsi"/>
          <w:noProof/>
          <w:color w:val="000000"/>
          <w:lang w:eastAsia="en-GB"/>
        </w:rPr>
        <w:t>(Nuffield Council on Bioethics, 2007)</w:t>
      </w:r>
      <w:r w:rsidR="0041720E" w:rsidRPr="009B3747">
        <w:rPr>
          <w:rFonts w:eastAsia="Times New Roman" w:cstheme="minorHAnsi"/>
          <w:color w:val="000000"/>
          <w:lang w:eastAsia="en-GB"/>
        </w:rPr>
        <w:fldChar w:fldCharType="end"/>
      </w:r>
      <w:r w:rsidRPr="009B3747">
        <w:rPr>
          <w:rFonts w:eastAsia="Times New Roman" w:cstheme="minorHAnsi"/>
          <w:color w:val="000000"/>
          <w:lang w:eastAsia="en-GB"/>
        </w:rPr>
        <w:t>.  In contrast, those who had previously advocated for greater personal responsibility, appeared to view rungs higher up the ladder of intervent</w:t>
      </w:r>
      <w:r w:rsidR="004862DC">
        <w:rPr>
          <w:rFonts w:eastAsia="Times New Roman" w:cstheme="minorHAnsi"/>
          <w:color w:val="000000"/>
          <w:lang w:eastAsia="en-GB"/>
        </w:rPr>
        <w:t xml:space="preserve">ion, </w:t>
      </w:r>
      <w:r w:rsidR="004A38CB" w:rsidRPr="009B3747">
        <w:rPr>
          <w:rFonts w:eastAsia="Times New Roman" w:cstheme="minorHAnsi"/>
          <w:color w:val="000000"/>
          <w:lang w:eastAsia="en-GB"/>
        </w:rPr>
        <w:t>e.g. the sugar-tax levy (HM Government</w:t>
      </w:r>
      <w:r w:rsidRPr="009B3747">
        <w:rPr>
          <w:rFonts w:eastAsia="Times New Roman" w:cstheme="minorHAnsi"/>
          <w:color w:val="000000"/>
          <w:lang w:eastAsia="en-GB"/>
        </w:rPr>
        <w:t>, 2016), as disproportionately intrusive (Krakk et al</w:t>
      </w:r>
      <w:r w:rsidR="004A38CB" w:rsidRPr="009B3747">
        <w:rPr>
          <w:rFonts w:eastAsia="Times New Roman" w:cstheme="minorHAnsi"/>
          <w:color w:val="000000"/>
          <w:lang w:eastAsia="en-GB"/>
        </w:rPr>
        <w:t>.,</w:t>
      </w:r>
      <w:r w:rsidRPr="009B3747">
        <w:rPr>
          <w:rFonts w:eastAsia="Times New Roman" w:cstheme="minorHAnsi"/>
          <w:color w:val="000000"/>
          <w:lang w:eastAsia="en-GB"/>
        </w:rPr>
        <w:t xml:space="preserve"> 2014).  </w:t>
      </w:r>
    </w:p>
    <w:p w:rsidR="00AC3B26" w:rsidRPr="009B3747" w:rsidRDefault="00AC3B26" w:rsidP="00AC3B26">
      <w:pPr>
        <w:rPr>
          <w:rFonts w:eastAsia="Times New Roman" w:cstheme="minorHAnsi"/>
          <w:sz w:val="24"/>
          <w:szCs w:val="24"/>
          <w:lang w:eastAsia="en-GB"/>
        </w:rPr>
      </w:pPr>
    </w:p>
    <w:p w:rsidR="00395650" w:rsidRPr="009B3747" w:rsidRDefault="00AC3B26" w:rsidP="00395650">
      <w:pPr>
        <w:rPr>
          <w:rFonts w:eastAsia="Times New Roman" w:cstheme="minorHAnsi"/>
          <w:color w:val="000000"/>
          <w:lang w:eastAsia="en-GB"/>
        </w:rPr>
      </w:pPr>
      <w:r w:rsidRPr="009B3747">
        <w:rPr>
          <w:rFonts w:eastAsia="Times New Roman" w:cstheme="minorHAnsi"/>
          <w:color w:val="000000"/>
          <w:lang w:eastAsia="en-GB"/>
        </w:rPr>
        <w:t>Given a school’s fundamental purpose is the education of children and young people</w:t>
      </w:r>
      <w:r w:rsidR="004A38CB" w:rsidRPr="009B3747">
        <w:rPr>
          <w:rFonts w:eastAsia="Times New Roman" w:cstheme="minorHAnsi"/>
          <w:color w:val="000000"/>
          <w:lang w:eastAsia="en-GB"/>
        </w:rPr>
        <w:t xml:space="preserve"> </w:t>
      </w:r>
      <w:r w:rsidR="00627A0E"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"The Rt Hon Nick Gibb MP", "given" : "", "non-dropping-particle" : "", "parse-names" : false, "suffix" : "" } ], "container-title" : "Education Reform Summit", "id" : "ITEM-1", "issued" : { "date-parts" : [ [ "2015" ] ] }, "publisher" : "The Education Foundation", "publisher-place" : "London", "title" : "The purpose of education", "type" : "paper-conference" }, "uris" : [ "http://www.mendeley.com/documents/?uuid=cc90f629-f275-47ed-8626-0527ffbaea05" ] } ], "mendeley" : { "formattedCitation" : "(The Rt Hon Nick Gibb MP, 2015)", "plainTextFormattedCitation" : "(The Rt Hon Nick Gibb MP, 2015)", "previouslyFormattedCitation" : "(The Rt Hon Nick Gibb MP, 2015)" }, "properties" : { "noteIndex" : 0 }, "schema" : "https://github.com/citation-style-language/schema/raw/master/csl-citation.json" }</w:instrText>
      </w:r>
      <w:r w:rsidR="00627A0E" w:rsidRPr="009B3747">
        <w:rPr>
          <w:rFonts w:eastAsia="Times New Roman" w:cstheme="minorHAnsi"/>
          <w:color w:val="000000"/>
          <w:lang w:eastAsia="en-GB"/>
        </w:rPr>
        <w:fldChar w:fldCharType="separate"/>
      </w:r>
      <w:r w:rsidR="00627A0E" w:rsidRPr="009B3747">
        <w:rPr>
          <w:rFonts w:eastAsia="Times New Roman" w:cstheme="minorHAnsi"/>
          <w:noProof/>
          <w:color w:val="000000"/>
          <w:lang w:eastAsia="en-GB"/>
        </w:rPr>
        <w:t>(The Rt Hon Nick Gibb MP, 2015)</w:t>
      </w:r>
      <w:r w:rsidR="00627A0E" w:rsidRPr="009B3747">
        <w:rPr>
          <w:rFonts w:eastAsia="Times New Roman" w:cstheme="minorHAnsi"/>
          <w:color w:val="000000"/>
          <w:lang w:eastAsia="en-GB"/>
        </w:rPr>
        <w:fldChar w:fldCharType="end"/>
      </w:r>
      <w:r w:rsidR="00FC497A">
        <w:rPr>
          <w:rFonts w:eastAsia="Times New Roman" w:cstheme="minorHAnsi"/>
          <w:color w:val="000000"/>
          <w:lang w:eastAsia="en-GB"/>
        </w:rPr>
        <w:t xml:space="preserve">, </w:t>
      </w:r>
      <w:r w:rsidRPr="009B3747">
        <w:rPr>
          <w:rFonts w:eastAsia="Times New Roman" w:cstheme="minorHAnsi"/>
          <w:color w:val="000000"/>
          <w:lang w:eastAsia="en-GB"/>
        </w:rPr>
        <w:t xml:space="preserve">and the previously identified </w:t>
      </w:r>
      <w:r w:rsidR="00FC497A">
        <w:rPr>
          <w:rFonts w:eastAsia="Times New Roman" w:cstheme="minorHAnsi"/>
          <w:color w:val="000000"/>
          <w:lang w:eastAsia="en-GB"/>
        </w:rPr>
        <w:t xml:space="preserve">support for </w:t>
      </w:r>
      <w:r w:rsidRPr="009B3747">
        <w:rPr>
          <w:rFonts w:eastAsia="Times New Roman" w:cstheme="minorHAnsi"/>
          <w:color w:val="000000"/>
          <w:lang w:eastAsia="en-GB"/>
        </w:rPr>
        <w:t>personal responsibility, it is perhaps unsurprising that headteacher</w:t>
      </w:r>
      <w:r w:rsidR="00FC497A">
        <w:rPr>
          <w:rFonts w:eastAsia="Times New Roman" w:cstheme="minorHAnsi"/>
          <w:color w:val="000000"/>
          <w:lang w:eastAsia="en-GB"/>
        </w:rPr>
        <w:t xml:space="preserve">s and chairs of governors </w:t>
      </w:r>
      <w:r w:rsidRPr="009B3747">
        <w:rPr>
          <w:rFonts w:eastAsia="Times New Roman" w:cstheme="minorHAnsi"/>
          <w:color w:val="000000"/>
          <w:lang w:eastAsia="en-GB"/>
        </w:rPr>
        <w:t>attribute</w:t>
      </w:r>
      <w:r w:rsidR="00FC497A">
        <w:rPr>
          <w:rFonts w:eastAsia="Times New Roman" w:cstheme="minorHAnsi"/>
          <w:color w:val="000000"/>
          <w:lang w:eastAsia="en-GB"/>
        </w:rPr>
        <w:t>d</w:t>
      </w:r>
      <w:r w:rsidRPr="009B3747">
        <w:rPr>
          <w:rFonts w:eastAsia="Times New Roman" w:cstheme="minorHAnsi"/>
          <w:color w:val="000000"/>
          <w:lang w:eastAsia="en-GB"/>
        </w:rPr>
        <w:t xml:space="preserve"> greater value to interve</w:t>
      </w:r>
      <w:r w:rsidR="00CF6650" w:rsidRPr="009B3747">
        <w:rPr>
          <w:rFonts w:eastAsia="Times New Roman" w:cstheme="minorHAnsi"/>
          <w:color w:val="000000"/>
          <w:lang w:eastAsia="en-GB"/>
        </w:rPr>
        <w:t>ntions which inform and educate</w:t>
      </w:r>
      <w:r w:rsidRPr="009B3747">
        <w:rPr>
          <w:rFonts w:eastAsia="Times New Roman" w:cstheme="minorHAnsi"/>
          <w:color w:val="000000"/>
          <w:lang w:eastAsia="en-GB"/>
        </w:rPr>
        <w:t>.  </w:t>
      </w:r>
      <w:r w:rsidR="00395650" w:rsidRPr="009B3747">
        <w:rPr>
          <w:rFonts w:eastAsia="Times New Roman" w:cstheme="minorHAnsi"/>
          <w:color w:val="000000"/>
          <w:lang w:eastAsia="en-GB"/>
        </w:rPr>
        <w:t>However</w:t>
      </w:r>
      <w:r w:rsidR="00FC497A">
        <w:rPr>
          <w:rFonts w:eastAsia="Times New Roman" w:cstheme="minorHAnsi"/>
          <w:color w:val="000000"/>
          <w:lang w:eastAsia="en-GB"/>
        </w:rPr>
        <w:t>,</w:t>
      </w:r>
      <w:r w:rsidR="00395650" w:rsidRPr="009B3747">
        <w:rPr>
          <w:rFonts w:eastAsia="Times New Roman" w:cstheme="minorHAnsi"/>
          <w:color w:val="000000"/>
          <w:lang w:eastAsia="en-GB"/>
        </w:rPr>
        <w:t xml:space="preserve"> evidence has questioned </w:t>
      </w:r>
      <w:r w:rsidRPr="009B3747">
        <w:rPr>
          <w:rFonts w:eastAsia="Times New Roman" w:cstheme="minorHAnsi"/>
          <w:color w:val="000000"/>
          <w:lang w:eastAsia="en-GB"/>
        </w:rPr>
        <w:t>the effectiveness of health education, increasing awareness and individual behaviour change interventions alone for addressing obesity</w:t>
      </w:r>
      <w:r w:rsidR="004A38CB" w:rsidRPr="009B3747">
        <w:rPr>
          <w:rFonts w:eastAsia="Times New Roman" w:cstheme="minorHAnsi"/>
          <w:color w:val="000000"/>
          <w:lang w:eastAsia="en-GB"/>
        </w:rPr>
        <w:t xml:space="preserve"> </w:t>
      </w:r>
      <w:r w:rsidR="004A38CB"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"Story", "given" : "M", "non-dropping-particle" : "", "parse-names" : false, "suffix" : "" }, { "dropping-particle" : "", "family" : "Nanney", "given" : "MS", "non-dropping-particle" : "", "parse-names" : false, "suffix" : "" }, { "dropping-particle" : "", "family" : "Schwartz", "given" : "MB", "non-dropping-particle" : "", "parse-names" : false, "suffix" : "" } ], "container-title" : "Milbank Quarterly", "id" : "ITEM-1", "issue" : "1", "issued" : { "date-parts" : [ [ "2009" ] ] }, "page" : "71\u2013100", "title" : "Schools and obesity prevention: creating school environments and policies to promote healthy eating and physical activity", "type" : "article-journal", "volume" : "87" }, "uris" : [ "http://www.mendeley.com/documents/?uuid=caeb8bd2-da0c-4ec6-bda7-744bfbb6dbc3" ] }, { "id" : "ITEM-2", "itemData" : { "ISBN" : "1447128346", "abstract" : "Obesity is a relatively new and controversial field of medicine. Some of the controversies surrounding obesity can be dismissed as myths, others reveal the lack of consensus and comprehensive knowledge which exist in obesity and its complex relationship with diabetes and other serious long-term conditions. Controversies in Obesity takes the unique approach of assessing the controversies surrounding obesity, thus seeking to debunk the myths and highlight and explore the genuine science, whilst demonstrating areas where there is healthy debate. This book will appeal to primary care physicians, trainees and specialist nurses involved in care of the obese patient, and would be of interest to anyone who wishes to gain a better understanding of the complex nature of obesity and its management. Part I: Introduction -- -- Obesity : Why Bother? / Stephan Ro\u0308ssner -- -- Part II: Sociopolitical -- -- Too Late to Challenge the Modern Obesity Epidemic? / Neville J. Rigby -- Government Action to Tackle Obesity / Susan A. Jebb -- Why Are Governments Abdicating from Dealing with the Obesity Crisis? / Boyd A. Swinburn -- Childhood Habits and the Obesity Epidemic / Michael E.J. Lean -- Obesity and Sexuality / David W. Haslam -- Fat on Display / David W. Haslam -- -- Part III: Causes -- -- The Emerging Paradigm Shift in Understanding the Causes of Obesity / Shamil A. Chandaria -- Adenoviruses and Obesity / Richard L. Atkinson -- The Role of the Gut Microbiome in Obesity / Kristine H. Allin and Oluf Pedersen -- Saturated Fat in Cardiovascular Disease and Obesity : Friend or Foe? / Aseem Malhotra -- Childhood Obesity and the Environment / Paul A. Whaley -- Genetics and Epigenetics : Myths or Facts? / Kirsi H. Pietila\u0308inen -- Chronicities of Modernity and the Contained Body as an Explanation for the Global Pandemic of Obesity, Diabetes, and the Metabolic Syndrome / Dennis Wiedman -- -- Part IV: Clinical -- -- Screening for Type 2 Diabetes / Laura J. Gray, Melanie J. Davies, and Kamlesh Khunti -- Assessing the Cardiometabolic Risk of Obesity : Importance of Visceral/Ectopic Fat and of the Use of Hypertriglyceridemic Waist / Jean-Pierre Despre\u0301s -- Moving Beyond Scales and Tapes : The Edmonton Obesity Staging System / Arya M. Sharma -- Obstructive Sleep Apnea / Bertrand R. de Silva -- Obesity and the Heart Disease Patient : Controversies Abound / Henry J. Purcell -- Obesity, Diabetes and Dental Health : Relationship and Management / Rajesh Chauhan -- Very Low Calorie Diets : S\u2026", "author" : [ { "dropping-particle" : "", "family" : "Jebb", "given" : "S", "non-dropping-particle" : "", "parse-names" : false, "suffix" : "" } ], "chapter-number" : "3", "container-title" : "Controversies in Obesity", "editor" : [ { "dropping-particle" : "", "family" : "Haslam", "given" : "David W.", "non-dropping-particle" : "", "parse-names" : false, "suffix" : "" }, { "dropping-particle" : "", "family" : "Sharma", "given" : "Arya M.", "non-dropping-particle" : "", "parse-names" : false, "suffix" : "" }, { "dropping-particle" : "", "family" : "Roux", "given" : "Carel W.", "non-dropping-particle" : "Le", "parse-names" : false, "suffix" : "" } ], "id" : "ITEM-2", "issued" : { "date-parts" : [ [ "2014" ] ] }, "page" : "306", "publisher" : "Springer-Verlag", "publisher-place" : "London", "title" : "Government action to tackle obesity", "type" : "chapter" }, "uris" : [ "http://www.mendeley.com/documents/?uuid=f771ea01-d7ca-37e1-9fd1-96d148e05d27" ] } ], "mendeley" : { "formattedCitation" : "(Story et al., 2009; Jebb, 2014)", "plainTextFormattedCitation" : "(Story et al., 2009; Jebb, 2014)", "previouslyFormattedCitation" : "(Story et al., 2009; Jebb, 2014)" }, "properties" : { "noteIndex" : 0 }, "schema" : "https://github.com/citation-style-language/schema/raw/master/csl-citation.json" }</w:instrText>
      </w:r>
      <w:r w:rsidR="004A38CB" w:rsidRPr="009B3747">
        <w:rPr>
          <w:rFonts w:eastAsia="Times New Roman" w:cstheme="minorHAnsi"/>
          <w:color w:val="000000"/>
          <w:lang w:eastAsia="en-GB"/>
        </w:rPr>
        <w:fldChar w:fldCharType="separate"/>
      </w:r>
      <w:r w:rsidR="00C8242E" w:rsidRPr="009B3747">
        <w:rPr>
          <w:rFonts w:eastAsia="Times New Roman" w:cstheme="minorHAnsi"/>
          <w:noProof/>
          <w:color w:val="000000"/>
          <w:lang w:eastAsia="en-GB"/>
        </w:rPr>
        <w:t>(Story et al., 2009; Jebb, 2014)</w:t>
      </w:r>
      <w:r w:rsidR="004A38CB" w:rsidRPr="009B3747">
        <w:rPr>
          <w:rFonts w:eastAsia="Times New Roman" w:cstheme="minorHAnsi"/>
          <w:color w:val="000000"/>
          <w:lang w:eastAsia="en-GB"/>
        </w:rPr>
        <w:fldChar w:fldCharType="end"/>
      </w:r>
      <w:r w:rsidR="00395650" w:rsidRPr="009B3747">
        <w:rPr>
          <w:rFonts w:eastAsia="Times New Roman" w:cstheme="minorHAnsi"/>
          <w:color w:val="000000"/>
          <w:lang w:eastAsia="en-GB"/>
        </w:rPr>
        <w:t xml:space="preserve">.  Furthermore, it has been argued that </w:t>
      </w:r>
      <w:r w:rsidRPr="009B3747">
        <w:rPr>
          <w:rFonts w:eastAsia="Times New Roman" w:cstheme="minorHAnsi"/>
          <w:color w:val="000000"/>
          <w:lang w:eastAsia="en-GB"/>
        </w:rPr>
        <w:t>utilising these approaches without</w:t>
      </w:r>
      <w:r w:rsidR="00395650" w:rsidRPr="009B3747">
        <w:rPr>
          <w:rFonts w:eastAsia="Times New Roman" w:cstheme="minorHAnsi"/>
          <w:color w:val="000000"/>
          <w:lang w:eastAsia="en-GB"/>
        </w:rPr>
        <w:t xml:space="preserve"> a combination of structural and system wide interventions, inadvertently widens inequities and </w:t>
      </w:r>
      <w:r w:rsidRPr="009B3747">
        <w:rPr>
          <w:rFonts w:eastAsia="Times New Roman" w:cstheme="minorHAnsi"/>
          <w:color w:val="000000"/>
          <w:lang w:eastAsia="en-GB"/>
        </w:rPr>
        <w:t xml:space="preserve">health inequalities for low-income </w:t>
      </w:r>
      <w:r w:rsidR="00395650" w:rsidRPr="009B3747">
        <w:rPr>
          <w:rFonts w:eastAsia="Times New Roman" w:cstheme="minorHAnsi"/>
          <w:color w:val="000000"/>
          <w:lang w:eastAsia="en-GB"/>
        </w:rPr>
        <w:t xml:space="preserve">groups </w:t>
      </w:r>
      <w:r w:rsidR="00395650"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"author" : [ { "dropping-particle" : "", "family" : "World Health Organization Regional Office for Europe", "given" : "", "non-dropping-particle" : "", "parse-names" : false, "suffix" : "" } ], "id" : "ITEM-1", "issued" : { "date-parts" : [ [ "2014" ] ] }, "publisher-place" : "Copenhagen", "title" : "Obesity and inequities - Guidance for addressing inequities in overweight and obesity", "type" : "report" }, "uris" : [ "http://www.mendeley.com/documents/?uuid=caff6bad-3812-4574-a91b-a6676d8de8c8" ] }, { "id" : "ITEM-2", "itemData" : { "DOI" : "10.1186/s12939-016-0438-1", "ISSN" : "1475-9276", "PMID" : "27680964", "abstract" : "BACKGROUND Increasing social inequalities in health across Europe are widening the gap between low and high socio-economic groups, notably in the prevalence of obesity. Public health interventions may result in differential effects across population groups. Therefore, the EPHE (EPODE for the Promotion of Health Equity) project analysed the added value of community-based programmes, based on the EPODE (Ensemble Pr\u00e9venons l'Ob\u00e9sit\u00e9 Des Enfants-Together Let's Prevent Obesity) model, to reduce socio-economic inequalities in energy balance-related behaviours of children and their family-environmental related determinants in seven European communities. This study presents the changes between baseline and follow-up after the one-year interventions and their sustainability one year after. METHODS This is a prospective study with a one school-year intervention, followed by one year of follow-up. In all, 1266 children (age 6-8 years) and their families from different socio-economic backgrounds were recruited at baseline. For 1062 children, information was available after one year (T1) and for 921 children after two years (T2). A self-reported questionnaire was completed by the parents to examine the children's energy balance-related behaviours and family- environmental determinants. Socio-economic status was defined by the educational level of the mother. The Wilcoxon signed-rank test for paired data was used to test the differences between baseline and intermediate, and between intermediate and final, measurements for each of the socio-economic status groups. RESULTS Post-intervention effects in energy-balance related behaviours showed the following improvements among the low socio-economic status groups: increased fruit consumption (Netherlands), decreased fruit juices amount consumed (Romania) and decreased TV time on weekdays (Belgium). Whereas in only the latter case the behavioural change was accompanied with an improvement in a family-environmental determinant (monitoring the time the child watches TV), other improvements in parental rules and practices related to soft drinks/fruit juices and TV exposure were observed. A few of those effects were sustainable, notably in the case of Belgium. CONCLUSIONS Inequalities in obesity-related behaviours could be potentially reduced when implementing community-based interventions, tailored to inequality gaps and using the EPODE methodology. Within-group changes varied widely, whereas monitoring of interventions and \u2026", "author" : [ { "dropping-particle" : "", "family" : "Mantziki", "given" : "Krystallia", "non-dropping-particle" : "", "parse-names" : false, "suffix" : "" }, { "dropping-particle" : "", "family" : "Renders", "given" : "Carry M", "non-dropping-particle" : "", "parse-names" : false, "suffix" : "" }, { "dropping-particle" : "", "family" : "Vassilopoulos", "given" : "Achilleas", "non-dropping-particle" : "", "parse-names" : false, "suffix" : "" }, { "dropping-particle" : "", "family" : "Radulian", "given" : "Gabriella", "non-dropping-particle" : "", "parse-names" : false, "suffix" : "" }, { "dropping-particle" : "", "family" : "Borys", "given" : "Jean-Michel", "non-dropping-particle" : "", "parse-names" : false, "suffix" : "" }, { "dropping-particle" : "", "family" : "Plessis", "given" : "Hugues", "non-dropping-particle" : "du", "parse-names" : false, "suffix" : "" }, { "dropping-particle" : "", "family" : "Greg\u00f3rio", "given" : "Maria Jo\u00e3o", "non-dropping-particle" : "", "parse-names" : false, "suffix" : "" }, { "dropping-particle" : "", "family" : "Gra\u00e7a", "given" : "Pedro", "non-dropping-particle" : "", "parse-names" : false, "suffix" : "" }, { "dropping-particle" : "", "family" : "Henauw", "given" : "Stefaan", "non-dropping-particle" : "de", "parse-names" : false, "suffix" : "" }, { "dropping-particle" : "", "family" : "Handjiev", "given" : "Svetoslav", "non-dropping-particle" : "", "parse-names" : false, "suffix" : "" }, { "dropping-particle" : "", "family" : "Visscher", "given" : "Tommy L S", "non-dropping-particle" : "", "parse-names" : false, "suffix" : "" }, { "dropping-particle" : "", "family" : "Seidell", "given" : "Jacob C", "non-dropping-particle" : "", "parse-names" : false, "suffix" : "" } ], "container-title" : "International journal for equity in health", "id" : "ITEM-2", "issue" : "1", "issued" : { "date-parts" : [ [ "2016", "9", "29" ] ] }, "page" : "160", "publisher" : "BioMed Central", "title" : "Inequalities in energy-balance related behaviours and family environmental determinants in European children: changes and sustainability within the EPHE evaluation study.", "type" : "article-journal", "volume" : "15" }, "uris" : [ "http://www.mendeley.com/documents/?uuid=b619b0ff-a93b-32f0-ab07-38cdea30f479" ] } ], "mendeley" : { "formattedCitation" : "(World Health Organization Regional Office for Europe, 2014; Mantziki et al., 2016)", "plainTextFormattedCitation" : "(World Health Organization Regional Office for Europe, 2014; Mantziki et al., 2016)", "previouslyFormattedCitation" : "(World Health Organization Regional Office for Europe, 2014; Mantziki et al., 2016)" }, "properties" : { "noteIndex" : 0 }, "schema" : "https://github.com/citation-style-language/schema/raw/master/csl-citation.json" }</w:instrText>
      </w:r>
      <w:r w:rsidR="00395650" w:rsidRPr="009B3747">
        <w:rPr>
          <w:rFonts w:eastAsia="Times New Roman" w:cstheme="minorHAnsi"/>
          <w:color w:val="000000"/>
          <w:lang w:eastAsia="en-GB"/>
        </w:rPr>
        <w:fldChar w:fldCharType="separate"/>
      </w:r>
      <w:r w:rsidR="009C2ECF" w:rsidRPr="009B3747">
        <w:rPr>
          <w:rFonts w:eastAsia="Times New Roman" w:cstheme="minorHAnsi"/>
          <w:noProof/>
          <w:color w:val="000000"/>
          <w:lang w:eastAsia="en-GB"/>
        </w:rPr>
        <w:t>(World Health Organization Regional Office for Europe, 2014; Mantziki et al., 2016)</w:t>
      </w:r>
      <w:r w:rsidR="00395650" w:rsidRPr="009B3747">
        <w:rPr>
          <w:rFonts w:eastAsia="Times New Roman" w:cstheme="minorHAnsi"/>
          <w:color w:val="000000"/>
          <w:lang w:eastAsia="en-GB"/>
        </w:rPr>
        <w:fldChar w:fldCharType="end"/>
      </w:r>
      <w:r w:rsidR="00395650" w:rsidRPr="009B3747">
        <w:rPr>
          <w:rFonts w:eastAsia="Times New Roman" w:cstheme="minorHAnsi"/>
          <w:color w:val="000000"/>
          <w:lang w:eastAsia="en-GB"/>
        </w:rPr>
        <w:t xml:space="preserve">.  </w:t>
      </w:r>
    </w:p>
    <w:p w:rsidR="00395650" w:rsidRPr="009B3747" w:rsidRDefault="00395650" w:rsidP="00395650">
      <w:pPr>
        <w:rPr>
          <w:rFonts w:eastAsia="Times New Roman" w:cstheme="minorHAnsi"/>
          <w:color w:val="000000"/>
          <w:lang w:eastAsia="en-GB"/>
        </w:rPr>
      </w:pPr>
    </w:p>
    <w:p w:rsidR="00AC3B26" w:rsidRPr="009B3747" w:rsidRDefault="00AC3B26" w:rsidP="00AC3B26">
      <w:pPr>
        <w:rPr>
          <w:rFonts w:eastAsia="Times New Roman" w:cstheme="minorHAnsi"/>
          <w:color w:val="000000"/>
          <w:lang w:eastAsia="en-GB"/>
        </w:rPr>
      </w:pPr>
      <w:r w:rsidRPr="009B3747">
        <w:rPr>
          <w:rFonts w:eastAsia="Times New Roman" w:cstheme="minorHAnsi"/>
          <w:color w:val="000000"/>
          <w:lang w:eastAsia="en-GB"/>
        </w:rPr>
        <w:t>Findings from this study therefore suggest that unless obesity is truly framed and understood as multicausal by all key stakeholders involved in obesity prevention, it is unlikely that the necessary public support will be obtained for the system level policy interventions required to meaningfully address excess weight (Brownell et al</w:t>
      </w:r>
      <w:r w:rsidR="00627A0E" w:rsidRPr="009B3747">
        <w:rPr>
          <w:rFonts w:eastAsia="Times New Roman" w:cstheme="minorHAnsi"/>
          <w:color w:val="000000"/>
          <w:lang w:eastAsia="en-GB"/>
        </w:rPr>
        <w:t>.</w:t>
      </w:r>
      <w:r w:rsidRPr="009B3747">
        <w:rPr>
          <w:rFonts w:eastAsia="Times New Roman" w:cstheme="minorHAnsi"/>
          <w:color w:val="000000"/>
          <w:lang w:eastAsia="en-GB"/>
        </w:rPr>
        <w:t>, 2010).     </w:t>
      </w:r>
    </w:p>
    <w:p w:rsidR="00A84723" w:rsidRPr="009B3747" w:rsidRDefault="00A84723" w:rsidP="00AC3B26">
      <w:pPr>
        <w:rPr>
          <w:rFonts w:eastAsia="Times New Roman" w:cstheme="minorHAnsi"/>
          <w:color w:val="000000"/>
          <w:lang w:eastAsia="en-GB"/>
        </w:rPr>
      </w:pPr>
    </w:p>
    <w:p w:rsidR="00A84723" w:rsidRPr="009B3747" w:rsidRDefault="000A3628" w:rsidP="00AC3B26">
      <w:pPr>
        <w:rPr>
          <w:rFonts w:eastAsia="Times New Roman" w:cstheme="minorHAnsi"/>
          <w:lang w:eastAsia="en-GB"/>
        </w:rPr>
      </w:pPr>
      <w:r w:rsidRPr="009B3747">
        <w:rPr>
          <w:rFonts w:eastAsia="Times New Roman" w:cstheme="minorHAnsi"/>
          <w:lang w:eastAsia="en-GB"/>
        </w:rPr>
        <w:t xml:space="preserve">9.3.1.5 </w:t>
      </w:r>
      <w:r w:rsidR="00A84723" w:rsidRPr="009B3747">
        <w:rPr>
          <w:rFonts w:eastAsia="Times New Roman" w:cstheme="minorHAnsi"/>
          <w:lang w:eastAsia="en-GB"/>
        </w:rPr>
        <w:t>The secondary schools role</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In spite of the variation in the proposed preventative solutions for obesity, this study found that headteache</w:t>
      </w:r>
      <w:r w:rsidR="00CF6650" w:rsidRPr="009B3747">
        <w:rPr>
          <w:rFonts w:eastAsia="Times New Roman" w:cstheme="minorHAnsi"/>
          <w:color w:val="000000"/>
          <w:lang w:eastAsia="en-GB"/>
        </w:rPr>
        <w:t xml:space="preserve">rs and chairs of governors believe that </w:t>
      </w:r>
      <w:r w:rsidRPr="009B3747">
        <w:rPr>
          <w:rFonts w:eastAsia="Times New Roman" w:cstheme="minorHAnsi"/>
          <w:color w:val="000000"/>
          <w:lang w:eastAsia="en-GB"/>
        </w:rPr>
        <w:t xml:space="preserve">secondary schools should play a role in prevention and believe schools are able to positively influence adolescent lifestyle </w:t>
      </w:r>
      <w:r w:rsidRPr="009B3747">
        <w:rPr>
          <w:rFonts w:eastAsia="Times New Roman" w:cstheme="minorHAnsi"/>
          <w:color w:val="000000"/>
          <w:lang w:eastAsia="en-GB"/>
        </w:rPr>
        <w:lastRenderedPageBreak/>
        <w:t>behaviours.  Furthermore, survey participants were broadly supportive of statements from the NICE obesity prevention pathway referencing specific responsibilities of headteachers and chairs of governors</w:t>
      </w:r>
      <w:r w:rsidR="00627A0E" w:rsidRPr="009B3747">
        <w:rPr>
          <w:rFonts w:eastAsia="Times New Roman" w:cstheme="minorHAnsi"/>
          <w:color w:val="000000"/>
          <w:lang w:eastAsia="en-GB"/>
        </w:rPr>
        <w:t xml:space="preserve"> </w:t>
      </w:r>
      <w:r w:rsidR="00627A0E"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"National Institute of Health and Care Excellence", "given" : "", "non-dropping-particle" : "", "parse-names" : false, "suffix" : "" } ], "id" : "ITEM-1", "issued" : { "date-parts" : [ [ "2015" ] ] }, "publisher-place" : "London", "title" : "NICE Pathway - Preventing Obesity", "type" : "report" }, "uris" : [ "http://www.mendeley.com/documents/?uuid=b4b27288-9afd-4746-a8da-bc42a8085260" ] } ], "mendeley" : { "formattedCitation" : "(National Institute of Health and Care Excellence, 2015a)", "plainTextFormattedCitation" : "(National Institute of Health and Care Excellence, 2015a)", "previouslyFormattedCitation" : "(National Institute of Health and Care Excellence, 2015a)" }, "properties" : { "noteIndex" : 0 }, "schema" : "https://github.com/citation-style-language/schema/raw/master/csl-citation.json" }</w:instrText>
      </w:r>
      <w:r w:rsidR="00627A0E" w:rsidRPr="009B3747">
        <w:rPr>
          <w:rFonts w:eastAsia="Times New Roman" w:cstheme="minorHAnsi"/>
          <w:color w:val="000000"/>
          <w:lang w:eastAsia="en-GB"/>
        </w:rPr>
        <w:fldChar w:fldCharType="separate"/>
      </w:r>
      <w:r w:rsidR="00627A0E" w:rsidRPr="009B3747">
        <w:rPr>
          <w:rFonts w:eastAsia="Times New Roman" w:cstheme="minorHAnsi"/>
          <w:noProof/>
          <w:color w:val="000000"/>
          <w:lang w:eastAsia="en-GB"/>
        </w:rPr>
        <w:t>(National Institute of Health and Care Excellence, 2015a)</w:t>
      </w:r>
      <w:r w:rsidR="00627A0E" w:rsidRPr="009B3747">
        <w:rPr>
          <w:rFonts w:eastAsia="Times New Roman" w:cstheme="minorHAnsi"/>
          <w:color w:val="000000"/>
          <w:lang w:eastAsia="en-GB"/>
        </w:rPr>
        <w:fldChar w:fldCharType="end"/>
      </w:r>
      <w:r w:rsidRPr="009B3747">
        <w:rPr>
          <w:rFonts w:eastAsia="Times New Roman" w:cstheme="minorHAnsi"/>
          <w:color w:val="000000"/>
          <w:lang w:eastAsia="en-GB"/>
        </w:rPr>
        <w:t>.  The advocated role of schools in the prevention agenda</w:t>
      </w:r>
      <w:r w:rsidR="00FC497A">
        <w:rPr>
          <w:rFonts w:eastAsia="Times New Roman" w:cstheme="minorHAnsi"/>
          <w:color w:val="000000"/>
          <w:lang w:eastAsia="en-GB"/>
        </w:rPr>
        <w:t>,</w:t>
      </w:r>
      <w:r w:rsidRPr="009B3747">
        <w:rPr>
          <w:rFonts w:eastAsia="Times New Roman" w:cstheme="minorHAnsi"/>
          <w:color w:val="000000"/>
          <w:lang w:eastAsia="en-GB"/>
        </w:rPr>
        <w:t xml:space="preserve"> is a finding echoed by earlier studies regarding the views of primary school headteachers in the UK (Clarke et al</w:t>
      </w:r>
      <w:r w:rsidR="00627A0E" w:rsidRPr="009B3747">
        <w:rPr>
          <w:rFonts w:eastAsia="Times New Roman" w:cstheme="minorHAnsi"/>
          <w:color w:val="000000"/>
          <w:lang w:eastAsia="en-GB"/>
        </w:rPr>
        <w:t>.</w:t>
      </w:r>
      <w:r w:rsidRPr="009B3747">
        <w:rPr>
          <w:rFonts w:eastAsia="Times New Roman" w:cstheme="minorHAnsi"/>
          <w:color w:val="000000"/>
          <w:lang w:eastAsia="en-GB"/>
        </w:rPr>
        <w:t>, 2015; Howard-Drake and Halliday, 2015; Todd et al</w:t>
      </w:r>
      <w:r w:rsidR="00627A0E" w:rsidRPr="009B3747">
        <w:rPr>
          <w:rFonts w:eastAsia="Times New Roman" w:cstheme="minorHAnsi"/>
          <w:color w:val="000000"/>
          <w:lang w:eastAsia="en-GB"/>
        </w:rPr>
        <w:t>.</w:t>
      </w:r>
      <w:r w:rsidRPr="009B3747">
        <w:rPr>
          <w:rFonts w:eastAsia="Times New Roman" w:cstheme="minorHAnsi"/>
          <w:color w:val="000000"/>
          <w:lang w:eastAsia="en-GB"/>
        </w:rPr>
        <w:t>, 2015).  </w:t>
      </w:r>
    </w:p>
    <w:p w:rsidR="00AC3B26" w:rsidRPr="009B3747" w:rsidRDefault="00AC3B26" w:rsidP="00AC3B26">
      <w:pPr>
        <w:rPr>
          <w:rFonts w:eastAsia="Times New Roman" w:cstheme="minorHAnsi"/>
          <w:sz w:val="24"/>
          <w:szCs w:val="24"/>
          <w:lang w:eastAsia="en-GB"/>
        </w:rPr>
      </w:pPr>
    </w:p>
    <w:p w:rsidR="00FC497A" w:rsidRDefault="00AC3B26" w:rsidP="00AC3B26">
      <w:pPr>
        <w:rPr>
          <w:rFonts w:eastAsia="Times New Roman" w:cstheme="minorHAnsi"/>
          <w:color w:val="000000"/>
          <w:lang w:eastAsia="en-GB"/>
        </w:rPr>
      </w:pPr>
      <w:r w:rsidRPr="009B3747">
        <w:rPr>
          <w:rFonts w:eastAsia="Times New Roman" w:cstheme="minorHAnsi"/>
          <w:color w:val="000000"/>
          <w:lang w:eastAsia="en-GB"/>
        </w:rPr>
        <w:t>In addition, although participants strongly emphasised the value of health education, it was identified that a variety of interventions and action contributing t</w:t>
      </w:r>
      <w:r w:rsidR="00FC497A">
        <w:rPr>
          <w:rFonts w:eastAsia="Times New Roman" w:cstheme="minorHAnsi"/>
          <w:color w:val="000000"/>
          <w:lang w:eastAsia="en-GB"/>
        </w:rPr>
        <w:t xml:space="preserve">o the obesity prevention agenda </w:t>
      </w:r>
      <w:r w:rsidRPr="009B3747">
        <w:rPr>
          <w:rFonts w:eastAsia="Times New Roman" w:cstheme="minorHAnsi"/>
          <w:color w:val="000000"/>
          <w:lang w:eastAsia="en-GB"/>
        </w:rPr>
        <w:t>are delivered in secondary school settings.</w:t>
      </w:r>
      <w:r w:rsidR="00FC497A">
        <w:rPr>
          <w:rFonts w:eastAsia="Times New Roman" w:cstheme="minorHAnsi"/>
          <w:color w:val="000000"/>
          <w:lang w:eastAsia="en-GB"/>
        </w:rPr>
        <w:t xml:space="preserve">  Furthermore, these are re</w:t>
      </w:r>
      <w:r w:rsidR="00FC497A" w:rsidRPr="009B3747">
        <w:rPr>
          <w:rFonts w:eastAsia="Times New Roman" w:cstheme="minorHAnsi"/>
          <w:color w:val="000000"/>
          <w:lang w:eastAsia="en-GB"/>
        </w:rPr>
        <w:t xml:space="preserve">flective of the ‘Health Promoting School’s framework’ </w:t>
      </w:r>
      <w:r w:rsidR="00FC497A" w:rsidRPr="009B3747">
        <w:rPr>
          <w:rFonts w:eastAsia="Times New Roman" w:cstheme="minorHAnsi"/>
          <w:color w:val="000000"/>
          <w:lang w:eastAsia="en-GB"/>
        </w:rPr>
        <w:fldChar w:fldCharType="begin" w:fldLock="1"/>
      </w:r>
      <w:r w:rsidR="00FC497A" w:rsidRPr="009B3747">
        <w:rPr>
          <w:rFonts w:eastAsia="Times New Roman" w:cstheme="minorHAnsi"/>
          <w:color w:val="000000"/>
          <w:lang w:eastAsia="en-GB"/>
        </w:rPr>
        <w:instrText>ADDIN CSL_CITATION { "citationItems" : [ { "id" : "ITEM-1", "itemData" : { "author" : [ { "dropping-particle" : "", "family" : "World Health Organization", "given" : "", "non-dropping-particle" : "", "parse-names" : false, "suffix" : "" } ], "container-title" : "First international conference on health promotion", "id" : "ITEM-1", "issued" : { "date-parts" : [ [ "1986" ] ] }, "publisher-place" : "Ottawa", "title" : "Ottawa charter for health promotion", "type" : "paper-conference" }, "uris" : [ "http://www.mendeley.com/documents/?uuid=a0f6db19-6068-4326-8e2b-ae35427d07f9" ] }, { "id" : "ITEM-2", "itemData" : { "author" : [ { "dropping-particle" : "", "family" : "Langford", "given" : "R", "non-dropping-particle" : "", "parse-names" : false, "suffix" : "" }, { "dropping-particle" : "", "family" : "Bonell", "given" : "C", "non-dropping-particle" : "", "parse-names" : false, "suffix" : "" } ], "container-title" : "International Journal of Behavioral Nutrition and Physical Activity", "id" : "ITEM-2", "issue" : "15", "issued" : { "date-parts" : [ [ "2015" ] ] }, "title" : "Obesity prevention and the Health promoting Schools framework: essential components and barriers to success", "type" : "article-journal", "volume" : "12" }, "uris" : [ "http://www.mendeley.com/documents/?uuid=33a18f66-3855-47de-96c1-ab2efb0e4b0c" ] }, { "id" : "ITEM-3", "itemData" : { "DOI" : "10.1177/1090198116673800", "ISSN" : "1090-1981", "abstract" : "The World Health Organization\u2019s Health Promoting Schools (HPS) framework is a whole-school approach to promoting health that recognizes the intrinsic relationship between health and education. Our recent Cochrane systematic review found HPS interventions produced improvements in a number of student health outcomes. Here we reflect on what this review was not able to tell us: in other words, what evidence is missing with regard to the HPS approach. Few HPS interventions engage with schools\u2019 \u201ccore business\u201d by examining impacts on educational outcomes. Current evidence is dominated by obesity interventions, with most studies conducted with children rather than adolescents. Evidence is lacking for outcomes such as mental or sexual health, substance use, and violence. Activities to engage families and communities are currently weak and unlikely to prompt behavioral change. The HPS approach is largely absent in low-income settings, despite its potential in meeting children\u2019s basic health needs. Intervention th...", "author" : [ { "dropping-particle" : "", "family" : "Langford", "given" : "Rebecca", "non-dropping-particle" : "", "parse-names" : false, "suffix" : "" }, { "dropping-particle" : "", "family" : "Bonell", "given" : "Christopher", "non-dropping-particle" : "", "parse-names" : false, "suffix" : "" }, { "dropping-particle" : "", "family" : "Komro", "given" : "Kelli", "non-dropping-particle" : "", "parse-names" : false, "suffix" : "" }, { "dropping-particle" : "", "family" : "Murphy", "given" : "Simon", "non-dropping-particle" : "", "parse-names" : false, "suffix" : "" }, { "dropping-particle" : "", "family" : "Magnus", "given" : "Daniel", "non-dropping-particle" : "", "parse-names" : false, "suffix" : "" }, { "dropping-particle" : "", "family" : "Waters", "given" : "Elizabeth", "non-dropping-particle" : "", "parse-names" : false, "suffix" : "" }, { "dropping-particle" : "", "family" : "Gibbs", "given" : "Lisa", "non-dropping-particle" : "", "parse-names" : false, "suffix" : "" }, { "dropping-particle" : "", "family" : "Campbell", "given" : "Rona", "non-dropping-particle" : "", "parse-names" : false, "suffix" : "" } ], "container-title" : "Health Education &amp; Behavior", "id" : "ITEM-3", "issue" : "3", "issued" : { "date-parts" : [ [ "2017", "6", "14" ] ] }, "page" : "463-475", "publisher" : "SAGE PublicationsSage CA: Los Angeles, CA", "title" : "The Health Promoting Schools Framework: Known Unknowns and an Agenda for Future Research", "type" : "article-journal", "volume" : "44" }, "uris" : [ "http://www.mendeley.com/documents/?uuid=de774f89-a5aa-30ec-92b3-bfccef33e128" ] } ], "mendeley" : { "formattedCitation" : "(World Health Organization, 1986a; Langford and Bonell, 2015; Langford et al., 2017)", "plainTextFormattedCitation" : "(World Health Organization, 1986a; Langford and Bonell, 2015; Langford et al., 2017)", "previouslyFormattedCitation" : "(World Health Organization, 1986a; Langford and Bonell, 2015; Langford et al., 2017)" }, "properties" : { "noteIndex" : 0 }, "schema" : "https://github.com/citation-style-language/schema/raw/master/csl-citation.json" }</w:instrText>
      </w:r>
      <w:r w:rsidR="00FC497A" w:rsidRPr="009B3747">
        <w:rPr>
          <w:rFonts w:eastAsia="Times New Roman" w:cstheme="minorHAnsi"/>
          <w:color w:val="000000"/>
          <w:lang w:eastAsia="en-GB"/>
        </w:rPr>
        <w:fldChar w:fldCharType="separate"/>
      </w:r>
      <w:r w:rsidR="00FC497A" w:rsidRPr="009B3747">
        <w:rPr>
          <w:rFonts w:eastAsia="Times New Roman" w:cstheme="minorHAnsi"/>
          <w:noProof/>
          <w:color w:val="000000"/>
          <w:lang w:eastAsia="en-GB"/>
        </w:rPr>
        <w:t>(World Health Organization, 1986a; Langford and Bonell, 2015; Langford et al., 2017)</w:t>
      </w:r>
      <w:r w:rsidR="00FC497A" w:rsidRPr="009B3747">
        <w:rPr>
          <w:rFonts w:eastAsia="Times New Roman" w:cstheme="minorHAnsi"/>
          <w:color w:val="000000"/>
          <w:lang w:eastAsia="en-GB"/>
        </w:rPr>
        <w:fldChar w:fldCharType="end"/>
      </w:r>
      <w:r w:rsidRPr="009B3747">
        <w:rPr>
          <w:rFonts w:eastAsia="Times New Roman" w:cstheme="minorHAnsi"/>
          <w:color w:val="000000"/>
          <w:lang w:eastAsia="en-GB"/>
        </w:rPr>
        <w:t xml:space="preserve">  Interestingly, chairs of governors appeared to have less knowledge of or involvement in school action contributing to</w:t>
      </w:r>
      <w:r w:rsidR="00FC497A">
        <w:rPr>
          <w:rFonts w:eastAsia="Times New Roman" w:cstheme="minorHAnsi"/>
          <w:color w:val="000000"/>
          <w:lang w:eastAsia="en-GB"/>
        </w:rPr>
        <w:t xml:space="preserve"> obesity prevention compared to h</w:t>
      </w:r>
      <w:r w:rsidRPr="009B3747">
        <w:rPr>
          <w:rFonts w:eastAsia="Times New Roman" w:cstheme="minorHAnsi"/>
          <w:color w:val="000000"/>
          <w:lang w:eastAsia="en-GB"/>
        </w:rPr>
        <w:t>eadteachers.  </w:t>
      </w:r>
    </w:p>
    <w:p w:rsidR="00AC3B26" w:rsidRPr="009B3747" w:rsidRDefault="00FC497A" w:rsidP="00AC3B26">
      <w:pPr>
        <w:rPr>
          <w:rFonts w:eastAsia="Times New Roman" w:cstheme="minorHAnsi"/>
          <w:sz w:val="24"/>
          <w:szCs w:val="24"/>
          <w:lang w:eastAsia="en-GB"/>
        </w:rPr>
      </w:pPr>
      <w:r>
        <w:rPr>
          <w:rFonts w:eastAsia="Times New Roman" w:cstheme="minorHAnsi"/>
          <w:color w:val="000000"/>
          <w:lang w:eastAsia="en-GB"/>
        </w:rPr>
        <w:t>Furthermore, headtea</w:t>
      </w:r>
      <w:r w:rsidR="00AC3B26" w:rsidRPr="009B3747">
        <w:rPr>
          <w:rFonts w:eastAsia="Times New Roman" w:cstheme="minorHAnsi"/>
          <w:color w:val="000000"/>
          <w:lang w:eastAsia="en-GB"/>
        </w:rPr>
        <w:t>chers clearly identified themselves as the key decision maker, determining a school’s priorities and activity</w:t>
      </w:r>
      <w:r w:rsidR="00AC3B26" w:rsidRPr="009B3747">
        <w:rPr>
          <w:rFonts w:eastAsia="Times New Roman" w:cstheme="minorHAnsi"/>
          <w:color w:val="000000"/>
          <w:sz w:val="20"/>
          <w:szCs w:val="20"/>
          <w:lang w:eastAsia="en-GB"/>
        </w:rPr>
        <w:t>.  </w:t>
      </w:r>
      <w:r w:rsidR="00AC3B26" w:rsidRPr="009B3747">
        <w:rPr>
          <w:rFonts w:eastAsia="Times New Roman" w:cstheme="minorHAnsi"/>
          <w:color w:val="000000"/>
          <w:lang w:eastAsia="en-GB"/>
        </w:rPr>
        <w:t>This finding could be significant, given that the NICE obesity prevention pathway identifies the importance of both roles</w:t>
      </w:r>
      <w:r w:rsidR="00627A0E" w:rsidRPr="009B3747">
        <w:rPr>
          <w:rFonts w:eastAsia="Times New Roman" w:cstheme="minorHAnsi"/>
          <w:color w:val="000000"/>
          <w:lang w:eastAsia="en-GB"/>
        </w:rPr>
        <w:t xml:space="preserve"> </w:t>
      </w:r>
      <w:r w:rsidR="00627A0E"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"National Institute of Health and Care Excellence", "given" : "", "non-dropping-particle" : "", "parse-names" : false, "suffix" : "" } ], "id" : "ITEM-1", "issued" : { "date-parts" : [ [ "2015" ] ] }, "publisher-place" : "London", "title" : "NICE Pathway - Preventing Obesity", "type" : "report" }, "uris" : [ "http://www.mendeley.com/documents/?uuid=b4b27288-9afd-4746-a8da-bc42a8085260" ] } ], "mendeley" : { "formattedCitation" : "(National Institute of Health and Care Excellence, 2015a)", "plainTextFormattedCitation" : "(National Institute of Health and Care Excellence, 2015a)", "previouslyFormattedCitation" : "(National Institute of Health and Care Excellence, 2015a)" }, "properties" : { "noteIndex" : 0 }, "schema" : "https://github.com/citation-style-language/schema/raw/master/csl-citation.json" }</w:instrText>
      </w:r>
      <w:r w:rsidR="00627A0E" w:rsidRPr="009B3747">
        <w:rPr>
          <w:rFonts w:eastAsia="Times New Roman" w:cstheme="minorHAnsi"/>
          <w:color w:val="000000"/>
          <w:lang w:eastAsia="en-GB"/>
        </w:rPr>
        <w:fldChar w:fldCharType="separate"/>
      </w:r>
      <w:r w:rsidR="00627A0E" w:rsidRPr="009B3747">
        <w:rPr>
          <w:rFonts w:eastAsia="Times New Roman" w:cstheme="minorHAnsi"/>
          <w:noProof/>
          <w:color w:val="000000"/>
          <w:lang w:eastAsia="en-GB"/>
        </w:rPr>
        <w:t>(National Institute of Health and Care Excellence, 2015a)</w:t>
      </w:r>
      <w:r w:rsidR="00627A0E" w:rsidRPr="009B3747">
        <w:rPr>
          <w:rFonts w:eastAsia="Times New Roman" w:cstheme="minorHAnsi"/>
          <w:color w:val="000000"/>
          <w:lang w:eastAsia="en-GB"/>
        </w:rPr>
        <w:fldChar w:fldCharType="end"/>
      </w:r>
      <w:r w:rsidR="00AC3B26" w:rsidRPr="009B3747">
        <w:rPr>
          <w:rFonts w:eastAsia="Times New Roman" w:cstheme="minorHAnsi"/>
          <w:color w:val="000000"/>
          <w:lang w:eastAsia="en-GB"/>
        </w:rPr>
        <w:t>.  It may therefore be conducive for public health specialists to foster greater engagement with secondary school headteachers given the reported internal decision making dynamics.  </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For most preventing excess weight was generally not found to be an explicit priority or school policy focus, however this study similarly to earlier research with UK primary school headteachers (Clarke et al</w:t>
      </w:r>
      <w:r w:rsidR="001A574B" w:rsidRPr="009B3747">
        <w:rPr>
          <w:rFonts w:eastAsia="Times New Roman" w:cstheme="minorHAnsi"/>
          <w:color w:val="000000"/>
          <w:lang w:eastAsia="en-GB"/>
        </w:rPr>
        <w:t>.</w:t>
      </w:r>
      <w:r w:rsidRPr="009B3747">
        <w:rPr>
          <w:rFonts w:eastAsia="Times New Roman" w:cstheme="minorHAnsi"/>
          <w:color w:val="000000"/>
          <w:lang w:eastAsia="en-GB"/>
        </w:rPr>
        <w:t>, 2015; Howard-Drake</w:t>
      </w:r>
      <w:r w:rsidR="001A574B" w:rsidRPr="009B3747">
        <w:rPr>
          <w:rFonts w:eastAsia="Times New Roman" w:cstheme="minorHAnsi"/>
          <w:color w:val="000000"/>
          <w:lang w:eastAsia="en-GB"/>
        </w:rPr>
        <w:t xml:space="preserve"> and Halliday</w:t>
      </w:r>
      <w:r w:rsidR="00CF6650" w:rsidRPr="009B3747">
        <w:rPr>
          <w:rFonts w:eastAsia="Times New Roman" w:cstheme="minorHAnsi"/>
          <w:color w:val="000000"/>
          <w:lang w:eastAsia="en-GB"/>
        </w:rPr>
        <w:t>, 2015)</w:t>
      </w:r>
      <w:r w:rsidR="00FC497A">
        <w:rPr>
          <w:rFonts w:eastAsia="Times New Roman" w:cstheme="minorHAnsi"/>
          <w:color w:val="000000"/>
          <w:lang w:eastAsia="en-GB"/>
        </w:rPr>
        <w:t>,</w:t>
      </w:r>
      <w:r w:rsidR="00CF6650" w:rsidRPr="009B3747">
        <w:rPr>
          <w:rFonts w:eastAsia="Times New Roman" w:cstheme="minorHAnsi"/>
          <w:color w:val="000000"/>
          <w:lang w:eastAsia="en-GB"/>
        </w:rPr>
        <w:t xml:space="preserve"> found that</w:t>
      </w:r>
      <w:r w:rsidRPr="009B3747">
        <w:rPr>
          <w:rFonts w:eastAsia="Times New Roman" w:cstheme="minorHAnsi"/>
          <w:color w:val="000000"/>
          <w:lang w:eastAsia="en-GB"/>
        </w:rPr>
        <w:t xml:space="preserve"> secondary schools prioritise the improvement of pupil’s dietary and physical activity behaviours.  This was reported in both research phases, where participants confirmed that their school provides and promotes opportunities both in the curriculum and wider school environment</w:t>
      </w:r>
      <w:r w:rsidR="00FC497A">
        <w:rPr>
          <w:rFonts w:eastAsia="Times New Roman" w:cstheme="minorHAnsi"/>
          <w:color w:val="000000"/>
          <w:lang w:eastAsia="en-GB"/>
        </w:rPr>
        <w:t>,</w:t>
      </w:r>
      <w:r w:rsidRPr="009B3747">
        <w:rPr>
          <w:rFonts w:eastAsia="Times New Roman" w:cstheme="minorHAnsi"/>
          <w:color w:val="000000"/>
          <w:lang w:eastAsia="en-GB"/>
        </w:rPr>
        <w:t xml:space="preserve"> for pupils</w:t>
      </w:r>
      <w:r w:rsidR="00FC497A">
        <w:rPr>
          <w:rFonts w:eastAsia="Times New Roman" w:cstheme="minorHAnsi"/>
          <w:color w:val="000000"/>
          <w:lang w:eastAsia="en-GB"/>
        </w:rPr>
        <w:t xml:space="preserve"> to</w:t>
      </w:r>
      <w:r w:rsidRPr="009B3747">
        <w:rPr>
          <w:rFonts w:eastAsia="Times New Roman" w:cstheme="minorHAnsi"/>
          <w:color w:val="000000"/>
          <w:lang w:eastAsia="en-GB"/>
        </w:rPr>
        <w:t xml:space="preserve"> learn about and engage in healthy lifestyle behaviours.  Furthermore, the provision of extra-curricular activities especial</w:t>
      </w:r>
      <w:r w:rsidR="00FC497A">
        <w:rPr>
          <w:rFonts w:eastAsia="Times New Roman" w:cstheme="minorHAnsi"/>
          <w:color w:val="000000"/>
          <w:lang w:eastAsia="en-GB"/>
        </w:rPr>
        <w:t xml:space="preserve">ly related to physical activity </w:t>
      </w:r>
      <w:r w:rsidRPr="009B3747">
        <w:rPr>
          <w:rFonts w:eastAsia="Times New Roman" w:cstheme="minorHAnsi"/>
          <w:color w:val="000000"/>
          <w:lang w:eastAsia="en-GB"/>
        </w:rPr>
        <w:t>were deemed commonplace</w:t>
      </w:r>
      <w:r w:rsidR="00FC497A">
        <w:rPr>
          <w:rFonts w:eastAsia="Times New Roman" w:cstheme="minorHAnsi"/>
          <w:color w:val="000000"/>
          <w:lang w:eastAsia="en-GB"/>
        </w:rPr>
        <w:t>,</w:t>
      </w:r>
      <w:r w:rsidRPr="009B3747">
        <w:rPr>
          <w:rFonts w:eastAsia="Times New Roman" w:cstheme="minorHAnsi"/>
          <w:color w:val="000000"/>
          <w:lang w:eastAsia="en-GB"/>
        </w:rPr>
        <w:t xml:space="preserve"> and a commitment to creating a healthy food environment was apparent.  Driving this action and reflective of extensive research was the understanding that a reciprocal relationship exists between lifestyle behaviours, health and educational outcomes</w:t>
      </w:r>
      <w:r w:rsidR="001A574B" w:rsidRPr="009B3747">
        <w:rPr>
          <w:rFonts w:eastAsia="Times New Roman" w:cstheme="minorHAnsi"/>
          <w:color w:val="000000"/>
          <w:lang w:eastAsia="en-GB"/>
        </w:rPr>
        <w:t xml:space="preserve"> </w:t>
      </w:r>
      <w:r w:rsidR="001A574B"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"Bonell", "given" : "C", "non-dropping-particle" : "", "parse-names" : false, "suffix" : "" }, { "dropping-particle" : "", "family" : "Humphrey", "given" : "N", "non-dropping-particle" : "", "parse-names" : false, "suffix" : "" }, { "dropping-particle" : "", "family" : "Fletcher", "given" : "A", "non-dropping-particle" : "", "parse-names" : false, "suffix" : "" } ], "container-title" : "BMJ", "id" : "ITEM-1", "issue" : "13", "issued" : { "date-parts" : [ [ "2014" ] ] }, "title" : "Why schools should promote students' health and wellbeing", "type" : "article-journal", "volume" : "348" }, "uris" : [ "http://www.mendeley.com/documents/?uuid=dca5dbfa-95df-4e15-aaf7-44d4a78d1056" ] }, { "id" : "ITEM-2", "itemData" : { "author" : [ { "dropping-particle" : "", "family" : "Langford", "given" : "R", "non-dropping-particle" : "", "parse-names" : false, "suffix" : "" }, { "dropping-particle" : "", "family" : "Bonell", "given" : "C", "non-dropping-particle" : "", "parse-names" : false, "suffix" : "" } ], "container-title" : "International Journal of Behavioral Nutrition and Physical Activity", "id" : "ITEM-2", "issue" : "15", "issued" : { "date-parts" : [ [ "2015" ] ] }, "title" : "Obesity prevention and the Health promoting Schools framework: essential components and barriers to success", "type" : "article-journal", "volume" : "12" }, "uris" : [ "http://www.mendeley.com/documents/?uuid=33a18f66-3855-47de-96c1-ab2efb0e4b0c" ] }, { "id" : "ITEM-3", "itemData" : { "DOI" : "10.1097/MD.0000000000003096", "ISSN" : "1536-5964", "PMID" : "27015180", "abstract" : "Several studies suggest that dietary habits are associated with poor academic performance. However, few studies have evaluated these relations after adjusting for numerous confounding factors. This study evaluated the frequency of various diet items (fruit, soft drinks, fast foods, instant noodles, confections, vegetables, and milk) and the regularity of meal times (breakfast, lunch, and dinner) all at once.A total of 359,264 participants aged from 12 to 18 years old were pooled from the Korea Youth Risk Behavior Web-based Survey (KYRBWS) for the 2009 to 2013 period. Dietary habits over the last 7 days were surveyed, including the regularity of consuming breakfast, lunch and dinner and the frequency of eating fruits, soft drinks, fast foods, instant noodles, confections, vegetables, and milk. Physical activity, obesity, region of residence, subjective assessment of health, stress level, economic level, and parental education level were collected from all of the study participants. School performance was classified into 5 levels. The adjusted odds ratios (AORs) of dietary habits for school performance were analyzed using multinomial logistic regression analyses with complex sampling. Structural equation modeling was used to analyze the effects of diet factors on school performance while considering the effects of other variables on both diet factors and school performance.Frequent intakes of breakfast (AOR\u200a=\u200a2.34, 95% confidence interval [CI]\u200a=\u200a2.20-2.48), fruits (AOR\u200a=\u200a1.73, 95% CI\u200a=\u200a1.62-1.86), vegetables (AOR\u200a=\u200a1.48, 95% CI\u200a=\u200a1.37-1.61), and milk (AOR\u200a=\u200a1.35, 95% CI\u200a=\u200a1.28-1.43) were related to high levels of school performance (each with P\u200a&lt;\u200a0.001). In contrast, soft drinks (AOR\u200a=\u200a0.42, 95% CI\u200a=\u200a0.38-0.46), instant noodles (AOR\u200a=\u200a0.62, 95% CI\u200a=\u200a0.55-0.70), fast food (AOR\u200a=\u200a0.83, 95% CI\u200a=\u200a0.72-0.96), and confectionary (AOR\u200a=\u200a0.86, 95% CI\u200a=\u200a0.80-0.93) were negatively associated with school performance (each with P\u200a&lt;\u200a0.001).This study confirms previous studies of school performance and dietary habits that find a positive association with eating breakfast and consuming fruits and milk and a negative relation with soft drinks, instant noodles, fast foods, and confections.", "author" : [ { "dropping-particle" : "", "family" : "Kim", "given" : "So Young", "non-dropping-particle" : "", "parse-names" : false, "suffix" : "" }, { "dropping-particle" : "", "family" : "Sim", "given" : "Songyong", "non-dropping-particle" : "", "parse-names" : false, "suffix" : "" }, { "dropping-particle" : "", "family" : "Park", "given" : "Bumjung", "non-dropping-particle" : "", "parse-names" : false, "suffix" : "" }, { "dropping-particle" : "", "family" : "Kong", "given" : "Il Gyu", "non-dropping-particle" : "", "parse-names" : false, "suffix" : "" }, { "dropping-particle" : "", "family" : "Kim", "given" : "Jin-Hwan", "non-dropping-particle" : "", "parse-names" : false, "suffix" : "" }, { "dropping-particle" : "", "family" : "Choi", "given" : "Hyo Geun", "non-dropping-particle" : "", "parse-names" : false, "suffix" : "" } ], "container-title" : "Medicine", "id" : "ITEM-3", "issue" : "12", "issued" : { "date-parts" : [ [ "2016", "3" ] ] }, "page" : "e3096", "publisher" : "Wolters Kluwer Health", "title" : "Dietary Habits Are Associated With School Performance in Adolescents.", "type" : "article-journal", "volume" : "95" }, "uris" : [ "http://www.mendeley.com/documents/?uuid=34f241a2-4915-34b7-85a6-3b0516fe0864" ] } ], "mendeley" : { "formattedCitation" : "(Bonell et al., 2014; Langford and Bonell, 2015; Kim et al., 2016)", "plainTextFormattedCitation" : "(Bonell et al., 2014; Langford and Bonell, 2015; Kim et al., 2016)", "previouslyFormattedCitation" : "(Bonell et al., 2014; Langford and Bonell, 2015; Kim et al., 2016)" }, "properties" : { "noteIndex" : 0 }, "schema" : "https://github.com/citation-style-language/schema/raw/master/csl-citation.json" }</w:instrText>
      </w:r>
      <w:r w:rsidR="001A574B" w:rsidRPr="009B3747">
        <w:rPr>
          <w:rFonts w:eastAsia="Times New Roman" w:cstheme="minorHAnsi"/>
          <w:color w:val="000000"/>
          <w:lang w:eastAsia="en-GB"/>
        </w:rPr>
        <w:fldChar w:fldCharType="separate"/>
      </w:r>
      <w:r w:rsidR="001A574B" w:rsidRPr="009B3747">
        <w:rPr>
          <w:rFonts w:eastAsia="Times New Roman" w:cstheme="minorHAnsi"/>
          <w:noProof/>
          <w:color w:val="000000"/>
          <w:lang w:eastAsia="en-GB"/>
        </w:rPr>
        <w:t>(Bonell et al., 2014; Langford and Bonell, 2015; Kim et al., 2016)</w:t>
      </w:r>
      <w:r w:rsidR="001A574B" w:rsidRPr="009B3747">
        <w:rPr>
          <w:rFonts w:eastAsia="Times New Roman" w:cstheme="minorHAnsi"/>
          <w:color w:val="000000"/>
          <w:lang w:eastAsia="en-GB"/>
        </w:rPr>
        <w:fldChar w:fldCharType="end"/>
      </w:r>
      <w:r w:rsidR="001A574B" w:rsidRPr="009B3747">
        <w:rPr>
          <w:rFonts w:eastAsia="Times New Roman" w:cstheme="minorHAnsi"/>
          <w:color w:val="000000"/>
          <w:lang w:eastAsia="en-GB"/>
        </w:rPr>
        <w:t>.</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 xml:space="preserve">Despite the importance placed on this symbiotic relationship </w:t>
      </w:r>
      <w:r w:rsidR="001A574B" w:rsidRPr="009B3747">
        <w:rPr>
          <w:rFonts w:eastAsia="Times New Roman" w:cstheme="minorHAnsi"/>
          <w:color w:val="000000"/>
          <w:lang w:eastAsia="en-GB"/>
        </w:rPr>
        <w:fldChar w:fldCharType="begin" w:fldLock="1"/>
      </w:r>
      <w:r w:rsidR="0039768F" w:rsidRPr="009B3747">
        <w:rPr>
          <w:rFonts w:eastAsia="Times New Roman" w:cstheme="minorHAnsi"/>
          <w:color w:val="000000"/>
          <w:lang w:eastAsia="en-GB"/>
        </w:rPr>
        <w:instrText>ADDIN CSL_CITATION { "citationItems" : [ { "id" : "ITEM-1", "itemData" : { "author" : [ { "dropping-particle" : "", "family" : "Public Health England", "given" : "", "non-dropping-particle" : "", "parse-names" : false, "suffix" : "" } ], "id" : "ITEM-1", "issued" : { "date-parts" : [ [ "2014" ] ] }, "publisher-place" : "London", "title" : "The link between pupil health and wellbeing and attainment", "type" : "report" }, "uris" : [ "http://www.mendeley.com/documents/?uuid=5c2ad93c-1b7b-419f-8c07-910a8d2ebb04" ] } ], "mendeley" : { "formattedCitation" : "(Public Health England, 2014c)", "plainTextFormattedCitation" : "(Public Health England, 2014c)", "previouslyFormattedCitation" : "(Public Health England, 2014c)" }, "properties" : { "noteIndex" : 0 }, "schema" : "https://github.com/citation-style-language/schema/raw/master/csl-citation.json" }</w:instrText>
      </w:r>
      <w:r w:rsidR="001A574B" w:rsidRPr="009B3747">
        <w:rPr>
          <w:rFonts w:eastAsia="Times New Roman" w:cstheme="minorHAnsi"/>
          <w:color w:val="000000"/>
          <w:lang w:eastAsia="en-GB"/>
        </w:rPr>
        <w:fldChar w:fldCharType="separate"/>
      </w:r>
      <w:r w:rsidR="00967099" w:rsidRPr="009B3747">
        <w:rPr>
          <w:rFonts w:eastAsia="Times New Roman" w:cstheme="minorHAnsi"/>
          <w:noProof/>
          <w:color w:val="000000"/>
          <w:lang w:eastAsia="en-GB"/>
        </w:rPr>
        <w:t>(Public Health England, 2014c)</w:t>
      </w:r>
      <w:r w:rsidR="001A574B" w:rsidRPr="009B3747">
        <w:rPr>
          <w:rFonts w:eastAsia="Times New Roman" w:cstheme="minorHAnsi"/>
          <w:color w:val="000000"/>
          <w:lang w:eastAsia="en-GB"/>
        </w:rPr>
        <w:fldChar w:fldCharType="end"/>
      </w:r>
      <w:r w:rsidR="001A574B" w:rsidRPr="009B3747">
        <w:rPr>
          <w:rFonts w:eastAsia="Times New Roman" w:cstheme="minorHAnsi"/>
          <w:color w:val="000000"/>
          <w:lang w:eastAsia="en-GB"/>
        </w:rPr>
        <w:t>,</w:t>
      </w:r>
      <w:r w:rsidR="00FC497A">
        <w:rPr>
          <w:rFonts w:eastAsia="Times New Roman" w:cstheme="minorHAnsi"/>
          <w:color w:val="000000"/>
          <w:lang w:eastAsia="en-GB"/>
        </w:rPr>
        <w:t xml:space="preserve"> </w:t>
      </w:r>
      <w:r w:rsidRPr="009B3747">
        <w:rPr>
          <w:rFonts w:eastAsia="Times New Roman" w:cstheme="minorHAnsi"/>
          <w:color w:val="000000"/>
          <w:lang w:eastAsia="en-GB"/>
        </w:rPr>
        <w:t>significant barrier</w:t>
      </w:r>
      <w:r w:rsidR="00FC497A">
        <w:rPr>
          <w:rFonts w:eastAsia="Times New Roman" w:cstheme="minorHAnsi"/>
          <w:color w:val="000000"/>
          <w:lang w:eastAsia="en-GB"/>
        </w:rPr>
        <w:t>s</w:t>
      </w:r>
      <w:r w:rsidRPr="009B3747">
        <w:rPr>
          <w:rFonts w:eastAsia="Times New Roman" w:cstheme="minorHAnsi"/>
          <w:color w:val="000000"/>
          <w:lang w:eastAsia="en-GB"/>
        </w:rPr>
        <w:t xml:space="preserve"> </w:t>
      </w:r>
      <w:r w:rsidR="00FC497A">
        <w:rPr>
          <w:rFonts w:eastAsia="Times New Roman" w:cstheme="minorHAnsi"/>
          <w:color w:val="000000"/>
          <w:lang w:eastAsia="en-GB"/>
        </w:rPr>
        <w:t>was argued to exist, which hinder</w:t>
      </w:r>
      <w:r w:rsidRPr="009B3747">
        <w:rPr>
          <w:rFonts w:eastAsia="Times New Roman" w:cstheme="minorHAnsi"/>
          <w:color w:val="000000"/>
          <w:lang w:eastAsia="en-GB"/>
        </w:rPr>
        <w:t xml:space="preserve"> a state funded school’s willingness to improve pupil lifestyle behav</w:t>
      </w:r>
      <w:r w:rsidR="00FC497A">
        <w:rPr>
          <w:rFonts w:eastAsia="Times New Roman" w:cstheme="minorHAnsi"/>
          <w:color w:val="000000"/>
          <w:lang w:eastAsia="en-GB"/>
        </w:rPr>
        <w:t>iours and prevent obesity.  These barriers</w:t>
      </w:r>
      <w:r w:rsidRPr="009B3747">
        <w:rPr>
          <w:rFonts w:eastAsia="Times New Roman" w:cstheme="minorHAnsi"/>
          <w:color w:val="000000"/>
          <w:lang w:eastAsia="en-GB"/>
        </w:rPr>
        <w:t xml:space="preserve"> </w:t>
      </w:r>
      <w:r w:rsidR="00FC497A">
        <w:rPr>
          <w:rFonts w:eastAsia="Times New Roman" w:cstheme="minorHAnsi"/>
          <w:color w:val="000000"/>
          <w:lang w:eastAsia="en-GB"/>
        </w:rPr>
        <w:t xml:space="preserve">relate to increasing pressure and </w:t>
      </w:r>
      <w:r w:rsidR="00FC497A">
        <w:rPr>
          <w:rFonts w:eastAsia="Times New Roman" w:cstheme="minorHAnsi"/>
          <w:color w:val="000000"/>
          <w:lang w:eastAsia="en-GB"/>
        </w:rPr>
        <w:lastRenderedPageBreak/>
        <w:t xml:space="preserve">accountability on </w:t>
      </w:r>
      <w:r w:rsidRPr="009B3747">
        <w:rPr>
          <w:rFonts w:eastAsia="Times New Roman" w:cstheme="minorHAnsi"/>
          <w:color w:val="000000"/>
          <w:lang w:eastAsia="en-GB"/>
        </w:rPr>
        <w:t>academic performance and financial budgets.  In support of earlier studies (Nollen et al</w:t>
      </w:r>
      <w:r w:rsidR="001A574B" w:rsidRPr="009B3747">
        <w:rPr>
          <w:rFonts w:eastAsia="Times New Roman" w:cstheme="minorHAnsi"/>
          <w:color w:val="000000"/>
          <w:lang w:eastAsia="en-GB"/>
        </w:rPr>
        <w:t>.</w:t>
      </w:r>
      <w:r w:rsidRPr="009B3747">
        <w:rPr>
          <w:rFonts w:eastAsia="Times New Roman" w:cstheme="minorHAnsi"/>
          <w:color w:val="000000"/>
          <w:lang w:eastAsia="en-GB"/>
        </w:rPr>
        <w:t>, 2007; Tripp and Choi, 2014; Clarke et al</w:t>
      </w:r>
      <w:r w:rsidR="001A574B" w:rsidRPr="009B3747">
        <w:rPr>
          <w:rFonts w:eastAsia="Times New Roman" w:cstheme="minorHAnsi"/>
          <w:color w:val="000000"/>
          <w:lang w:eastAsia="en-GB"/>
        </w:rPr>
        <w:t>.</w:t>
      </w:r>
      <w:r w:rsidRPr="009B3747">
        <w:rPr>
          <w:rFonts w:eastAsia="Times New Roman" w:cstheme="minorHAnsi"/>
          <w:color w:val="000000"/>
          <w:lang w:eastAsia="en-GB"/>
        </w:rPr>
        <w:t>, 2015; Howard-Drake and Halliday, 2015; Todd et al</w:t>
      </w:r>
      <w:r w:rsidR="001A574B" w:rsidRPr="009B3747">
        <w:rPr>
          <w:rFonts w:eastAsia="Times New Roman" w:cstheme="minorHAnsi"/>
          <w:color w:val="000000"/>
          <w:lang w:eastAsia="en-GB"/>
        </w:rPr>
        <w:t>.</w:t>
      </w:r>
      <w:r w:rsidRPr="009B3747">
        <w:rPr>
          <w:rFonts w:eastAsia="Times New Roman" w:cstheme="minorHAnsi"/>
          <w:color w:val="000000"/>
          <w:lang w:eastAsia="en-GB"/>
        </w:rPr>
        <w:t xml:space="preserve">, 2015), this study found the belief that although schools are deemed to have </w:t>
      </w:r>
      <w:r w:rsidR="00FC497A">
        <w:rPr>
          <w:rFonts w:eastAsia="Times New Roman" w:cstheme="minorHAnsi"/>
          <w:color w:val="000000"/>
          <w:lang w:eastAsia="en-GB"/>
        </w:rPr>
        <w:t xml:space="preserve">a </w:t>
      </w:r>
      <w:r w:rsidRPr="009B3747">
        <w:rPr>
          <w:rFonts w:eastAsia="Times New Roman" w:cstheme="minorHAnsi"/>
          <w:color w:val="000000"/>
          <w:lang w:eastAsia="en-GB"/>
        </w:rPr>
        <w:t xml:space="preserve">moral obligation to develop the ‘whole child’ (inclusive of adolescent health and well-being), increasing governmental </w:t>
      </w:r>
      <w:r w:rsidR="00FC497A">
        <w:rPr>
          <w:rFonts w:eastAsia="Times New Roman" w:cstheme="minorHAnsi"/>
          <w:color w:val="000000"/>
          <w:lang w:eastAsia="en-GB"/>
        </w:rPr>
        <w:t>focus on</w:t>
      </w:r>
      <w:r w:rsidRPr="009B3747">
        <w:rPr>
          <w:rFonts w:eastAsia="Times New Roman" w:cstheme="minorHAnsi"/>
          <w:color w:val="000000"/>
          <w:lang w:eastAsia="en-GB"/>
        </w:rPr>
        <w:t xml:space="preserve"> educational outcomes and reduci</w:t>
      </w:r>
      <w:r w:rsidR="00FC497A">
        <w:rPr>
          <w:rFonts w:eastAsia="Times New Roman" w:cstheme="minorHAnsi"/>
          <w:color w:val="000000"/>
          <w:lang w:eastAsia="en-GB"/>
        </w:rPr>
        <w:t>ng resources substantially affects</w:t>
      </w:r>
      <w:r w:rsidRPr="009B3747">
        <w:rPr>
          <w:rFonts w:eastAsia="Times New Roman" w:cstheme="minorHAnsi"/>
          <w:color w:val="000000"/>
          <w:lang w:eastAsia="en-GB"/>
        </w:rPr>
        <w:t xml:space="preserve"> their ability to do so.  </w:t>
      </w:r>
      <w:r w:rsidR="001A574B" w:rsidRPr="009B3747">
        <w:rPr>
          <w:rFonts w:eastAsia="Times New Roman" w:cstheme="minorHAnsi"/>
          <w:color w:val="000000"/>
          <w:lang w:eastAsia="en-GB"/>
        </w:rPr>
        <w:fldChar w:fldCharType="begin" w:fldLock="1"/>
      </w:r>
      <w:r w:rsidR="007E3DE9" w:rsidRPr="009B3747">
        <w:rPr>
          <w:rFonts w:eastAsia="Times New Roman" w:cstheme="minorHAnsi"/>
          <w:color w:val="000000"/>
          <w:lang w:eastAsia="en-GB"/>
        </w:rPr>
        <w:instrText>ADDIN CSL_CITATION { "citationItems" : [ { "id" : "ITEM-1", "itemData" : { "author" : [ { "dropping-particle" : "", "family" : "Bonell", "given" : "C", "non-dropping-particle" : "", "parse-names" : false, "suffix" : "" }, { "dropping-particle" : "", "family" : "Humphrey", "given" : "N", "non-dropping-particle" : "", "parse-names" : false, "suffix" : "" }, { "dropping-particle" : "", "family" : "Fletcher", "given" : "A", "non-dropping-particle" : "", "parse-names" : false, "suffix" : "" } ], "container-title" : "BMJ", "id" : "ITEM-1", "issue" : "13", "issued" : { "date-parts" : [ [ "2014" ] ] }, "title" : "Why schools should promote students' health and wellbeing", "type" : "article-journal", "volume" : "348" }, "uris" : [ "http://www.mendeley.com/documents/?uuid=dca5dbfa-95df-4e15-aaf7-44d4a78d1056" ] } ], "mendeley" : { "formattedCitation" : "(Bonell et al., 2014)", "manualFormatting" : "Bonell et al., (2014)", "plainTextFormattedCitation" : "(Bonell et al., 2014)", "previouslyFormattedCitation" : "(Bonell et al., 2014)" }, "properties" : { "noteIndex" : 0 }, "schema" : "https://github.com/citation-style-language/schema/raw/master/csl-citation.json" }</w:instrText>
      </w:r>
      <w:r w:rsidR="001A574B" w:rsidRPr="009B3747">
        <w:rPr>
          <w:rFonts w:eastAsia="Times New Roman" w:cstheme="minorHAnsi"/>
          <w:color w:val="000000"/>
          <w:lang w:eastAsia="en-GB"/>
        </w:rPr>
        <w:fldChar w:fldCharType="separate"/>
      </w:r>
      <w:r w:rsidR="001A574B" w:rsidRPr="009B3747">
        <w:rPr>
          <w:rFonts w:eastAsia="Times New Roman" w:cstheme="minorHAnsi"/>
          <w:noProof/>
          <w:color w:val="000000"/>
          <w:lang w:eastAsia="en-GB"/>
        </w:rPr>
        <w:t xml:space="preserve">Bonell et al., </w:t>
      </w:r>
      <w:r w:rsidR="007E3DE9" w:rsidRPr="009B3747">
        <w:rPr>
          <w:rFonts w:eastAsia="Times New Roman" w:cstheme="minorHAnsi"/>
          <w:noProof/>
          <w:color w:val="000000"/>
          <w:lang w:eastAsia="en-GB"/>
        </w:rPr>
        <w:t>(</w:t>
      </w:r>
      <w:r w:rsidR="001A574B" w:rsidRPr="009B3747">
        <w:rPr>
          <w:rFonts w:eastAsia="Times New Roman" w:cstheme="minorHAnsi"/>
          <w:noProof/>
          <w:color w:val="000000"/>
          <w:lang w:eastAsia="en-GB"/>
        </w:rPr>
        <w:t>2014)</w:t>
      </w:r>
      <w:r w:rsidR="001A574B" w:rsidRPr="009B3747">
        <w:rPr>
          <w:rFonts w:eastAsia="Times New Roman" w:cstheme="minorHAnsi"/>
          <w:color w:val="000000"/>
          <w:lang w:eastAsia="en-GB"/>
        </w:rPr>
        <w:fldChar w:fldCharType="end"/>
      </w:r>
      <w:r w:rsidR="00811668">
        <w:rPr>
          <w:rFonts w:eastAsia="Times New Roman" w:cstheme="minorHAnsi"/>
          <w:color w:val="000000"/>
          <w:lang w:eastAsia="en-GB"/>
        </w:rPr>
        <w:t xml:space="preserve"> supports this belief, </w:t>
      </w:r>
      <w:r w:rsidRPr="009B3747">
        <w:rPr>
          <w:rFonts w:eastAsia="Times New Roman" w:cstheme="minorHAnsi"/>
          <w:color w:val="000000"/>
          <w:lang w:eastAsia="en-GB"/>
        </w:rPr>
        <w:t>and argues that the escalating government prioritisation of academic achievement in school settings across primary and secondary schools</w:t>
      </w:r>
      <w:r w:rsidR="00811668">
        <w:rPr>
          <w:rFonts w:eastAsia="Times New Roman" w:cstheme="minorHAnsi"/>
          <w:color w:val="000000"/>
          <w:lang w:eastAsia="en-GB"/>
        </w:rPr>
        <w:t>,</w:t>
      </w:r>
      <w:r w:rsidRPr="009B3747">
        <w:rPr>
          <w:rFonts w:eastAsia="Times New Roman" w:cstheme="minorHAnsi"/>
          <w:color w:val="000000"/>
          <w:lang w:eastAsia="en-GB"/>
        </w:rPr>
        <w:t xml:space="preserve"> has resulted in health and well-being being increasingly ignored at a policy level in England.   </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Consequently, and crucially for public health policy was the argument by participants, that anything outside of</w:t>
      </w:r>
      <w:r w:rsidR="00811668">
        <w:rPr>
          <w:rFonts w:eastAsia="Times New Roman" w:cstheme="minorHAnsi"/>
          <w:color w:val="000000"/>
          <w:lang w:eastAsia="en-GB"/>
        </w:rPr>
        <w:t xml:space="preserve"> a school’s core purpose, that doesn’t</w:t>
      </w:r>
      <w:r w:rsidRPr="009B3747">
        <w:rPr>
          <w:rFonts w:eastAsia="Times New Roman" w:cstheme="minorHAnsi"/>
          <w:color w:val="000000"/>
          <w:lang w:eastAsia="en-GB"/>
        </w:rPr>
        <w:t xml:space="preserve"> contribute to activity monitored by Ofsted was difficult</w:t>
      </w:r>
      <w:r w:rsidR="00811668">
        <w:rPr>
          <w:rFonts w:eastAsia="Times New Roman" w:cstheme="minorHAnsi"/>
          <w:color w:val="000000"/>
          <w:lang w:eastAsia="en-GB"/>
        </w:rPr>
        <w:t xml:space="preserve"> to action or prioritise.  O</w:t>
      </w:r>
      <w:r w:rsidRPr="009B3747">
        <w:rPr>
          <w:rFonts w:eastAsia="Times New Roman" w:cstheme="minorHAnsi"/>
          <w:color w:val="000000"/>
          <w:lang w:eastAsia="en-GB"/>
        </w:rPr>
        <w:t>besity prev</w:t>
      </w:r>
      <w:r w:rsidR="00CF6650" w:rsidRPr="009B3747">
        <w:rPr>
          <w:rFonts w:eastAsia="Times New Roman" w:cstheme="minorHAnsi"/>
          <w:color w:val="000000"/>
          <w:lang w:eastAsia="en-GB"/>
        </w:rPr>
        <w:t xml:space="preserve">ention </w:t>
      </w:r>
      <w:r w:rsidR="00811668">
        <w:rPr>
          <w:rFonts w:eastAsia="Times New Roman" w:cstheme="minorHAnsi"/>
          <w:color w:val="000000"/>
          <w:lang w:eastAsia="en-GB"/>
        </w:rPr>
        <w:t>was deemed to be</w:t>
      </w:r>
      <w:r w:rsidR="00CF6650" w:rsidRPr="009B3747">
        <w:rPr>
          <w:rFonts w:eastAsia="Times New Roman" w:cstheme="minorHAnsi"/>
          <w:color w:val="000000"/>
          <w:lang w:eastAsia="en-GB"/>
        </w:rPr>
        <w:t xml:space="preserve"> no</w:t>
      </w:r>
      <w:r w:rsidRPr="009B3747">
        <w:rPr>
          <w:rFonts w:eastAsia="Times New Roman" w:cstheme="minorHAnsi"/>
          <w:color w:val="000000"/>
          <w:lang w:eastAsia="en-GB"/>
        </w:rPr>
        <w:t xml:space="preserve"> exception.  This perception was a recurrent theme in previous research into</w:t>
      </w:r>
      <w:r w:rsidR="00BC2A9C" w:rsidRPr="009B3747">
        <w:rPr>
          <w:rFonts w:eastAsia="Times New Roman" w:cstheme="minorHAnsi"/>
          <w:color w:val="000000"/>
          <w:lang w:eastAsia="en-GB"/>
        </w:rPr>
        <w:t xml:space="preserve"> UK primary school headteachers’ </w:t>
      </w:r>
      <w:r w:rsidRPr="009B3747">
        <w:rPr>
          <w:rFonts w:eastAsia="Times New Roman" w:cstheme="minorHAnsi"/>
          <w:color w:val="000000"/>
          <w:lang w:eastAsia="en-GB"/>
        </w:rPr>
        <w:t>perspectives on childhood obesity (Clarke et al</w:t>
      </w:r>
      <w:r w:rsidR="001A574B" w:rsidRPr="009B3747">
        <w:rPr>
          <w:rFonts w:eastAsia="Times New Roman" w:cstheme="minorHAnsi"/>
          <w:color w:val="000000"/>
          <w:lang w:eastAsia="en-GB"/>
        </w:rPr>
        <w:t>.</w:t>
      </w:r>
      <w:r w:rsidRPr="009B3747">
        <w:rPr>
          <w:rFonts w:eastAsia="Times New Roman" w:cstheme="minorHAnsi"/>
          <w:color w:val="000000"/>
          <w:lang w:eastAsia="en-GB"/>
        </w:rPr>
        <w:t>, 2015; Howard-Drake and Halliday, 2015).  Although originally and universally supported by state funded schools in the qualitative phase, interestingly a lesser strength of opinion was evident in the quantitative phase, with 60% of participants deeming government’s focus on academic progress was a barrier.  Furthermore, despite the reference to Ofsted’s proposed involvement in a new voluntary health rating scheme for primary schools (HM</w:t>
      </w:r>
      <w:r w:rsidR="001A574B" w:rsidRPr="009B3747">
        <w:rPr>
          <w:rFonts w:eastAsia="Times New Roman" w:cstheme="minorHAnsi"/>
          <w:color w:val="000000"/>
          <w:lang w:eastAsia="en-GB"/>
        </w:rPr>
        <w:t xml:space="preserve"> Government</w:t>
      </w:r>
      <w:r w:rsidRPr="009B3747">
        <w:rPr>
          <w:rFonts w:eastAsia="Times New Roman" w:cstheme="minorHAnsi"/>
          <w:color w:val="000000"/>
          <w:lang w:eastAsia="en-GB"/>
        </w:rPr>
        <w:t>, 2016), the concept of increased accountability for preventative action in schools was contested across the phases.  In the qualitative phase, most participants perceived the lack of accountability from Ofsted for pr</w:t>
      </w:r>
      <w:r w:rsidR="00811668">
        <w:rPr>
          <w:rFonts w:eastAsia="Times New Roman" w:cstheme="minorHAnsi"/>
          <w:color w:val="000000"/>
          <w:lang w:eastAsia="en-GB"/>
        </w:rPr>
        <w:t xml:space="preserve">eventative action was a barrier, </w:t>
      </w:r>
      <w:r w:rsidRPr="009B3747">
        <w:rPr>
          <w:rFonts w:eastAsia="Times New Roman" w:cstheme="minorHAnsi"/>
          <w:color w:val="000000"/>
          <w:lang w:eastAsia="en-GB"/>
        </w:rPr>
        <w:t>given that ‘what</w:t>
      </w:r>
      <w:r w:rsidR="00811668">
        <w:rPr>
          <w:rFonts w:eastAsia="Times New Roman" w:cstheme="minorHAnsi"/>
          <w:color w:val="000000"/>
          <w:lang w:eastAsia="en-GB"/>
        </w:rPr>
        <w:t xml:space="preserve"> gets measured gets done’.  This </w:t>
      </w:r>
      <w:r w:rsidRPr="009B3747">
        <w:rPr>
          <w:rFonts w:eastAsia="Times New Roman" w:cstheme="minorHAnsi"/>
          <w:color w:val="000000"/>
          <w:lang w:eastAsia="en-GB"/>
        </w:rPr>
        <w:t xml:space="preserve">was not supported in quantitative phase, especially by headteachers. </w:t>
      </w:r>
    </w:p>
    <w:p w:rsidR="00AC3B26" w:rsidRPr="009B3747" w:rsidRDefault="00AC3B26" w:rsidP="00AC3B26">
      <w:pPr>
        <w:rPr>
          <w:rFonts w:eastAsia="Times New Roman" w:cstheme="minorHAnsi"/>
          <w:sz w:val="24"/>
          <w:szCs w:val="24"/>
          <w:lang w:eastAsia="en-GB"/>
        </w:rPr>
      </w:pPr>
    </w:p>
    <w:p w:rsidR="00AC3B26" w:rsidRPr="009B3747" w:rsidRDefault="00811668" w:rsidP="00AC3B26">
      <w:pPr>
        <w:rPr>
          <w:rFonts w:eastAsia="Times New Roman" w:cstheme="minorHAnsi"/>
          <w:color w:val="000000"/>
          <w:lang w:eastAsia="en-GB"/>
        </w:rPr>
      </w:pPr>
      <w:r>
        <w:rPr>
          <w:rFonts w:eastAsia="Times New Roman" w:cstheme="minorHAnsi"/>
          <w:color w:val="000000"/>
          <w:lang w:eastAsia="en-GB"/>
        </w:rPr>
        <w:t>Despite the identified barriers associated with competing priorities</w:t>
      </w:r>
      <w:r w:rsidR="00AC3B26" w:rsidRPr="009B3747">
        <w:rPr>
          <w:rFonts w:eastAsia="Times New Roman" w:cstheme="minorHAnsi"/>
          <w:color w:val="000000"/>
          <w:lang w:eastAsia="en-GB"/>
        </w:rPr>
        <w:t xml:space="preserve">, headteachers and chairs of governors </w:t>
      </w:r>
      <w:r>
        <w:rPr>
          <w:rFonts w:eastAsia="Times New Roman" w:cstheme="minorHAnsi"/>
          <w:color w:val="000000"/>
          <w:lang w:eastAsia="en-GB"/>
        </w:rPr>
        <w:t>proposed enabling factors, which could facilitate a school’s c</w:t>
      </w:r>
      <w:r w:rsidR="00AC3B26" w:rsidRPr="009B3747">
        <w:rPr>
          <w:rFonts w:eastAsia="Times New Roman" w:cstheme="minorHAnsi"/>
          <w:color w:val="000000"/>
          <w:lang w:eastAsia="en-GB"/>
        </w:rPr>
        <w:t xml:space="preserve">ontinued engagement </w:t>
      </w:r>
      <w:r>
        <w:rPr>
          <w:rFonts w:eastAsia="Times New Roman" w:cstheme="minorHAnsi"/>
          <w:color w:val="000000"/>
          <w:lang w:eastAsia="en-GB"/>
        </w:rPr>
        <w:t>in preventative action</w:t>
      </w:r>
      <w:r w:rsidR="00AC3B26" w:rsidRPr="009B3747">
        <w:rPr>
          <w:rFonts w:eastAsia="Times New Roman" w:cstheme="minorHAnsi"/>
          <w:color w:val="000000"/>
          <w:lang w:eastAsia="en-GB"/>
        </w:rPr>
        <w:t>.  Resonating with earlier studies into headteachers</w:t>
      </w:r>
      <w:r w:rsidR="00BC2A9C" w:rsidRPr="009B3747">
        <w:rPr>
          <w:rFonts w:eastAsia="Times New Roman" w:cstheme="minorHAnsi"/>
          <w:color w:val="000000"/>
          <w:lang w:eastAsia="en-GB"/>
        </w:rPr>
        <w:t>’</w:t>
      </w:r>
      <w:r w:rsidR="00AC3B26" w:rsidRPr="009B3747">
        <w:rPr>
          <w:rFonts w:eastAsia="Times New Roman" w:cstheme="minorHAnsi"/>
          <w:color w:val="000000"/>
          <w:lang w:eastAsia="en-GB"/>
        </w:rPr>
        <w:t xml:space="preserve"> perspectives (Clarke et al</w:t>
      </w:r>
      <w:r w:rsidR="001A574B" w:rsidRPr="009B3747">
        <w:rPr>
          <w:rFonts w:eastAsia="Times New Roman" w:cstheme="minorHAnsi"/>
          <w:color w:val="000000"/>
          <w:lang w:eastAsia="en-GB"/>
        </w:rPr>
        <w:t>.</w:t>
      </w:r>
      <w:r w:rsidR="00AC3B26" w:rsidRPr="009B3747">
        <w:rPr>
          <w:rFonts w:eastAsia="Times New Roman" w:cstheme="minorHAnsi"/>
          <w:color w:val="000000"/>
          <w:lang w:eastAsia="en-GB"/>
        </w:rPr>
        <w:t>, 2015; Christian et al</w:t>
      </w:r>
      <w:r w:rsidR="001A574B" w:rsidRPr="009B3747">
        <w:rPr>
          <w:rFonts w:eastAsia="Times New Roman" w:cstheme="minorHAnsi"/>
          <w:color w:val="000000"/>
          <w:lang w:eastAsia="en-GB"/>
        </w:rPr>
        <w:t>.</w:t>
      </w:r>
      <w:r w:rsidR="00AC3B26" w:rsidRPr="009B3747">
        <w:rPr>
          <w:rFonts w:eastAsia="Times New Roman" w:cstheme="minorHAnsi"/>
          <w:color w:val="000000"/>
          <w:lang w:eastAsia="en-GB"/>
        </w:rPr>
        <w:t>, 2015; Howard-Drake and Halliday, 2015; Todd et al</w:t>
      </w:r>
      <w:r w:rsidR="001A574B" w:rsidRPr="009B3747">
        <w:rPr>
          <w:rFonts w:eastAsia="Times New Roman" w:cstheme="minorHAnsi"/>
          <w:color w:val="000000"/>
          <w:lang w:eastAsia="en-GB"/>
        </w:rPr>
        <w:t>.</w:t>
      </w:r>
      <w:r w:rsidR="00AC3B26" w:rsidRPr="009B3747">
        <w:rPr>
          <w:rFonts w:eastAsia="Times New Roman" w:cstheme="minorHAnsi"/>
          <w:color w:val="000000"/>
          <w:lang w:eastAsia="en-GB"/>
        </w:rPr>
        <w:t>, 2015)</w:t>
      </w:r>
      <w:r>
        <w:rPr>
          <w:rFonts w:eastAsia="Times New Roman" w:cstheme="minorHAnsi"/>
          <w:color w:val="000000"/>
          <w:lang w:eastAsia="en-GB"/>
        </w:rPr>
        <w:t>,</w:t>
      </w:r>
      <w:r w:rsidR="00AC3B26" w:rsidRPr="009B3747">
        <w:rPr>
          <w:rFonts w:eastAsia="Times New Roman" w:cstheme="minorHAnsi"/>
          <w:color w:val="000000"/>
          <w:lang w:eastAsia="en-GB"/>
        </w:rPr>
        <w:t xml:space="preserve"> was the belief identified in</w:t>
      </w:r>
      <w:r w:rsidR="00C33161" w:rsidRPr="009B3747">
        <w:rPr>
          <w:rFonts w:eastAsia="Times New Roman" w:cstheme="minorHAnsi"/>
          <w:color w:val="000000"/>
          <w:lang w:eastAsia="en-GB"/>
        </w:rPr>
        <w:t xml:space="preserve"> the qualitative phase that headteachers’ </w:t>
      </w:r>
      <w:r w:rsidR="00AC3B26" w:rsidRPr="009B3747">
        <w:rPr>
          <w:rFonts w:eastAsia="Times New Roman" w:cstheme="minorHAnsi"/>
          <w:color w:val="000000"/>
          <w:lang w:eastAsia="en-GB"/>
        </w:rPr>
        <w:t>values or attitudes had substantial influence in creating a school culture and ethos where health and well-being is promoted.  Despite this, a marginal majority of survey participants did not agree that they had responsibility for prevention or could actually direct the school to take preventative action.  </w:t>
      </w:r>
    </w:p>
    <w:p w:rsidR="00916E28" w:rsidRPr="009B3747" w:rsidRDefault="00916E28"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An additional enabling factor for school based prevention and again reflected in previous research identified in the systematic review and qualitative synthesis (Clarke et al</w:t>
      </w:r>
      <w:r w:rsidR="001A574B" w:rsidRPr="009B3747">
        <w:rPr>
          <w:rFonts w:eastAsia="Times New Roman" w:cstheme="minorHAnsi"/>
          <w:color w:val="000000"/>
          <w:lang w:eastAsia="en-GB"/>
        </w:rPr>
        <w:t>.</w:t>
      </w:r>
      <w:r w:rsidRPr="009B3747">
        <w:rPr>
          <w:rFonts w:eastAsia="Times New Roman" w:cstheme="minorHAnsi"/>
          <w:color w:val="000000"/>
          <w:lang w:eastAsia="en-GB"/>
        </w:rPr>
        <w:t xml:space="preserve">, 2015; Howard-Drake and </w:t>
      </w:r>
      <w:r w:rsidRPr="009B3747">
        <w:rPr>
          <w:rFonts w:eastAsia="Times New Roman" w:cstheme="minorHAnsi"/>
          <w:color w:val="000000"/>
          <w:lang w:eastAsia="en-GB"/>
        </w:rPr>
        <w:lastRenderedPageBreak/>
        <w:t>Halliday; 2015), was the importance participants attributed to engaging with multi-agency partners.  Whilst not necessarily perceived to have direct responsibility for obesity preven</w:t>
      </w:r>
      <w:r w:rsidR="00811668">
        <w:rPr>
          <w:rFonts w:eastAsia="Times New Roman" w:cstheme="minorHAnsi"/>
          <w:color w:val="000000"/>
          <w:lang w:eastAsia="en-GB"/>
        </w:rPr>
        <w:t>tion, key partners</w:t>
      </w:r>
      <w:r w:rsidRPr="009B3747">
        <w:rPr>
          <w:rFonts w:eastAsia="Times New Roman" w:cstheme="minorHAnsi"/>
          <w:color w:val="000000"/>
          <w:lang w:eastAsia="en-GB"/>
        </w:rPr>
        <w:t xml:space="preserve"> in</w:t>
      </w:r>
      <w:r w:rsidR="00811668">
        <w:rPr>
          <w:rFonts w:eastAsia="Times New Roman" w:cstheme="minorHAnsi"/>
          <w:color w:val="000000"/>
          <w:lang w:eastAsia="en-GB"/>
        </w:rPr>
        <w:t xml:space="preserve">cluding school nursing services, </w:t>
      </w:r>
      <w:r w:rsidRPr="009B3747">
        <w:rPr>
          <w:rFonts w:eastAsia="Times New Roman" w:cstheme="minorHAnsi"/>
          <w:color w:val="000000"/>
          <w:lang w:eastAsia="en-GB"/>
        </w:rPr>
        <w:t xml:space="preserve">were deemed </w:t>
      </w:r>
      <w:r w:rsidR="00811668">
        <w:rPr>
          <w:rFonts w:eastAsia="Times New Roman" w:cstheme="minorHAnsi"/>
          <w:color w:val="000000"/>
          <w:lang w:eastAsia="en-GB"/>
        </w:rPr>
        <w:t>to be instrumental in</w:t>
      </w:r>
      <w:r w:rsidRPr="009B3747">
        <w:rPr>
          <w:rFonts w:eastAsia="Times New Roman" w:cstheme="minorHAnsi"/>
          <w:color w:val="000000"/>
          <w:lang w:eastAsia="en-GB"/>
        </w:rPr>
        <w:t xml:space="preserve"> enhancing the capacity, credibility and consistency of health promotion messages </w:t>
      </w:r>
      <w:r w:rsidR="00811668">
        <w:rPr>
          <w:rFonts w:eastAsia="Times New Roman" w:cstheme="minorHAnsi"/>
          <w:color w:val="000000"/>
          <w:lang w:eastAsia="en-GB"/>
        </w:rPr>
        <w:t>(</w:t>
      </w:r>
      <w:r w:rsidRPr="009B3747">
        <w:rPr>
          <w:rFonts w:eastAsia="Times New Roman" w:cstheme="minorHAnsi"/>
          <w:color w:val="000000"/>
          <w:lang w:eastAsia="en-GB"/>
        </w:rPr>
        <w:t>both inside and outside</w:t>
      </w:r>
      <w:r w:rsidR="00811668">
        <w:rPr>
          <w:rFonts w:eastAsia="Times New Roman" w:cstheme="minorHAnsi"/>
          <w:color w:val="000000"/>
          <w:lang w:eastAsia="en-GB"/>
        </w:rPr>
        <w:t xml:space="preserve"> of a school setting).  A caveat was, </w:t>
      </w:r>
      <w:r w:rsidRPr="009B3747">
        <w:rPr>
          <w:rFonts w:eastAsia="Times New Roman" w:cstheme="minorHAnsi"/>
          <w:color w:val="000000"/>
          <w:lang w:eastAsia="en-GB"/>
        </w:rPr>
        <w:t>ho</w:t>
      </w:r>
      <w:r w:rsidR="00811668">
        <w:rPr>
          <w:rFonts w:eastAsia="Times New Roman" w:cstheme="minorHAnsi"/>
          <w:color w:val="000000"/>
          <w:lang w:eastAsia="en-GB"/>
        </w:rPr>
        <w:t xml:space="preserve">wever issued with this opinion.  Despite the perceived value of multi-agency partnerships, participants proposed that a current </w:t>
      </w:r>
      <w:r w:rsidRPr="009B3747">
        <w:rPr>
          <w:rFonts w:eastAsia="Times New Roman" w:cstheme="minorHAnsi"/>
          <w:color w:val="000000"/>
          <w:lang w:eastAsia="en-GB"/>
        </w:rPr>
        <w:t>lack of funding and disparate priorities acro</w:t>
      </w:r>
      <w:r w:rsidR="00811668">
        <w:rPr>
          <w:rFonts w:eastAsia="Times New Roman" w:cstheme="minorHAnsi"/>
          <w:color w:val="000000"/>
          <w:lang w:eastAsia="en-GB"/>
        </w:rPr>
        <w:t>ss health and education sectors, is</w:t>
      </w:r>
      <w:r w:rsidRPr="009B3747">
        <w:rPr>
          <w:rFonts w:eastAsia="Times New Roman" w:cstheme="minorHAnsi"/>
          <w:color w:val="000000"/>
          <w:lang w:eastAsia="en-GB"/>
        </w:rPr>
        <w:t xml:space="preserve"> hindering </w:t>
      </w:r>
      <w:r w:rsidR="00811668">
        <w:rPr>
          <w:rFonts w:eastAsia="Times New Roman" w:cstheme="minorHAnsi"/>
          <w:color w:val="000000"/>
          <w:lang w:eastAsia="en-GB"/>
        </w:rPr>
        <w:t xml:space="preserve">the effectiveness of </w:t>
      </w:r>
      <w:r w:rsidRPr="009B3747">
        <w:rPr>
          <w:rFonts w:eastAsia="Times New Roman" w:cstheme="minorHAnsi"/>
          <w:color w:val="000000"/>
          <w:lang w:eastAsia="en-GB"/>
        </w:rPr>
        <w:t xml:space="preserve">obesity prevention </w:t>
      </w:r>
      <w:r w:rsidR="001A574B"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"URL" : "https://www.kingsfund.org.uk/blog/2016/08/local-government-public-health-budgets", "accessed" : { "date-parts" : [ [ "2017", "7", "11" ] ] }, "author" : [ { "dropping-particle" : "", "family" : "The King's Fund", "given" : "", "non-dropping-particle" : "", "parse-names" : false, "suffix" : "" } ], "container-title" : "The King's Fund", "id" : "ITEM-1", "issued" : { "date-parts" : [ [ "2016" ] ] }, "title" : "Local government public health budgets: a time for turning?", "type" : "webpage" }, "uris" : [ "http://www.mendeley.com/documents/?uuid=9c0eef3c-515d-41f1-986e-cccfd409b382" ] }, { "id" : "ITEM-2", "itemData" : { "URL" : "https://www.kingsfund.org.uk/blog/2017/07/local-government-public-health-budgets-2017-18", "accessed" : { "date-parts" : [ [ "2017", "7", "11" ] ] }, "author" : [ { "dropping-particle" : "", "family" : "The King's Fund", "given" : "", "non-dropping-particle" : "", "parse-names" : false, "suffix" : "" } ], "container-title" : "The King's Fund", "id" : "ITEM-2", "issued" : { "date-parts" : [ [ "2017" ] ] }, "title" : "Chickens coming home to roost: local government public health budgets for 2017/18", "type" : "webpage" }, "uris" : [ "http://www.mendeley.com/documents/?uuid=a4a457db-be1d-4460-b147-5c82cdbb49da" ] }, { "id" : "ITEM-3", "itemData" : { "URL" : "https://www.tes.com/news/school-news/breaking-news/we-dont-have-funds-provide-legally-required-school-services-councils", "accessed" : { "date-parts" : [ [ "2017", "7", "1" ] ] }, "author" : [ { "dropping-particle" : "", "family" : "Times Educational Supplement", "given" : "", "non-dropping-particle" : "", "parse-names" : false, "suffix" : "" } ], "container-title" : "Times Educational Supplement", "id" : "ITEM-3", "issued" : { "date-parts" : [ [ "2017" ] ] }, "title" : "We don't have the funds to provide legally required school services, councils warn", "type" : "webpage" }, "uris" : [ "http://www.mendeley.com/documents/?uuid=515062e6-8a88-4334-b6d4-07e5d37914e1" ] } ], "mendeley" : { "formattedCitation" : "(The King\u2019s Fund, 2016, 2017; Times Educational Supplement, 2017)", "manualFormatting" : "(Clarke et al., 2015; The King\u2019s Fund, 2016, 2017; Times Educational Supplement, 2017)", "plainTextFormattedCitation" : "(The King\u2019s Fund, 2016, 2017; Times Educational Supplement, 2017)", "previouslyFormattedCitation" : "(The King\u2019s Fund, 2016, 2017; Times Educational Supplement, 2017)" }, "properties" : { "noteIndex" : 0 }, "schema" : "https://github.com/citation-style-language/schema/raw/master/csl-citation.json" }</w:instrText>
      </w:r>
      <w:r w:rsidR="001A574B" w:rsidRPr="009B3747">
        <w:rPr>
          <w:rFonts w:eastAsia="Times New Roman" w:cstheme="minorHAnsi"/>
          <w:color w:val="000000"/>
          <w:lang w:eastAsia="en-GB"/>
        </w:rPr>
        <w:fldChar w:fldCharType="separate"/>
      </w:r>
      <w:r w:rsidR="001A574B" w:rsidRPr="009B3747">
        <w:rPr>
          <w:rFonts w:eastAsia="Times New Roman" w:cstheme="minorHAnsi"/>
          <w:noProof/>
          <w:color w:val="000000"/>
          <w:lang w:eastAsia="en-GB"/>
        </w:rPr>
        <w:t>(Clarke et al., 2015; The King’s Fund, 2016, 2017; Times Educational Supplement, 2017)</w:t>
      </w:r>
      <w:r w:rsidR="001A574B" w:rsidRPr="009B3747">
        <w:rPr>
          <w:rFonts w:eastAsia="Times New Roman" w:cstheme="minorHAnsi"/>
          <w:color w:val="000000"/>
          <w:lang w:eastAsia="en-GB"/>
        </w:rPr>
        <w:fldChar w:fldCharType="end"/>
      </w:r>
      <w:r w:rsidR="001A574B" w:rsidRPr="009B3747">
        <w:rPr>
          <w:rFonts w:eastAsia="Times New Roman" w:cstheme="minorHAnsi"/>
          <w:color w:val="000000"/>
          <w:lang w:eastAsia="en-GB"/>
        </w:rPr>
        <w:t xml:space="preserve">.  </w:t>
      </w:r>
      <w:r w:rsidRPr="009B3747">
        <w:rPr>
          <w:rFonts w:eastAsia="Times New Roman" w:cstheme="minorHAnsi"/>
          <w:color w:val="000000"/>
          <w:lang w:eastAsia="en-GB"/>
        </w:rPr>
        <w:t>This study therefore found a demand by headteachers and chairs of governors, for greater governmental resources and support to develop connected and sustainable public sector partnerships that will have a meaningful reduction on population level obesity.  </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The last main finding identified within this study, relates to the concept of role modelling.  In support of existing literature</w:t>
      </w:r>
      <w:r w:rsidR="001A574B" w:rsidRPr="009B3747">
        <w:rPr>
          <w:rFonts w:eastAsia="Times New Roman" w:cstheme="minorHAnsi"/>
          <w:color w:val="000000"/>
          <w:lang w:eastAsia="en-GB"/>
        </w:rPr>
        <w:t xml:space="preserve"> </w:t>
      </w:r>
      <w:r w:rsidR="001A574B" w:rsidRPr="009B3747">
        <w:rPr>
          <w:rFonts w:eastAsia="Times New Roman" w:cstheme="minorHAnsi"/>
          <w:color w:val="000000"/>
          <w:lang w:eastAsia="en-GB"/>
        </w:rPr>
        <w:fldChar w:fldCharType="begin" w:fldLock="1"/>
      </w:r>
      <w:r w:rsidR="009C2ECF" w:rsidRPr="009B3747">
        <w:rPr>
          <w:rFonts w:eastAsia="Times New Roman" w:cstheme="minorHAnsi"/>
          <w:color w:val="000000"/>
          <w:lang w:eastAsia="en-GB"/>
        </w:rPr>
        <w:instrText>ADDIN CSL_CITATION { "citationItems" : [ { "id" : "ITEM-1", "itemData" : { "PMID" : "10340805", "abstract" : "Schools have the potential to make valuable contributions to both the prevention and treatment of childhood obesity. This article reviews the research on school-based interventions to prevent and treat obesity. A literature search from 1965 to the present on school-based treatment of obesity, identified 11 controlled experimental studies. The results show positive, though modest short-term results. Relatively few primary prevention research studies, targeted specifically to preventing obesity, have been conducted. Therefore, efficacy has not been established. Both primary and secondary obesity interventions have a role in schools. A comprehensive, integrated model for school-based obesity prevention is presented. This model, building upon the comprehensive school health program model, consists of eight interacting components: health instruction; health services; school environment; food service; school-site health promotion for faculty and staff; social support services; physical education classes; and integrated and linked family and community health promotion efforts. While multi-faceted community-wide efforts are needed to address the growing problem of obesity, schools are in a unique position to play a pivotal role in promoting healthy lifestyles and helping to prevent obesity.", "author" : [ { "dropping-particle" : "", "family" : "Story", "given" : "M", "non-dropping-particle" : "", "parse-names" : false, "suffix" : "" } ], "container-title" : "International journal of obesity and related metabolic disorders : journal of the International Association for the Study of Obesity", "id" : "ITEM-1", "issued" : { "date-parts" : [ [ "1999", "3" ] ] }, "page" : "S43-51", "title" : "School-based approaches for preventing and treating obesity.", "type" : "article-journal", "volume" : "23 Suppl 2" }, "uris" : [ "http://www.mendeley.com/documents/?uuid=88a43aa9-1f5c-3ec2-b454-f08c3cfe0309" ] }, { "id" : "ITEM-2", "itemData" : { "author" : [ { "dropping-particle" : "", "family" : "Yager", "given" : "Z", "non-dropping-particle" : "", "parse-names" : false, "suffix" : "" }, { "dropping-particle" : "", "family" : "Dea", "given" : "JA O';", "non-dropping-particle" : "", "parse-names" : false, "suffix" : "" } ], "container-title" : "Eating Disorders", "id" : "ITEM-2", "issue" : "3", "issued" : { "date-parts" : [ [ "2005" ] ] }, "page" : "261-278", "title" : "The role of teachers and other educators in the prevention of eating disorders and child obesity: what are the issues?", "type" : "article-journal", "volume" : "13" }, "uris" : [ "http://www.mendeley.com/documents/?uuid=9e690bc9-c148-4a22-af40-4349f6a9ca2f" ] }, { "id" : "ITEM-3", "itemData" : { "DOI" : "10.1093/her/cyq036", "ISSN" : "0268-1153", "author" : [ { "dropping-particle" : "", "family" : "Yager", "given" : "Z.", "non-dropping-particle" : "", "parse-names" : false, "suffix" : "" }, { "dropping-particle" : "", "family" : "O'Dea", "given" : "J.", "non-dropping-particle" : "", "parse-names" : false, "suffix" : "" } ], "container-title" : "Health Education Research", "id" : "ITEM-3", "issue" : "5", "issued" : { "date-parts" : [ [ "2010", "10", "1" ] ] }, "page" : "841-852", "publisher" : "Ashwood Medical, Melbourne, Australia", "title" : "A controlled intervention to promote a healthy body image, reduce eating disorder risk and prevent excessive exercise among trainee health education and physical education teachers", "type" : "article-journal", "volume" : "25" }, "uris" : [ "http://www.mendeley.com/documents/?uuid=c38ef523-3d3e-3553-b2ae-5b098ead593b" ] } ], "mendeley" : { "formattedCitation" : "(Story, 1999; Yager and Dea, 2005; Yager and O\u2019Dea, 2010)", "plainTextFormattedCitation" : "(Story, 1999; Yager and Dea, 2005; Yager and O\u2019Dea, 2010)", "previouslyFormattedCitation" : "(Story, 1999; Yager and Dea, 2005; Yager and O\u2019Dea, 2010)" }, "properties" : { "noteIndex" : 0 }, "schema" : "https://github.com/citation-style-language/schema/raw/master/csl-citation.json" }</w:instrText>
      </w:r>
      <w:r w:rsidR="001A574B" w:rsidRPr="009B3747">
        <w:rPr>
          <w:rFonts w:eastAsia="Times New Roman" w:cstheme="minorHAnsi"/>
          <w:color w:val="000000"/>
          <w:lang w:eastAsia="en-GB"/>
        </w:rPr>
        <w:fldChar w:fldCharType="separate"/>
      </w:r>
      <w:r w:rsidR="001A574B" w:rsidRPr="009B3747">
        <w:rPr>
          <w:rFonts w:eastAsia="Times New Roman" w:cstheme="minorHAnsi"/>
          <w:noProof/>
          <w:color w:val="000000"/>
          <w:lang w:eastAsia="en-GB"/>
        </w:rPr>
        <w:t>(Story, 1999; Yager and Dea, 2005; Yager and O’Dea, 2010)</w:t>
      </w:r>
      <w:r w:rsidR="001A574B" w:rsidRPr="009B3747">
        <w:rPr>
          <w:rFonts w:eastAsia="Times New Roman" w:cstheme="minorHAnsi"/>
          <w:color w:val="000000"/>
          <w:lang w:eastAsia="en-GB"/>
        </w:rPr>
        <w:fldChar w:fldCharType="end"/>
      </w:r>
      <w:r w:rsidR="00811668">
        <w:rPr>
          <w:rFonts w:eastAsia="Times New Roman" w:cstheme="minorHAnsi"/>
          <w:color w:val="000000"/>
          <w:lang w:eastAsia="en-GB"/>
        </w:rPr>
        <w:t>,</w:t>
      </w:r>
      <w:r w:rsidRPr="009B3747">
        <w:rPr>
          <w:rFonts w:eastAsia="Times New Roman" w:cstheme="minorHAnsi"/>
          <w:color w:val="000000"/>
          <w:lang w:eastAsia="en-GB"/>
        </w:rPr>
        <w:t xml:space="preserve"> it was deemed important that school staff role model healthy lifestyle behaviours in school settings to children and adolescents.  This was due to the belief expressed and similarly shared with headteachers in UK primary schools (Clarke et a</w:t>
      </w:r>
      <w:r w:rsidR="007C70EC" w:rsidRPr="009B3747">
        <w:rPr>
          <w:rFonts w:eastAsia="Times New Roman" w:cstheme="minorHAnsi"/>
          <w:color w:val="000000"/>
          <w:lang w:eastAsia="en-GB"/>
        </w:rPr>
        <w:t>l.</w:t>
      </w:r>
      <w:r w:rsidRPr="009B3747">
        <w:rPr>
          <w:rFonts w:eastAsia="Times New Roman" w:cstheme="minorHAnsi"/>
          <w:color w:val="000000"/>
          <w:lang w:eastAsia="en-GB"/>
        </w:rPr>
        <w:t>, 2015; Howard-Drake and Halliday, 201</w:t>
      </w:r>
      <w:r w:rsidR="00811668">
        <w:rPr>
          <w:rFonts w:eastAsia="Times New Roman" w:cstheme="minorHAnsi"/>
          <w:color w:val="000000"/>
          <w:lang w:eastAsia="en-GB"/>
        </w:rPr>
        <w:t xml:space="preserve">5), that the behaviour of school staff </w:t>
      </w:r>
      <w:r w:rsidRPr="009B3747">
        <w:rPr>
          <w:rFonts w:eastAsia="Times New Roman" w:cstheme="minorHAnsi"/>
          <w:color w:val="000000"/>
          <w:lang w:eastAsia="en-GB"/>
        </w:rPr>
        <w:t>and headteachers themselves can positively or negatively infl</w:t>
      </w:r>
      <w:r w:rsidR="00811668">
        <w:rPr>
          <w:rFonts w:eastAsia="Times New Roman" w:cstheme="minorHAnsi"/>
          <w:color w:val="000000"/>
          <w:lang w:eastAsia="en-GB"/>
        </w:rPr>
        <w:t xml:space="preserve">uence adolescent lifestyle behaviours </w:t>
      </w:r>
      <w:r w:rsidR="007C70EC" w:rsidRPr="009B3747">
        <w:rPr>
          <w:rFonts w:eastAsia="Times New Roman" w:cstheme="minorHAnsi"/>
          <w:color w:val="000000"/>
          <w:lang w:eastAsia="en-GB"/>
        </w:rPr>
        <w:fldChar w:fldCharType="begin" w:fldLock="1"/>
      </w:r>
      <w:r w:rsidR="007C70EC" w:rsidRPr="009B3747">
        <w:rPr>
          <w:rFonts w:eastAsia="Times New Roman" w:cstheme="minorHAnsi"/>
          <w:color w:val="000000"/>
          <w:lang w:eastAsia="en-GB"/>
        </w:rPr>
        <w:instrText>ADDIN CSL_CITATION { "citationItems" : [ { "id" : "ITEM-1", "itemData" : { "ISSN" : "1545-1151", "PMID" : "19527601", "abstract" : "The prevalence of overweight among children worldwide is growing at an alarming rate. Social relationships may contribute to the development of obesity through the interaction of biological, behavioral, and environmental factors. Although there is evidence that early environment influences the expression of obesity, very little research elucidates the social context of obesity among children or adolescents. Social network approaches can contribute to research on the role of social environments in overweight and obesity and strengthen interventions to prevent disease and promote health. By capitalizing on the structure of the network system, a targeted intervention that uses social relationships in families, schools, neighborhoods, and communities may be successful in encouraging healthful behaviors among children and their families.", "author" : [ { "dropping-particle" : "", "family" : "Koehly", "given" : "Laura M", "non-dropping-particle" : "", "parse-names" : false, "suffix" : "" }, { "dropping-particle" : "", "family" : "Loscalzo", "given" : "Aunchalee", "non-dropping-particle" : "", "parse-names" : false, "suffix" : "" } ], "container-title" : "Preventing chronic disease", "id" : "ITEM-1", "issue" : "3", "issued" : { "date-parts" : [ [ "2009", "7" ] ] }, "page" : "A99", "publisher" : "Centers for Disease Control and Prevention", "title" : "Adolescent obesity and social networks.", "type" : "article-journal", "volume" : "6" }, "uris" : [ "http://www.mendeley.com/documents/?uuid=d10b0a1c-844f-37cd-9a01-7adcb8960420" ] } ], "mendeley" : { "formattedCitation" : "(Koehly and Loscalzo, 2009)", "plainTextFormattedCitation" : "(Koehly and Loscalzo, 2009)", "previouslyFormattedCitation" : "(Koehly and Loscalzo, 2009)" }, "properties" : { "noteIndex" : 0 }, "schema" : "https://github.com/citation-style-language/schema/raw/master/csl-citation.json" }</w:instrText>
      </w:r>
      <w:r w:rsidR="007C70EC" w:rsidRPr="009B3747">
        <w:rPr>
          <w:rFonts w:eastAsia="Times New Roman" w:cstheme="minorHAnsi"/>
          <w:color w:val="000000"/>
          <w:lang w:eastAsia="en-GB"/>
        </w:rPr>
        <w:fldChar w:fldCharType="separate"/>
      </w:r>
      <w:r w:rsidR="007C70EC" w:rsidRPr="009B3747">
        <w:rPr>
          <w:rFonts w:eastAsia="Times New Roman" w:cstheme="minorHAnsi"/>
          <w:noProof/>
          <w:color w:val="000000"/>
          <w:lang w:eastAsia="en-GB"/>
        </w:rPr>
        <w:t>(Koehly and Loscalzo, 2009)</w:t>
      </w:r>
      <w:r w:rsidR="007C70EC" w:rsidRPr="009B3747">
        <w:rPr>
          <w:rFonts w:eastAsia="Times New Roman" w:cstheme="minorHAnsi"/>
          <w:color w:val="000000"/>
          <w:lang w:eastAsia="en-GB"/>
        </w:rPr>
        <w:fldChar w:fldCharType="end"/>
      </w:r>
      <w:r w:rsidR="007C70EC" w:rsidRPr="009B3747">
        <w:rPr>
          <w:rFonts w:eastAsia="Times New Roman" w:cstheme="minorHAnsi"/>
          <w:color w:val="000000"/>
          <w:lang w:eastAsia="en-GB"/>
        </w:rPr>
        <w:t xml:space="preserve">.  </w:t>
      </w:r>
      <w:r w:rsidRPr="009B3747">
        <w:rPr>
          <w:rFonts w:eastAsia="Times New Roman" w:cstheme="minorHAnsi"/>
          <w:color w:val="000000"/>
          <w:lang w:eastAsia="en-GB"/>
        </w:rPr>
        <w:t>Consequently, in spite of not being perceived by the majority of survey participants as a barrier to obesity prevention in schools, in both phases of the research, it was argued that school staff should role model healthy lifestyles to pupils.  </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For headteachers and in chairs of governors in the qualitative phase, the argument for positive role modelling was based on the concept</w:t>
      </w:r>
      <w:r w:rsidR="00811668">
        <w:rPr>
          <w:rFonts w:eastAsia="Times New Roman" w:cstheme="minorHAnsi"/>
          <w:color w:val="000000"/>
          <w:lang w:eastAsia="en-GB"/>
        </w:rPr>
        <w:t>,</w:t>
      </w:r>
      <w:r w:rsidRPr="009B3747">
        <w:rPr>
          <w:rFonts w:eastAsia="Times New Roman" w:cstheme="minorHAnsi"/>
          <w:color w:val="000000"/>
          <w:lang w:eastAsia="en-GB"/>
        </w:rPr>
        <w:t xml:space="preserve"> that the credibility of healthy lifestyle messages promoted within the school environment are reinforced.  Despite the strength of opinion regarding this finding, interview participants </w:t>
      </w:r>
      <w:r w:rsidR="00811668">
        <w:rPr>
          <w:rFonts w:eastAsia="Times New Roman" w:cstheme="minorHAnsi"/>
          <w:color w:val="000000"/>
          <w:lang w:eastAsia="en-GB"/>
        </w:rPr>
        <w:t xml:space="preserve">felt conversations with school staff about role modelling, especially in relation to their weight status was difficult.  This was attributed to the </w:t>
      </w:r>
      <w:r w:rsidRPr="009B3747">
        <w:rPr>
          <w:rFonts w:eastAsia="Times New Roman" w:cstheme="minorHAnsi"/>
          <w:color w:val="000000"/>
          <w:lang w:eastAsia="en-GB"/>
        </w:rPr>
        <w:t>sensitivity and contentious nature of obesity</w:t>
      </w:r>
      <w:r w:rsidR="007C70EC" w:rsidRPr="009B3747">
        <w:rPr>
          <w:rFonts w:eastAsia="Times New Roman" w:cstheme="minorHAnsi"/>
          <w:color w:val="000000"/>
          <w:lang w:eastAsia="en-GB"/>
        </w:rPr>
        <w:t xml:space="preserve"> </w:t>
      </w:r>
      <w:r w:rsidR="007C70EC" w:rsidRPr="009B3747">
        <w:rPr>
          <w:rFonts w:eastAsia="Times New Roman" w:cstheme="minorHAnsi"/>
          <w:color w:val="000000"/>
          <w:lang w:eastAsia="en-GB"/>
        </w:rPr>
        <w:fldChar w:fldCharType="begin" w:fldLock="1"/>
      </w:r>
      <w:r w:rsidR="007C70EC" w:rsidRPr="009B3747">
        <w:rPr>
          <w:rFonts w:eastAsia="Times New Roman" w:cstheme="minorHAnsi"/>
          <w:color w:val="000000"/>
          <w:lang w:eastAsia="en-GB"/>
        </w:rPr>
        <w:instrText>ADDIN CSL_CITATION { "citationItems" : [ { "id" : "ITEM-1", "itemData" : { "DOI" : "10.2105/AJPH.2009.159491", "ISSN" : "1541-0048", "PMID" : "20075322", "abstract" : "Stigma and discrimination toward obese persons are pervasive and pose numerous consequences for their psychological and physical health. Despite decades of science documenting weight stigma, its public health implications are widely ignored. Instead, obese persons are blamed for their weight, with common perceptions that weight stigmatization is justifiable and may motivate individuals to adopt healthier behaviors. We examine evidence to address these assumptions and discuss their public health implications. On the basis of current findings, we propose that weight stigma is not a beneficial public health tool for reducing obesity. Rather, stigmatization of obese individuals threatens health, generates health disparities, and interferes with effective obesity intervention efforts. These findings highlight weight stigma as both a social justice issue and a priority for public health.", "author" : [ { "dropping-particle" : "", "family" : "Puhl", "given" : "Rebecca M", "non-dropping-particle" : "", "parse-names" : false, "suffix" : "" }, { "dropping-particle" : "", "family" : "Heuer", "given" : "Chelsea A", "non-dropping-particle" : "", "parse-names" : false, "suffix" : "" } ], "container-title" : "American journal of public health", "id" : "ITEM-1", "issue" : "6", "issued" : { "date-parts" : [ [ "2010", "6", "20" ] ] }, "page" : "1019-28", "publisher" : "American Public Health Association", "title" : "Obesity stigma: important considerations for public health.", "type" : "article-journal", "volume" : "100" }, "uris" : [ "http://www.mendeley.com/documents/?uuid=e438e584-0c87-3d42-a0af-3e518f652f5d" ] } ], "mendeley" : { "formattedCitation" : "(Puhl and Heuer, 2010)", "plainTextFormattedCitation" : "(Puhl and Heuer, 2010)", "previouslyFormattedCitation" : "(Puhl and Heuer, 2010)" }, "properties" : { "noteIndex" : 0 }, "schema" : "https://github.com/citation-style-language/schema/raw/master/csl-citation.json" }</w:instrText>
      </w:r>
      <w:r w:rsidR="007C70EC" w:rsidRPr="009B3747">
        <w:rPr>
          <w:rFonts w:eastAsia="Times New Roman" w:cstheme="minorHAnsi"/>
          <w:color w:val="000000"/>
          <w:lang w:eastAsia="en-GB"/>
        </w:rPr>
        <w:fldChar w:fldCharType="separate"/>
      </w:r>
      <w:r w:rsidR="007C70EC" w:rsidRPr="009B3747">
        <w:rPr>
          <w:rFonts w:eastAsia="Times New Roman" w:cstheme="minorHAnsi"/>
          <w:noProof/>
          <w:color w:val="000000"/>
          <w:lang w:eastAsia="en-GB"/>
        </w:rPr>
        <w:t>(Puhl and Heuer, 2010)</w:t>
      </w:r>
      <w:r w:rsidR="007C70EC" w:rsidRPr="009B3747">
        <w:rPr>
          <w:rFonts w:eastAsia="Times New Roman" w:cstheme="minorHAnsi"/>
          <w:color w:val="000000"/>
          <w:lang w:eastAsia="en-GB"/>
        </w:rPr>
        <w:fldChar w:fldCharType="end"/>
      </w:r>
      <w:r w:rsidR="00811668">
        <w:rPr>
          <w:rFonts w:eastAsia="Times New Roman" w:cstheme="minorHAnsi"/>
          <w:color w:val="000000"/>
          <w:lang w:eastAsia="en-GB"/>
        </w:rPr>
        <w:t xml:space="preserve"> and </w:t>
      </w:r>
      <w:r w:rsidRPr="009B3747">
        <w:rPr>
          <w:rFonts w:eastAsia="Times New Roman" w:cstheme="minorHAnsi"/>
          <w:color w:val="000000"/>
          <w:lang w:eastAsia="en-GB"/>
        </w:rPr>
        <w:t>the risk of causing discrimination or stigmatisation</w:t>
      </w:r>
      <w:r w:rsidR="007C70EC" w:rsidRPr="009B3747">
        <w:rPr>
          <w:rFonts w:eastAsia="Times New Roman" w:cstheme="minorHAnsi"/>
          <w:color w:val="000000"/>
          <w:lang w:eastAsia="en-GB"/>
        </w:rPr>
        <w:t xml:space="preserve"> </w:t>
      </w:r>
      <w:r w:rsidR="007C70EC" w:rsidRPr="009B3747">
        <w:rPr>
          <w:rFonts w:eastAsia="Times New Roman" w:cstheme="minorHAnsi"/>
          <w:color w:val="000000"/>
          <w:lang w:eastAsia="en-GB"/>
        </w:rPr>
        <w:fldChar w:fldCharType="begin" w:fldLock="1"/>
      </w:r>
      <w:r w:rsidR="007C70EC" w:rsidRPr="009B3747">
        <w:rPr>
          <w:rFonts w:eastAsia="Times New Roman" w:cstheme="minorHAnsi"/>
          <w:color w:val="000000"/>
          <w:lang w:eastAsia="en-GB"/>
        </w:rPr>
        <w:instrText>ADDIN CSL_CITATION { "citationItems" : [ { "id" : "ITEM-1", "itemData" : { "DOI" : "10.1093/heapro/dan041", "ISSN" : "0957-4824", "author" : [ { "dropping-particle" : "", "family" : "MacLean", "given" : "L.", "non-dropping-particle" : "", "parse-names" : false, "suffix" : "" }, { "dropping-particle" : "", "family" : "Edwards", "given" : "N.", "non-dropping-particle" : "", "parse-names" : false, "suffix" : "" }, { "dropping-particle" : "", "family" : "Garrard", "given" : "M.", "non-dropping-particle" : "", "parse-names" : false, "suffix" : "" }, { "dropping-particle" : "", "family" : "Sims-Jones", "given" : "N.", "non-dropping-particle" : "", "parse-names" : false, "suffix" : "" }, { "dropping-particle" : "", "family" : "Clinton", "given" : "K.", "non-dropping-particle" : "", "parse-names" : false, "suffix" : "" }, { "dropping-particle" : "", "family" : "Ashley", "given" : "L.", "non-dropping-particle" : "", "parse-names" : false, "suffix" : "" } ], "container-title" : "Health Promotion International", "id" : "ITEM-1", "issue" : "1", "issued" : { "date-parts" : [ [ "2008", "11", "12" ] ] }, "page" : "88-93", "publisher" : "Effective Public Health Practice Project, Hamilton", "title" : "Obesity, stigma and public health planning", "type" : "article-journal", "volume" : "24" }, "uris" : [ "http://www.mendeley.com/documents/?uuid=bdd2252f-0805-3113-9f36-c4e5b0f86582" ] } ], "mendeley" : { "formattedCitation" : "(MacLean et al., 2008)", "plainTextFormattedCitation" : "(MacLean et al., 2008)", "previouslyFormattedCitation" : "(MacLean et al., 2008)" }, "properties" : { "noteIndex" : 0 }, "schema" : "https://github.com/citation-style-language/schema/raw/master/csl-citation.json" }</w:instrText>
      </w:r>
      <w:r w:rsidR="007C70EC" w:rsidRPr="009B3747">
        <w:rPr>
          <w:rFonts w:eastAsia="Times New Roman" w:cstheme="minorHAnsi"/>
          <w:color w:val="000000"/>
          <w:lang w:eastAsia="en-GB"/>
        </w:rPr>
        <w:fldChar w:fldCharType="separate"/>
      </w:r>
      <w:r w:rsidR="007C70EC" w:rsidRPr="009B3747">
        <w:rPr>
          <w:rFonts w:eastAsia="Times New Roman" w:cstheme="minorHAnsi"/>
          <w:noProof/>
          <w:color w:val="000000"/>
          <w:lang w:eastAsia="en-GB"/>
        </w:rPr>
        <w:t>(MacLean et al., 2008)</w:t>
      </w:r>
      <w:r w:rsidR="007C70EC" w:rsidRPr="009B3747">
        <w:rPr>
          <w:rFonts w:eastAsia="Times New Roman" w:cstheme="minorHAnsi"/>
          <w:color w:val="000000"/>
          <w:lang w:eastAsia="en-GB"/>
        </w:rPr>
        <w:fldChar w:fldCharType="end"/>
      </w:r>
      <w:r w:rsidRPr="009B3747">
        <w:rPr>
          <w:rFonts w:eastAsia="Times New Roman" w:cstheme="minorHAnsi"/>
          <w:color w:val="000000"/>
          <w:lang w:eastAsia="en-GB"/>
        </w:rPr>
        <w:t>.  </w:t>
      </w:r>
    </w:p>
    <w:p w:rsidR="007C70EC" w:rsidRPr="009B3747" w:rsidRDefault="007C70EC" w:rsidP="00AC3B26">
      <w:pPr>
        <w:rPr>
          <w:rFonts w:eastAsia="Times New Roman" w:cstheme="minorHAnsi"/>
          <w:color w:val="FF0000"/>
          <w:lang w:eastAsia="en-GB"/>
        </w:rPr>
      </w:pPr>
    </w:p>
    <w:p w:rsidR="00C8242E" w:rsidRPr="009B3747" w:rsidRDefault="00C8242E" w:rsidP="00AC3B26">
      <w:pPr>
        <w:rPr>
          <w:rFonts w:eastAsia="Times New Roman" w:cstheme="minorHAnsi"/>
          <w:color w:val="FF0000"/>
          <w:lang w:eastAsia="en-GB"/>
        </w:rPr>
      </w:pPr>
    </w:p>
    <w:p w:rsidR="00C8242E" w:rsidRPr="009B3747" w:rsidRDefault="00C8242E" w:rsidP="00AC3B26">
      <w:pPr>
        <w:rPr>
          <w:rFonts w:eastAsia="Times New Roman" w:cstheme="minorHAnsi"/>
          <w:color w:val="FF0000"/>
          <w:lang w:eastAsia="en-GB"/>
        </w:rPr>
      </w:pPr>
    </w:p>
    <w:p w:rsidR="00C8242E" w:rsidRPr="009B3747" w:rsidRDefault="00C8242E" w:rsidP="00AC3B26">
      <w:pPr>
        <w:rPr>
          <w:rFonts w:eastAsia="Times New Roman" w:cstheme="minorHAnsi"/>
          <w:color w:val="FF0000"/>
          <w:lang w:eastAsia="en-GB"/>
        </w:rPr>
      </w:pPr>
    </w:p>
    <w:p w:rsidR="00C8242E" w:rsidRPr="009B3747" w:rsidRDefault="00C8242E" w:rsidP="00AC3B26">
      <w:pPr>
        <w:rPr>
          <w:rFonts w:eastAsia="Times New Roman" w:cstheme="minorHAnsi"/>
          <w:color w:val="FF0000"/>
          <w:lang w:eastAsia="en-GB"/>
        </w:rPr>
      </w:pPr>
    </w:p>
    <w:p w:rsidR="00AC3B26" w:rsidRPr="009B3747" w:rsidRDefault="000A3628" w:rsidP="00AC3B26">
      <w:pPr>
        <w:rPr>
          <w:rFonts w:eastAsia="Times New Roman" w:cstheme="minorHAnsi"/>
          <w:sz w:val="24"/>
          <w:szCs w:val="24"/>
          <w:lang w:eastAsia="en-GB"/>
        </w:rPr>
      </w:pPr>
      <w:r w:rsidRPr="009B3747">
        <w:rPr>
          <w:rFonts w:eastAsia="Times New Roman" w:cstheme="minorHAnsi"/>
          <w:b/>
          <w:bCs/>
          <w:color w:val="000000"/>
          <w:sz w:val="24"/>
          <w:szCs w:val="24"/>
          <w:u w:val="single"/>
          <w:lang w:eastAsia="en-GB"/>
        </w:rPr>
        <w:lastRenderedPageBreak/>
        <w:t>9.4</w:t>
      </w:r>
      <w:r w:rsidR="00AC3B26" w:rsidRPr="009B3747">
        <w:rPr>
          <w:rFonts w:eastAsia="Times New Roman" w:cstheme="minorHAnsi"/>
          <w:b/>
          <w:bCs/>
          <w:color w:val="000000"/>
          <w:sz w:val="24"/>
          <w:szCs w:val="24"/>
          <w:u w:val="single"/>
          <w:lang w:eastAsia="en-GB"/>
        </w:rPr>
        <w:t xml:space="preserve"> Strengths and limitations of the study</w:t>
      </w:r>
    </w:p>
    <w:p w:rsidR="00AC3B26" w:rsidRPr="009B3747" w:rsidRDefault="00AC3B26" w:rsidP="00AC3B26">
      <w:pPr>
        <w:rPr>
          <w:rFonts w:eastAsia="Times New Roman" w:cstheme="minorHAnsi"/>
          <w:sz w:val="24"/>
          <w:szCs w:val="24"/>
          <w:lang w:eastAsia="en-GB"/>
        </w:rPr>
      </w:pPr>
    </w:p>
    <w:p w:rsidR="00AC3B26" w:rsidRPr="009B3747" w:rsidRDefault="000A3628" w:rsidP="00AC3B26">
      <w:pPr>
        <w:rPr>
          <w:rFonts w:eastAsia="Times New Roman" w:cstheme="minorHAnsi"/>
          <w:sz w:val="24"/>
          <w:szCs w:val="24"/>
          <w:lang w:eastAsia="en-GB"/>
        </w:rPr>
      </w:pPr>
      <w:r w:rsidRPr="009B3747">
        <w:rPr>
          <w:rFonts w:eastAsia="Times New Roman" w:cstheme="minorHAnsi"/>
          <w:color w:val="000000"/>
          <w:u w:val="single"/>
          <w:lang w:eastAsia="en-GB"/>
        </w:rPr>
        <w:t>9.4</w:t>
      </w:r>
      <w:r w:rsidR="00AC3B26" w:rsidRPr="009B3747">
        <w:rPr>
          <w:rFonts w:eastAsia="Times New Roman" w:cstheme="minorHAnsi"/>
          <w:color w:val="000000"/>
          <w:u w:val="single"/>
          <w:lang w:eastAsia="en-GB"/>
        </w:rPr>
        <w:t>.1 Strengths</w:t>
      </w:r>
    </w:p>
    <w:p w:rsidR="00AC3B26" w:rsidRPr="009B3747" w:rsidRDefault="00AC3B26" w:rsidP="00AC3B26">
      <w:pPr>
        <w:rPr>
          <w:rFonts w:eastAsia="Times New Roman" w:cstheme="minorHAnsi"/>
          <w:sz w:val="24"/>
          <w:szCs w:val="24"/>
          <w:lang w:eastAsia="en-GB"/>
        </w:rPr>
      </w:pPr>
    </w:p>
    <w:p w:rsidR="00AC3B26" w:rsidRPr="009B3747" w:rsidRDefault="00CF6650" w:rsidP="00AC3B26">
      <w:pPr>
        <w:rPr>
          <w:rFonts w:eastAsia="Times New Roman" w:cstheme="minorHAnsi"/>
          <w:color w:val="000000"/>
          <w:lang w:eastAsia="en-GB"/>
        </w:rPr>
      </w:pPr>
      <w:r w:rsidRPr="009B3747">
        <w:rPr>
          <w:rFonts w:eastAsia="Times New Roman" w:cstheme="minorHAnsi"/>
          <w:color w:val="000000"/>
          <w:lang w:eastAsia="en-GB"/>
        </w:rPr>
        <w:t>T</w:t>
      </w:r>
      <w:r w:rsidR="00AC3B26" w:rsidRPr="009B3747">
        <w:rPr>
          <w:rFonts w:eastAsia="Times New Roman" w:cstheme="minorHAnsi"/>
          <w:color w:val="000000"/>
          <w:lang w:eastAsia="en-GB"/>
        </w:rPr>
        <w:t xml:space="preserve">his study is the first </w:t>
      </w:r>
      <w:r w:rsidRPr="009B3747">
        <w:rPr>
          <w:rFonts w:eastAsia="Times New Roman" w:cstheme="minorHAnsi"/>
          <w:color w:val="000000"/>
          <w:lang w:eastAsia="en-GB"/>
        </w:rPr>
        <w:t xml:space="preserve">study </w:t>
      </w:r>
      <w:r w:rsidR="00AC3B26" w:rsidRPr="009B3747">
        <w:rPr>
          <w:rFonts w:eastAsia="Times New Roman" w:cstheme="minorHAnsi"/>
          <w:color w:val="000000"/>
          <w:lang w:eastAsia="en-GB"/>
        </w:rPr>
        <w:t>to have exclusively explored the perspectives of secondary school headteachers</w:t>
      </w:r>
      <w:r w:rsidR="002B6EFF" w:rsidRPr="009B3747">
        <w:rPr>
          <w:rFonts w:eastAsia="Times New Roman" w:cstheme="minorHAnsi"/>
          <w:color w:val="000000"/>
          <w:lang w:eastAsia="en-GB"/>
        </w:rPr>
        <w:t>’</w:t>
      </w:r>
      <w:r w:rsidR="00AC3B26" w:rsidRPr="009B3747">
        <w:rPr>
          <w:rFonts w:eastAsia="Times New Roman" w:cstheme="minorHAnsi"/>
          <w:color w:val="000000"/>
          <w:lang w:eastAsia="en-GB"/>
        </w:rPr>
        <w:t xml:space="preserve"> and chairs of governors</w:t>
      </w:r>
      <w:r w:rsidR="002B6EFF" w:rsidRPr="009B3747">
        <w:rPr>
          <w:rFonts w:eastAsia="Times New Roman" w:cstheme="minorHAnsi"/>
          <w:color w:val="000000"/>
          <w:lang w:eastAsia="en-GB"/>
        </w:rPr>
        <w:t>’</w:t>
      </w:r>
      <w:r w:rsidR="00AC3B26" w:rsidRPr="009B3747">
        <w:rPr>
          <w:rFonts w:eastAsia="Times New Roman" w:cstheme="minorHAnsi"/>
          <w:color w:val="000000"/>
          <w:lang w:eastAsia="en-GB"/>
        </w:rPr>
        <w:t xml:space="preserve"> regarding adolesce</w:t>
      </w:r>
      <w:r w:rsidR="00BC2A9C" w:rsidRPr="009B3747">
        <w:rPr>
          <w:rFonts w:eastAsia="Times New Roman" w:cstheme="minorHAnsi"/>
          <w:color w:val="000000"/>
          <w:lang w:eastAsia="en-GB"/>
        </w:rPr>
        <w:t xml:space="preserve">nt obesity and its prevention.  </w:t>
      </w:r>
      <w:r w:rsidR="00AC3B26" w:rsidRPr="009B3747">
        <w:rPr>
          <w:rFonts w:eastAsia="Times New Roman" w:cstheme="minorHAnsi"/>
          <w:color w:val="000000"/>
          <w:lang w:eastAsia="en-GB"/>
        </w:rPr>
        <w:t>Furthermore, this is the first study related to headteachers</w:t>
      </w:r>
      <w:r w:rsidR="007C70EC" w:rsidRPr="009B3747">
        <w:rPr>
          <w:rFonts w:eastAsia="Times New Roman" w:cstheme="minorHAnsi"/>
          <w:color w:val="000000"/>
          <w:lang w:eastAsia="en-GB"/>
        </w:rPr>
        <w:t>’</w:t>
      </w:r>
      <w:r w:rsidR="00AC3B26" w:rsidRPr="009B3747">
        <w:rPr>
          <w:rFonts w:eastAsia="Times New Roman" w:cstheme="minorHAnsi"/>
          <w:color w:val="000000"/>
          <w:lang w:eastAsia="en-GB"/>
        </w:rPr>
        <w:t xml:space="preserve"> and chairs of </w:t>
      </w:r>
      <w:r w:rsidR="00916E28" w:rsidRPr="009B3747">
        <w:rPr>
          <w:rFonts w:eastAsia="Times New Roman" w:cstheme="minorHAnsi"/>
          <w:color w:val="000000"/>
          <w:lang w:eastAsia="en-GB"/>
        </w:rPr>
        <w:t>governors’</w:t>
      </w:r>
      <w:r w:rsidR="00AC3B26" w:rsidRPr="009B3747">
        <w:rPr>
          <w:rFonts w:eastAsia="Times New Roman" w:cstheme="minorHAnsi"/>
          <w:color w:val="000000"/>
          <w:lang w:eastAsia="en-GB"/>
        </w:rPr>
        <w:t xml:space="preserve"> perspectives on obesity</w:t>
      </w:r>
      <w:r w:rsidR="003A01B8">
        <w:rPr>
          <w:rFonts w:eastAsia="Times New Roman" w:cstheme="minorHAnsi"/>
          <w:color w:val="000000"/>
          <w:lang w:eastAsia="en-GB"/>
        </w:rPr>
        <w:t>,</w:t>
      </w:r>
      <w:r w:rsidR="00AC3B26" w:rsidRPr="009B3747">
        <w:rPr>
          <w:rFonts w:eastAsia="Times New Roman" w:cstheme="minorHAnsi"/>
          <w:color w:val="000000"/>
          <w:lang w:eastAsia="en-GB"/>
        </w:rPr>
        <w:t xml:space="preserve"> that has adopted a mixed methods approach and design.  The originality of the research therefore is a significant strength of this doctoral study.   </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 xml:space="preserve">In relation to the research approach and design, the combination of qualitative and quantitative approaches to collecting and analysing data is a positive attribute of the current research, given the argument that mixed methods </w:t>
      </w:r>
      <w:r w:rsidR="007C70EC" w:rsidRPr="009B3747">
        <w:rPr>
          <w:rFonts w:eastAsia="Times New Roman" w:cstheme="minorHAnsi"/>
          <w:i/>
          <w:iCs/>
          <w:color w:val="000000"/>
          <w:lang w:eastAsia="en-GB"/>
        </w:rPr>
        <w:t>“</w:t>
      </w:r>
      <w:r w:rsidRPr="009B3747">
        <w:rPr>
          <w:rFonts w:eastAsia="Times New Roman" w:cstheme="minorHAnsi"/>
          <w:i/>
          <w:iCs/>
          <w:color w:val="000000"/>
          <w:lang w:eastAsia="en-GB"/>
        </w:rPr>
        <w:t>draw from the streng</w:t>
      </w:r>
      <w:r w:rsidR="007C70EC" w:rsidRPr="009B3747">
        <w:rPr>
          <w:rFonts w:eastAsia="Times New Roman" w:cstheme="minorHAnsi"/>
          <w:i/>
          <w:iCs/>
          <w:color w:val="000000"/>
          <w:lang w:eastAsia="en-GB"/>
        </w:rPr>
        <w:t>ths and minimise the weaknesses”</w:t>
      </w:r>
      <w:r w:rsidRPr="009B3747">
        <w:rPr>
          <w:rFonts w:eastAsia="Times New Roman" w:cstheme="minorHAnsi"/>
          <w:iCs/>
          <w:color w:val="000000"/>
          <w:lang w:eastAsia="en-GB"/>
        </w:rPr>
        <w:t xml:space="preserve"> </w:t>
      </w:r>
      <w:r w:rsidRPr="009B3747">
        <w:rPr>
          <w:rFonts w:eastAsia="Times New Roman" w:cstheme="minorHAnsi"/>
          <w:color w:val="000000"/>
          <w:lang w:eastAsia="en-GB"/>
        </w:rPr>
        <w:t>of single quantitative or qualitative research studies</w:t>
      </w:r>
      <w:r w:rsidR="007C70EC" w:rsidRPr="009B3747">
        <w:rPr>
          <w:rFonts w:eastAsia="Times New Roman" w:cstheme="minorHAnsi"/>
          <w:color w:val="000000"/>
          <w:lang w:eastAsia="en-GB"/>
        </w:rPr>
        <w:t xml:space="preserve"> </w:t>
      </w:r>
      <w:r w:rsidR="007C70EC" w:rsidRPr="009B3747">
        <w:rPr>
          <w:rFonts w:eastAsia="Times New Roman" w:cstheme="minorHAnsi"/>
          <w:color w:val="000000"/>
          <w:lang w:eastAsia="en-GB"/>
        </w:rPr>
        <w:fldChar w:fldCharType="begin" w:fldLock="1"/>
      </w:r>
      <w:r w:rsidR="00395650" w:rsidRPr="009B3747">
        <w:rPr>
          <w:rFonts w:eastAsia="Times New Roman" w:cstheme="minorHAnsi"/>
          <w:color w:val="000000"/>
          <w:lang w:eastAsia="en-GB"/>
        </w:rPr>
        <w:instrText>ADDIN CSL_CITATION { "citationItems" : [ { "id" : "ITEM-1", "itemData" : { "author" : [ { "dropping-particle" : "", "family" : "Johnson", "given" : "RB", "non-dropping-particle" : "", "parse-names" : false, "suffix" : "" }, { "dropping-particle" : "", "family" : "Onwuegbuzie", "given" : "AJ", "non-dropping-particle" : "", "parse-names" : false, "suffix" : "" } ], "container-title" : "Educational researcher", "id" : "ITEM-1", "issue" : "7", "issued" : { "date-parts" : [ [ "2004" ] ] }, "page" : "14-26", "title" : "Mixed methods research: A research paradigm whose time has come", "type" : "article-journal", "volume" : "33" }, "uris" : [ "http://www.mendeley.com/documents/?uuid=1e7f2872-93d9-4b8d-89fd-c60a1166dd44" ] } ], "mendeley" : { "formattedCitation" : "(Johnson and Onwuegbuzie, 2004)", "manualFormatting" : "(Johnson and Onwuegbuzie, 2004, p.14)", "plainTextFormattedCitation" : "(Johnson and Onwuegbuzie, 2004)", "previouslyFormattedCitation" : "(Johnson and Onwuegbuzie, 2004)" }, "properties" : { "noteIndex" : 0 }, "schema" : "https://github.com/citation-style-language/schema/raw/master/csl-citation.json" }</w:instrText>
      </w:r>
      <w:r w:rsidR="007C70EC" w:rsidRPr="009B3747">
        <w:rPr>
          <w:rFonts w:eastAsia="Times New Roman" w:cstheme="minorHAnsi"/>
          <w:color w:val="000000"/>
          <w:lang w:eastAsia="en-GB"/>
        </w:rPr>
        <w:fldChar w:fldCharType="separate"/>
      </w:r>
      <w:r w:rsidR="007C70EC" w:rsidRPr="009B3747">
        <w:rPr>
          <w:rFonts w:eastAsia="Times New Roman" w:cstheme="minorHAnsi"/>
          <w:noProof/>
          <w:color w:val="000000"/>
          <w:lang w:eastAsia="en-GB"/>
        </w:rPr>
        <w:t>(Johnson and Onwuegbuzie, 2004, p.14)</w:t>
      </w:r>
      <w:r w:rsidR="007C70EC" w:rsidRPr="009B3747">
        <w:rPr>
          <w:rFonts w:eastAsia="Times New Roman" w:cstheme="minorHAnsi"/>
          <w:color w:val="000000"/>
          <w:lang w:eastAsia="en-GB"/>
        </w:rPr>
        <w:fldChar w:fldCharType="end"/>
      </w:r>
      <w:r w:rsidR="007C70EC" w:rsidRPr="009B3747">
        <w:rPr>
          <w:rFonts w:eastAsia="Times New Roman" w:cstheme="minorHAnsi"/>
          <w:color w:val="000000"/>
          <w:lang w:eastAsia="en-GB"/>
        </w:rPr>
        <w:t xml:space="preserve">.  </w:t>
      </w:r>
      <w:r w:rsidRPr="009B3747">
        <w:rPr>
          <w:rFonts w:eastAsia="Times New Roman" w:cstheme="minorHAnsi"/>
          <w:color w:val="000000"/>
          <w:lang w:eastAsia="en-GB"/>
        </w:rPr>
        <w:t>An exploratory sequential design was particularly useful for this study given the lack of existing relevant literature.  By conducting a qualitative exploration in the first and core phase, the resultant findings could be utilised to develop an appropriate data collection tool for use in a quantitative phase with a larger sample of participants.  The combination of phases, enabled a more comprehensive understanding of the topic under study to be achieved, than would’ve been obtained in a single method study.  </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The researcher adopted the ‘Good reporting of a Mixed Methods Study’ (GRAMMS) approach to appraising research quality in mixed method study designs (O’Cathain et al</w:t>
      </w:r>
      <w:r w:rsidR="007C70EC" w:rsidRPr="009B3747">
        <w:rPr>
          <w:rFonts w:eastAsia="Times New Roman" w:cstheme="minorHAnsi"/>
          <w:color w:val="000000"/>
          <w:lang w:eastAsia="en-GB"/>
        </w:rPr>
        <w:t>.</w:t>
      </w:r>
      <w:r w:rsidRPr="009B3747">
        <w:rPr>
          <w:rFonts w:eastAsia="Times New Roman" w:cstheme="minorHAnsi"/>
          <w:color w:val="000000"/>
          <w:lang w:eastAsia="en-GB"/>
        </w:rPr>
        <w:t>, 2008).  This is a strength of the overall thesis, as committing to GRAMMS provided a recognised framework</w:t>
      </w:r>
      <w:r w:rsidR="00281979">
        <w:rPr>
          <w:rFonts w:eastAsia="Times New Roman" w:cstheme="minorHAnsi"/>
          <w:color w:val="000000"/>
          <w:lang w:eastAsia="en-GB"/>
        </w:rPr>
        <w:t>, which</w:t>
      </w:r>
      <w:r w:rsidRPr="009B3747">
        <w:rPr>
          <w:rFonts w:eastAsia="Times New Roman" w:cstheme="minorHAnsi"/>
          <w:color w:val="000000"/>
          <w:lang w:eastAsia="en-GB"/>
        </w:rPr>
        <w:t xml:space="preserve"> enable</w:t>
      </w:r>
      <w:r w:rsidR="00281979">
        <w:rPr>
          <w:rFonts w:eastAsia="Times New Roman" w:cstheme="minorHAnsi"/>
          <w:color w:val="000000"/>
          <w:lang w:eastAsia="en-GB"/>
        </w:rPr>
        <w:t>d</w:t>
      </w:r>
      <w:r w:rsidRPr="009B3747">
        <w:rPr>
          <w:rFonts w:eastAsia="Times New Roman" w:cstheme="minorHAnsi"/>
          <w:color w:val="000000"/>
          <w:lang w:eastAsia="en-GB"/>
        </w:rPr>
        <w:t xml:space="preserve"> the decisions employed regarding the design and implementation of this mixed methods study to be robust, justifiable and explicit.  </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 xml:space="preserve">A further strength of the study was deemed to be the researcher’s professional experience in engaging with schools.  Insights gained from the researcher’s previous direct involvement with the population of interest </w:t>
      </w:r>
      <w:r w:rsidR="004862DC">
        <w:rPr>
          <w:rFonts w:eastAsia="Times New Roman" w:cstheme="minorHAnsi"/>
          <w:color w:val="000000"/>
          <w:lang w:eastAsia="en-GB"/>
        </w:rPr>
        <w:t>(</w:t>
      </w:r>
      <w:r w:rsidRPr="009B3747">
        <w:rPr>
          <w:rFonts w:eastAsia="Times New Roman" w:cstheme="minorHAnsi"/>
          <w:color w:val="000000"/>
          <w:lang w:eastAsia="en-GB"/>
        </w:rPr>
        <w:t>i.e. headteachers and chairs of governors</w:t>
      </w:r>
      <w:r w:rsidR="004862DC">
        <w:rPr>
          <w:rFonts w:eastAsia="Times New Roman" w:cstheme="minorHAnsi"/>
          <w:color w:val="000000"/>
          <w:lang w:eastAsia="en-GB"/>
        </w:rPr>
        <w:t>)</w:t>
      </w:r>
      <w:r w:rsidRPr="009B3747">
        <w:rPr>
          <w:rFonts w:eastAsia="Times New Roman" w:cstheme="minorHAnsi"/>
          <w:color w:val="000000"/>
          <w:lang w:eastAsia="en-GB"/>
        </w:rPr>
        <w:t xml:space="preserve">, informed the study design and assisted in establishing rapport with participants in the qualitative phase.  This was deemed to enhance the quality of the interviews undertaken and the meaningfulness of the data obtained.  Furthermore, as a Registrar in Public Health, the findings, interpretations and more </w:t>
      </w:r>
      <w:r w:rsidRPr="009B3747">
        <w:rPr>
          <w:rFonts w:eastAsia="Times New Roman" w:cstheme="minorHAnsi"/>
          <w:color w:val="000000"/>
          <w:lang w:eastAsia="en-GB"/>
        </w:rPr>
        <w:lastRenderedPageBreak/>
        <w:t>specifically recommendations were grounded in the knowledge and experience of the real world of childhood and adolescent obesity prevention.  </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Lastly, a substantial advantage for this study, was the guidance and advice provided by the researcher’s two supervisors</w:t>
      </w:r>
      <w:r w:rsidR="007C70EC"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This was especially important given the researcher’s novice status and limited previous experience of conducting primary research.  The support received from each supervisor throughout was therefore invaluable and assisted in the researcher overcoming various intellectual, academic and practical challenges during the three year period.  In addition, the credibility and integrity of the study was enhanced by engaging with academic experts on areas where the researcher had no prior knowledge or experience </w:t>
      </w:r>
      <w:r w:rsidR="004862DC">
        <w:rPr>
          <w:rFonts w:eastAsia="Times New Roman" w:cstheme="minorHAnsi"/>
          <w:color w:val="000000"/>
          <w:lang w:eastAsia="en-GB"/>
        </w:rPr>
        <w:t>(</w:t>
      </w:r>
      <w:r w:rsidRPr="009B3747">
        <w:rPr>
          <w:rFonts w:eastAsia="Times New Roman" w:cstheme="minorHAnsi"/>
          <w:color w:val="000000"/>
          <w:lang w:eastAsia="en-GB"/>
        </w:rPr>
        <w:t>i.e. conducting a systematic review, employing mixed methods designs and analysing statistical data</w:t>
      </w:r>
      <w:r w:rsidR="004862DC">
        <w:rPr>
          <w:rFonts w:eastAsia="Times New Roman" w:cstheme="minorHAnsi"/>
          <w:color w:val="000000"/>
          <w:lang w:eastAsia="en-GB"/>
        </w:rPr>
        <w:t>)</w:t>
      </w:r>
      <w:r w:rsidRPr="009B3747">
        <w:rPr>
          <w:rFonts w:eastAsia="Times New Roman" w:cstheme="minorHAnsi"/>
          <w:color w:val="000000"/>
          <w:lang w:eastAsia="en-GB"/>
        </w:rPr>
        <w:t>.  </w:t>
      </w:r>
    </w:p>
    <w:p w:rsidR="00AC3B26" w:rsidRPr="009B3747" w:rsidRDefault="00AC3B26" w:rsidP="00AC3B26">
      <w:pPr>
        <w:rPr>
          <w:rFonts w:eastAsia="Times New Roman" w:cstheme="minorHAnsi"/>
          <w:sz w:val="24"/>
          <w:szCs w:val="24"/>
          <w:lang w:eastAsia="en-GB"/>
        </w:rPr>
      </w:pPr>
    </w:p>
    <w:p w:rsidR="00AC3B26" w:rsidRPr="009B3747" w:rsidRDefault="000A3628" w:rsidP="00AC3B26">
      <w:pPr>
        <w:rPr>
          <w:rFonts w:eastAsia="Times New Roman" w:cstheme="minorHAnsi"/>
          <w:sz w:val="24"/>
          <w:szCs w:val="24"/>
          <w:lang w:eastAsia="en-GB"/>
        </w:rPr>
      </w:pPr>
      <w:r w:rsidRPr="009B3747">
        <w:rPr>
          <w:rFonts w:eastAsia="Times New Roman" w:cstheme="minorHAnsi"/>
          <w:color w:val="000000"/>
          <w:u w:val="single"/>
          <w:lang w:eastAsia="en-GB"/>
        </w:rPr>
        <w:t>9.4</w:t>
      </w:r>
      <w:r w:rsidR="00AC3B26" w:rsidRPr="009B3747">
        <w:rPr>
          <w:rFonts w:eastAsia="Times New Roman" w:cstheme="minorHAnsi"/>
          <w:color w:val="000000"/>
          <w:u w:val="single"/>
          <w:lang w:eastAsia="en-GB"/>
        </w:rPr>
        <w:t>.2 Limitations</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A number of limitations were identified both related to the study as a whole and to the distinct qualitative and quantitative phases of the research.  </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 xml:space="preserve">A major consideration for employing an exploratory sequential mixed methods design, is the potential for researcher bias to have been introduced throughout the process of designing the study and collecting and analysing data </w:t>
      </w:r>
      <w:r w:rsidRPr="009B3747">
        <w:rPr>
          <w:rFonts w:eastAsia="Times New Roman" w:cstheme="minorHAnsi"/>
          <w:color w:val="000000"/>
          <w:shd w:val="clear" w:color="auto" w:fill="FFFFFF"/>
          <w:lang w:eastAsia="en-GB"/>
        </w:rPr>
        <w:t>(Creswell and Plano Clark, 2011; Creswell, 2014).  It is important to reflect</w:t>
      </w:r>
      <w:r w:rsidR="00CF6650" w:rsidRPr="009B3747">
        <w:rPr>
          <w:rFonts w:eastAsia="Times New Roman" w:cstheme="minorHAnsi"/>
          <w:color w:val="000000"/>
          <w:shd w:val="clear" w:color="auto" w:fill="FFFFFF"/>
          <w:lang w:eastAsia="en-GB"/>
        </w:rPr>
        <w:t xml:space="preserve"> on</w:t>
      </w:r>
      <w:r w:rsidRPr="009B3747">
        <w:rPr>
          <w:rFonts w:eastAsia="Times New Roman" w:cstheme="minorHAnsi"/>
          <w:color w:val="000000"/>
          <w:shd w:val="clear" w:color="auto" w:fill="FFFFFF"/>
          <w:lang w:eastAsia="en-GB"/>
        </w:rPr>
        <w:t xml:space="preserve"> whether and how the researcher’s prior knowledge, beliefs and experiences</w:t>
      </w:r>
      <w:r w:rsidR="003A01B8">
        <w:rPr>
          <w:rFonts w:eastAsia="Times New Roman" w:cstheme="minorHAnsi"/>
          <w:color w:val="000000"/>
          <w:shd w:val="clear" w:color="auto" w:fill="FFFFFF"/>
          <w:lang w:eastAsia="en-GB"/>
        </w:rPr>
        <w:t>,</w:t>
      </w:r>
      <w:r w:rsidRPr="009B3747">
        <w:rPr>
          <w:rFonts w:eastAsia="Times New Roman" w:cstheme="minorHAnsi"/>
          <w:color w:val="000000"/>
          <w:shd w:val="clear" w:color="auto" w:fill="FFFFFF"/>
          <w:lang w:eastAsia="en-GB"/>
        </w:rPr>
        <w:t xml:space="preserve"> influenced both the process of designing the study and the collection and analysis of data.  This is of particular relevance to the first phase of the study, where the inherent subjective nature of qualitative research makes researcher bias an inevitable limitation</w:t>
      </w:r>
      <w:r w:rsidR="007C70EC" w:rsidRPr="009B3747">
        <w:rPr>
          <w:rFonts w:eastAsia="Times New Roman" w:cstheme="minorHAnsi"/>
          <w:color w:val="000000"/>
          <w:shd w:val="clear" w:color="auto" w:fill="FFFFFF"/>
          <w:lang w:eastAsia="en-GB"/>
        </w:rPr>
        <w:t xml:space="preserve"> </w:t>
      </w:r>
      <w:r w:rsidR="007C70EC" w:rsidRPr="009B3747">
        <w:rPr>
          <w:rFonts w:eastAsia="Times New Roman" w:cstheme="minorHAnsi"/>
          <w:color w:val="000000"/>
          <w:shd w:val="clear" w:color="auto" w:fill="FFFFFF"/>
          <w:lang w:eastAsia="en-GB"/>
        </w:rPr>
        <w:fldChar w:fldCharType="begin" w:fldLock="1"/>
      </w:r>
      <w:r w:rsidR="007C70EC" w:rsidRPr="009B3747">
        <w:rPr>
          <w:rFonts w:eastAsia="Times New Roman" w:cstheme="minorHAnsi"/>
          <w:color w:val="000000"/>
          <w:shd w:val="clear" w:color="auto" w:fill="FFFFFF"/>
          <w:lang w:eastAsia="en-GB"/>
        </w:rPr>
        <w:instrText>ADDIN CSL_CITATION { "citationItems" : [ { "id" : "ITEM-1", "itemData" : { "DOI" : "10.3233/EFI-2004-22201", "ISSN" : "18758649", "author" : [ { "dropping-particle" : "", "family" : "Shenton", "given" : "Andrew K.", "non-dropping-particle" : "", "parse-names" : false, "suffix" : "" } ], "container-title" : "Education for Information", "id" : "ITEM-1", "issue" : "2", "issued" : { "date-parts" : [ [ "2004", "7", "19" ] ] }, "page" : "63-75", "publisher" : "IOS Press", "title" : "Strategies for ensuring trustworthiness in qualitative research projects", "type" : "article-journal", "volume" : "22" }, "uris" : [ "http://www.mendeley.com/documents/?uuid=3203b860-00f8-3172-8a4f-696d180d57eb" ] }, { "id" : "ITEM-2", "itemData" : { "DOI" : "10.1037/0022-0167.52.2.250", "ISBN" : "1-59147-288-1", "ISSN" : "1939-2168", "author" : [ { "dropping-particle" : "", "family" : "Morrow", "given" : "Susan", "non-dropping-particle" : "", "parse-names" : false, "suffix" : "" } ], "container-title" : "Journal of Counseling Psychology", "id" : "ITEM-2", "issue" : "2", "issued" : { "date-parts" : [ [ "2005" ] ] }, "page" : "250-260", "publisher" : "American Psychological Association", "title" : "Quality and trustworthiness in qualitative research in counseling psychology.", "type" : "article-journal", "volume" : "52" }, "uris" : [ "http://www.mendeley.com/documents/?uuid=e7e15e7c-bf50-352e-b09f-0b9c5515928a" ] } ], "mendeley" : { "formattedCitation" : "(Shenton, 2004; Morrow, 2005)", "plainTextFormattedCitation" : "(Shenton, 2004; Morrow, 2005)", "previouslyFormattedCitation" : "(Shenton, 2004; Morrow, 2005)" }, "properties" : { "noteIndex" : 0 }, "schema" : "https://github.com/citation-style-language/schema/raw/master/csl-citation.json" }</w:instrText>
      </w:r>
      <w:r w:rsidR="007C70EC" w:rsidRPr="009B3747">
        <w:rPr>
          <w:rFonts w:eastAsia="Times New Roman" w:cstheme="minorHAnsi"/>
          <w:color w:val="000000"/>
          <w:shd w:val="clear" w:color="auto" w:fill="FFFFFF"/>
          <w:lang w:eastAsia="en-GB"/>
        </w:rPr>
        <w:fldChar w:fldCharType="separate"/>
      </w:r>
      <w:r w:rsidR="007C70EC" w:rsidRPr="009B3747">
        <w:rPr>
          <w:rFonts w:eastAsia="Times New Roman" w:cstheme="minorHAnsi"/>
          <w:noProof/>
          <w:color w:val="000000"/>
          <w:shd w:val="clear" w:color="auto" w:fill="FFFFFF"/>
          <w:lang w:eastAsia="en-GB"/>
        </w:rPr>
        <w:t>(Shenton, 2004; Morrow, 2005)</w:t>
      </w:r>
      <w:r w:rsidR="007C70EC" w:rsidRPr="009B3747">
        <w:rPr>
          <w:rFonts w:eastAsia="Times New Roman" w:cstheme="minorHAnsi"/>
          <w:color w:val="000000"/>
          <w:shd w:val="clear" w:color="auto" w:fill="FFFFFF"/>
          <w:lang w:eastAsia="en-GB"/>
        </w:rPr>
        <w:fldChar w:fldCharType="end"/>
      </w:r>
      <w:r w:rsidR="007C70EC" w:rsidRPr="009B3747">
        <w:rPr>
          <w:rFonts w:eastAsia="Times New Roman" w:cstheme="minorHAnsi"/>
          <w:color w:val="000000"/>
          <w:shd w:val="clear" w:color="auto" w:fill="FFFFFF"/>
          <w:lang w:eastAsia="en-GB"/>
        </w:rPr>
        <w:t>.</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shd w:val="clear" w:color="auto" w:fill="FFFFFF"/>
          <w:lang w:eastAsia="en-GB"/>
        </w:rPr>
        <w:t>Three key issues related to researcher bias were reflected upon during the process of conducting the doctoral study.  Firstly, due to time constraints identified by participants, the researcher did not utilise respondent validation</w:t>
      </w:r>
      <w:r w:rsidR="007C70EC" w:rsidRPr="009B3747">
        <w:rPr>
          <w:rFonts w:eastAsia="Times New Roman" w:cstheme="minorHAnsi"/>
          <w:color w:val="000000"/>
          <w:shd w:val="clear" w:color="auto" w:fill="FFFFFF"/>
          <w:lang w:eastAsia="en-GB"/>
        </w:rPr>
        <w:t xml:space="preserve"> </w:t>
      </w:r>
      <w:r w:rsidR="007C70EC" w:rsidRPr="009B3747">
        <w:rPr>
          <w:rFonts w:eastAsia="Times New Roman" w:cstheme="minorHAnsi"/>
          <w:color w:val="000000"/>
          <w:shd w:val="clear" w:color="auto" w:fill="FFFFFF"/>
          <w:lang w:eastAsia="en-GB"/>
        </w:rPr>
        <w:fldChar w:fldCharType="begin" w:fldLock="1"/>
      </w:r>
      <w:r w:rsidR="00395650" w:rsidRPr="009B3747">
        <w:rPr>
          <w:rFonts w:eastAsia="Times New Roman" w:cstheme="minorHAnsi"/>
          <w:color w:val="000000"/>
          <w:shd w:val="clear" w:color="auto" w:fill="FFFFFF"/>
          <w:lang w:eastAsia="en-GB"/>
        </w:rPr>
        <w:instrText>ADDIN CSL_CITATION { "citationItems" : [ { "id" : "ITEM-1", "itemData" : { "author" : [ { "dropping-particle" : "", "family" : "Kuper", "given" : "Ayelet", "non-dropping-particle" : "", "parse-names" : false, "suffix" : "" }, { "dropping-particle" : "", "family" : "Lingard", "given" : "Lorelei", "non-dropping-particle" : "", "parse-names" : false, "suffix" : "" }, { "dropping-particle" : "", "family" : "Levinson", "given" : "Wendy", "non-dropping-particle" : "", "parse-names" : false, "suffix" : "" } ], "container-title" : "BMJ", "id" : "ITEM-1", "issue" : "a1035", "issued" : { "date-parts" : [ [ "2008" ] ] }, "title" : "Critically appraising qualitative research", "type" : "article-journal", "volume" : "337" }, "uris" : [ "http://www.mendeley.com/documents/?uuid=2e6f1d13-1abb-3a96-86b4-15ad0cc6f862" ] } ], "mendeley" : { "formattedCitation" : "(Kuper et al., 2008)", "plainTextFormattedCitation" : "(Kuper et al., 2008)", "previouslyFormattedCitation" : "(Kuper et al., 2008)" }, "properties" : { "noteIndex" : 0 }, "schema" : "https://github.com/citation-style-language/schema/raw/master/csl-citation.json" }</w:instrText>
      </w:r>
      <w:r w:rsidR="007C70EC" w:rsidRPr="009B3747">
        <w:rPr>
          <w:rFonts w:eastAsia="Times New Roman" w:cstheme="minorHAnsi"/>
          <w:color w:val="000000"/>
          <w:shd w:val="clear" w:color="auto" w:fill="FFFFFF"/>
          <w:lang w:eastAsia="en-GB"/>
        </w:rPr>
        <w:fldChar w:fldCharType="separate"/>
      </w:r>
      <w:r w:rsidR="007C70EC" w:rsidRPr="009B3747">
        <w:rPr>
          <w:rFonts w:eastAsia="Times New Roman" w:cstheme="minorHAnsi"/>
          <w:noProof/>
          <w:color w:val="000000"/>
          <w:shd w:val="clear" w:color="auto" w:fill="FFFFFF"/>
          <w:lang w:eastAsia="en-GB"/>
        </w:rPr>
        <w:t>(Kuper et al., 2008)</w:t>
      </w:r>
      <w:r w:rsidR="007C70EC" w:rsidRPr="009B3747">
        <w:rPr>
          <w:rFonts w:eastAsia="Times New Roman" w:cstheme="minorHAnsi"/>
          <w:color w:val="000000"/>
          <w:shd w:val="clear" w:color="auto" w:fill="FFFFFF"/>
          <w:lang w:eastAsia="en-GB"/>
        </w:rPr>
        <w:fldChar w:fldCharType="end"/>
      </w:r>
      <w:r w:rsidR="00393968">
        <w:rPr>
          <w:rFonts w:eastAsia="Times New Roman" w:cstheme="minorHAnsi"/>
          <w:color w:val="000000"/>
          <w:shd w:val="clear" w:color="auto" w:fill="FFFFFF"/>
          <w:lang w:eastAsia="en-GB"/>
        </w:rPr>
        <w:t xml:space="preserve">, </w:t>
      </w:r>
      <w:r w:rsidRPr="009B3747">
        <w:rPr>
          <w:rFonts w:eastAsia="Times New Roman" w:cstheme="minorHAnsi"/>
          <w:color w:val="000000"/>
          <w:shd w:val="clear" w:color="auto" w:fill="FFFFFF"/>
          <w:lang w:eastAsia="en-GB"/>
        </w:rPr>
        <w:t>during any aspect of the qualitative research phase.  This would have provided participants the opportunity to read and comment on the typed transcripts, resultant themes and draft findings report, confirming whether their perspectives were accurately captured and interpreted.  </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shd w:val="clear" w:color="auto" w:fill="FFFFFF"/>
          <w:lang w:eastAsia="en-GB"/>
        </w:rPr>
        <w:t xml:space="preserve">Secondly, the </w:t>
      </w:r>
      <w:r w:rsidRPr="009B3747">
        <w:rPr>
          <w:rFonts w:eastAsia="Times New Roman" w:cstheme="minorHAnsi"/>
          <w:color w:val="000000"/>
          <w:lang w:eastAsia="en-GB"/>
        </w:rPr>
        <w:t xml:space="preserve">researcher's professional role (as described in chapter 1), required engagement with schools across one of the chosen local authorities.  Consequently, of the 22 participants interviewed, </w:t>
      </w:r>
      <w:r w:rsidRPr="009B3747">
        <w:rPr>
          <w:rFonts w:eastAsia="Times New Roman" w:cstheme="minorHAnsi"/>
          <w:color w:val="000000"/>
          <w:lang w:eastAsia="en-GB"/>
        </w:rPr>
        <w:lastRenderedPageBreak/>
        <w:t>the researcher knew of three within a professional capacity.  It is therefore important to acknowledge that this could have influenced the respon</w:t>
      </w:r>
      <w:r w:rsidR="004862DC">
        <w:rPr>
          <w:rFonts w:eastAsia="Times New Roman" w:cstheme="minorHAnsi"/>
          <w:color w:val="000000"/>
          <w:lang w:eastAsia="en-GB"/>
        </w:rPr>
        <w:t xml:space="preserve">ses those participants provided, </w:t>
      </w:r>
      <w:r w:rsidRPr="009B3747">
        <w:rPr>
          <w:rFonts w:eastAsia="Times New Roman" w:cstheme="minorHAnsi"/>
          <w:color w:val="000000"/>
          <w:lang w:eastAsia="en-GB"/>
        </w:rPr>
        <w:t>i.e. providing socially desirable answers.  An additional consideration is whether and how the researcher’s analysis of those three interview transcripts was in any way different to the remaining nineteen.  </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Thirdly whilst utilising qualitative findings to develop a quantitative instrument is advocated for enhancing internal validity and reliability (Creswell and Plano Clark, 2011), this approach is open to researcher bias.  For example the researcher’s personal choices determined which elements of the qualitative findings report to include in the questionnaire content, how to word the statements and what measurement scale to employ.  Consequently, the internal validity of the integrative process could have been strengthened by respondent validation and also verification by another researcher.  </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color w:val="000000"/>
          <w:lang w:eastAsia="en-GB"/>
        </w:rPr>
      </w:pPr>
      <w:r w:rsidRPr="009B3747">
        <w:rPr>
          <w:rFonts w:eastAsia="Times New Roman" w:cstheme="minorHAnsi"/>
          <w:color w:val="000000"/>
          <w:shd w:val="clear" w:color="auto" w:fill="FFFFFF"/>
          <w:lang w:eastAsia="en-GB"/>
        </w:rPr>
        <w:t>Despite the inability to remain completely objective throughout the process of conducting the mixed methods study, the researcher did commit to employing a reflexive</w:t>
      </w:r>
      <w:r w:rsidR="007C70EC" w:rsidRPr="009B3747">
        <w:rPr>
          <w:rFonts w:eastAsia="Times New Roman" w:cstheme="minorHAnsi"/>
          <w:color w:val="000000"/>
          <w:shd w:val="clear" w:color="auto" w:fill="FFFFFF"/>
          <w:lang w:eastAsia="en-GB"/>
        </w:rPr>
        <w:t xml:space="preserve"> approach</w:t>
      </w:r>
      <w:r w:rsidRPr="009B3747">
        <w:rPr>
          <w:rFonts w:eastAsia="Times New Roman" w:cstheme="minorHAnsi"/>
          <w:color w:val="000000"/>
          <w:shd w:val="clear" w:color="auto" w:fill="FFFFFF"/>
          <w:lang w:eastAsia="en-GB"/>
        </w:rPr>
        <w:t>.  By clearly articula</w:t>
      </w:r>
      <w:r w:rsidR="007C70EC" w:rsidRPr="009B3747">
        <w:rPr>
          <w:rFonts w:eastAsia="Times New Roman" w:cstheme="minorHAnsi"/>
          <w:color w:val="000000"/>
          <w:shd w:val="clear" w:color="auto" w:fill="FFFFFF"/>
          <w:lang w:eastAsia="en-GB"/>
        </w:rPr>
        <w:t xml:space="preserve">ting the researcher’s position, </w:t>
      </w:r>
      <w:r w:rsidRPr="009B3747">
        <w:rPr>
          <w:rFonts w:eastAsia="Times New Roman" w:cstheme="minorHAnsi"/>
          <w:color w:val="000000"/>
          <w:shd w:val="clear" w:color="auto" w:fill="FFFFFF"/>
          <w:lang w:eastAsia="en-GB"/>
        </w:rPr>
        <w:t>using a reflective journal and engaging consistently in a critically self-reflective manner with academic supervisors, the researcher attempted to account for and minimise any identifiable biases.  Furthermore, the researcher</w:t>
      </w:r>
      <w:r w:rsidRPr="009B3747">
        <w:rPr>
          <w:rFonts w:eastAsia="Times New Roman" w:cstheme="minorHAnsi"/>
          <w:color w:val="000000"/>
          <w:lang w:eastAsia="en-GB"/>
        </w:rPr>
        <w:t xml:space="preserve"> undertook a series of robust and explicit methodological steps during both </w:t>
      </w:r>
      <w:r w:rsidR="00393968">
        <w:rPr>
          <w:rFonts w:eastAsia="Times New Roman" w:cstheme="minorHAnsi"/>
          <w:color w:val="000000"/>
          <w:lang w:eastAsia="en-GB"/>
        </w:rPr>
        <w:t>phases,</w:t>
      </w:r>
      <w:r w:rsidRPr="009B3747">
        <w:rPr>
          <w:rFonts w:eastAsia="Times New Roman" w:cstheme="minorHAnsi"/>
          <w:color w:val="000000"/>
          <w:lang w:eastAsia="en-GB"/>
        </w:rPr>
        <w:t xml:space="preserve"> which were informed by extensive reading of relevant literature and engagement with </w:t>
      </w:r>
      <w:r w:rsidR="007C70EC" w:rsidRPr="009B3747">
        <w:rPr>
          <w:rFonts w:eastAsia="Times New Roman" w:cstheme="minorHAnsi"/>
          <w:color w:val="000000"/>
          <w:lang w:eastAsia="en-GB"/>
        </w:rPr>
        <w:t>academics from across the world.</w:t>
      </w:r>
    </w:p>
    <w:p w:rsidR="00595D2E" w:rsidRDefault="00595D2E" w:rsidP="00AC3B26">
      <w:pPr>
        <w:rPr>
          <w:rFonts w:eastAsia="Times New Roman" w:cstheme="minorHAnsi"/>
          <w:color w:val="000000"/>
          <w:lang w:eastAsia="en-GB"/>
        </w:rPr>
      </w:pPr>
    </w:p>
    <w:p w:rsidR="0075631F" w:rsidRDefault="0075631F" w:rsidP="00AC3B26">
      <w:pPr>
        <w:rPr>
          <w:rFonts w:eastAsia="Times New Roman" w:cstheme="minorHAnsi"/>
          <w:color w:val="000000"/>
          <w:lang w:eastAsia="en-GB"/>
        </w:rPr>
      </w:pPr>
      <w:r>
        <w:rPr>
          <w:rFonts w:eastAsia="Times New Roman" w:cstheme="minorHAnsi"/>
          <w:color w:val="000000"/>
          <w:lang w:eastAsia="en-GB"/>
        </w:rPr>
        <w:t>An addit</w:t>
      </w:r>
      <w:r w:rsidR="00281979">
        <w:rPr>
          <w:rFonts w:eastAsia="Times New Roman" w:cstheme="minorHAnsi"/>
          <w:color w:val="000000"/>
          <w:lang w:eastAsia="en-GB"/>
        </w:rPr>
        <w:t xml:space="preserve">ional limitation, </w:t>
      </w:r>
      <w:r>
        <w:rPr>
          <w:rFonts w:eastAsia="Times New Roman" w:cstheme="minorHAnsi"/>
          <w:color w:val="000000"/>
          <w:lang w:eastAsia="en-GB"/>
        </w:rPr>
        <w:t>w</w:t>
      </w:r>
      <w:r w:rsidR="00281979">
        <w:rPr>
          <w:rFonts w:eastAsia="Times New Roman" w:cstheme="minorHAnsi"/>
          <w:color w:val="000000"/>
          <w:lang w:eastAsia="en-GB"/>
        </w:rPr>
        <w:t xml:space="preserve">hich is important to reflect on, </w:t>
      </w:r>
      <w:r>
        <w:rPr>
          <w:rFonts w:eastAsia="Times New Roman" w:cstheme="minorHAnsi"/>
          <w:color w:val="000000"/>
          <w:lang w:eastAsia="en-GB"/>
        </w:rPr>
        <w:t xml:space="preserve">is the potential impact of a participant’s weight status or the weight status of their children and family on the responses provided (during either </w:t>
      </w:r>
      <w:r w:rsidR="00281979">
        <w:rPr>
          <w:rFonts w:eastAsia="Times New Roman" w:cstheme="minorHAnsi"/>
          <w:color w:val="000000"/>
          <w:lang w:eastAsia="en-GB"/>
        </w:rPr>
        <w:t xml:space="preserve">the </w:t>
      </w:r>
      <w:r>
        <w:rPr>
          <w:rFonts w:eastAsia="Times New Roman" w:cstheme="minorHAnsi"/>
          <w:color w:val="000000"/>
          <w:lang w:eastAsia="en-GB"/>
        </w:rPr>
        <w:t>interviews or the survey).  A small minority of participants in the qualitative phase did reflect on their own health</w:t>
      </w:r>
      <w:r w:rsidR="00071EBF">
        <w:rPr>
          <w:rFonts w:eastAsia="Times New Roman" w:cstheme="minorHAnsi"/>
          <w:color w:val="000000"/>
          <w:lang w:eastAsia="en-GB"/>
        </w:rPr>
        <w:t>,</w:t>
      </w:r>
      <w:r>
        <w:rPr>
          <w:rFonts w:eastAsia="Times New Roman" w:cstheme="minorHAnsi"/>
          <w:color w:val="000000"/>
          <w:lang w:eastAsia="en-GB"/>
        </w:rPr>
        <w:t xml:space="preserve"> including issues related to weight and lifestyle behaviours.  It is therefore appropriate to suggest that </w:t>
      </w:r>
      <w:r w:rsidR="00AB5B41">
        <w:rPr>
          <w:rFonts w:eastAsia="Times New Roman" w:cstheme="minorHAnsi"/>
          <w:color w:val="000000"/>
          <w:lang w:eastAsia="en-GB"/>
        </w:rPr>
        <w:t xml:space="preserve">a participant’s </w:t>
      </w:r>
      <w:r>
        <w:rPr>
          <w:rFonts w:eastAsia="Times New Roman" w:cstheme="minorHAnsi"/>
          <w:color w:val="000000"/>
          <w:lang w:eastAsia="en-GB"/>
        </w:rPr>
        <w:t>personal experiences related t</w:t>
      </w:r>
      <w:r w:rsidR="00071EBF">
        <w:rPr>
          <w:rFonts w:eastAsia="Times New Roman" w:cstheme="minorHAnsi"/>
          <w:color w:val="000000"/>
          <w:lang w:eastAsia="en-GB"/>
        </w:rPr>
        <w:t>o the topic under study could</w:t>
      </w:r>
      <w:r>
        <w:rPr>
          <w:rFonts w:eastAsia="Times New Roman" w:cstheme="minorHAnsi"/>
          <w:color w:val="000000"/>
          <w:lang w:eastAsia="en-GB"/>
        </w:rPr>
        <w:t xml:space="preserve"> have influenced </w:t>
      </w:r>
      <w:r w:rsidR="00AB5B41">
        <w:rPr>
          <w:rFonts w:eastAsia="Times New Roman" w:cstheme="minorHAnsi"/>
          <w:color w:val="000000"/>
          <w:lang w:eastAsia="en-GB"/>
        </w:rPr>
        <w:t xml:space="preserve">how they answered each of the questions posed by the researcher.  This is especially relevant given the highlighted sensitivities and complexities of obesity as a public health issue.     </w:t>
      </w:r>
    </w:p>
    <w:p w:rsidR="0075631F" w:rsidRPr="009B3747" w:rsidRDefault="0075631F" w:rsidP="00AC3B26">
      <w:pPr>
        <w:rPr>
          <w:rFonts w:eastAsia="Times New Roman" w:cstheme="minorHAnsi"/>
          <w:color w:val="000000"/>
          <w:lang w:eastAsia="en-GB"/>
        </w:rPr>
      </w:pPr>
    </w:p>
    <w:p w:rsidR="00595D2E" w:rsidRPr="009B3747" w:rsidRDefault="0075631F" w:rsidP="00595D2E">
      <w:pPr>
        <w:rPr>
          <w:rFonts w:eastAsia="Times New Roman" w:cstheme="minorHAnsi"/>
          <w:color w:val="000000"/>
          <w:lang w:eastAsia="en-GB"/>
        </w:rPr>
      </w:pPr>
      <w:r>
        <w:rPr>
          <w:rFonts w:eastAsia="Times New Roman" w:cstheme="minorHAnsi"/>
          <w:color w:val="000000"/>
          <w:lang w:eastAsia="en-GB"/>
        </w:rPr>
        <w:t>A final</w:t>
      </w:r>
      <w:r w:rsidR="00595D2E" w:rsidRPr="009B3747">
        <w:rPr>
          <w:rFonts w:eastAsia="Times New Roman" w:cstheme="minorHAnsi"/>
          <w:color w:val="000000"/>
          <w:lang w:eastAsia="en-GB"/>
        </w:rPr>
        <w:t xml:space="preserve"> consideration to note potentially affecting both phases of the research, was the public profile of obesity during the time of data collection.  The release of the national childhood obesity plan (HM Government, 2016), meant that prior to, at the point of and post its launch in August 2016, there </w:t>
      </w:r>
      <w:r w:rsidR="00595D2E" w:rsidRPr="009B3747">
        <w:rPr>
          <w:rFonts w:eastAsia="Times New Roman" w:cstheme="minorHAnsi"/>
          <w:color w:val="000000"/>
          <w:lang w:eastAsia="en-GB"/>
        </w:rPr>
        <w:lastRenderedPageBreak/>
        <w:t>was a significant increase in mainstream and social media attention on childhood obesity.  It is important therefore to acknowledge that this heightened reporting regarding childhood obesity and the national plan, could have influenced both participants willingness to take part in the research and the resultant perspectives shared.</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i/>
          <w:iCs/>
          <w:color w:val="000000"/>
          <w:lang w:eastAsia="en-GB"/>
        </w:rPr>
        <w:t>Qualitative phase</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A limitation specific to the qualitative phase, relates to selection bias.  Non-probability purposive sampling was utilised to recruit participants from specific local authorities in England.  Whilst this approach to sampling was a deliberate methodological choice, it is implausible to claim that the resultant sample of 22 was representative of all secondary school headteachers and chairs of governors in England.  As a result, it is equally impossible to state that the perspectives obtained from the interviews can be generalised to the wider population under study.  Despite these limitations, the qualitative phase was exploratory, with the aim of obtaining an in-depth and contextually rich understanding.  </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color w:val="000000"/>
          <w:lang w:eastAsia="en-GB"/>
        </w:rPr>
      </w:pPr>
      <w:r w:rsidRPr="009B3747">
        <w:rPr>
          <w:rFonts w:eastAsia="Times New Roman" w:cstheme="minorHAnsi"/>
          <w:color w:val="000000"/>
          <w:lang w:eastAsia="en-GB"/>
        </w:rPr>
        <w:t>The qualitative sample was overrepresented by schools with a higher pupil disadvantage than the national average.  It is important to reflect that this could have disproportionately added weight to arguments surrounding the influence and impact of deprivation both in the reported and interpreted findings.  Furthermore and relevant for the quantitative phase, is the recognition that there is an inherent selection bias regarding those who agree to form the final study sample.  It is not possible to identify what their motivations were for participating or indeed whether or what pre-conceived perspectives existed prior to being interviewed or indeed surveyed.  </w:t>
      </w:r>
    </w:p>
    <w:p w:rsidR="00DE4496" w:rsidRPr="009B3747" w:rsidRDefault="00DE4496" w:rsidP="00AC3B26">
      <w:pPr>
        <w:rPr>
          <w:rFonts w:eastAsia="Times New Roman" w:cstheme="minorHAnsi"/>
          <w:color w:val="000000"/>
          <w:lang w:eastAsia="en-GB"/>
        </w:rPr>
      </w:pPr>
    </w:p>
    <w:p w:rsidR="00AC3B26" w:rsidRPr="009B3747" w:rsidRDefault="00AC3B26" w:rsidP="00393968">
      <w:pPr>
        <w:rPr>
          <w:rFonts w:eastAsia="Times New Roman" w:cstheme="minorHAnsi"/>
          <w:sz w:val="24"/>
          <w:szCs w:val="24"/>
          <w:lang w:eastAsia="en-GB"/>
        </w:rPr>
      </w:pPr>
      <w:r w:rsidRPr="009B3747">
        <w:rPr>
          <w:rFonts w:eastAsia="Times New Roman" w:cstheme="minorHAnsi"/>
          <w:i/>
          <w:iCs/>
          <w:color w:val="000000"/>
          <w:lang w:eastAsia="en-GB"/>
        </w:rPr>
        <w:t>Quantitative phase</w:t>
      </w:r>
    </w:p>
    <w:p w:rsidR="00AC3B26" w:rsidRPr="009B3747" w:rsidRDefault="00AC3B26" w:rsidP="00393968">
      <w:pPr>
        <w:rPr>
          <w:rFonts w:eastAsia="Times New Roman" w:cstheme="minorHAnsi"/>
          <w:sz w:val="24"/>
          <w:szCs w:val="24"/>
          <w:lang w:eastAsia="en-GB"/>
        </w:rPr>
      </w:pPr>
    </w:p>
    <w:p w:rsidR="00E233D4" w:rsidRPr="00430B7B" w:rsidRDefault="00AC3B26" w:rsidP="00393968">
      <w:pPr>
        <w:rPr>
          <w:sz w:val="20"/>
          <w:szCs w:val="20"/>
        </w:rPr>
      </w:pPr>
      <w:r w:rsidRPr="009B3747">
        <w:rPr>
          <w:rFonts w:eastAsia="Times New Roman" w:cstheme="minorHAnsi"/>
          <w:color w:val="000000"/>
          <w:lang w:eastAsia="en-GB"/>
        </w:rPr>
        <w:t>The most significant limitation of the quantitative phase of the study concerns the extremely low response rate of the survey (2.8%) and therefore the generalisability of the questionnaire data.</w:t>
      </w:r>
      <w:r w:rsidR="000071BC">
        <w:rPr>
          <w:rFonts w:eastAsia="Times New Roman" w:cstheme="minorHAnsi"/>
          <w:color w:val="000000"/>
          <w:lang w:eastAsia="en-GB"/>
        </w:rPr>
        <w:t xml:space="preserve">  </w:t>
      </w:r>
      <w:r w:rsidR="00E233D4">
        <w:rPr>
          <w:rFonts w:eastAsia="Times New Roman" w:cstheme="minorHAnsi"/>
          <w:color w:val="000000"/>
          <w:lang w:eastAsia="en-GB"/>
        </w:rPr>
        <w:t xml:space="preserve">Furthermore, due to receiving anonymised responses, </w:t>
      </w:r>
      <w:r w:rsidR="000071BC">
        <w:rPr>
          <w:rFonts w:eastAsia="Times New Roman" w:cstheme="minorHAnsi"/>
          <w:color w:val="000000"/>
          <w:lang w:eastAsia="en-GB"/>
        </w:rPr>
        <w:t xml:space="preserve">the researcher is unable to confirm </w:t>
      </w:r>
      <w:r w:rsidR="00E233D4">
        <w:rPr>
          <w:rFonts w:eastAsia="Times New Roman" w:cstheme="minorHAnsi"/>
          <w:color w:val="000000"/>
          <w:lang w:eastAsia="en-GB"/>
        </w:rPr>
        <w:t>if survey</w:t>
      </w:r>
      <w:r w:rsidR="000071BC">
        <w:rPr>
          <w:rFonts w:eastAsia="Times New Roman" w:cstheme="minorHAnsi"/>
          <w:color w:val="000000"/>
          <w:lang w:eastAsia="en-GB"/>
        </w:rPr>
        <w:t xml:space="preserve"> participants represented the same school (i.e. </w:t>
      </w:r>
      <w:r w:rsidR="00E233D4">
        <w:rPr>
          <w:rFonts w:eastAsia="Times New Roman" w:cstheme="minorHAnsi"/>
          <w:color w:val="000000"/>
          <w:lang w:eastAsia="en-GB"/>
        </w:rPr>
        <w:t xml:space="preserve">a </w:t>
      </w:r>
      <w:r w:rsidR="000071BC">
        <w:rPr>
          <w:rFonts w:eastAsia="Times New Roman" w:cstheme="minorHAnsi"/>
          <w:color w:val="000000"/>
          <w:lang w:eastAsia="en-GB"/>
        </w:rPr>
        <w:t xml:space="preserve">school’s headteacher and chair of governors </w:t>
      </w:r>
      <w:r w:rsidR="00E233D4">
        <w:rPr>
          <w:rFonts w:eastAsia="Times New Roman" w:cstheme="minorHAnsi"/>
          <w:color w:val="000000"/>
          <w:lang w:eastAsia="en-GB"/>
        </w:rPr>
        <w:t xml:space="preserve">both </w:t>
      </w:r>
      <w:r w:rsidR="000071BC">
        <w:rPr>
          <w:rFonts w:eastAsia="Times New Roman" w:cstheme="minorHAnsi"/>
          <w:color w:val="000000"/>
          <w:lang w:eastAsia="en-GB"/>
        </w:rPr>
        <w:t>completing the questionnaire).  There is the possib</w:t>
      </w:r>
      <w:r w:rsidR="00E233D4">
        <w:rPr>
          <w:rFonts w:eastAsia="Times New Roman" w:cstheme="minorHAnsi"/>
          <w:color w:val="000000"/>
          <w:lang w:eastAsia="en-GB"/>
        </w:rPr>
        <w:t xml:space="preserve">ility therefore that the final sample of 127 participants actually reflects a smaller number of secondary schools and could further limit the generalisability of the quantitative results.     </w:t>
      </w:r>
    </w:p>
    <w:p w:rsidR="000071BC" w:rsidRDefault="000071BC" w:rsidP="00393968">
      <w:pPr>
        <w:rPr>
          <w:rFonts w:eastAsia="Times New Roman" w:cstheme="minorHAnsi"/>
          <w:color w:val="000000"/>
          <w:lang w:eastAsia="en-GB"/>
        </w:rPr>
      </w:pPr>
    </w:p>
    <w:p w:rsidR="007C70EC" w:rsidRDefault="00AC3B26" w:rsidP="00393968">
      <w:pPr>
        <w:rPr>
          <w:rFonts w:eastAsia="Times New Roman" w:cstheme="minorHAnsi"/>
          <w:color w:val="000000"/>
          <w:lang w:eastAsia="en-GB"/>
        </w:rPr>
      </w:pPr>
      <w:r w:rsidRPr="009B3747">
        <w:rPr>
          <w:rFonts w:eastAsia="Times New Roman" w:cstheme="minorHAnsi"/>
          <w:color w:val="000000"/>
          <w:lang w:eastAsia="en-GB"/>
        </w:rPr>
        <w:lastRenderedPageBreak/>
        <w:t>Despite the researcher committing to a range of strategies to improve the response rate</w:t>
      </w:r>
      <w:r w:rsidR="00D05CC9">
        <w:rPr>
          <w:rFonts w:eastAsia="Times New Roman" w:cstheme="minorHAnsi"/>
          <w:color w:val="000000"/>
          <w:lang w:eastAsia="en-GB"/>
        </w:rPr>
        <w:t>,</w:t>
      </w:r>
      <w:r w:rsidRPr="009B3747">
        <w:rPr>
          <w:rFonts w:eastAsia="Times New Roman" w:cstheme="minorHAnsi"/>
          <w:color w:val="000000"/>
          <w:lang w:eastAsia="en-GB"/>
        </w:rPr>
        <w:t xml:space="preserve"> </w:t>
      </w:r>
      <w:r w:rsidR="001F55B9" w:rsidRPr="009B3747">
        <w:rPr>
          <w:rFonts w:eastAsia="Times New Roman" w:cstheme="minorHAnsi"/>
          <w:color w:val="000000"/>
          <w:lang w:eastAsia="en-GB"/>
        </w:rPr>
        <w:t xml:space="preserve">a range of factors were </w:t>
      </w:r>
      <w:r w:rsidRPr="009B3747">
        <w:rPr>
          <w:rFonts w:eastAsia="Times New Roman" w:cstheme="minorHAnsi"/>
          <w:color w:val="000000"/>
          <w:lang w:eastAsia="en-GB"/>
        </w:rPr>
        <w:t>identified</w:t>
      </w:r>
      <w:r w:rsidR="00D05CC9">
        <w:rPr>
          <w:rFonts w:eastAsia="Times New Roman" w:cstheme="minorHAnsi"/>
          <w:color w:val="000000"/>
          <w:lang w:eastAsia="en-GB"/>
        </w:rPr>
        <w:t>,</w:t>
      </w:r>
      <w:r w:rsidRPr="009B3747">
        <w:rPr>
          <w:rFonts w:eastAsia="Times New Roman" w:cstheme="minorHAnsi"/>
          <w:color w:val="000000"/>
          <w:lang w:eastAsia="en-GB"/>
        </w:rPr>
        <w:t xml:space="preserve"> </w:t>
      </w:r>
      <w:r w:rsidR="001F55B9" w:rsidRPr="009B3747">
        <w:rPr>
          <w:rFonts w:eastAsia="Times New Roman" w:cstheme="minorHAnsi"/>
          <w:color w:val="000000"/>
          <w:lang w:eastAsia="en-GB"/>
        </w:rPr>
        <w:t>which could have</w:t>
      </w:r>
      <w:r w:rsidRPr="009B3747">
        <w:rPr>
          <w:rFonts w:eastAsia="Times New Roman" w:cstheme="minorHAnsi"/>
          <w:color w:val="000000"/>
          <w:lang w:eastAsia="en-GB"/>
        </w:rPr>
        <w:t xml:space="preserve"> significantly impacte</w:t>
      </w:r>
      <w:r w:rsidR="001F55B9" w:rsidRPr="009B3747">
        <w:rPr>
          <w:rFonts w:eastAsia="Times New Roman" w:cstheme="minorHAnsi"/>
          <w:color w:val="000000"/>
          <w:lang w:eastAsia="en-GB"/>
        </w:rPr>
        <w:t xml:space="preserve">d the resultant rate achieved.  </w:t>
      </w:r>
      <w:r w:rsidRPr="009B3747">
        <w:rPr>
          <w:rFonts w:eastAsia="Times New Roman" w:cstheme="minorHAnsi"/>
          <w:color w:val="000000"/>
          <w:lang w:eastAsia="en-GB"/>
        </w:rPr>
        <w:t>Broadly speaking the use of an online questionnaire instead of a postal data collection method is associated with lower response rates (Bryman, 2012).  Furthermore, the lack of monetary or non-monetary incentive, the inability to completely personalise the emails and the purely textual (rather than pictorial) email could’ve all limited the potential number of responses received</w:t>
      </w:r>
      <w:r w:rsidR="007C70EC" w:rsidRPr="009B3747">
        <w:rPr>
          <w:rFonts w:eastAsia="Times New Roman" w:cstheme="minorHAnsi"/>
          <w:color w:val="000000"/>
          <w:lang w:eastAsia="en-GB"/>
        </w:rPr>
        <w:t xml:space="preserve"> </w:t>
      </w:r>
      <w:r w:rsidR="007C70EC" w:rsidRPr="009B3747">
        <w:rPr>
          <w:rFonts w:eastAsia="Times New Roman" w:cstheme="minorHAnsi"/>
          <w:color w:val="000000"/>
          <w:lang w:eastAsia="en-GB"/>
        </w:rPr>
        <w:fldChar w:fldCharType="begin" w:fldLock="1"/>
      </w:r>
      <w:r w:rsidR="001F55B9" w:rsidRPr="009B3747">
        <w:rPr>
          <w:rFonts w:eastAsia="Times New Roman" w:cstheme="minorHAnsi"/>
          <w:color w:val="000000"/>
          <w:lang w:eastAsia="en-GB"/>
        </w:rPr>
        <w:instrText>ADDIN CSL_CITATION { "citationItems" : [ { "id" : "ITEM-1", "itemData" : { "DOI" : "10.1002/14651858.MR000008.pub4", "ISSN" : "1469-493X", "PMID" : "19588449", "abstract" : "BACKGROUND Postal and electronic questionnaires are widely used for data collection in epidemiological studies but non-response reduces the effective sample size and can introduce bias. Finding ways to increase response to postal and electronic questionnaires would improve the quality of health research. OBJECTIVES To identify effective strategies to increase response to postal and electronic questionnaires. SEARCH STRATEGY We searched 14 electronic databases to February 2008 and manually searched the reference lists of relevant trials and reviews, and all issues of two journals. We contacted the authors of all trials or reviews to ask about unpublished trials. Where necessary, we also contacted authors to confirm methods of allocation used and to clarify results presented. We assessed the eligibility of each trial using pre-defined criteria. SELECTION CRITERIA Randomised controlled trials of methods to increase response to postal or electronic questionnaires. DATA COLLECTION AND ANALYSIS We extracted data on the trial participants, the intervention, the number randomised to intervention and comparison groups and allocation concealment. For each strategy, we estimated pooled odds ratios (OR) and 95% confidence intervals (CI) in a random-effects model. We assessed evidence for selection bias using Egger's weighted regression method and Begg's rank correlation test and funnel plot. We assessed heterogeneity among trial odds ratios using a Chi(2) test and the degree of inconsistency between trial results was quantified using the I(2) statistic. MAIN RESULTS PostalWe found 481 eligible trials. The trials evaluated 110 different ways of increasing response to postal questionnaires. We found substantial heterogeneity among trial results in half of the strategies. The odds of response were at least doubled using monetary incentives (odds ratio 1.87; 95% CI 1.73 to 2.04; heterogeneity P &lt; 0.00001, I(2) = 84%), recorded delivery (1.76; 95% CI 1.43 to 2.18; P = 0.0001, I(2) = 71%), a teaser on the envelope - e.g. a comment suggesting to participants that they may benefit if they open it (3.08; 95% CI 1.27 to 7.44) and a more interesting questionnaire topic (2.00; 95% CI 1.32 to 3.04; P = 0.06, I(2) = 80%). The odds of response were substantially higher with pre-notification (1.45; 95% CI 1.29 to 1.63; P &lt; 0.00001, I(2) = 89%), follow-up contact (1.35; 95% CI 1.18 to 1.55; P &lt; 0.00001, I(2) = 76%), unconditional incentives (1.61; 1.36 to 1.89; P &lt; 0.00001, I(2) = \u2026", "author" : [ { "dropping-particle" : "", "family" : "Edwards", "given" : "Philip James", "non-dropping-particle" : "", "parse-names" : false, "suffix" : "" }, { "dropping-particle" : "", "family" : "Roberts", "given" : "Ian", "non-dropping-particle" : "", "parse-names" : false, "suffix" : "" }, { "dropping-particle" : "", "family" : "Clarke", "given" : "Mike J", "non-dropping-particle" : "", "parse-names" : false, "suffix" : "" }, { "dropping-particle" : "", "family" : "DiGuiseppi", "given" : "Carolyn", "non-dropping-particle" : "", "parse-names" : false, "suffix" : "" }, { "dropping-particle" : "", "family" : "Wentz", "given" : "Reinhard", "non-dropping-particle" : "", "parse-names" : false, "suffix" : "" }, { "dropping-particle" : "", "family" : "Kwan", "given" : "Irene", "non-dropping-particle" : "", "parse-names" : false, "suffix" : "" }, { "dropping-particle" : "", "family" : "Cooper", "given" : "Rachel", "non-dropping-particle" : "", "parse-names" : false, "suffix" : "" }, { "dropping-particle" : "", "family" : "Felix", "given" : "Lambert M", "non-dropping-particle" : "", "parse-names" : false, "suffix" : "" }, { "dropping-particle" : "", "family" : "Pratap", "given" : "Sarah", "non-dropping-particle" : "", "parse-names" : false, "suffix" : "" } ], "container-title" : "Cochrane Database of Systematic Reviews", "editor" : [ { "dropping-particle" : "", "family" : "Edwards", "given" : "Philip James", "non-dropping-particle" : "", "parse-names" : false, "suffix" : "" } ], "id" : "ITEM-1", "issue" : "3", "issued" : { "date-parts" : [ [ "2009", "7", "8" ] ] }, "page" : "MR000008", "publisher" : "John Wiley &amp; Sons, Ltd", "publisher-place" : "Chichester, UK", "title" : "Methods to increase response to postal and electronic questionnaires", "type" : "chapter" }, "uris" : [ "http://www.mendeley.com/documents/?uuid=9c4ebf4b-4e9f-36de-99d7-7f8eb7fce64e" ] } ], "mendeley" : { "formattedCitation" : "(Edwards et al., 2009)", "plainTextFormattedCitation" : "(Edwards et al., 2009)", "previouslyFormattedCitation" : "(Edwards et al., 2009)" }, "properties" : { "noteIndex" : 0 }, "schema" : "https://github.com/citation-style-language/schema/raw/master/csl-citation.json" }</w:instrText>
      </w:r>
      <w:r w:rsidR="007C70EC" w:rsidRPr="009B3747">
        <w:rPr>
          <w:rFonts w:eastAsia="Times New Roman" w:cstheme="minorHAnsi"/>
          <w:color w:val="000000"/>
          <w:lang w:eastAsia="en-GB"/>
        </w:rPr>
        <w:fldChar w:fldCharType="separate"/>
      </w:r>
      <w:r w:rsidR="007C70EC" w:rsidRPr="009B3747">
        <w:rPr>
          <w:rFonts w:eastAsia="Times New Roman" w:cstheme="minorHAnsi"/>
          <w:noProof/>
          <w:color w:val="000000"/>
          <w:lang w:eastAsia="en-GB"/>
        </w:rPr>
        <w:t>(Edwards et al., 2009)</w:t>
      </w:r>
      <w:r w:rsidR="007C70EC" w:rsidRPr="009B3747">
        <w:rPr>
          <w:rFonts w:eastAsia="Times New Roman" w:cstheme="minorHAnsi"/>
          <w:color w:val="000000"/>
          <w:lang w:eastAsia="en-GB"/>
        </w:rPr>
        <w:fldChar w:fldCharType="end"/>
      </w:r>
      <w:r w:rsidR="007C70EC" w:rsidRPr="009B3747">
        <w:rPr>
          <w:rFonts w:eastAsia="Times New Roman" w:cstheme="minorHAnsi"/>
          <w:color w:val="000000"/>
          <w:lang w:eastAsia="en-GB"/>
        </w:rPr>
        <w:t>.</w:t>
      </w:r>
      <w:r w:rsidR="000071BC">
        <w:rPr>
          <w:rFonts w:eastAsia="Times New Roman" w:cstheme="minorHAnsi"/>
          <w:color w:val="000000"/>
          <w:lang w:eastAsia="en-GB"/>
        </w:rPr>
        <w:t xml:space="preserve">  </w:t>
      </w:r>
    </w:p>
    <w:p w:rsidR="000071BC" w:rsidRPr="009B3747" w:rsidRDefault="000071BC"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Additionally to these broader factors, specific aspects of the recruitment of survey participants and the data collection methods were viewed as possibly impacting upon the response rate of the survey.  Potentially the most crucial limitation of the data collection method was the inability of the researcher to ensure the email participant request was a) sent to the correct person</w:t>
      </w:r>
      <w:r w:rsidR="004862DC">
        <w:rPr>
          <w:rFonts w:eastAsia="Times New Roman" w:cstheme="minorHAnsi"/>
          <w:color w:val="000000"/>
          <w:lang w:eastAsia="en-GB"/>
        </w:rPr>
        <w:t>,</w:t>
      </w:r>
      <w:r w:rsidRPr="009B3747">
        <w:rPr>
          <w:rFonts w:eastAsia="Times New Roman" w:cstheme="minorHAnsi"/>
          <w:color w:val="000000"/>
          <w:lang w:eastAsia="en-GB"/>
        </w:rPr>
        <w:t xml:space="preserve"> i.e. school headteacher and chair of governor and b) opened at all.</w:t>
      </w:r>
    </w:p>
    <w:p w:rsidR="00AC3B26" w:rsidRPr="009B3747" w:rsidRDefault="00AC3B26" w:rsidP="00AC3B26">
      <w:pPr>
        <w:rPr>
          <w:rFonts w:eastAsia="Times New Roman" w:cstheme="minorHAnsi"/>
          <w:sz w:val="24"/>
          <w:szCs w:val="24"/>
          <w:lang w:eastAsia="en-GB"/>
        </w:rPr>
      </w:pPr>
    </w:p>
    <w:p w:rsidR="00BC2A9C" w:rsidRPr="009B3747" w:rsidRDefault="00AC3B26" w:rsidP="00AC3B26">
      <w:pPr>
        <w:rPr>
          <w:rFonts w:eastAsia="Times New Roman" w:cstheme="minorHAnsi"/>
          <w:color w:val="000000"/>
          <w:lang w:eastAsia="en-GB"/>
        </w:rPr>
      </w:pPr>
      <w:r w:rsidRPr="009B3747">
        <w:rPr>
          <w:rFonts w:eastAsia="Times New Roman" w:cstheme="minorHAnsi"/>
          <w:color w:val="000000"/>
          <w:lang w:eastAsia="en-GB"/>
        </w:rPr>
        <w:t>The mail merge software utilised provided a tracking report for each of the three distributed emails (original request and two subsequent reminders).  All tracking reports obtained consistently confirmed that on average (across the three distributions)</w:t>
      </w:r>
      <w:r w:rsidR="00D05CC9">
        <w:rPr>
          <w:rFonts w:eastAsia="Times New Roman" w:cstheme="minorHAnsi"/>
          <w:color w:val="000000"/>
          <w:lang w:eastAsia="en-GB"/>
        </w:rPr>
        <w:t>,</w:t>
      </w:r>
      <w:r w:rsidRPr="009B3747">
        <w:rPr>
          <w:rFonts w:eastAsia="Times New Roman" w:cstheme="minorHAnsi"/>
          <w:color w:val="000000"/>
          <w:lang w:eastAsia="en-GB"/>
        </w:rPr>
        <w:t xml:space="preserve"> 13.8% of emails sent to the database of schools were not opened and 3.7% of emails sent were opened and the survey link contained clicked.  Below provides the open and open/click percentages for ea</w:t>
      </w:r>
      <w:r w:rsidR="00BC2A9C" w:rsidRPr="009B3747">
        <w:rPr>
          <w:rFonts w:eastAsia="Times New Roman" w:cstheme="minorHAnsi"/>
          <w:color w:val="000000"/>
          <w:lang w:eastAsia="en-GB"/>
        </w:rPr>
        <w:t>ch of the three distributions:</w:t>
      </w: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      </w:t>
      </w:r>
    </w:p>
    <w:p w:rsidR="00AC3B26" w:rsidRPr="009B3747" w:rsidRDefault="00AC3B26" w:rsidP="00C27072">
      <w:pPr>
        <w:numPr>
          <w:ilvl w:val="0"/>
          <w:numId w:val="121"/>
        </w:numPr>
        <w:textAlignment w:val="baseline"/>
        <w:rPr>
          <w:rFonts w:eastAsia="Times New Roman" w:cstheme="minorHAnsi"/>
          <w:color w:val="000000"/>
          <w:lang w:eastAsia="en-GB"/>
        </w:rPr>
      </w:pPr>
      <w:r w:rsidRPr="009B3747">
        <w:rPr>
          <w:rFonts w:eastAsia="Times New Roman" w:cstheme="minorHAnsi"/>
          <w:color w:val="000000"/>
          <w:lang w:eastAsia="en-GB"/>
        </w:rPr>
        <w:t>1st distribution (original) - 17% opened, 3.5% opened and clicked and 1% bounced</w:t>
      </w:r>
    </w:p>
    <w:p w:rsidR="00AC3B26" w:rsidRPr="009B3747" w:rsidRDefault="00AC3B26" w:rsidP="00C27072">
      <w:pPr>
        <w:numPr>
          <w:ilvl w:val="0"/>
          <w:numId w:val="121"/>
        </w:numPr>
        <w:textAlignment w:val="baseline"/>
        <w:rPr>
          <w:rFonts w:eastAsia="Times New Roman" w:cstheme="minorHAnsi"/>
          <w:color w:val="000000"/>
          <w:lang w:eastAsia="en-GB"/>
        </w:rPr>
      </w:pPr>
      <w:r w:rsidRPr="009B3747">
        <w:rPr>
          <w:rFonts w:eastAsia="Times New Roman" w:cstheme="minorHAnsi"/>
          <w:color w:val="000000"/>
          <w:lang w:eastAsia="en-GB"/>
        </w:rPr>
        <w:t>2nd distribution (1st reminder) - 19.5% opened, 4.8% opened and clicked and 1% bounced</w:t>
      </w:r>
    </w:p>
    <w:p w:rsidR="00AC3B26" w:rsidRPr="009B3747" w:rsidRDefault="00AC3B26" w:rsidP="00C27072">
      <w:pPr>
        <w:numPr>
          <w:ilvl w:val="0"/>
          <w:numId w:val="121"/>
        </w:numPr>
        <w:textAlignment w:val="baseline"/>
        <w:rPr>
          <w:rFonts w:eastAsia="Times New Roman" w:cstheme="minorHAnsi"/>
          <w:color w:val="000000"/>
          <w:lang w:eastAsia="en-GB"/>
        </w:rPr>
      </w:pPr>
      <w:r w:rsidRPr="009B3747">
        <w:rPr>
          <w:rFonts w:eastAsia="Times New Roman" w:cstheme="minorHAnsi"/>
          <w:color w:val="000000"/>
          <w:lang w:eastAsia="en-GB"/>
        </w:rPr>
        <w:t>3rd distribution (2nd reminder) - 5% opened and 2.8% opened and clicked (0% bounced)</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Whilst a small minority of the publically available email addresses detailed in the EduBase database were that of a school's respective headteacher, the vast majority were generic administrative email addresses.  This means that in the main, the person receiving the original or subsequent email reminders wouldn’t have been the potential participant.  An important determining factor affecting the response rate therefore would have been whether the person who identified the email decided to open the email or as the email requested to forward it to the school’s headteacher and chair of governors.  Consequently it is difficult to ascertain whether</w:t>
      </w:r>
      <w:r w:rsidR="001F55B9" w:rsidRPr="009B3747">
        <w:rPr>
          <w:rFonts w:eastAsia="Times New Roman" w:cstheme="minorHAnsi"/>
          <w:color w:val="000000"/>
          <w:lang w:eastAsia="en-GB"/>
        </w:rPr>
        <w:t xml:space="preserve"> a higher response rate would have</w:t>
      </w:r>
      <w:r w:rsidRPr="009B3747">
        <w:rPr>
          <w:rFonts w:eastAsia="Times New Roman" w:cstheme="minorHAnsi"/>
          <w:color w:val="000000"/>
          <w:lang w:eastAsia="en-GB"/>
        </w:rPr>
        <w:t xml:space="preserve"> been achieved if headteachers</w:t>
      </w:r>
      <w:r w:rsidR="00BC2A9C" w:rsidRPr="009B3747">
        <w:rPr>
          <w:rFonts w:eastAsia="Times New Roman" w:cstheme="minorHAnsi"/>
          <w:color w:val="000000"/>
          <w:lang w:eastAsia="en-GB"/>
        </w:rPr>
        <w:t>’</w:t>
      </w:r>
      <w:r w:rsidRPr="009B3747">
        <w:rPr>
          <w:rFonts w:eastAsia="Times New Roman" w:cstheme="minorHAnsi"/>
          <w:color w:val="000000"/>
          <w:lang w:eastAsia="en-GB"/>
        </w:rPr>
        <w:t xml:space="preserve"> and chairs of governors</w:t>
      </w:r>
      <w:r w:rsidR="00BC2A9C" w:rsidRPr="009B3747">
        <w:rPr>
          <w:rFonts w:eastAsia="Times New Roman" w:cstheme="minorHAnsi"/>
          <w:color w:val="000000"/>
          <w:lang w:eastAsia="en-GB"/>
        </w:rPr>
        <w:t>’</w:t>
      </w:r>
      <w:r w:rsidRPr="009B3747">
        <w:rPr>
          <w:rFonts w:eastAsia="Times New Roman" w:cstheme="minorHAnsi"/>
          <w:color w:val="000000"/>
          <w:lang w:eastAsia="en-GB"/>
        </w:rPr>
        <w:t xml:space="preserve"> email addresses were publically available and the emails were sent directly to these intended recipients.  </w:t>
      </w:r>
    </w:p>
    <w:p w:rsidR="00AC3B26" w:rsidRPr="009B3747" w:rsidRDefault="00AC3B26" w:rsidP="00AC3B26">
      <w:pPr>
        <w:rPr>
          <w:rFonts w:eastAsia="Times New Roman" w:cstheme="minorHAnsi"/>
          <w:sz w:val="24"/>
          <w:szCs w:val="24"/>
          <w:lang w:eastAsia="en-GB"/>
        </w:rPr>
      </w:pPr>
    </w:p>
    <w:p w:rsidR="00BC2A9C" w:rsidRPr="009B3747" w:rsidRDefault="00AC3B26" w:rsidP="00AC3B26">
      <w:pPr>
        <w:rPr>
          <w:rFonts w:eastAsia="Times New Roman" w:cstheme="minorHAnsi"/>
          <w:color w:val="000000"/>
          <w:lang w:eastAsia="en-GB"/>
        </w:rPr>
      </w:pPr>
      <w:r w:rsidRPr="009B3747">
        <w:rPr>
          <w:rFonts w:eastAsia="Times New Roman" w:cstheme="minorHAnsi"/>
          <w:color w:val="000000"/>
          <w:lang w:eastAsia="en-GB"/>
        </w:rPr>
        <w:lastRenderedPageBreak/>
        <w:t>A further limiting factor potentially contributing to the low percentage of emails opened and ultimately the overall response rat</w:t>
      </w:r>
      <w:r w:rsidR="00D05CC9">
        <w:rPr>
          <w:rFonts w:eastAsia="Times New Roman" w:cstheme="minorHAnsi"/>
          <w:color w:val="000000"/>
          <w:lang w:eastAsia="en-GB"/>
        </w:rPr>
        <w:t xml:space="preserve">e, </w:t>
      </w:r>
      <w:r w:rsidRPr="009B3747">
        <w:rPr>
          <w:rFonts w:eastAsia="Times New Roman" w:cstheme="minorHAnsi"/>
          <w:color w:val="000000"/>
          <w:lang w:eastAsia="en-GB"/>
        </w:rPr>
        <w:t>was the issue that certain schools employ the use of an email management system to reduce unsolicited emails from third parties.  A small number of potential participants did in fact decline participation</w:t>
      </w:r>
      <w:r w:rsidR="00D05CC9">
        <w:rPr>
          <w:rFonts w:eastAsia="Times New Roman" w:cstheme="minorHAnsi"/>
          <w:color w:val="000000"/>
          <w:lang w:eastAsia="en-GB"/>
        </w:rPr>
        <w:t>,</w:t>
      </w:r>
      <w:r w:rsidRPr="009B3747">
        <w:rPr>
          <w:rFonts w:eastAsia="Times New Roman" w:cstheme="minorHAnsi"/>
          <w:color w:val="000000"/>
          <w:lang w:eastAsia="en-GB"/>
        </w:rPr>
        <w:t xml:space="preserve"> on the basis of the frequency with which research participation requests are made to schools.  Whilst notifications were received from some schools reporting that an email management system was in use, it is not possible to ascertain the proportion of emails that didn’t reach the intended email inbox.</w:t>
      </w: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 xml:space="preserve">  </w:t>
      </w:r>
    </w:p>
    <w:p w:rsidR="00BC2A9C" w:rsidRPr="009B3747" w:rsidRDefault="00AC3B26" w:rsidP="00AC3B26">
      <w:pPr>
        <w:rPr>
          <w:rFonts w:eastAsia="Times New Roman" w:cstheme="minorHAnsi"/>
          <w:color w:val="000000"/>
          <w:lang w:eastAsia="en-GB"/>
        </w:rPr>
      </w:pPr>
      <w:r w:rsidRPr="009B3747">
        <w:rPr>
          <w:rFonts w:eastAsia="Times New Roman" w:cstheme="minorHAnsi"/>
          <w:color w:val="000000"/>
          <w:lang w:eastAsia="en-GB"/>
        </w:rPr>
        <w:t>Having opened the email, ten potential participants emailed the researcher to decline the request with each detailing a number of reasons for their decision.  Whilst not representative of all reasons for declining participation, they do offer potential insight into the disparities between the average proportion of emails opened (13.8%), the proportion of emails opened and subsequently clicked (3.7%) and the actual resultant responses received (2.8%).  </w:t>
      </w:r>
    </w:p>
    <w:p w:rsidR="00BC2A9C" w:rsidRPr="009B3747" w:rsidRDefault="00BC2A9C" w:rsidP="00AC3B26">
      <w:pPr>
        <w:rPr>
          <w:rFonts w:eastAsia="Times New Roman" w:cstheme="minorHAnsi"/>
          <w:color w:val="000000"/>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For those confirming their decision to decline, th</w:t>
      </w:r>
      <w:r w:rsidR="00BC2A9C" w:rsidRPr="009B3747">
        <w:rPr>
          <w:rFonts w:eastAsia="Times New Roman" w:cstheme="minorHAnsi"/>
          <w:color w:val="000000"/>
          <w:lang w:eastAsia="en-GB"/>
        </w:rPr>
        <w:t>e following reasons were given:</w:t>
      </w:r>
      <w:r w:rsidRPr="009B3747">
        <w:rPr>
          <w:rFonts w:eastAsia="Times New Roman" w:cstheme="minorHAnsi"/>
          <w:color w:val="000000"/>
          <w:lang w:eastAsia="en-GB"/>
        </w:rPr>
        <w:t xml:space="preserve"> </w:t>
      </w:r>
    </w:p>
    <w:p w:rsidR="00AC3B26" w:rsidRPr="009B3747" w:rsidRDefault="00AC3B26" w:rsidP="00AC3B26">
      <w:pPr>
        <w:rPr>
          <w:rFonts w:eastAsia="Times New Roman" w:cstheme="minorHAnsi"/>
          <w:sz w:val="24"/>
          <w:szCs w:val="24"/>
          <w:lang w:eastAsia="en-GB"/>
        </w:rPr>
      </w:pPr>
    </w:p>
    <w:p w:rsidR="00AC3B26" w:rsidRPr="009B3747" w:rsidRDefault="00AC3B26" w:rsidP="00C27072">
      <w:pPr>
        <w:numPr>
          <w:ilvl w:val="0"/>
          <w:numId w:val="122"/>
        </w:numPr>
        <w:textAlignment w:val="baseline"/>
        <w:rPr>
          <w:rFonts w:eastAsia="Times New Roman" w:cstheme="minorHAnsi"/>
          <w:color w:val="000000"/>
          <w:lang w:eastAsia="en-GB"/>
        </w:rPr>
      </w:pPr>
      <w:r w:rsidRPr="009B3747">
        <w:rPr>
          <w:rFonts w:eastAsia="Times New Roman" w:cstheme="minorHAnsi"/>
          <w:color w:val="000000"/>
          <w:lang w:eastAsia="en-GB"/>
        </w:rPr>
        <w:t>Lack of time to complete the survey</w:t>
      </w:r>
    </w:p>
    <w:p w:rsidR="00AC3B26" w:rsidRPr="009B3747" w:rsidRDefault="00AC3B26" w:rsidP="00C27072">
      <w:pPr>
        <w:numPr>
          <w:ilvl w:val="0"/>
          <w:numId w:val="122"/>
        </w:numPr>
        <w:textAlignment w:val="baseline"/>
        <w:rPr>
          <w:rFonts w:eastAsia="Times New Roman" w:cstheme="minorHAnsi"/>
          <w:color w:val="000000"/>
          <w:lang w:eastAsia="en-GB"/>
        </w:rPr>
      </w:pPr>
      <w:r w:rsidRPr="009B3747">
        <w:rPr>
          <w:rFonts w:eastAsia="Times New Roman" w:cstheme="minorHAnsi"/>
          <w:color w:val="000000"/>
          <w:lang w:eastAsia="en-GB"/>
        </w:rPr>
        <w:t>Personal or school policy was to not participate in research given the volume of requests received</w:t>
      </w:r>
    </w:p>
    <w:p w:rsidR="00AC3B26" w:rsidRPr="009B3747" w:rsidRDefault="00AC3B26" w:rsidP="00C27072">
      <w:pPr>
        <w:numPr>
          <w:ilvl w:val="0"/>
          <w:numId w:val="122"/>
        </w:numPr>
        <w:textAlignment w:val="baseline"/>
        <w:rPr>
          <w:rFonts w:eastAsia="Times New Roman" w:cstheme="minorHAnsi"/>
          <w:color w:val="000000"/>
          <w:lang w:eastAsia="en-GB"/>
        </w:rPr>
      </w:pPr>
      <w:r w:rsidRPr="009B3747">
        <w:rPr>
          <w:rFonts w:eastAsia="Times New Roman" w:cstheme="minorHAnsi"/>
          <w:color w:val="000000"/>
          <w:lang w:eastAsia="en-GB"/>
        </w:rPr>
        <w:t>Lack of knowledge or opinions on the topic (i.e. adolescent obesity)</w:t>
      </w:r>
    </w:p>
    <w:p w:rsidR="00AC3B26" w:rsidRPr="009B3747" w:rsidRDefault="00AC3B26" w:rsidP="00C27072">
      <w:pPr>
        <w:numPr>
          <w:ilvl w:val="0"/>
          <w:numId w:val="122"/>
        </w:numPr>
        <w:textAlignment w:val="baseline"/>
        <w:rPr>
          <w:rFonts w:eastAsia="Times New Roman" w:cstheme="minorHAnsi"/>
          <w:color w:val="000000"/>
          <w:lang w:eastAsia="en-GB"/>
        </w:rPr>
      </w:pPr>
      <w:r w:rsidRPr="009B3747">
        <w:rPr>
          <w:rFonts w:eastAsia="Times New Roman" w:cstheme="minorHAnsi"/>
          <w:color w:val="000000"/>
          <w:lang w:eastAsia="en-GB"/>
        </w:rPr>
        <w:t>Adolescent obesity wasn’t perceived to be an issue within their school so felt the survey wasn’t relevant for their setting</w:t>
      </w:r>
    </w:p>
    <w:p w:rsidR="00AC3B26" w:rsidRPr="009B3747" w:rsidRDefault="00AC3B26" w:rsidP="00C27072">
      <w:pPr>
        <w:numPr>
          <w:ilvl w:val="0"/>
          <w:numId w:val="122"/>
        </w:numPr>
        <w:textAlignment w:val="baseline"/>
        <w:rPr>
          <w:rFonts w:eastAsia="Times New Roman" w:cstheme="minorHAnsi"/>
          <w:color w:val="000000"/>
          <w:lang w:eastAsia="en-GB"/>
        </w:rPr>
      </w:pPr>
      <w:r w:rsidRPr="009B3747">
        <w:rPr>
          <w:rFonts w:eastAsia="Times New Roman" w:cstheme="minorHAnsi"/>
          <w:color w:val="000000"/>
          <w:lang w:eastAsia="en-GB"/>
        </w:rPr>
        <w:t>The</w:t>
      </w:r>
      <w:r w:rsidR="00D05CC9">
        <w:rPr>
          <w:rFonts w:eastAsia="Times New Roman" w:cstheme="minorHAnsi"/>
          <w:color w:val="000000"/>
          <w:lang w:eastAsia="en-GB"/>
        </w:rPr>
        <w:t>ir school catered for up to 12 year</w:t>
      </w:r>
      <w:r w:rsidRPr="009B3747">
        <w:rPr>
          <w:rFonts w:eastAsia="Times New Roman" w:cstheme="minorHAnsi"/>
          <w:color w:val="000000"/>
          <w:lang w:eastAsia="en-GB"/>
        </w:rPr>
        <w:t xml:space="preserve"> olds only (i.e. the lower end of secondary school age), with the majority of their pupils of primary age, so they viewed it inappropriate to respond</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A greater number of questionnaire responses would have undoubtedly allowed a mor</w:t>
      </w:r>
      <w:r w:rsidR="00D05CC9">
        <w:rPr>
          <w:rFonts w:eastAsia="Times New Roman" w:cstheme="minorHAnsi"/>
          <w:color w:val="000000"/>
          <w:lang w:eastAsia="en-GB"/>
        </w:rPr>
        <w:t xml:space="preserve">e in-depth analysis of the data, </w:t>
      </w:r>
      <w:r w:rsidRPr="009B3747">
        <w:rPr>
          <w:rFonts w:eastAsia="Times New Roman" w:cstheme="minorHAnsi"/>
          <w:color w:val="000000"/>
          <w:lang w:eastAsia="en-GB"/>
        </w:rPr>
        <w:t xml:space="preserve">which could have in turn revealed patterns in the data that weren’t identified in the current findings. Furthermore, an </w:t>
      </w:r>
      <w:r w:rsidR="001F55B9" w:rsidRPr="009B3747">
        <w:rPr>
          <w:rFonts w:eastAsia="Times New Roman" w:cstheme="minorHAnsi"/>
          <w:color w:val="000000"/>
          <w:lang w:eastAsia="en-GB"/>
        </w:rPr>
        <w:t>increased response rate would have</w:t>
      </w:r>
      <w:r w:rsidRPr="009B3747">
        <w:rPr>
          <w:rFonts w:eastAsia="Times New Roman" w:cstheme="minorHAnsi"/>
          <w:color w:val="000000"/>
          <w:lang w:eastAsia="en-GB"/>
        </w:rPr>
        <w:t xml:space="preserve"> supported the researcher’s ability to generalise the findings to the wider population of interest.  With a response rate of 2.8%, it is not possible to make any claims regarding the generalisability of the results beyond the participants who formed the final study sample (Gillham, 2000).</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 xml:space="preserve">Despite this, the researcher as identified in chapter 7, clearly anticipated that a low response would be achieved.  Consequently, it was never the intention nor the ambition to achieve a representative </w:t>
      </w:r>
      <w:r w:rsidRPr="009B3747">
        <w:rPr>
          <w:rFonts w:eastAsia="Times New Roman" w:cstheme="minorHAnsi"/>
          <w:color w:val="000000"/>
          <w:lang w:eastAsia="en-GB"/>
        </w:rPr>
        <w:lastRenderedPageBreak/>
        <w:t>sample of participant views in order to generalise the results obtained.  Instead the survey was undertaken to identify whether the core qualitative findings had relevance beyond their original contexts.  In spite of the limitations of being non-generalisable, the findings and conclusions of this</w:t>
      </w:r>
      <w:r w:rsidR="00D05CC9">
        <w:rPr>
          <w:rFonts w:eastAsia="Times New Roman" w:cstheme="minorHAnsi"/>
          <w:color w:val="000000"/>
          <w:lang w:eastAsia="en-GB"/>
        </w:rPr>
        <w:t xml:space="preserve"> research still provide </w:t>
      </w:r>
      <w:r w:rsidRPr="009B3747">
        <w:rPr>
          <w:rFonts w:eastAsia="Times New Roman" w:cstheme="minorHAnsi"/>
          <w:color w:val="000000"/>
          <w:lang w:eastAsia="en-GB"/>
        </w:rPr>
        <w:t>a significant empirical contribution into t</w:t>
      </w:r>
      <w:r w:rsidR="002B6EFF" w:rsidRPr="009B3747">
        <w:rPr>
          <w:rFonts w:eastAsia="Times New Roman" w:cstheme="minorHAnsi"/>
          <w:color w:val="000000"/>
          <w:lang w:eastAsia="en-GB"/>
        </w:rPr>
        <w:t xml:space="preserve">he perspectives of headteachers’ </w:t>
      </w:r>
      <w:r w:rsidRPr="009B3747">
        <w:rPr>
          <w:rFonts w:eastAsia="Times New Roman" w:cstheme="minorHAnsi"/>
          <w:color w:val="000000"/>
          <w:lang w:eastAsia="en-GB"/>
        </w:rPr>
        <w:t>and chairs of governors</w:t>
      </w:r>
      <w:r w:rsidR="002B6EFF" w:rsidRPr="009B3747">
        <w:rPr>
          <w:rFonts w:eastAsia="Times New Roman" w:cstheme="minorHAnsi"/>
          <w:color w:val="000000"/>
          <w:lang w:eastAsia="en-GB"/>
        </w:rPr>
        <w:t>’</w:t>
      </w:r>
      <w:r w:rsidRPr="009B3747">
        <w:rPr>
          <w:rFonts w:eastAsia="Times New Roman" w:cstheme="minorHAnsi"/>
          <w:color w:val="000000"/>
          <w:lang w:eastAsia="en-GB"/>
        </w:rPr>
        <w:t xml:space="preserve"> regarding adolescent obesity and its prevention in secondary school settings.      </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 xml:space="preserve">An additional limitation related to the quantitative phase, centres on the questionnaire content itself and issues of response and recall bias.  Despite assurances regarding anonymity and due to the sensitive </w:t>
      </w:r>
      <w:r w:rsidR="004862DC">
        <w:rPr>
          <w:rFonts w:eastAsia="Times New Roman" w:cstheme="minorHAnsi"/>
          <w:color w:val="000000"/>
          <w:lang w:eastAsia="en-GB"/>
        </w:rPr>
        <w:t xml:space="preserve">nature of the topic under study, </w:t>
      </w:r>
      <w:r w:rsidRPr="009B3747">
        <w:rPr>
          <w:rFonts w:eastAsia="Times New Roman" w:cstheme="minorHAnsi"/>
          <w:color w:val="000000"/>
          <w:lang w:eastAsia="en-GB"/>
        </w:rPr>
        <w:t>i.e. adolescent obesity, it is plausible that participants provided answers that they deemed to be professionally or personally correct.  In addition, the wording of particular statements (i.e. positive or negative terminology), could have provoked participants to respond with the ‘correct’ answer that they perceived the researcher was expecting.  The issue of recall bias is a further consideration in relation to the obtained responses.  Answers to various questions and statements required par</w:t>
      </w:r>
      <w:r w:rsidR="004862DC">
        <w:rPr>
          <w:rFonts w:eastAsia="Times New Roman" w:cstheme="minorHAnsi"/>
          <w:color w:val="000000"/>
          <w:lang w:eastAsia="en-GB"/>
        </w:rPr>
        <w:t xml:space="preserve">ticipants to recall information, </w:t>
      </w:r>
      <w:r w:rsidRPr="009B3747">
        <w:rPr>
          <w:rFonts w:eastAsia="Times New Roman" w:cstheme="minorHAnsi"/>
          <w:color w:val="000000"/>
          <w:lang w:eastAsia="en-GB"/>
        </w:rPr>
        <w:t xml:space="preserve">e.g. estimating the prevalence of obesity in school pupils or the confirming the existence of a particular preventative action.  It is important therefore to reflect that whilst the answers are interesting and useful, there is the potential for inaccuracies in the answers provided. </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r w:rsidRPr="009B3747">
        <w:rPr>
          <w:rFonts w:eastAsia="Times New Roman" w:cstheme="minorHAnsi"/>
          <w:color w:val="000000"/>
          <w:lang w:eastAsia="en-GB"/>
        </w:rPr>
        <w:t xml:space="preserve">Lastly, within the questionnaire a </w:t>
      </w:r>
      <w:r w:rsidR="001F55B9" w:rsidRPr="009B3747">
        <w:rPr>
          <w:rFonts w:eastAsia="Times New Roman" w:cstheme="minorHAnsi"/>
          <w:color w:val="000000"/>
          <w:lang w:eastAsia="en-GB"/>
        </w:rPr>
        <w:t>Likert</w:t>
      </w:r>
      <w:r w:rsidRPr="009B3747">
        <w:rPr>
          <w:rFonts w:eastAsia="Times New Roman" w:cstheme="minorHAnsi"/>
          <w:color w:val="000000"/>
          <w:lang w:eastAsia="en-GB"/>
        </w:rPr>
        <w:t xml:space="preserve"> scale for one set of statements was incorrectly labelled. The usefulness of this question was therefore significantly limited given that it was not possible to accurately identify the frequency or proportions of the responses received for each statement.  Furthermore, this issue meant that inferential statistical analysis could not be undertaken</w:t>
      </w:r>
      <w:r w:rsidR="00D05CC9">
        <w:rPr>
          <w:rFonts w:eastAsia="Times New Roman" w:cstheme="minorHAnsi"/>
          <w:color w:val="000000"/>
          <w:lang w:eastAsia="en-GB"/>
        </w:rPr>
        <w:t>,</w:t>
      </w:r>
      <w:r w:rsidRPr="009B3747">
        <w:rPr>
          <w:rFonts w:eastAsia="Times New Roman" w:cstheme="minorHAnsi"/>
          <w:color w:val="000000"/>
          <w:lang w:eastAsia="en-GB"/>
        </w:rPr>
        <w:t xml:space="preserve"> and consequently relationships between variables of interest were unable to be examined.  In spite of this, an open text box was provided enabling insightful comments to still be obtained.    </w:t>
      </w:r>
    </w:p>
    <w:p w:rsidR="00AC3B26" w:rsidRPr="009B3747" w:rsidRDefault="00AC3B26" w:rsidP="00AC3B26">
      <w:pPr>
        <w:rPr>
          <w:rFonts w:eastAsia="Times New Roman" w:cstheme="minorHAnsi"/>
          <w:sz w:val="24"/>
          <w:szCs w:val="24"/>
          <w:lang w:eastAsia="en-GB"/>
        </w:rPr>
      </w:pPr>
    </w:p>
    <w:p w:rsidR="00AC3B26" w:rsidRPr="009B3747" w:rsidRDefault="00AC3B26" w:rsidP="00AC3B26">
      <w:pPr>
        <w:rPr>
          <w:rFonts w:eastAsia="Times New Roman" w:cstheme="minorHAnsi"/>
          <w:sz w:val="24"/>
          <w:szCs w:val="24"/>
          <w:lang w:eastAsia="en-GB"/>
        </w:rPr>
      </w:pPr>
    </w:p>
    <w:p w:rsidR="00A2591A" w:rsidRPr="009B3747" w:rsidRDefault="00A2591A" w:rsidP="00AC3B26">
      <w:pPr>
        <w:rPr>
          <w:rFonts w:eastAsia="Times New Roman" w:cstheme="minorHAnsi"/>
          <w:sz w:val="24"/>
          <w:szCs w:val="24"/>
          <w:lang w:eastAsia="en-GB"/>
        </w:rPr>
      </w:pPr>
    </w:p>
    <w:p w:rsidR="00A2591A" w:rsidRPr="009B3747" w:rsidRDefault="00A2591A" w:rsidP="00AC3B26">
      <w:pPr>
        <w:rPr>
          <w:rFonts w:eastAsia="Times New Roman" w:cstheme="minorHAnsi"/>
          <w:sz w:val="24"/>
          <w:szCs w:val="24"/>
          <w:lang w:eastAsia="en-GB"/>
        </w:rPr>
      </w:pPr>
    </w:p>
    <w:p w:rsidR="00A2591A" w:rsidRPr="009B3747" w:rsidRDefault="00A2591A" w:rsidP="00AC3B26">
      <w:pPr>
        <w:rPr>
          <w:rFonts w:eastAsia="Times New Roman" w:cstheme="minorHAnsi"/>
          <w:sz w:val="24"/>
          <w:szCs w:val="24"/>
          <w:lang w:eastAsia="en-GB"/>
        </w:rPr>
      </w:pPr>
    </w:p>
    <w:p w:rsidR="00A2591A" w:rsidRPr="009B3747" w:rsidRDefault="00A2591A" w:rsidP="00AC3B26">
      <w:pPr>
        <w:rPr>
          <w:rFonts w:eastAsia="Times New Roman" w:cstheme="minorHAnsi"/>
          <w:sz w:val="24"/>
          <w:szCs w:val="24"/>
          <w:lang w:eastAsia="en-GB"/>
        </w:rPr>
      </w:pPr>
    </w:p>
    <w:p w:rsidR="00A2591A" w:rsidRPr="009B3747" w:rsidRDefault="00A2591A" w:rsidP="00AC3B26">
      <w:pPr>
        <w:rPr>
          <w:rFonts w:eastAsia="Times New Roman" w:cstheme="minorHAnsi"/>
          <w:sz w:val="24"/>
          <w:szCs w:val="24"/>
          <w:lang w:eastAsia="en-GB"/>
        </w:rPr>
      </w:pPr>
    </w:p>
    <w:p w:rsidR="00A2591A" w:rsidRPr="009B3747" w:rsidRDefault="00A2591A" w:rsidP="00AC3B26">
      <w:pPr>
        <w:rPr>
          <w:rFonts w:eastAsia="Times New Roman" w:cstheme="minorHAnsi"/>
          <w:sz w:val="24"/>
          <w:szCs w:val="24"/>
          <w:lang w:eastAsia="en-GB"/>
        </w:rPr>
      </w:pPr>
    </w:p>
    <w:p w:rsidR="00A2591A" w:rsidRPr="009B3747" w:rsidRDefault="00A2591A" w:rsidP="00AC3B26">
      <w:pPr>
        <w:rPr>
          <w:rFonts w:eastAsia="Times New Roman" w:cstheme="minorHAnsi"/>
          <w:sz w:val="24"/>
          <w:szCs w:val="24"/>
          <w:lang w:eastAsia="en-GB"/>
        </w:rPr>
      </w:pPr>
    </w:p>
    <w:p w:rsidR="000A3628" w:rsidRPr="009B3747" w:rsidRDefault="000A3628" w:rsidP="000A3628">
      <w:pPr>
        <w:jc w:val="center"/>
        <w:rPr>
          <w:rFonts w:eastAsia="Times New Roman" w:cstheme="minorHAnsi"/>
          <w:b/>
          <w:bCs/>
          <w:color w:val="000000"/>
          <w:sz w:val="36"/>
          <w:szCs w:val="36"/>
          <w:u w:val="single"/>
          <w:lang w:eastAsia="en-GB"/>
        </w:rPr>
      </w:pPr>
      <w:r w:rsidRPr="009B3747">
        <w:rPr>
          <w:rFonts w:eastAsia="Times New Roman" w:cstheme="minorHAnsi"/>
          <w:b/>
          <w:bCs/>
          <w:color w:val="000000"/>
          <w:sz w:val="36"/>
          <w:szCs w:val="36"/>
          <w:u w:val="single"/>
          <w:lang w:eastAsia="en-GB"/>
        </w:rPr>
        <w:lastRenderedPageBreak/>
        <w:t>Chapter 10</w:t>
      </w:r>
    </w:p>
    <w:p w:rsidR="000A3628" w:rsidRPr="009B3747" w:rsidRDefault="000A3628" w:rsidP="00A2591A">
      <w:pPr>
        <w:rPr>
          <w:rFonts w:eastAsia="Times New Roman" w:cstheme="minorHAnsi"/>
          <w:b/>
          <w:bCs/>
          <w:color w:val="000000"/>
          <w:sz w:val="32"/>
          <w:szCs w:val="32"/>
          <w:u w:val="single"/>
          <w:lang w:eastAsia="en-GB"/>
        </w:rPr>
      </w:pPr>
    </w:p>
    <w:p w:rsidR="00A2591A" w:rsidRPr="009B3747" w:rsidRDefault="00B748C8" w:rsidP="00A2591A">
      <w:pPr>
        <w:rPr>
          <w:rFonts w:eastAsia="Times New Roman" w:cstheme="minorHAnsi"/>
          <w:sz w:val="24"/>
          <w:szCs w:val="24"/>
          <w:lang w:eastAsia="en-GB"/>
        </w:rPr>
      </w:pPr>
      <w:r w:rsidRPr="009B3747">
        <w:rPr>
          <w:rFonts w:eastAsia="Times New Roman" w:cstheme="minorHAnsi"/>
          <w:b/>
          <w:bCs/>
          <w:color w:val="000000"/>
          <w:sz w:val="32"/>
          <w:szCs w:val="32"/>
          <w:u w:val="single"/>
          <w:lang w:eastAsia="en-GB"/>
        </w:rPr>
        <w:t>Conclusions, recommendations</w:t>
      </w:r>
      <w:r w:rsidR="00A2591A" w:rsidRPr="009B3747">
        <w:rPr>
          <w:rFonts w:eastAsia="Times New Roman" w:cstheme="minorHAnsi"/>
          <w:b/>
          <w:bCs/>
          <w:color w:val="000000"/>
          <w:sz w:val="32"/>
          <w:szCs w:val="32"/>
          <w:u w:val="single"/>
          <w:lang w:eastAsia="en-GB"/>
        </w:rPr>
        <w:t xml:space="preserve"> and dissemination</w:t>
      </w:r>
    </w:p>
    <w:p w:rsidR="00A2591A" w:rsidRPr="009B3747" w:rsidRDefault="00A2591A" w:rsidP="00A2591A">
      <w:pPr>
        <w:rPr>
          <w:rFonts w:eastAsia="Times New Roman" w:cstheme="minorHAnsi"/>
          <w:sz w:val="24"/>
          <w:szCs w:val="24"/>
          <w:lang w:eastAsia="en-GB"/>
        </w:rPr>
      </w:pPr>
    </w:p>
    <w:p w:rsidR="00A2591A" w:rsidRPr="009B3747" w:rsidRDefault="00A2591A" w:rsidP="00A2591A">
      <w:pPr>
        <w:rPr>
          <w:rFonts w:eastAsia="Times New Roman" w:cstheme="minorHAnsi"/>
          <w:sz w:val="24"/>
          <w:szCs w:val="24"/>
          <w:lang w:eastAsia="en-GB"/>
        </w:rPr>
      </w:pPr>
      <w:r w:rsidRPr="009B3747">
        <w:rPr>
          <w:rFonts w:eastAsia="Times New Roman" w:cstheme="minorHAnsi"/>
          <w:color w:val="222222"/>
          <w:lang w:eastAsia="en-GB"/>
        </w:rPr>
        <w:t>This chapter provides a final conclusion to the findings discussed, and proposes its significance and empirical c</w:t>
      </w:r>
      <w:r w:rsidR="001F55B9" w:rsidRPr="009B3747">
        <w:rPr>
          <w:rFonts w:eastAsia="Times New Roman" w:cstheme="minorHAnsi"/>
          <w:color w:val="222222"/>
          <w:lang w:eastAsia="en-GB"/>
        </w:rPr>
        <w:t xml:space="preserve">ontribution to the evidence base.  </w:t>
      </w:r>
      <w:r w:rsidR="005475D8" w:rsidRPr="009B3747">
        <w:rPr>
          <w:rFonts w:eastAsia="Times New Roman" w:cstheme="minorHAnsi"/>
          <w:color w:val="222222"/>
          <w:lang w:eastAsia="en-GB"/>
        </w:rPr>
        <w:t>Recommendations</w:t>
      </w:r>
      <w:r w:rsidRPr="009B3747">
        <w:rPr>
          <w:rFonts w:eastAsia="Times New Roman" w:cstheme="minorHAnsi"/>
          <w:color w:val="222222"/>
          <w:lang w:eastAsia="en-GB"/>
        </w:rPr>
        <w:t xml:space="preserve"> are then proposed for both public health policy and practice, along with recommendations for future research.  Finally, the chapter concludes with the plans for dissemin</w:t>
      </w:r>
      <w:r w:rsidR="00484675" w:rsidRPr="009B3747">
        <w:rPr>
          <w:rFonts w:eastAsia="Times New Roman" w:cstheme="minorHAnsi"/>
          <w:color w:val="222222"/>
          <w:lang w:eastAsia="en-GB"/>
        </w:rPr>
        <w:t>ating the findings of the stu</w:t>
      </w:r>
      <w:r w:rsidR="005475D8" w:rsidRPr="009B3747">
        <w:rPr>
          <w:rFonts w:eastAsia="Times New Roman" w:cstheme="minorHAnsi"/>
          <w:color w:val="222222"/>
          <w:lang w:eastAsia="en-GB"/>
        </w:rPr>
        <w:t>dy and a concise overarching summary.</w:t>
      </w:r>
    </w:p>
    <w:p w:rsidR="00A2591A" w:rsidRPr="009B3747" w:rsidRDefault="00A2591A" w:rsidP="00A2591A">
      <w:pPr>
        <w:rPr>
          <w:rFonts w:eastAsia="Times New Roman" w:cstheme="minorHAnsi"/>
          <w:sz w:val="24"/>
          <w:szCs w:val="24"/>
          <w:lang w:eastAsia="en-GB"/>
        </w:rPr>
      </w:pPr>
    </w:p>
    <w:p w:rsidR="00A2591A" w:rsidRPr="009B3747" w:rsidRDefault="00B748C8" w:rsidP="00A2591A">
      <w:pPr>
        <w:rPr>
          <w:rFonts w:eastAsia="Times New Roman" w:cstheme="minorHAnsi"/>
          <w:b/>
          <w:bCs/>
          <w:color w:val="222222"/>
          <w:sz w:val="24"/>
          <w:szCs w:val="24"/>
          <w:u w:val="single"/>
          <w:lang w:eastAsia="en-GB"/>
        </w:rPr>
      </w:pPr>
      <w:r w:rsidRPr="009B3747">
        <w:rPr>
          <w:rFonts w:eastAsia="Times New Roman" w:cstheme="minorHAnsi"/>
          <w:b/>
          <w:bCs/>
          <w:color w:val="222222"/>
          <w:sz w:val="24"/>
          <w:szCs w:val="24"/>
          <w:u w:val="single"/>
          <w:lang w:eastAsia="en-GB"/>
        </w:rPr>
        <w:t>10.1 C</w:t>
      </w:r>
      <w:r w:rsidR="00A2591A" w:rsidRPr="009B3747">
        <w:rPr>
          <w:rFonts w:eastAsia="Times New Roman" w:cstheme="minorHAnsi"/>
          <w:b/>
          <w:bCs/>
          <w:color w:val="222222"/>
          <w:sz w:val="24"/>
          <w:szCs w:val="24"/>
          <w:u w:val="single"/>
          <w:lang w:eastAsia="en-GB"/>
        </w:rPr>
        <w:t>onclus</w:t>
      </w:r>
      <w:r w:rsidRPr="009B3747">
        <w:rPr>
          <w:rFonts w:eastAsia="Times New Roman" w:cstheme="minorHAnsi"/>
          <w:b/>
          <w:bCs/>
          <w:color w:val="222222"/>
          <w:sz w:val="24"/>
          <w:szCs w:val="24"/>
          <w:u w:val="single"/>
          <w:lang w:eastAsia="en-GB"/>
        </w:rPr>
        <w:t>ion</w:t>
      </w:r>
    </w:p>
    <w:p w:rsidR="007F59E6" w:rsidRPr="009B3747" w:rsidRDefault="007F59E6" w:rsidP="00A2591A">
      <w:pPr>
        <w:rPr>
          <w:rFonts w:eastAsia="Times New Roman" w:cstheme="minorHAnsi"/>
          <w:b/>
          <w:bCs/>
          <w:color w:val="222222"/>
          <w:u w:val="single"/>
          <w:lang w:eastAsia="en-GB"/>
        </w:rPr>
      </w:pPr>
    </w:p>
    <w:p w:rsidR="008D20BE" w:rsidRPr="009B3747" w:rsidRDefault="007F59E6" w:rsidP="00A2591A">
      <w:pPr>
        <w:rPr>
          <w:rFonts w:eastAsia="Times New Roman" w:cstheme="minorHAnsi"/>
          <w:bCs/>
          <w:color w:val="222222"/>
          <w:lang w:eastAsia="en-GB"/>
        </w:rPr>
      </w:pPr>
      <w:r w:rsidRPr="009B3747">
        <w:rPr>
          <w:rFonts w:eastAsia="Times New Roman" w:cstheme="minorHAnsi"/>
          <w:bCs/>
          <w:color w:val="222222"/>
          <w:lang w:eastAsia="en-GB"/>
        </w:rPr>
        <w:t xml:space="preserve">In conclusion, </w:t>
      </w:r>
      <w:r w:rsidR="00C06364" w:rsidRPr="009B3747">
        <w:rPr>
          <w:rFonts w:eastAsia="Times New Roman" w:cstheme="minorHAnsi"/>
          <w:bCs/>
          <w:color w:val="222222"/>
          <w:lang w:eastAsia="en-GB"/>
        </w:rPr>
        <w:t xml:space="preserve">findings from this study indicate that </w:t>
      </w:r>
      <w:r w:rsidRPr="009B3747">
        <w:rPr>
          <w:rFonts w:eastAsia="Times New Roman" w:cstheme="minorHAnsi"/>
          <w:bCs/>
          <w:color w:val="222222"/>
          <w:lang w:eastAsia="en-GB"/>
        </w:rPr>
        <w:t xml:space="preserve">whilst headteachers and chairs of governors recognise a growing problem of obesity within society, generally they do not </w:t>
      </w:r>
      <w:r w:rsidR="00345630" w:rsidRPr="009B3747">
        <w:rPr>
          <w:rFonts w:eastAsia="Times New Roman" w:cstheme="minorHAnsi"/>
          <w:bCs/>
          <w:color w:val="222222"/>
          <w:lang w:eastAsia="en-GB"/>
        </w:rPr>
        <w:t>believe</w:t>
      </w:r>
      <w:r w:rsidRPr="009B3747">
        <w:rPr>
          <w:rFonts w:eastAsia="Times New Roman" w:cstheme="minorHAnsi"/>
          <w:bCs/>
          <w:color w:val="222222"/>
          <w:lang w:eastAsia="en-GB"/>
        </w:rPr>
        <w:t xml:space="preserve"> this to be an issue for adolescents within their secondary school setting.  </w:t>
      </w:r>
      <w:r w:rsidR="00C06364" w:rsidRPr="009B3747">
        <w:rPr>
          <w:rFonts w:eastAsia="Times New Roman" w:cstheme="minorHAnsi"/>
          <w:bCs/>
          <w:color w:val="222222"/>
          <w:lang w:eastAsia="en-GB"/>
        </w:rPr>
        <w:t>Despite this,</w:t>
      </w:r>
      <w:r w:rsidRPr="009B3747">
        <w:rPr>
          <w:rFonts w:eastAsia="Times New Roman" w:cstheme="minorHAnsi"/>
          <w:bCs/>
          <w:color w:val="222222"/>
          <w:lang w:eastAsia="en-GB"/>
        </w:rPr>
        <w:t xml:space="preserve"> </w:t>
      </w:r>
      <w:r w:rsidR="00345630" w:rsidRPr="009B3747">
        <w:rPr>
          <w:rFonts w:eastAsia="Times New Roman" w:cstheme="minorHAnsi"/>
          <w:bCs/>
          <w:color w:val="222222"/>
          <w:lang w:eastAsia="en-GB"/>
        </w:rPr>
        <w:t xml:space="preserve">headteachers and chairs of governors were concerned about a perceived increase in </w:t>
      </w:r>
      <w:r w:rsidRPr="009B3747">
        <w:rPr>
          <w:rFonts w:eastAsia="Times New Roman" w:cstheme="minorHAnsi"/>
          <w:bCs/>
          <w:color w:val="222222"/>
          <w:lang w:eastAsia="en-GB"/>
        </w:rPr>
        <w:t xml:space="preserve">unhealthy dietary habits and sedentary behaviour </w:t>
      </w:r>
      <w:r w:rsidR="00345630" w:rsidRPr="009B3747">
        <w:rPr>
          <w:rFonts w:eastAsia="Times New Roman" w:cstheme="minorHAnsi"/>
          <w:bCs/>
          <w:color w:val="222222"/>
          <w:lang w:eastAsia="en-GB"/>
        </w:rPr>
        <w:t xml:space="preserve">in </w:t>
      </w:r>
      <w:r w:rsidR="00C06364" w:rsidRPr="009B3747">
        <w:rPr>
          <w:rFonts w:eastAsia="Times New Roman" w:cstheme="minorHAnsi"/>
          <w:bCs/>
          <w:color w:val="222222"/>
          <w:lang w:eastAsia="en-GB"/>
        </w:rPr>
        <w:t>their pupil population</w:t>
      </w:r>
      <w:r w:rsidR="00345630" w:rsidRPr="009B3747">
        <w:rPr>
          <w:rFonts w:eastAsia="Times New Roman" w:cstheme="minorHAnsi"/>
          <w:bCs/>
          <w:color w:val="222222"/>
          <w:lang w:eastAsia="en-GB"/>
        </w:rPr>
        <w:t xml:space="preserve">.  </w:t>
      </w:r>
    </w:p>
    <w:p w:rsidR="008D20BE" w:rsidRPr="009B3747" w:rsidRDefault="008D20BE" w:rsidP="00A2591A">
      <w:pPr>
        <w:rPr>
          <w:rFonts w:eastAsia="Times New Roman" w:cstheme="minorHAnsi"/>
          <w:bCs/>
          <w:color w:val="222222"/>
          <w:lang w:eastAsia="en-GB"/>
        </w:rPr>
      </w:pPr>
    </w:p>
    <w:p w:rsidR="007F59E6" w:rsidRPr="009B3747" w:rsidRDefault="00345630" w:rsidP="00A2591A">
      <w:pPr>
        <w:rPr>
          <w:rFonts w:eastAsia="Times New Roman" w:cstheme="minorHAnsi"/>
          <w:bCs/>
          <w:color w:val="222222"/>
          <w:lang w:eastAsia="en-GB"/>
        </w:rPr>
      </w:pPr>
      <w:r w:rsidRPr="009B3747">
        <w:rPr>
          <w:rFonts w:eastAsia="Times New Roman" w:cstheme="minorHAnsi"/>
          <w:bCs/>
          <w:color w:val="222222"/>
          <w:lang w:eastAsia="en-GB"/>
        </w:rPr>
        <w:t xml:space="preserve">Obesity was viewed as a complex </w:t>
      </w:r>
      <w:r w:rsidR="00AB4AB5" w:rsidRPr="009B3747">
        <w:rPr>
          <w:rFonts w:eastAsia="Times New Roman" w:cstheme="minorHAnsi"/>
          <w:bCs/>
          <w:color w:val="222222"/>
          <w:lang w:eastAsia="en-GB"/>
        </w:rPr>
        <w:t xml:space="preserve">and sensitive </w:t>
      </w:r>
      <w:r w:rsidRPr="009B3747">
        <w:rPr>
          <w:rFonts w:eastAsia="Times New Roman" w:cstheme="minorHAnsi"/>
          <w:bCs/>
          <w:color w:val="222222"/>
          <w:lang w:eastAsia="en-GB"/>
        </w:rPr>
        <w:t xml:space="preserve">public health challenge, with headteachers and chairs of governors proposing multiple and interrelating factors </w:t>
      </w:r>
      <w:r w:rsidR="008D20BE" w:rsidRPr="009B3747">
        <w:rPr>
          <w:rFonts w:eastAsia="Times New Roman" w:cstheme="minorHAnsi"/>
          <w:bCs/>
          <w:color w:val="222222"/>
          <w:lang w:eastAsia="en-GB"/>
        </w:rPr>
        <w:t>affecting</w:t>
      </w:r>
      <w:r w:rsidRPr="009B3747">
        <w:rPr>
          <w:rFonts w:eastAsia="Times New Roman" w:cstheme="minorHAnsi"/>
          <w:bCs/>
          <w:color w:val="222222"/>
          <w:lang w:eastAsia="en-GB"/>
        </w:rPr>
        <w:t xml:space="preserve"> the dietary </w:t>
      </w:r>
      <w:r w:rsidR="00C06364" w:rsidRPr="009B3747">
        <w:rPr>
          <w:rFonts w:eastAsia="Times New Roman" w:cstheme="minorHAnsi"/>
          <w:bCs/>
          <w:color w:val="222222"/>
          <w:lang w:eastAsia="en-GB"/>
        </w:rPr>
        <w:t>habits,</w:t>
      </w:r>
      <w:r w:rsidRPr="009B3747">
        <w:rPr>
          <w:rFonts w:eastAsia="Times New Roman" w:cstheme="minorHAnsi"/>
          <w:bCs/>
          <w:color w:val="222222"/>
          <w:lang w:eastAsia="en-GB"/>
        </w:rPr>
        <w:t xml:space="preserve"> physical activity behaviours and resultant weight status of adolescents.  </w:t>
      </w:r>
      <w:r w:rsidR="008D20BE" w:rsidRPr="009B3747">
        <w:rPr>
          <w:rFonts w:eastAsia="Times New Roman" w:cstheme="minorHAnsi"/>
          <w:bCs/>
          <w:color w:val="222222"/>
          <w:lang w:eastAsia="en-GB"/>
        </w:rPr>
        <w:t xml:space="preserve">In particular, factors within the home environment and wider food environment were deemed to significantly influence an adolescent’s ability and desire to achieve and maintain a healthy weight.  </w:t>
      </w:r>
      <w:r w:rsidR="00AB2D52" w:rsidRPr="009B3747">
        <w:rPr>
          <w:rFonts w:eastAsia="Times New Roman" w:cstheme="minorHAnsi"/>
          <w:bCs/>
          <w:color w:val="222222"/>
          <w:lang w:eastAsia="en-GB"/>
        </w:rPr>
        <w:t>In each of these environments, the issue of low income was broadly perceived to compound the problem of obesity</w:t>
      </w:r>
      <w:r w:rsidR="001A78AF" w:rsidRPr="009B3747">
        <w:rPr>
          <w:rFonts w:eastAsia="Times New Roman" w:cstheme="minorHAnsi"/>
          <w:bCs/>
          <w:color w:val="222222"/>
          <w:lang w:eastAsia="en-GB"/>
        </w:rPr>
        <w:t xml:space="preserve">, with </w:t>
      </w:r>
      <w:r w:rsidR="00AB2D52" w:rsidRPr="009B3747">
        <w:rPr>
          <w:rFonts w:eastAsia="Times New Roman" w:cstheme="minorHAnsi"/>
          <w:bCs/>
          <w:color w:val="222222"/>
          <w:lang w:eastAsia="en-GB"/>
        </w:rPr>
        <w:t xml:space="preserve">excess weight </w:t>
      </w:r>
      <w:r w:rsidR="001A78AF" w:rsidRPr="009B3747">
        <w:rPr>
          <w:rFonts w:eastAsia="Times New Roman" w:cstheme="minorHAnsi"/>
          <w:bCs/>
          <w:color w:val="222222"/>
          <w:lang w:eastAsia="en-GB"/>
        </w:rPr>
        <w:t>and unhealthy lifestyle behaviours deemed to be disproportionately associated with deprivation.</w:t>
      </w:r>
      <w:r w:rsidR="00232D7D" w:rsidRPr="009B3747">
        <w:rPr>
          <w:rFonts w:eastAsia="Times New Roman" w:cstheme="minorHAnsi"/>
          <w:bCs/>
          <w:color w:val="222222"/>
          <w:lang w:eastAsia="en-GB"/>
        </w:rPr>
        <w:t xml:space="preserve">  </w:t>
      </w:r>
    </w:p>
    <w:p w:rsidR="008D20BE" w:rsidRPr="009B3747" w:rsidRDefault="008D20BE" w:rsidP="00A2591A">
      <w:pPr>
        <w:rPr>
          <w:rFonts w:eastAsia="Times New Roman" w:cstheme="minorHAnsi"/>
          <w:bCs/>
          <w:color w:val="222222"/>
          <w:lang w:eastAsia="en-GB"/>
        </w:rPr>
      </w:pPr>
    </w:p>
    <w:p w:rsidR="00484675" w:rsidRPr="009B3747" w:rsidRDefault="00AB2D52" w:rsidP="00A2591A">
      <w:pPr>
        <w:rPr>
          <w:rFonts w:eastAsia="Times New Roman" w:cstheme="minorHAnsi"/>
          <w:bCs/>
          <w:color w:val="222222"/>
          <w:lang w:eastAsia="en-GB"/>
        </w:rPr>
      </w:pPr>
      <w:r w:rsidRPr="009B3747">
        <w:rPr>
          <w:rFonts w:eastAsia="Times New Roman" w:cstheme="minorHAnsi"/>
          <w:bCs/>
          <w:color w:val="222222"/>
          <w:lang w:eastAsia="en-GB"/>
        </w:rPr>
        <w:t xml:space="preserve">Despite the identified </w:t>
      </w:r>
      <w:r w:rsidR="00232D7D" w:rsidRPr="009B3747">
        <w:rPr>
          <w:rFonts w:eastAsia="Times New Roman" w:cstheme="minorHAnsi"/>
          <w:bCs/>
          <w:color w:val="222222"/>
          <w:lang w:eastAsia="en-GB"/>
        </w:rPr>
        <w:t>multi-causal nature of</w:t>
      </w:r>
      <w:r w:rsidRPr="009B3747">
        <w:rPr>
          <w:rFonts w:eastAsia="Times New Roman" w:cstheme="minorHAnsi"/>
          <w:bCs/>
          <w:color w:val="222222"/>
          <w:lang w:eastAsia="en-GB"/>
        </w:rPr>
        <w:t xml:space="preserve"> obesity, headteachers and chairs of governors attributed </w:t>
      </w:r>
      <w:r w:rsidR="00AB5A86" w:rsidRPr="009B3747">
        <w:rPr>
          <w:rFonts w:eastAsia="Times New Roman" w:cstheme="minorHAnsi"/>
          <w:bCs/>
          <w:color w:val="222222"/>
          <w:lang w:eastAsia="en-GB"/>
        </w:rPr>
        <w:t>primary</w:t>
      </w:r>
      <w:r w:rsidR="009E3C04" w:rsidRPr="009B3747">
        <w:rPr>
          <w:rFonts w:eastAsia="Times New Roman" w:cstheme="minorHAnsi"/>
          <w:bCs/>
          <w:color w:val="222222"/>
          <w:lang w:eastAsia="en-GB"/>
        </w:rPr>
        <w:t xml:space="preserve"> </w:t>
      </w:r>
      <w:r w:rsidRPr="009B3747">
        <w:rPr>
          <w:rFonts w:eastAsia="Times New Roman" w:cstheme="minorHAnsi"/>
          <w:bCs/>
          <w:color w:val="222222"/>
          <w:lang w:eastAsia="en-GB"/>
        </w:rPr>
        <w:t xml:space="preserve">responsibility for </w:t>
      </w:r>
      <w:r w:rsidR="001A78AF" w:rsidRPr="009B3747">
        <w:rPr>
          <w:rFonts w:eastAsia="Times New Roman" w:cstheme="minorHAnsi"/>
          <w:bCs/>
          <w:color w:val="222222"/>
          <w:lang w:eastAsia="en-GB"/>
        </w:rPr>
        <w:t xml:space="preserve">its </w:t>
      </w:r>
      <w:r w:rsidRPr="009B3747">
        <w:rPr>
          <w:rFonts w:eastAsia="Times New Roman" w:cstheme="minorHAnsi"/>
          <w:bCs/>
          <w:color w:val="222222"/>
          <w:lang w:eastAsia="en-GB"/>
        </w:rPr>
        <w:t>prevention to parents and adolescents themselves.</w:t>
      </w:r>
      <w:r w:rsidR="009E3C04" w:rsidRPr="009B3747">
        <w:rPr>
          <w:rFonts w:eastAsia="Times New Roman" w:cstheme="minorHAnsi"/>
          <w:bCs/>
          <w:color w:val="222222"/>
          <w:lang w:eastAsia="en-GB"/>
        </w:rPr>
        <w:t xml:space="preserve">  Other key stakeholders were proposed as needing to play an important role, namely the food industry, schools and the government</w:t>
      </w:r>
      <w:r w:rsidR="009A5A76" w:rsidRPr="009B3747">
        <w:rPr>
          <w:rFonts w:eastAsia="Times New Roman" w:cstheme="minorHAnsi"/>
          <w:bCs/>
          <w:color w:val="222222"/>
          <w:lang w:eastAsia="en-GB"/>
        </w:rPr>
        <w:t>, albeit this was more contested</w:t>
      </w:r>
      <w:r w:rsidR="00AB4AB5" w:rsidRPr="009B3747">
        <w:rPr>
          <w:rFonts w:eastAsia="Times New Roman" w:cstheme="minorHAnsi"/>
          <w:bCs/>
          <w:color w:val="222222"/>
          <w:lang w:eastAsia="en-GB"/>
        </w:rPr>
        <w:t xml:space="preserve"> given the concern surrounding the creation of a ‘nanny state’</w:t>
      </w:r>
      <w:r w:rsidR="009A5A76" w:rsidRPr="009B3747">
        <w:rPr>
          <w:rFonts w:eastAsia="Times New Roman" w:cstheme="minorHAnsi"/>
          <w:bCs/>
          <w:color w:val="222222"/>
          <w:lang w:eastAsia="en-GB"/>
        </w:rPr>
        <w:t xml:space="preserve">.  </w:t>
      </w:r>
      <w:r w:rsidR="00AC1DA5">
        <w:rPr>
          <w:rFonts w:eastAsia="Times New Roman" w:cstheme="minorHAnsi"/>
          <w:bCs/>
          <w:color w:val="222222"/>
          <w:lang w:eastAsia="en-GB"/>
        </w:rPr>
        <w:t xml:space="preserve">Consequently, </w:t>
      </w:r>
      <w:r w:rsidR="00AB5A86" w:rsidRPr="009B3747">
        <w:rPr>
          <w:rFonts w:eastAsia="Times New Roman" w:cstheme="minorHAnsi"/>
          <w:bCs/>
          <w:color w:val="222222"/>
          <w:lang w:eastAsia="en-GB"/>
        </w:rPr>
        <w:t xml:space="preserve">as opposed to societal-wide interventions, </w:t>
      </w:r>
      <w:r w:rsidR="00484675" w:rsidRPr="009B3747">
        <w:rPr>
          <w:rFonts w:eastAsia="Times New Roman" w:cstheme="minorHAnsi"/>
          <w:bCs/>
          <w:color w:val="222222"/>
          <w:lang w:eastAsia="en-GB"/>
        </w:rPr>
        <w:t xml:space="preserve">most headteachers and chairs of governors placed </w:t>
      </w:r>
      <w:r w:rsidR="00AB5A86" w:rsidRPr="009B3747">
        <w:rPr>
          <w:rFonts w:eastAsia="Times New Roman" w:cstheme="minorHAnsi"/>
          <w:bCs/>
          <w:color w:val="222222"/>
          <w:lang w:eastAsia="en-GB"/>
        </w:rPr>
        <w:t>greater</w:t>
      </w:r>
      <w:r w:rsidR="009A5A76" w:rsidRPr="009B3747">
        <w:rPr>
          <w:rFonts w:eastAsia="Times New Roman" w:cstheme="minorHAnsi"/>
          <w:bCs/>
          <w:color w:val="222222"/>
          <w:lang w:eastAsia="en-GB"/>
        </w:rPr>
        <w:t xml:space="preserve"> emphasis on</w:t>
      </w:r>
      <w:r w:rsidR="00AB5A86" w:rsidRPr="009B3747">
        <w:rPr>
          <w:rFonts w:eastAsia="Times New Roman" w:cstheme="minorHAnsi"/>
          <w:bCs/>
          <w:color w:val="222222"/>
          <w:lang w:eastAsia="en-GB"/>
        </w:rPr>
        <w:t xml:space="preserve"> the importance and value of </w:t>
      </w:r>
      <w:r w:rsidR="006F0112" w:rsidRPr="009B3747">
        <w:rPr>
          <w:rFonts w:eastAsia="Times New Roman" w:cstheme="minorHAnsi"/>
          <w:bCs/>
          <w:color w:val="222222"/>
          <w:lang w:eastAsia="en-GB"/>
        </w:rPr>
        <w:lastRenderedPageBreak/>
        <w:t xml:space="preserve">individual behaviour change </w:t>
      </w:r>
      <w:r w:rsidR="00AB5A86" w:rsidRPr="009B3747">
        <w:rPr>
          <w:rFonts w:eastAsia="Times New Roman" w:cstheme="minorHAnsi"/>
          <w:bCs/>
          <w:color w:val="222222"/>
          <w:lang w:eastAsia="en-GB"/>
        </w:rPr>
        <w:t>approaches</w:t>
      </w:r>
      <w:r w:rsidR="006F0112" w:rsidRPr="009B3747">
        <w:rPr>
          <w:rFonts w:eastAsia="Times New Roman" w:cstheme="minorHAnsi"/>
          <w:bCs/>
          <w:color w:val="222222"/>
          <w:lang w:eastAsia="en-GB"/>
        </w:rPr>
        <w:t xml:space="preserve"> for preventing</w:t>
      </w:r>
      <w:r w:rsidR="00AB5A86" w:rsidRPr="009B3747">
        <w:rPr>
          <w:rFonts w:eastAsia="Times New Roman" w:cstheme="minorHAnsi"/>
          <w:bCs/>
          <w:color w:val="222222"/>
          <w:lang w:eastAsia="en-GB"/>
        </w:rPr>
        <w:t xml:space="preserve"> obesity</w:t>
      </w:r>
      <w:r w:rsidR="00484675" w:rsidRPr="009B3747">
        <w:rPr>
          <w:rFonts w:eastAsia="Times New Roman" w:cstheme="minorHAnsi"/>
          <w:bCs/>
          <w:color w:val="222222"/>
          <w:lang w:eastAsia="en-GB"/>
        </w:rPr>
        <w:t xml:space="preserve"> both inside and outside of the school setting</w:t>
      </w:r>
      <w:r w:rsidR="00AB5A86" w:rsidRPr="009B3747">
        <w:rPr>
          <w:rFonts w:eastAsia="Times New Roman" w:cstheme="minorHAnsi"/>
          <w:bCs/>
          <w:color w:val="222222"/>
          <w:lang w:eastAsia="en-GB"/>
        </w:rPr>
        <w:t>.</w:t>
      </w:r>
    </w:p>
    <w:p w:rsidR="009E5696" w:rsidRPr="009B3747" w:rsidRDefault="009E5696" w:rsidP="00A2591A">
      <w:pPr>
        <w:rPr>
          <w:rFonts w:eastAsia="Times New Roman" w:cstheme="minorHAnsi"/>
          <w:bCs/>
          <w:color w:val="222222"/>
          <w:lang w:eastAsia="en-GB"/>
        </w:rPr>
      </w:pPr>
    </w:p>
    <w:p w:rsidR="00484675" w:rsidRPr="009B3747" w:rsidRDefault="00484675" w:rsidP="00A2591A">
      <w:pPr>
        <w:rPr>
          <w:rFonts w:eastAsia="Times New Roman" w:cstheme="minorHAnsi"/>
          <w:lang w:eastAsia="en-GB"/>
        </w:rPr>
      </w:pPr>
      <w:r w:rsidRPr="009B3747">
        <w:rPr>
          <w:rFonts w:eastAsia="Times New Roman" w:cstheme="minorHAnsi"/>
          <w:bCs/>
          <w:color w:val="222222"/>
          <w:lang w:eastAsia="en-GB"/>
        </w:rPr>
        <w:t>P</w:t>
      </w:r>
      <w:r w:rsidRPr="009B3747">
        <w:rPr>
          <w:rFonts w:eastAsia="Times New Roman" w:cstheme="minorHAnsi"/>
          <w:lang w:eastAsia="en-GB"/>
        </w:rPr>
        <w:t>reventing adolescent obesity was in the main not an explicit priority for secondary schools and their key decision makers.  However headteachers and chairs of governors did acknowledge secondary schools are an important setting for improving adolescent lifestyle behaviours</w:t>
      </w:r>
      <w:r w:rsidR="00842272" w:rsidRPr="009B3747">
        <w:rPr>
          <w:rFonts w:eastAsia="Times New Roman" w:cstheme="minorHAnsi"/>
          <w:lang w:eastAsia="en-GB"/>
        </w:rPr>
        <w:t xml:space="preserve"> and consequently </w:t>
      </w:r>
      <w:r w:rsidRPr="009B3747">
        <w:rPr>
          <w:rFonts w:eastAsia="Times New Roman" w:cstheme="minorHAnsi"/>
          <w:lang w:eastAsia="en-GB"/>
        </w:rPr>
        <w:t>the prevention of excess weight.</w:t>
      </w:r>
      <w:r w:rsidR="00842272" w:rsidRPr="009B3747">
        <w:rPr>
          <w:rFonts w:eastAsia="Times New Roman" w:cstheme="minorHAnsi"/>
          <w:lang w:eastAsia="en-GB"/>
        </w:rPr>
        <w:t xml:space="preserve">  This acknowledgement, in addition to the r</w:t>
      </w:r>
      <w:r w:rsidRPr="009B3747">
        <w:rPr>
          <w:rFonts w:eastAsia="Times New Roman" w:cstheme="minorHAnsi"/>
          <w:lang w:eastAsia="en-GB"/>
        </w:rPr>
        <w:t>ecognition of a reciprocal relationship between l</w:t>
      </w:r>
      <w:r w:rsidR="006F0112" w:rsidRPr="009B3747">
        <w:rPr>
          <w:rFonts w:eastAsia="Times New Roman" w:cstheme="minorHAnsi"/>
          <w:lang w:eastAsia="en-GB"/>
        </w:rPr>
        <w:t>ifestyle behaviours and academic outc</w:t>
      </w:r>
      <w:r w:rsidRPr="009B3747">
        <w:rPr>
          <w:rFonts w:eastAsia="Times New Roman" w:cstheme="minorHAnsi"/>
          <w:lang w:eastAsia="en-GB"/>
        </w:rPr>
        <w:t xml:space="preserve">omes, </w:t>
      </w:r>
      <w:r w:rsidR="00842272" w:rsidRPr="009B3747">
        <w:rPr>
          <w:rFonts w:eastAsia="Times New Roman" w:cstheme="minorHAnsi"/>
          <w:lang w:eastAsia="en-GB"/>
        </w:rPr>
        <w:t xml:space="preserve">meant that </w:t>
      </w:r>
      <w:r w:rsidRPr="009B3747">
        <w:rPr>
          <w:rFonts w:eastAsia="Times New Roman" w:cstheme="minorHAnsi"/>
          <w:lang w:eastAsia="en-GB"/>
        </w:rPr>
        <w:t>improving</w:t>
      </w:r>
      <w:r w:rsidR="00842272" w:rsidRPr="009B3747">
        <w:rPr>
          <w:rFonts w:eastAsia="Times New Roman" w:cstheme="minorHAnsi"/>
          <w:lang w:eastAsia="en-GB"/>
        </w:rPr>
        <w:t xml:space="preserve"> adolescent</w:t>
      </w:r>
      <w:r w:rsidRPr="009B3747">
        <w:rPr>
          <w:rFonts w:eastAsia="Times New Roman" w:cstheme="minorHAnsi"/>
          <w:lang w:eastAsia="en-GB"/>
        </w:rPr>
        <w:t xml:space="preserve"> dietary habits and the uptake of p</w:t>
      </w:r>
      <w:r w:rsidR="00842272" w:rsidRPr="009B3747">
        <w:rPr>
          <w:rFonts w:eastAsia="Times New Roman" w:cstheme="minorHAnsi"/>
          <w:lang w:eastAsia="en-GB"/>
        </w:rPr>
        <w:t xml:space="preserve">hysical activity </w:t>
      </w:r>
      <w:r w:rsidR="009E5696" w:rsidRPr="009B3747">
        <w:rPr>
          <w:rFonts w:eastAsia="Times New Roman" w:cstheme="minorHAnsi"/>
          <w:lang w:eastAsia="en-GB"/>
        </w:rPr>
        <w:t>was a</w:t>
      </w:r>
      <w:r w:rsidR="00842272" w:rsidRPr="009B3747">
        <w:rPr>
          <w:rFonts w:eastAsia="Times New Roman" w:cstheme="minorHAnsi"/>
          <w:lang w:eastAsia="en-GB"/>
        </w:rPr>
        <w:t xml:space="preserve"> secondary school priority.  </w:t>
      </w:r>
      <w:r w:rsidRPr="009B3747">
        <w:rPr>
          <w:rFonts w:eastAsia="Times New Roman" w:cstheme="minorHAnsi"/>
          <w:lang w:eastAsia="en-GB"/>
        </w:rPr>
        <w:t xml:space="preserve">  </w:t>
      </w:r>
    </w:p>
    <w:p w:rsidR="00484675" w:rsidRPr="009B3747" w:rsidRDefault="00484675" w:rsidP="00A2591A">
      <w:pPr>
        <w:rPr>
          <w:rFonts w:eastAsia="Times New Roman" w:cstheme="minorHAnsi"/>
          <w:lang w:eastAsia="en-GB"/>
        </w:rPr>
      </w:pPr>
    </w:p>
    <w:p w:rsidR="003D10D3" w:rsidRPr="009B3747" w:rsidRDefault="006F0112" w:rsidP="00A2591A">
      <w:pPr>
        <w:rPr>
          <w:rFonts w:eastAsia="Times New Roman" w:cstheme="minorHAnsi"/>
          <w:lang w:eastAsia="en-GB"/>
        </w:rPr>
      </w:pPr>
      <w:r w:rsidRPr="009B3747">
        <w:rPr>
          <w:rFonts w:eastAsia="Times New Roman" w:cstheme="minorHAnsi"/>
          <w:lang w:eastAsia="en-GB"/>
        </w:rPr>
        <w:t>Headteachers and chairs of governors confirmed the existence of preventative action in secondary school settings</w:t>
      </w:r>
      <w:r w:rsidR="00AC1DA5">
        <w:rPr>
          <w:rFonts w:eastAsia="Times New Roman" w:cstheme="minorHAnsi"/>
          <w:lang w:eastAsia="en-GB"/>
        </w:rPr>
        <w:t>,</w:t>
      </w:r>
      <w:r w:rsidRPr="009B3747">
        <w:rPr>
          <w:rFonts w:eastAsia="Times New Roman" w:cstheme="minorHAnsi"/>
          <w:lang w:eastAsia="en-GB"/>
        </w:rPr>
        <w:t xml:space="preserve"> which mainly centre</w:t>
      </w:r>
      <w:r w:rsidR="001A78AF" w:rsidRPr="009B3747">
        <w:rPr>
          <w:rFonts w:eastAsia="Times New Roman" w:cstheme="minorHAnsi"/>
          <w:lang w:eastAsia="en-GB"/>
        </w:rPr>
        <w:t>d</w:t>
      </w:r>
      <w:r w:rsidRPr="009B3747">
        <w:rPr>
          <w:rFonts w:eastAsia="Times New Roman" w:cstheme="minorHAnsi"/>
          <w:lang w:eastAsia="en-GB"/>
        </w:rPr>
        <w:t xml:space="preserve"> on</w:t>
      </w:r>
      <w:r w:rsidR="00842272" w:rsidRPr="009B3747">
        <w:rPr>
          <w:rFonts w:eastAsia="Times New Roman" w:cstheme="minorHAnsi"/>
          <w:lang w:eastAsia="en-GB"/>
        </w:rPr>
        <w:t xml:space="preserve"> the provision of health education and </w:t>
      </w:r>
      <w:r w:rsidRPr="009B3747">
        <w:rPr>
          <w:rFonts w:eastAsia="Times New Roman" w:cstheme="minorHAnsi"/>
          <w:lang w:eastAsia="en-GB"/>
        </w:rPr>
        <w:t>opportunities for adolescents to engage in healthy lifestyle behaviours (e.g. through school sport and healthy school food).</w:t>
      </w:r>
      <w:r w:rsidR="00842272" w:rsidRPr="009B3747">
        <w:rPr>
          <w:rFonts w:eastAsia="Times New Roman" w:cstheme="minorHAnsi"/>
          <w:lang w:eastAsia="en-GB"/>
        </w:rPr>
        <w:t xml:space="preserve">  In addition, </w:t>
      </w:r>
      <w:r w:rsidR="00281979">
        <w:rPr>
          <w:rFonts w:eastAsia="Times New Roman" w:cstheme="minorHAnsi"/>
          <w:lang w:eastAsia="en-GB"/>
        </w:rPr>
        <w:t>school policies were identified that</w:t>
      </w:r>
      <w:r w:rsidR="003D10D3" w:rsidRPr="009B3747">
        <w:rPr>
          <w:rFonts w:eastAsia="Times New Roman" w:cstheme="minorHAnsi"/>
          <w:lang w:eastAsia="en-GB"/>
        </w:rPr>
        <w:t xml:space="preserve"> restricted particular dietary behaviours </w:t>
      </w:r>
      <w:r w:rsidR="00842272" w:rsidRPr="009B3747">
        <w:rPr>
          <w:rFonts w:eastAsia="Times New Roman" w:cstheme="minorHAnsi"/>
          <w:lang w:eastAsia="en-GB"/>
        </w:rPr>
        <w:t>(e.g. consumption of energy drinks</w:t>
      </w:r>
      <w:r w:rsidR="003D10D3" w:rsidRPr="009B3747">
        <w:rPr>
          <w:rFonts w:eastAsia="Times New Roman" w:cstheme="minorHAnsi"/>
          <w:lang w:eastAsia="en-GB"/>
        </w:rPr>
        <w:t xml:space="preserve">) or the ability for adolescents to access unhealthy food and drinks outside of the secondary school setting (e.g. ‘locked gate’ approach at lunch times). </w:t>
      </w:r>
    </w:p>
    <w:p w:rsidR="003D10D3" w:rsidRPr="009B3747" w:rsidRDefault="003D10D3" w:rsidP="00A2591A">
      <w:pPr>
        <w:rPr>
          <w:rFonts w:eastAsia="Times New Roman" w:cstheme="minorHAnsi"/>
          <w:lang w:eastAsia="en-GB"/>
        </w:rPr>
      </w:pPr>
    </w:p>
    <w:p w:rsidR="009B4249" w:rsidRPr="009B3747" w:rsidRDefault="003D10D3" w:rsidP="00A2591A">
      <w:pPr>
        <w:rPr>
          <w:rFonts w:eastAsia="Times New Roman" w:cstheme="minorHAnsi"/>
          <w:bCs/>
          <w:color w:val="222222"/>
          <w:lang w:eastAsia="en-GB"/>
        </w:rPr>
      </w:pPr>
      <w:r w:rsidRPr="009B3747">
        <w:rPr>
          <w:rFonts w:eastAsia="Times New Roman" w:cstheme="minorHAnsi"/>
          <w:lang w:eastAsia="en-GB"/>
        </w:rPr>
        <w:t xml:space="preserve">In </w:t>
      </w:r>
      <w:r w:rsidR="006F0112" w:rsidRPr="009B3747">
        <w:rPr>
          <w:rFonts w:eastAsia="Times New Roman" w:cstheme="minorHAnsi"/>
          <w:lang w:eastAsia="en-GB"/>
        </w:rPr>
        <w:t xml:space="preserve">spite of a general willingness and desire </w:t>
      </w:r>
      <w:r w:rsidR="00AB5A86" w:rsidRPr="009B3747">
        <w:rPr>
          <w:rFonts w:eastAsia="Times New Roman" w:cstheme="minorHAnsi"/>
          <w:lang w:eastAsia="en-GB"/>
        </w:rPr>
        <w:t xml:space="preserve">by headteachers and chairs of governors </w:t>
      </w:r>
      <w:r w:rsidR="006F0112" w:rsidRPr="009B3747">
        <w:rPr>
          <w:rFonts w:eastAsia="Times New Roman" w:cstheme="minorHAnsi"/>
          <w:lang w:eastAsia="en-GB"/>
        </w:rPr>
        <w:t xml:space="preserve">to </w:t>
      </w:r>
      <w:r w:rsidR="002A1D40" w:rsidRPr="009B3747">
        <w:rPr>
          <w:rFonts w:eastAsia="Times New Roman" w:cstheme="minorHAnsi"/>
          <w:lang w:eastAsia="en-GB"/>
        </w:rPr>
        <w:t>improve adolescent lifestyle behaviours</w:t>
      </w:r>
      <w:r w:rsidRPr="009B3747">
        <w:rPr>
          <w:rFonts w:eastAsia="Times New Roman" w:cstheme="minorHAnsi"/>
          <w:lang w:eastAsia="en-GB"/>
        </w:rPr>
        <w:t>, signifi</w:t>
      </w:r>
      <w:r w:rsidR="00823B37" w:rsidRPr="009B3747">
        <w:rPr>
          <w:rFonts w:eastAsia="Times New Roman" w:cstheme="minorHAnsi"/>
          <w:lang w:eastAsia="en-GB"/>
        </w:rPr>
        <w:t>cant barriers were perceived to</w:t>
      </w:r>
      <w:r w:rsidRPr="009B3747">
        <w:rPr>
          <w:rFonts w:eastAsia="Times New Roman" w:cstheme="minorHAnsi"/>
          <w:lang w:eastAsia="en-GB"/>
        </w:rPr>
        <w:t xml:space="preserve"> exist</w:t>
      </w:r>
      <w:r w:rsidR="006F0112" w:rsidRPr="009B3747">
        <w:rPr>
          <w:rFonts w:eastAsia="Times New Roman" w:cstheme="minorHAnsi"/>
          <w:lang w:eastAsia="en-GB"/>
        </w:rPr>
        <w:t xml:space="preserve"> within </w:t>
      </w:r>
      <w:r w:rsidR="00281979">
        <w:rPr>
          <w:rFonts w:eastAsia="Times New Roman" w:cstheme="minorHAnsi"/>
          <w:lang w:eastAsia="en-GB"/>
        </w:rPr>
        <w:t xml:space="preserve">secondary schools, </w:t>
      </w:r>
      <w:r w:rsidR="006F0112" w:rsidRPr="009B3747">
        <w:rPr>
          <w:rFonts w:eastAsia="Times New Roman" w:cstheme="minorHAnsi"/>
          <w:lang w:eastAsia="en-GB"/>
        </w:rPr>
        <w:t>which</w:t>
      </w:r>
      <w:r w:rsidR="002A1D40" w:rsidRPr="009B3747">
        <w:rPr>
          <w:rFonts w:eastAsia="Times New Roman" w:cstheme="minorHAnsi"/>
          <w:lang w:eastAsia="en-GB"/>
        </w:rPr>
        <w:t xml:space="preserve"> affect their ability to do so.  Of pressing concern was the belief that increasing </w:t>
      </w:r>
      <w:r w:rsidR="001A78AF" w:rsidRPr="009B3747">
        <w:rPr>
          <w:rFonts w:eastAsia="Times New Roman" w:cstheme="minorHAnsi"/>
          <w:lang w:eastAsia="en-GB"/>
        </w:rPr>
        <w:t>governmental pressure on academic achievement</w:t>
      </w:r>
      <w:r w:rsidRPr="009B3747">
        <w:rPr>
          <w:rFonts w:eastAsia="Times New Roman" w:cstheme="minorHAnsi"/>
          <w:lang w:eastAsia="en-GB"/>
        </w:rPr>
        <w:t xml:space="preserve"> and reducing financial resources, means secondary schools are </w:t>
      </w:r>
      <w:r w:rsidR="002A1D40" w:rsidRPr="009B3747">
        <w:rPr>
          <w:rFonts w:eastAsia="Times New Roman" w:cstheme="minorHAnsi"/>
          <w:lang w:eastAsia="en-GB"/>
        </w:rPr>
        <w:t>unable to undertake meaningful and sustainable action</w:t>
      </w:r>
      <w:r w:rsidR="00AC1DA5">
        <w:rPr>
          <w:rFonts w:eastAsia="Times New Roman" w:cstheme="minorHAnsi"/>
          <w:lang w:eastAsia="en-GB"/>
        </w:rPr>
        <w:t>,</w:t>
      </w:r>
      <w:r w:rsidR="002A1D40" w:rsidRPr="009B3747">
        <w:rPr>
          <w:rFonts w:eastAsia="Times New Roman" w:cstheme="minorHAnsi"/>
          <w:lang w:eastAsia="en-GB"/>
        </w:rPr>
        <w:t xml:space="preserve"> on </w:t>
      </w:r>
      <w:r w:rsidR="00AB5A86" w:rsidRPr="009B3747">
        <w:rPr>
          <w:rFonts w:eastAsia="Times New Roman" w:cstheme="minorHAnsi"/>
          <w:lang w:eastAsia="en-GB"/>
        </w:rPr>
        <w:t xml:space="preserve">a wide range of </w:t>
      </w:r>
      <w:r w:rsidR="002A1D40" w:rsidRPr="009B3747">
        <w:rPr>
          <w:rFonts w:eastAsia="Times New Roman" w:cstheme="minorHAnsi"/>
          <w:lang w:eastAsia="en-GB"/>
        </w:rPr>
        <w:t>adolescent health and well-being issues, including obesity.</w:t>
      </w:r>
      <w:r w:rsidR="009B4249" w:rsidRPr="009B3747">
        <w:rPr>
          <w:rFonts w:eastAsia="Times New Roman" w:cstheme="minorHAnsi"/>
          <w:lang w:eastAsia="en-GB"/>
        </w:rPr>
        <w:t xml:space="preserve">  </w:t>
      </w:r>
      <w:r w:rsidRPr="009B3747">
        <w:rPr>
          <w:rFonts w:eastAsia="Times New Roman" w:cstheme="minorHAnsi"/>
          <w:lang w:eastAsia="en-GB"/>
        </w:rPr>
        <w:t xml:space="preserve">Additional </w:t>
      </w:r>
      <w:r w:rsidR="00232D7D" w:rsidRPr="009B3747">
        <w:rPr>
          <w:rFonts w:eastAsia="Times New Roman" w:cstheme="minorHAnsi"/>
          <w:lang w:eastAsia="en-GB"/>
        </w:rPr>
        <w:t>c</w:t>
      </w:r>
      <w:r w:rsidR="009B4249" w:rsidRPr="009B3747">
        <w:rPr>
          <w:rFonts w:eastAsia="Times New Roman" w:cstheme="minorHAnsi"/>
          <w:lang w:eastAsia="en-GB"/>
        </w:rPr>
        <w:t xml:space="preserve">hallenges for school based preventative action were </w:t>
      </w:r>
      <w:r w:rsidR="00A3070B" w:rsidRPr="009B3747">
        <w:rPr>
          <w:rFonts w:eastAsia="Times New Roman" w:cstheme="minorHAnsi"/>
          <w:lang w:eastAsia="en-GB"/>
        </w:rPr>
        <w:t>proposed as</w:t>
      </w:r>
      <w:r w:rsidR="009B4249" w:rsidRPr="009B3747">
        <w:rPr>
          <w:rFonts w:eastAsia="Times New Roman" w:cstheme="minorHAnsi"/>
          <w:lang w:eastAsia="en-GB"/>
        </w:rPr>
        <w:t xml:space="preserve"> poor role modelling </w:t>
      </w:r>
      <w:r w:rsidR="00AB5A86" w:rsidRPr="009B3747">
        <w:rPr>
          <w:rFonts w:eastAsia="Times New Roman" w:cstheme="minorHAnsi"/>
          <w:lang w:eastAsia="en-GB"/>
        </w:rPr>
        <w:t xml:space="preserve">amongst school staff </w:t>
      </w:r>
      <w:r w:rsidR="009B4249" w:rsidRPr="009B3747">
        <w:rPr>
          <w:rFonts w:eastAsia="Times New Roman" w:cstheme="minorHAnsi"/>
          <w:lang w:eastAsia="en-GB"/>
        </w:rPr>
        <w:t xml:space="preserve">and the depletion of capacity </w:t>
      </w:r>
      <w:r w:rsidR="00AB5A86" w:rsidRPr="009B3747">
        <w:rPr>
          <w:rFonts w:eastAsia="Times New Roman" w:cstheme="minorHAnsi"/>
          <w:lang w:eastAsia="en-GB"/>
        </w:rPr>
        <w:t>within key obesity stakeholders</w:t>
      </w:r>
      <w:r w:rsidRPr="009B3747">
        <w:rPr>
          <w:rFonts w:eastAsia="Times New Roman" w:cstheme="minorHAnsi"/>
          <w:lang w:eastAsia="en-GB"/>
        </w:rPr>
        <w:t xml:space="preserve"> (e.g. school nurses)</w:t>
      </w:r>
      <w:r w:rsidR="00AC1DA5">
        <w:rPr>
          <w:rFonts w:eastAsia="Times New Roman" w:cstheme="minorHAnsi"/>
          <w:lang w:eastAsia="en-GB"/>
        </w:rPr>
        <w:t>,</w:t>
      </w:r>
      <w:r w:rsidRPr="009B3747">
        <w:rPr>
          <w:rFonts w:eastAsia="Times New Roman" w:cstheme="minorHAnsi"/>
          <w:lang w:eastAsia="en-GB"/>
        </w:rPr>
        <w:t xml:space="preserve"> who are viewed as able to support school-based obesity prevention.  </w:t>
      </w:r>
    </w:p>
    <w:p w:rsidR="00AB5A86" w:rsidRPr="009B3747" w:rsidRDefault="00AB5A86" w:rsidP="00A2591A">
      <w:pPr>
        <w:rPr>
          <w:rFonts w:eastAsia="Times New Roman" w:cstheme="minorHAnsi"/>
          <w:lang w:eastAsia="en-GB"/>
        </w:rPr>
      </w:pPr>
    </w:p>
    <w:p w:rsidR="003D10D3" w:rsidRPr="009B3747" w:rsidRDefault="00254623" w:rsidP="00254623">
      <w:pPr>
        <w:rPr>
          <w:rFonts w:eastAsia="Times New Roman" w:cstheme="minorHAnsi"/>
          <w:lang w:eastAsia="en-GB"/>
        </w:rPr>
      </w:pPr>
      <w:r w:rsidRPr="009B3747">
        <w:rPr>
          <w:rFonts w:eastAsia="Times New Roman" w:cstheme="minorHAnsi"/>
          <w:lang w:eastAsia="en-GB"/>
        </w:rPr>
        <w:t>In order to facilitate a secondary school’s ability to prevent obesity, h</w:t>
      </w:r>
      <w:r w:rsidR="00AB5A86" w:rsidRPr="009B3747">
        <w:rPr>
          <w:rFonts w:eastAsia="Times New Roman" w:cstheme="minorHAnsi"/>
          <w:lang w:eastAsia="en-GB"/>
        </w:rPr>
        <w:t xml:space="preserve">eadteachers and chairs of governors </w:t>
      </w:r>
      <w:r w:rsidRPr="009B3747">
        <w:rPr>
          <w:rFonts w:eastAsia="Times New Roman" w:cstheme="minorHAnsi"/>
          <w:lang w:eastAsia="en-GB"/>
        </w:rPr>
        <w:t xml:space="preserve">advocated for </w:t>
      </w:r>
      <w:r w:rsidR="006F1FDC" w:rsidRPr="009B3747">
        <w:rPr>
          <w:rFonts w:eastAsia="Times New Roman" w:cstheme="minorHAnsi"/>
          <w:lang w:eastAsia="en-GB"/>
        </w:rPr>
        <w:t xml:space="preserve">additional </w:t>
      </w:r>
      <w:r w:rsidR="00AB5A86" w:rsidRPr="009B3747">
        <w:rPr>
          <w:rFonts w:eastAsia="Times New Roman" w:cstheme="minorHAnsi"/>
          <w:lang w:eastAsia="en-GB"/>
        </w:rPr>
        <w:t>funding</w:t>
      </w:r>
      <w:r w:rsidRPr="009B3747">
        <w:rPr>
          <w:rFonts w:eastAsia="Times New Roman" w:cstheme="minorHAnsi"/>
          <w:lang w:eastAsia="en-GB"/>
        </w:rPr>
        <w:t xml:space="preserve"> and resources</w:t>
      </w:r>
      <w:r w:rsidR="00AB5A86" w:rsidRPr="009B3747">
        <w:rPr>
          <w:rFonts w:eastAsia="Times New Roman" w:cstheme="minorHAnsi"/>
          <w:lang w:eastAsia="en-GB"/>
        </w:rPr>
        <w:t xml:space="preserve"> </w:t>
      </w:r>
      <w:r w:rsidR="00A3070B" w:rsidRPr="009B3747">
        <w:rPr>
          <w:rFonts w:eastAsia="Times New Roman" w:cstheme="minorHAnsi"/>
          <w:lang w:eastAsia="en-GB"/>
        </w:rPr>
        <w:t xml:space="preserve">from government </w:t>
      </w:r>
      <w:r w:rsidR="00AB5A86" w:rsidRPr="009B3747">
        <w:rPr>
          <w:rFonts w:eastAsia="Times New Roman" w:cstheme="minorHAnsi"/>
          <w:lang w:eastAsia="en-GB"/>
        </w:rPr>
        <w:t xml:space="preserve">and </w:t>
      </w:r>
      <w:r w:rsidR="006F1FDC" w:rsidRPr="009B3747">
        <w:rPr>
          <w:rFonts w:eastAsia="Times New Roman" w:cstheme="minorHAnsi"/>
          <w:lang w:eastAsia="en-GB"/>
        </w:rPr>
        <w:t xml:space="preserve">greater </w:t>
      </w:r>
      <w:r w:rsidRPr="009B3747">
        <w:rPr>
          <w:rFonts w:eastAsia="Times New Roman" w:cstheme="minorHAnsi"/>
          <w:lang w:eastAsia="en-GB"/>
        </w:rPr>
        <w:t>support from external partners (e.g. public health organisations).  Further</w:t>
      </w:r>
      <w:r w:rsidR="003D10D3" w:rsidRPr="009B3747">
        <w:rPr>
          <w:rFonts w:eastAsia="Times New Roman" w:cstheme="minorHAnsi"/>
          <w:lang w:eastAsia="en-GB"/>
        </w:rPr>
        <w:t>more,</w:t>
      </w:r>
      <w:r w:rsidRPr="009B3747">
        <w:rPr>
          <w:rFonts w:eastAsia="Times New Roman" w:cstheme="minorHAnsi"/>
          <w:lang w:eastAsia="en-GB"/>
        </w:rPr>
        <w:t xml:space="preserve"> </w:t>
      </w:r>
      <w:r w:rsidR="00A3070B" w:rsidRPr="009B3747">
        <w:rPr>
          <w:rFonts w:eastAsia="Times New Roman" w:cstheme="minorHAnsi"/>
          <w:lang w:eastAsia="en-GB"/>
        </w:rPr>
        <w:t xml:space="preserve">given the perception that the </w:t>
      </w:r>
      <w:r w:rsidR="00232D7D" w:rsidRPr="009B3747">
        <w:rPr>
          <w:rFonts w:eastAsia="Times New Roman" w:cstheme="minorHAnsi"/>
          <w:lang w:eastAsia="en-GB"/>
        </w:rPr>
        <w:t xml:space="preserve">causes of and </w:t>
      </w:r>
      <w:r w:rsidR="00A3070B" w:rsidRPr="009B3747">
        <w:rPr>
          <w:rFonts w:eastAsia="Times New Roman" w:cstheme="minorHAnsi"/>
          <w:lang w:eastAsia="en-GB"/>
        </w:rPr>
        <w:t>responsibility</w:t>
      </w:r>
      <w:r w:rsidR="00232D7D" w:rsidRPr="009B3747">
        <w:rPr>
          <w:rFonts w:eastAsia="Times New Roman" w:cstheme="minorHAnsi"/>
          <w:lang w:eastAsia="en-GB"/>
        </w:rPr>
        <w:t xml:space="preserve"> for obesity </w:t>
      </w:r>
      <w:r w:rsidR="00A3070B" w:rsidRPr="009B3747">
        <w:rPr>
          <w:rFonts w:eastAsia="Times New Roman" w:cstheme="minorHAnsi"/>
          <w:lang w:eastAsia="en-GB"/>
        </w:rPr>
        <w:t xml:space="preserve">lay primarily outside of a school setting, headteachers and chairs of governors promoted </w:t>
      </w:r>
      <w:r w:rsidRPr="009B3747">
        <w:rPr>
          <w:rFonts w:eastAsia="Times New Roman" w:cstheme="minorHAnsi"/>
          <w:lang w:eastAsia="en-GB"/>
        </w:rPr>
        <w:t>the importance of</w:t>
      </w:r>
      <w:r w:rsidR="00A3070B" w:rsidRPr="009B3747">
        <w:rPr>
          <w:rFonts w:eastAsia="Times New Roman" w:cstheme="minorHAnsi"/>
          <w:lang w:eastAsia="en-GB"/>
        </w:rPr>
        <w:t xml:space="preserve"> </w:t>
      </w:r>
      <w:r w:rsidR="006F1FDC" w:rsidRPr="009B3747">
        <w:rPr>
          <w:rFonts w:eastAsia="Times New Roman" w:cstheme="minorHAnsi"/>
          <w:lang w:eastAsia="en-GB"/>
        </w:rPr>
        <w:t xml:space="preserve">future </w:t>
      </w:r>
      <w:r w:rsidR="00A3070B" w:rsidRPr="009B3747">
        <w:rPr>
          <w:rFonts w:eastAsia="Times New Roman" w:cstheme="minorHAnsi"/>
          <w:lang w:eastAsia="en-GB"/>
        </w:rPr>
        <w:t xml:space="preserve">public health action </w:t>
      </w:r>
      <w:r w:rsidR="003D10D3" w:rsidRPr="009B3747">
        <w:rPr>
          <w:rFonts w:eastAsia="Times New Roman" w:cstheme="minorHAnsi"/>
          <w:lang w:eastAsia="en-GB"/>
        </w:rPr>
        <w:t xml:space="preserve">and interventions to be delivered across a variety of settings (e.g. family and community).  This was viewed as crucial in </w:t>
      </w:r>
      <w:r w:rsidR="003D10D3" w:rsidRPr="009B3747">
        <w:rPr>
          <w:rFonts w:eastAsia="Times New Roman" w:cstheme="minorHAnsi"/>
          <w:lang w:eastAsia="en-GB"/>
        </w:rPr>
        <w:lastRenderedPageBreak/>
        <w:t xml:space="preserve">order to enhance the </w:t>
      </w:r>
      <w:r w:rsidR="00DF1542" w:rsidRPr="009B3747">
        <w:rPr>
          <w:rFonts w:eastAsia="Times New Roman" w:cstheme="minorHAnsi"/>
          <w:lang w:eastAsia="en-GB"/>
        </w:rPr>
        <w:t xml:space="preserve">visibility and </w:t>
      </w:r>
      <w:r w:rsidR="003D10D3" w:rsidRPr="009B3747">
        <w:rPr>
          <w:rFonts w:eastAsia="Times New Roman" w:cstheme="minorHAnsi"/>
          <w:lang w:eastAsia="en-GB"/>
        </w:rPr>
        <w:t xml:space="preserve">consistency of </w:t>
      </w:r>
      <w:r w:rsidR="00DF1542" w:rsidRPr="009B3747">
        <w:rPr>
          <w:rFonts w:eastAsia="Times New Roman" w:cstheme="minorHAnsi"/>
          <w:lang w:eastAsia="en-GB"/>
        </w:rPr>
        <w:t xml:space="preserve">obesity related </w:t>
      </w:r>
      <w:r w:rsidR="003D10D3" w:rsidRPr="009B3747">
        <w:rPr>
          <w:rFonts w:eastAsia="Times New Roman" w:cstheme="minorHAnsi"/>
          <w:lang w:eastAsia="en-GB"/>
        </w:rPr>
        <w:t xml:space="preserve">public health messages </w:t>
      </w:r>
      <w:r w:rsidR="00DF1542" w:rsidRPr="009B3747">
        <w:rPr>
          <w:rFonts w:eastAsia="Times New Roman" w:cstheme="minorHAnsi"/>
          <w:lang w:eastAsia="en-GB"/>
        </w:rPr>
        <w:t xml:space="preserve">in </w:t>
      </w:r>
      <w:r w:rsidR="003D10D3" w:rsidRPr="009B3747">
        <w:rPr>
          <w:rFonts w:eastAsia="Times New Roman" w:cstheme="minorHAnsi"/>
          <w:lang w:eastAsia="en-GB"/>
        </w:rPr>
        <w:t>schools, families and adolescents themselves.</w:t>
      </w:r>
    </w:p>
    <w:p w:rsidR="003D10D3" w:rsidRPr="009B3747" w:rsidRDefault="003D10D3" w:rsidP="00A2591A">
      <w:pPr>
        <w:rPr>
          <w:rFonts w:eastAsia="Times New Roman" w:cstheme="minorHAnsi"/>
          <w:b/>
          <w:bCs/>
          <w:color w:val="222222"/>
          <w:u w:val="single"/>
          <w:lang w:eastAsia="en-GB"/>
        </w:rPr>
      </w:pPr>
    </w:p>
    <w:p w:rsidR="00A2591A" w:rsidRPr="009B3747" w:rsidRDefault="00A2591A" w:rsidP="00A2591A">
      <w:pPr>
        <w:rPr>
          <w:rFonts w:eastAsia="Times New Roman" w:cstheme="minorHAnsi"/>
          <w:sz w:val="24"/>
          <w:szCs w:val="24"/>
          <w:lang w:eastAsia="en-GB"/>
        </w:rPr>
      </w:pPr>
      <w:r w:rsidRPr="009B3747">
        <w:rPr>
          <w:rFonts w:eastAsia="Times New Roman" w:cstheme="minorHAnsi"/>
          <w:b/>
          <w:bCs/>
          <w:color w:val="222222"/>
          <w:sz w:val="24"/>
          <w:szCs w:val="24"/>
          <w:u w:val="single"/>
          <w:lang w:eastAsia="en-GB"/>
        </w:rPr>
        <w:t xml:space="preserve">10.2 Contribution of the study </w:t>
      </w:r>
    </w:p>
    <w:p w:rsidR="00A2591A" w:rsidRPr="009B3747" w:rsidRDefault="00A2591A" w:rsidP="00A2591A">
      <w:pPr>
        <w:rPr>
          <w:rFonts w:eastAsia="Times New Roman" w:cstheme="minorHAnsi"/>
          <w:sz w:val="24"/>
          <w:szCs w:val="24"/>
          <w:lang w:eastAsia="en-GB"/>
        </w:rPr>
      </w:pPr>
    </w:p>
    <w:p w:rsidR="00A2591A" w:rsidRPr="009B3747" w:rsidRDefault="00A2591A" w:rsidP="00A2591A">
      <w:pPr>
        <w:rPr>
          <w:rFonts w:eastAsia="Times New Roman" w:cstheme="minorHAnsi"/>
          <w:lang w:eastAsia="en-GB"/>
        </w:rPr>
      </w:pPr>
      <w:r w:rsidRPr="009B3747">
        <w:rPr>
          <w:rFonts w:eastAsia="Times New Roman" w:cstheme="minorHAnsi"/>
          <w:color w:val="222222"/>
          <w:lang w:eastAsia="en-GB"/>
        </w:rPr>
        <w:t>This mixed methods study is the first of its kind.  </w:t>
      </w:r>
      <w:r w:rsidRPr="009B3747">
        <w:rPr>
          <w:rFonts w:eastAsia="Times New Roman" w:cstheme="minorHAnsi"/>
          <w:color w:val="000000"/>
          <w:lang w:eastAsia="en-GB"/>
        </w:rPr>
        <w:t xml:space="preserve">The role of schools remains a focal point for national guidelines to improve healthy lifestyle behaviours and prevent childhood and adolescent </w:t>
      </w:r>
      <w:r w:rsidRPr="009B3747">
        <w:rPr>
          <w:rFonts w:eastAsia="Times New Roman" w:cstheme="minorHAnsi"/>
          <w:lang w:eastAsia="en-GB"/>
        </w:rPr>
        <w:t xml:space="preserve">obesity </w:t>
      </w:r>
      <w:r w:rsidR="001F55B9" w:rsidRPr="009B3747">
        <w:rPr>
          <w:rFonts w:eastAsia="Times New Roman" w:cstheme="minorHAnsi"/>
          <w:lang w:eastAsia="en-GB"/>
        </w:rPr>
        <w:fldChar w:fldCharType="begin" w:fldLock="1"/>
      </w:r>
      <w:r w:rsidR="00395650" w:rsidRPr="009B3747">
        <w:rPr>
          <w:rFonts w:eastAsia="Times New Roman" w:cstheme="minorHAnsi"/>
          <w:lang w:eastAsia="en-GB"/>
        </w:rPr>
        <w:instrText>ADDIN CSL_CITATION { "citationItems" : [ { "id" : "ITEM-1", "itemData" : { "author" : [ { "dropping-particle" : "", "family" : "National Institute of Health and Care Excellence", "given" : "", "non-dropping-particle" : "", "parse-names" : false, "suffix" : "" } ], "id" : "ITEM-1", "issued" : { "date-parts" : [ [ "2015" ] ] }, "publisher-place" : "London", "title" : "Obesity in children and young people: prevention and lifestyle weight management programmes", "type" : "report" }, "uris" : [ "http://www.mendeley.com/documents/?uuid=572b7eec-0d9f-4bd1-8da0-2229d1fa31a3" ] }, { "id" : "ITEM-2", "itemData" : { "author" : [ { "dropping-particle" : "", "family" : "HM Government", "given" : "", "non-dropping-particle" : "", "parse-names" : false, "suffix" : "" } ], "id" : "ITEM-2", "issued" : { "date-parts" : [ [ "2016" ] ] }, "title" : "Childhood obesity - A plan for action", "type" : "report" }, "uris" : [ "http://www.mendeley.com/documents/?uuid=b98f114e-5233-47f8-a635-d7641b44ba3f" ] } ], "mendeley" : { "formattedCitation" : "(National Institute of Health and Care Excellence, 2015b; HM Government, 2016)", "plainTextFormattedCitation" : "(National Institute of Health and Care Excellence, 2015b; HM Government, 2016)", "previouslyFormattedCitation" : "(National Institute of Health and Care Excellence, 2015b; HM Government, 2016)" }, "properties" : { "noteIndex" : 0 }, "schema" : "https://github.com/citation-style-language/schema/raw/master/csl-citation.json" }</w:instrText>
      </w:r>
      <w:r w:rsidR="001F55B9" w:rsidRPr="009B3747">
        <w:rPr>
          <w:rFonts w:eastAsia="Times New Roman" w:cstheme="minorHAnsi"/>
          <w:lang w:eastAsia="en-GB"/>
        </w:rPr>
        <w:fldChar w:fldCharType="separate"/>
      </w:r>
      <w:r w:rsidR="001F55B9" w:rsidRPr="009B3747">
        <w:rPr>
          <w:rFonts w:eastAsia="Times New Roman" w:cstheme="minorHAnsi"/>
          <w:noProof/>
          <w:lang w:eastAsia="en-GB"/>
        </w:rPr>
        <w:t>(National Institute of Health and Care Excellence, 2015b; HM Government, 2016)</w:t>
      </w:r>
      <w:r w:rsidR="001F55B9" w:rsidRPr="009B3747">
        <w:rPr>
          <w:rFonts w:eastAsia="Times New Roman" w:cstheme="minorHAnsi"/>
          <w:lang w:eastAsia="en-GB"/>
        </w:rPr>
        <w:fldChar w:fldCharType="end"/>
      </w:r>
      <w:r w:rsidR="00DA156A" w:rsidRPr="009B3747">
        <w:rPr>
          <w:rFonts w:eastAsia="Times New Roman" w:cstheme="minorHAnsi"/>
          <w:lang w:eastAsia="en-GB"/>
        </w:rPr>
        <w:t xml:space="preserve">.  </w:t>
      </w:r>
      <w:r w:rsidRPr="009B3747">
        <w:rPr>
          <w:rFonts w:eastAsia="Times New Roman" w:cstheme="minorHAnsi"/>
          <w:lang w:eastAsia="en-GB"/>
        </w:rPr>
        <w:t>Furthermore headteachers and chairs of governors are explicitly referenced as being required to drive this action within school settings</w:t>
      </w:r>
      <w:r w:rsidR="001F55B9" w:rsidRPr="009B3747">
        <w:rPr>
          <w:rFonts w:eastAsia="Times New Roman" w:cstheme="minorHAnsi"/>
          <w:lang w:eastAsia="en-GB"/>
        </w:rPr>
        <w:t xml:space="preserve"> </w:t>
      </w:r>
      <w:r w:rsidR="001F55B9" w:rsidRPr="009B3747">
        <w:rPr>
          <w:rFonts w:eastAsia="Times New Roman" w:cstheme="minorHAnsi"/>
          <w:lang w:eastAsia="en-GB"/>
        </w:rPr>
        <w:fldChar w:fldCharType="begin" w:fldLock="1"/>
      </w:r>
      <w:r w:rsidR="00395650" w:rsidRPr="009B3747">
        <w:rPr>
          <w:rFonts w:eastAsia="Times New Roman" w:cstheme="minorHAnsi"/>
          <w:lang w:eastAsia="en-GB"/>
        </w:rPr>
        <w:instrText>ADDIN CSL_CITATION { "citationItems" : [ { "id" : "ITEM-1", "itemData" : { "author" : [ { "dropping-particle" : "", "family" : "National Institute of Health and Care Excellence", "given" : "", "non-dropping-particle" : "", "parse-names" : false, "suffix" : "" } ], "id" : "ITEM-1", "issued" : { "date-parts" : [ [ "2015" ] ] }, "publisher-place" : "London", "title" : "NICE Pathway - Preventing Obesity", "type" : "report" }, "uris" : [ "http://www.mendeley.com/documents/?uuid=b4b27288-9afd-4746-a8da-bc42a8085260" ] } ], "mendeley" : { "formattedCitation" : "(National Institute of Health and Care Excellence, 2015a)", "plainTextFormattedCitation" : "(National Institute of Health and Care Excellence, 2015a)", "previouslyFormattedCitation" : "(National Institute of Health and Care Excellence, 2015a)" }, "properties" : { "noteIndex" : 0 }, "schema" : "https://github.com/citation-style-language/schema/raw/master/csl-citation.json" }</w:instrText>
      </w:r>
      <w:r w:rsidR="001F55B9" w:rsidRPr="009B3747">
        <w:rPr>
          <w:rFonts w:eastAsia="Times New Roman" w:cstheme="minorHAnsi"/>
          <w:lang w:eastAsia="en-GB"/>
        </w:rPr>
        <w:fldChar w:fldCharType="separate"/>
      </w:r>
      <w:r w:rsidR="001F55B9" w:rsidRPr="009B3747">
        <w:rPr>
          <w:rFonts w:eastAsia="Times New Roman" w:cstheme="minorHAnsi"/>
          <w:noProof/>
          <w:lang w:eastAsia="en-GB"/>
        </w:rPr>
        <w:t>(National Institute of Health and Care Excellence, 2015a)</w:t>
      </w:r>
      <w:r w:rsidR="001F55B9" w:rsidRPr="009B3747">
        <w:rPr>
          <w:rFonts w:eastAsia="Times New Roman" w:cstheme="minorHAnsi"/>
          <w:lang w:eastAsia="en-GB"/>
        </w:rPr>
        <w:fldChar w:fldCharType="end"/>
      </w:r>
      <w:r w:rsidR="001F55B9" w:rsidRPr="009B3747">
        <w:rPr>
          <w:rFonts w:eastAsia="Times New Roman" w:cstheme="minorHAnsi"/>
          <w:lang w:eastAsia="en-GB"/>
        </w:rPr>
        <w:t xml:space="preserve">.  Despite this, </w:t>
      </w:r>
      <w:r w:rsidRPr="009B3747">
        <w:rPr>
          <w:rFonts w:eastAsia="Times New Roman" w:cstheme="minorHAnsi"/>
          <w:lang w:eastAsia="en-GB"/>
        </w:rPr>
        <w:t xml:space="preserve">and as evidenced in the </w:t>
      </w:r>
      <w:r w:rsidR="003830BA" w:rsidRPr="009B3747">
        <w:rPr>
          <w:rFonts w:eastAsia="Times New Roman" w:cstheme="minorHAnsi"/>
          <w:lang w:eastAsia="en-GB"/>
        </w:rPr>
        <w:t xml:space="preserve">conducted </w:t>
      </w:r>
      <w:r w:rsidRPr="009B3747">
        <w:rPr>
          <w:rFonts w:eastAsia="Times New Roman" w:cstheme="minorHAnsi"/>
          <w:lang w:eastAsia="en-GB"/>
        </w:rPr>
        <w:t>systematic r</w:t>
      </w:r>
      <w:r w:rsidR="001F55B9" w:rsidRPr="009B3747">
        <w:rPr>
          <w:rFonts w:eastAsia="Times New Roman" w:cstheme="minorHAnsi"/>
          <w:lang w:eastAsia="en-GB"/>
        </w:rPr>
        <w:t xml:space="preserve">eview and qualitative synthesis, </w:t>
      </w:r>
      <w:r w:rsidRPr="009B3747">
        <w:rPr>
          <w:rFonts w:eastAsia="Times New Roman" w:cstheme="minorHAnsi"/>
          <w:lang w:eastAsia="en-GB"/>
        </w:rPr>
        <w:t>no research to dat</w:t>
      </w:r>
      <w:r w:rsidR="00281979">
        <w:rPr>
          <w:rFonts w:eastAsia="Times New Roman" w:cstheme="minorHAnsi"/>
          <w:lang w:eastAsia="en-GB"/>
        </w:rPr>
        <w:t xml:space="preserve">e in the UK had been undertaken, </w:t>
      </w:r>
      <w:r w:rsidRPr="009B3747">
        <w:rPr>
          <w:rFonts w:eastAsia="Times New Roman" w:cstheme="minorHAnsi"/>
          <w:lang w:eastAsia="en-GB"/>
        </w:rPr>
        <w:t xml:space="preserve">which explored or investigated </w:t>
      </w:r>
      <w:r w:rsidR="00DA156A" w:rsidRPr="009B3747">
        <w:rPr>
          <w:rFonts w:eastAsia="Times New Roman" w:cstheme="minorHAnsi"/>
          <w:lang w:eastAsia="en-GB"/>
        </w:rPr>
        <w:t xml:space="preserve">secondary school headteachers’ perspectives </w:t>
      </w:r>
      <w:r w:rsidRPr="009B3747">
        <w:rPr>
          <w:rFonts w:eastAsia="Times New Roman" w:cstheme="minorHAnsi"/>
          <w:lang w:eastAsia="en-GB"/>
        </w:rPr>
        <w:t>on adolescent obesity.  Furthermore, no national or internat</w:t>
      </w:r>
      <w:r w:rsidR="00281979">
        <w:rPr>
          <w:rFonts w:eastAsia="Times New Roman" w:cstheme="minorHAnsi"/>
          <w:lang w:eastAsia="en-GB"/>
        </w:rPr>
        <w:t xml:space="preserve">ional study could be identified, </w:t>
      </w:r>
      <w:r w:rsidRPr="009B3747">
        <w:rPr>
          <w:rFonts w:eastAsia="Times New Roman" w:cstheme="minorHAnsi"/>
          <w:lang w:eastAsia="en-GB"/>
        </w:rPr>
        <w:t>which i</w:t>
      </w:r>
      <w:r w:rsidR="00DA156A" w:rsidRPr="009B3747">
        <w:rPr>
          <w:rFonts w:eastAsia="Times New Roman" w:cstheme="minorHAnsi"/>
          <w:lang w:eastAsia="en-GB"/>
        </w:rPr>
        <w:t xml:space="preserve">ncluded </w:t>
      </w:r>
      <w:r w:rsidRPr="009B3747">
        <w:rPr>
          <w:rFonts w:eastAsia="Times New Roman" w:cstheme="minorHAnsi"/>
          <w:lang w:eastAsia="en-GB"/>
        </w:rPr>
        <w:t xml:space="preserve">chairs of governors </w:t>
      </w:r>
      <w:r w:rsidR="00DA156A" w:rsidRPr="009B3747">
        <w:rPr>
          <w:rFonts w:eastAsia="Times New Roman" w:cstheme="minorHAnsi"/>
          <w:lang w:eastAsia="en-GB"/>
        </w:rPr>
        <w:t xml:space="preserve">perspectives’ </w:t>
      </w:r>
      <w:r w:rsidRPr="009B3747">
        <w:rPr>
          <w:rFonts w:eastAsia="Times New Roman" w:cstheme="minorHAnsi"/>
          <w:lang w:eastAsia="en-GB"/>
        </w:rPr>
        <w:t>at any school level regarding ch</w:t>
      </w:r>
      <w:r w:rsidR="00EA0386" w:rsidRPr="009B3747">
        <w:rPr>
          <w:rFonts w:eastAsia="Times New Roman" w:cstheme="minorHAnsi"/>
          <w:lang w:eastAsia="en-GB"/>
        </w:rPr>
        <w:t xml:space="preserve">ildhood or adolescent obesity.  </w:t>
      </w:r>
      <w:r w:rsidRPr="009B3747">
        <w:rPr>
          <w:rFonts w:eastAsia="Times New Roman" w:cstheme="minorHAnsi"/>
          <w:lang w:eastAsia="en-GB"/>
        </w:rPr>
        <w:t>This doctoral study and the identified findings</w:t>
      </w:r>
      <w:r w:rsidR="001F55B9" w:rsidRPr="009B3747">
        <w:rPr>
          <w:rFonts w:eastAsia="Times New Roman" w:cstheme="minorHAnsi"/>
          <w:lang w:eastAsia="en-GB"/>
        </w:rPr>
        <w:t>,</w:t>
      </w:r>
      <w:r w:rsidRPr="009B3747">
        <w:rPr>
          <w:rFonts w:eastAsia="Times New Roman" w:cstheme="minorHAnsi"/>
          <w:lang w:eastAsia="en-GB"/>
        </w:rPr>
        <w:t xml:space="preserve"> therefore fills a significant gap in the evidence base and provides a unique and valuable empirical contribution to the understanding of whether, how and why these key </w:t>
      </w:r>
      <w:r w:rsidR="00EA0386" w:rsidRPr="009B3747">
        <w:rPr>
          <w:rFonts w:eastAsia="Times New Roman" w:cstheme="minorHAnsi"/>
          <w:lang w:eastAsia="en-GB"/>
        </w:rPr>
        <w:t xml:space="preserve">crucial </w:t>
      </w:r>
      <w:r w:rsidRPr="009B3747">
        <w:rPr>
          <w:rFonts w:eastAsia="Times New Roman" w:cstheme="minorHAnsi"/>
          <w:lang w:eastAsia="en-GB"/>
        </w:rPr>
        <w:t>school stakeholders engage in the prevention agenda.</w:t>
      </w:r>
      <w:r w:rsidR="00EA0386" w:rsidRPr="009B3747">
        <w:rPr>
          <w:rFonts w:eastAsia="Times New Roman" w:cstheme="minorHAnsi"/>
          <w:lang w:eastAsia="en-GB"/>
        </w:rPr>
        <w:t xml:space="preserve">  </w:t>
      </w:r>
    </w:p>
    <w:p w:rsidR="00EA0386" w:rsidRPr="009B3747" w:rsidRDefault="00EA0386" w:rsidP="00A2591A">
      <w:pPr>
        <w:rPr>
          <w:rFonts w:eastAsia="Times New Roman" w:cstheme="minorHAnsi"/>
          <w:sz w:val="24"/>
          <w:szCs w:val="24"/>
          <w:lang w:eastAsia="en-GB"/>
        </w:rPr>
      </w:pPr>
    </w:p>
    <w:p w:rsidR="00A2591A" w:rsidRPr="009B3747" w:rsidRDefault="00A2591A" w:rsidP="00A2591A">
      <w:pPr>
        <w:rPr>
          <w:rFonts w:eastAsia="Times New Roman" w:cstheme="minorHAnsi"/>
          <w:lang w:eastAsia="en-GB"/>
        </w:rPr>
      </w:pPr>
      <w:r w:rsidRPr="009B3747">
        <w:rPr>
          <w:rFonts w:eastAsia="Times New Roman" w:cstheme="minorHAnsi"/>
          <w:lang w:eastAsia="en-GB"/>
        </w:rPr>
        <w:t>The use of a mixed methods design, with two complementary phases provide strong evidence for the conclusions made, and whilst</w:t>
      </w:r>
      <w:r w:rsidR="001F55B9" w:rsidRPr="009B3747">
        <w:rPr>
          <w:rFonts w:eastAsia="Times New Roman" w:cstheme="minorHAnsi"/>
          <w:lang w:eastAsia="en-GB"/>
        </w:rPr>
        <w:t xml:space="preserve"> it is not possible to generalis</w:t>
      </w:r>
      <w:r w:rsidR="00ED06E8" w:rsidRPr="009B3747">
        <w:rPr>
          <w:rFonts w:eastAsia="Times New Roman" w:cstheme="minorHAnsi"/>
          <w:lang w:eastAsia="en-GB"/>
        </w:rPr>
        <w:t>e the findings, they still present</w:t>
      </w:r>
      <w:r w:rsidRPr="009B3747">
        <w:rPr>
          <w:rFonts w:eastAsia="Times New Roman" w:cstheme="minorHAnsi"/>
          <w:lang w:eastAsia="en-GB"/>
        </w:rPr>
        <w:t xml:space="preserve"> important implications</w:t>
      </w:r>
      <w:r w:rsidR="00ED06E8" w:rsidRPr="009B3747">
        <w:rPr>
          <w:rFonts w:eastAsia="Times New Roman" w:cstheme="minorHAnsi"/>
          <w:lang w:eastAsia="en-GB"/>
        </w:rPr>
        <w:t xml:space="preserve"> and recommendations </w:t>
      </w:r>
      <w:r w:rsidRPr="009B3747">
        <w:rPr>
          <w:rFonts w:eastAsia="Times New Roman" w:cstheme="minorHAnsi"/>
          <w:lang w:eastAsia="en-GB"/>
        </w:rPr>
        <w:t xml:space="preserve">for public </w:t>
      </w:r>
      <w:r w:rsidR="007A1555" w:rsidRPr="009B3747">
        <w:rPr>
          <w:rFonts w:eastAsia="Times New Roman" w:cstheme="minorHAnsi"/>
          <w:lang w:eastAsia="en-GB"/>
        </w:rPr>
        <w:t xml:space="preserve">policy </w:t>
      </w:r>
      <w:r w:rsidR="00EA0386" w:rsidRPr="009B3747">
        <w:rPr>
          <w:rFonts w:eastAsia="Times New Roman" w:cstheme="minorHAnsi"/>
          <w:lang w:eastAsia="en-GB"/>
        </w:rPr>
        <w:t xml:space="preserve">makers </w:t>
      </w:r>
      <w:r w:rsidR="007A1555" w:rsidRPr="009B3747">
        <w:rPr>
          <w:rFonts w:eastAsia="Times New Roman" w:cstheme="minorHAnsi"/>
          <w:lang w:eastAsia="en-GB"/>
        </w:rPr>
        <w:t xml:space="preserve">and professionals </w:t>
      </w:r>
      <w:r w:rsidR="00EA0386" w:rsidRPr="009B3747">
        <w:rPr>
          <w:rFonts w:eastAsia="Times New Roman" w:cstheme="minorHAnsi"/>
          <w:color w:val="000000"/>
          <w:lang w:eastAsia="en-GB"/>
        </w:rPr>
        <w:t>who are currently engaged in the obesity prevention agenda with school settings.      </w:t>
      </w:r>
    </w:p>
    <w:p w:rsidR="00A54CEF" w:rsidRPr="009B3747" w:rsidRDefault="00A54CEF" w:rsidP="00A54CEF">
      <w:pPr>
        <w:rPr>
          <w:rFonts w:eastAsia="Times New Roman" w:cstheme="minorHAnsi"/>
          <w:sz w:val="24"/>
          <w:szCs w:val="24"/>
          <w:lang w:eastAsia="en-GB"/>
        </w:rPr>
      </w:pPr>
      <w:r w:rsidRPr="009B3747">
        <w:rPr>
          <w:rFonts w:eastAsia="Times New Roman" w:cstheme="minorHAnsi"/>
          <w:color w:val="000000"/>
          <w:lang w:eastAsia="en-GB"/>
        </w:rPr>
        <w:t xml:space="preserve">  </w:t>
      </w:r>
    </w:p>
    <w:p w:rsidR="00A2591A" w:rsidRPr="009B3747" w:rsidRDefault="00A54CEF" w:rsidP="00A2591A">
      <w:pPr>
        <w:rPr>
          <w:rFonts w:eastAsia="Times New Roman" w:cstheme="minorHAnsi"/>
          <w:b/>
          <w:bCs/>
          <w:color w:val="000000"/>
          <w:sz w:val="24"/>
          <w:szCs w:val="24"/>
          <w:u w:val="single"/>
          <w:lang w:eastAsia="en-GB"/>
        </w:rPr>
      </w:pPr>
      <w:r w:rsidRPr="009B3747">
        <w:rPr>
          <w:rFonts w:eastAsia="Times New Roman" w:cstheme="minorHAnsi"/>
          <w:b/>
          <w:bCs/>
          <w:color w:val="000000"/>
          <w:sz w:val="24"/>
          <w:szCs w:val="24"/>
          <w:u w:val="single"/>
          <w:lang w:eastAsia="en-GB"/>
        </w:rPr>
        <w:t>1</w:t>
      </w:r>
      <w:r w:rsidR="0034616E" w:rsidRPr="009B3747">
        <w:rPr>
          <w:rFonts w:eastAsia="Times New Roman" w:cstheme="minorHAnsi"/>
          <w:b/>
          <w:bCs/>
          <w:color w:val="000000"/>
          <w:sz w:val="24"/>
          <w:szCs w:val="24"/>
          <w:u w:val="single"/>
          <w:lang w:eastAsia="en-GB"/>
        </w:rPr>
        <w:t xml:space="preserve">0.3 </w:t>
      </w:r>
      <w:r w:rsidR="007A1555" w:rsidRPr="009B3747">
        <w:rPr>
          <w:rFonts w:eastAsia="Times New Roman" w:cstheme="minorHAnsi"/>
          <w:b/>
          <w:bCs/>
          <w:color w:val="000000"/>
          <w:sz w:val="24"/>
          <w:szCs w:val="24"/>
          <w:u w:val="single"/>
          <w:lang w:eastAsia="en-GB"/>
        </w:rPr>
        <w:t>R</w:t>
      </w:r>
      <w:r w:rsidR="00A2591A" w:rsidRPr="009B3747">
        <w:rPr>
          <w:rFonts w:eastAsia="Times New Roman" w:cstheme="minorHAnsi"/>
          <w:b/>
          <w:bCs/>
          <w:color w:val="000000"/>
          <w:sz w:val="24"/>
          <w:szCs w:val="24"/>
          <w:u w:val="single"/>
          <w:lang w:eastAsia="en-GB"/>
        </w:rPr>
        <w:t>ecommendations for public health policy and practice</w:t>
      </w:r>
    </w:p>
    <w:p w:rsidR="00AE292F" w:rsidRPr="009B3747" w:rsidRDefault="00AE292F" w:rsidP="00A2591A">
      <w:pPr>
        <w:rPr>
          <w:rFonts w:eastAsia="Times New Roman" w:cstheme="minorHAnsi"/>
          <w:b/>
          <w:bCs/>
          <w:color w:val="000000"/>
          <w:u w:val="single"/>
          <w:lang w:eastAsia="en-GB"/>
        </w:rPr>
      </w:pPr>
    </w:p>
    <w:p w:rsidR="009608D3" w:rsidRPr="009B3747" w:rsidRDefault="00AC0C28" w:rsidP="00A2591A">
      <w:pPr>
        <w:rPr>
          <w:rFonts w:eastAsia="Times New Roman" w:cstheme="minorHAnsi"/>
          <w:bCs/>
          <w:color w:val="000000"/>
          <w:lang w:eastAsia="en-GB"/>
        </w:rPr>
      </w:pPr>
      <w:r w:rsidRPr="009B3747">
        <w:rPr>
          <w:rFonts w:eastAsia="Times New Roman" w:cstheme="minorHAnsi"/>
          <w:bCs/>
          <w:color w:val="000000"/>
          <w:lang w:eastAsia="en-GB"/>
        </w:rPr>
        <w:t xml:space="preserve">Of significance for public health policy makers and professionals is the acknowledgement by the key decision makers in secondary schools that whilst not an explicit priority, their setting is important for the prevention of adolescent obesity and therefore should play a role in delivering preventative action.  Given the </w:t>
      </w:r>
      <w:r w:rsidR="009E5696" w:rsidRPr="009B3747">
        <w:rPr>
          <w:rFonts w:eastAsia="Times New Roman" w:cstheme="minorHAnsi"/>
          <w:bCs/>
          <w:color w:val="000000"/>
          <w:lang w:eastAsia="en-GB"/>
        </w:rPr>
        <w:t xml:space="preserve">specific </w:t>
      </w:r>
      <w:r w:rsidRPr="009B3747">
        <w:rPr>
          <w:rFonts w:eastAsia="Times New Roman" w:cstheme="minorHAnsi"/>
          <w:bCs/>
          <w:color w:val="000000"/>
          <w:lang w:eastAsia="en-GB"/>
        </w:rPr>
        <w:t>focus of schools in the national childhood obesity plan (HM Government, 2016), this finding indicates that opportunities may exist for public health professionals to foster meaningful engagement with those tasked with leadi</w:t>
      </w:r>
      <w:r w:rsidR="009608D3" w:rsidRPr="009B3747">
        <w:rPr>
          <w:rFonts w:eastAsia="Times New Roman" w:cstheme="minorHAnsi"/>
          <w:bCs/>
          <w:color w:val="000000"/>
          <w:lang w:eastAsia="en-GB"/>
        </w:rPr>
        <w:t xml:space="preserve">ng on school based prevention.  Furthermore, the recognition by headteachers and chairs of governors that a reciprocal relationship exists </w:t>
      </w:r>
      <w:r w:rsidR="009608D3" w:rsidRPr="009B3747">
        <w:rPr>
          <w:rFonts w:eastAsia="Times New Roman" w:cstheme="minorHAnsi"/>
          <w:bCs/>
          <w:color w:val="000000"/>
          <w:lang w:eastAsia="en-GB"/>
        </w:rPr>
        <w:lastRenderedPageBreak/>
        <w:t>between adolescent lifestyle behaviours and academic outcomes provides an important leverage point</w:t>
      </w:r>
      <w:r w:rsidR="004777DD" w:rsidRPr="009B3747">
        <w:rPr>
          <w:rFonts w:eastAsia="Times New Roman" w:cstheme="minorHAnsi"/>
          <w:bCs/>
          <w:color w:val="000000"/>
          <w:lang w:eastAsia="en-GB"/>
        </w:rPr>
        <w:t xml:space="preserve"> with secondary schools</w:t>
      </w:r>
      <w:r w:rsidR="009608D3" w:rsidRPr="009B3747">
        <w:rPr>
          <w:rFonts w:eastAsia="Times New Roman" w:cstheme="minorHAnsi"/>
          <w:bCs/>
          <w:color w:val="000000"/>
          <w:lang w:eastAsia="en-GB"/>
        </w:rPr>
        <w:t>, for promotin</w:t>
      </w:r>
      <w:r w:rsidR="004777DD" w:rsidRPr="009B3747">
        <w:rPr>
          <w:rFonts w:eastAsia="Times New Roman" w:cstheme="minorHAnsi"/>
          <w:bCs/>
          <w:color w:val="000000"/>
          <w:lang w:eastAsia="en-GB"/>
        </w:rPr>
        <w:t xml:space="preserve">g the value </w:t>
      </w:r>
      <w:r w:rsidR="009E5696" w:rsidRPr="009B3747">
        <w:rPr>
          <w:rFonts w:eastAsia="Times New Roman" w:cstheme="minorHAnsi"/>
          <w:bCs/>
          <w:color w:val="000000"/>
          <w:lang w:eastAsia="en-GB"/>
        </w:rPr>
        <w:t xml:space="preserve">of </w:t>
      </w:r>
      <w:r w:rsidR="009608D3" w:rsidRPr="009B3747">
        <w:rPr>
          <w:rFonts w:eastAsia="Times New Roman" w:cstheme="minorHAnsi"/>
          <w:bCs/>
          <w:color w:val="000000"/>
          <w:lang w:eastAsia="en-GB"/>
        </w:rPr>
        <w:t xml:space="preserve">embedding preventative action.  </w:t>
      </w:r>
    </w:p>
    <w:p w:rsidR="009608D3" w:rsidRPr="009B3747" w:rsidRDefault="009608D3" w:rsidP="00A2591A">
      <w:pPr>
        <w:rPr>
          <w:rFonts w:eastAsia="Times New Roman" w:cstheme="minorHAnsi"/>
          <w:bCs/>
          <w:color w:val="000000"/>
          <w:lang w:eastAsia="en-GB"/>
        </w:rPr>
      </w:pPr>
    </w:p>
    <w:p w:rsidR="00CC32F0" w:rsidRPr="009B3747" w:rsidRDefault="00AC0C28" w:rsidP="00CC32F0">
      <w:pPr>
        <w:rPr>
          <w:rFonts w:eastAsia="Times New Roman" w:cstheme="minorHAnsi"/>
          <w:color w:val="000000"/>
          <w:lang w:eastAsia="en-GB"/>
        </w:rPr>
      </w:pPr>
      <w:r w:rsidRPr="009B3747">
        <w:rPr>
          <w:rFonts w:eastAsia="Times New Roman" w:cstheme="minorHAnsi"/>
          <w:bCs/>
          <w:color w:val="000000"/>
          <w:lang w:eastAsia="en-GB"/>
        </w:rPr>
        <w:t>However, a critical recommendation resulting from this research is the need for public health policy makers and professionals</w:t>
      </w:r>
      <w:r w:rsidR="008C1779">
        <w:rPr>
          <w:rFonts w:eastAsia="Times New Roman" w:cstheme="minorHAnsi"/>
          <w:bCs/>
          <w:color w:val="000000"/>
          <w:lang w:eastAsia="en-GB"/>
        </w:rPr>
        <w:t>,</w:t>
      </w:r>
      <w:r w:rsidRPr="009B3747">
        <w:rPr>
          <w:rFonts w:eastAsia="Times New Roman" w:cstheme="minorHAnsi"/>
          <w:bCs/>
          <w:color w:val="000000"/>
          <w:lang w:eastAsia="en-GB"/>
        </w:rPr>
        <w:t xml:space="preserve"> to understand the </w:t>
      </w:r>
      <w:r w:rsidR="00DE3942" w:rsidRPr="009B3747">
        <w:rPr>
          <w:rFonts w:eastAsia="Times New Roman" w:cstheme="minorHAnsi"/>
          <w:color w:val="000000"/>
          <w:lang w:eastAsia="en-GB"/>
        </w:rPr>
        <w:t xml:space="preserve">significant barriers </w:t>
      </w:r>
      <w:r w:rsidRPr="009B3747">
        <w:rPr>
          <w:rFonts w:eastAsia="Times New Roman" w:cstheme="minorHAnsi"/>
          <w:color w:val="000000"/>
          <w:lang w:eastAsia="en-GB"/>
        </w:rPr>
        <w:t xml:space="preserve">impacting headteachers’ and chairs of governors’ ability and </w:t>
      </w:r>
      <w:r w:rsidR="00DE3942" w:rsidRPr="009B3747">
        <w:rPr>
          <w:rFonts w:eastAsia="Times New Roman" w:cstheme="minorHAnsi"/>
          <w:color w:val="000000"/>
          <w:lang w:eastAsia="en-GB"/>
        </w:rPr>
        <w:t>desi</w:t>
      </w:r>
      <w:r w:rsidR="009608D3" w:rsidRPr="009B3747">
        <w:rPr>
          <w:rFonts w:eastAsia="Times New Roman" w:cstheme="minorHAnsi"/>
          <w:color w:val="000000"/>
          <w:lang w:eastAsia="en-GB"/>
        </w:rPr>
        <w:t>re to engage in the obesity prevention</w:t>
      </w:r>
      <w:r w:rsidR="00DE3942" w:rsidRPr="009B3747">
        <w:rPr>
          <w:rFonts w:eastAsia="Times New Roman" w:cstheme="minorHAnsi"/>
          <w:color w:val="000000"/>
          <w:lang w:eastAsia="en-GB"/>
        </w:rPr>
        <w:t xml:space="preserve"> agenda.</w:t>
      </w:r>
      <w:r w:rsidR="00DA156A" w:rsidRPr="009B3747">
        <w:rPr>
          <w:rFonts w:eastAsia="Times New Roman" w:cstheme="minorHAnsi"/>
          <w:color w:val="000000"/>
          <w:lang w:eastAsia="en-GB"/>
        </w:rPr>
        <w:t xml:space="preserve">  Despite arguably being well</w:t>
      </w:r>
      <w:r w:rsidR="000B560C" w:rsidRPr="009B3747">
        <w:rPr>
          <w:rFonts w:eastAsia="Times New Roman" w:cstheme="minorHAnsi"/>
          <w:color w:val="000000"/>
          <w:lang w:eastAsia="en-GB"/>
        </w:rPr>
        <w:t xml:space="preserve"> positioned to improve adolescent lifestyle behaviours and prevent obesity, it is perhaps misguided to expect they have the necessary awareness, skills, capacity and resources to do so.  Consequently</w:t>
      </w:r>
      <w:r w:rsidR="00CC32F0" w:rsidRPr="009B3747">
        <w:rPr>
          <w:rFonts w:eastAsia="Times New Roman" w:cstheme="minorHAnsi"/>
          <w:color w:val="000000"/>
          <w:lang w:eastAsia="en-GB"/>
        </w:rPr>
        <w:t xml:space="preserve">, </w:t>
      </w:r>
      <w:r w:rsidR="000B560C" w:rsidRPr="009B3747">
        <w:rPr>
          <w:rFonts w:eastAsia="Times New Roman" w:cstheme="minorHAnsi"/>
          <w:color w:val="000000"/>
          <w:lang w:eastAsia="en-GB"/>
        </w:rPr>
        <w:t xml:space="preserve">this research </w:t>
      </w:r>
      <w:r w:rsidR="009D4A4F" w:rsidRPr="009B3747">
        <w:rPr>
          <w:rFonts w:eastAsia="Times New Roman" w:cstheme="minorHAnsi"/>
          <w:color w:val="000000"/>
          <w:lang w:eastAsia="en-GB"/>
        </w:rPr>
        <w:t>recommends</w:t>
      </w:r>
      <w:r w:rsidR="000B560C" w:rsidRPr="009B3747">
        <w:rPr>
          <w:rFonts w:eastAsia="Times New Roman" w:cstheme="minorHAnsi"/>
          <w:color w:val="000000"/>
          <w:lang w:eastAsia="en-GB"/>
        </w:rPr>
        <w:t xml:space="preserve"> </w:t>
      </w:r>
      <w:r w:rsidR="00CC32F0" w:rsidRPr="009B3747">
        <w:rPr>
          <w:rFonts w:eastAsia="Times New Roman" w:cstheme="minorHAnsi"/>
          <w:color w:val="000000"/>
          <w:lang w:eastAsia="en-GB"/>
        </w:rPr>
        <w:t xml:space="preserve">that when developing policy actions for school based obesity prevention, public health policy makers proactively engage with the key decision makers of secondary schools.  </w:t>
      </w:r>
      <w:r w:rsidR="009D4A4F" w:rsidRPr="009B3747">
        <w:rPr>
          <w:rFonts w:eastAsia="Times New Roman" w:cstheme="minorHAnsi"/>
          <w:color w:val="000000"/>
          <w:lang w:eastAsia="en-GB"/>
        </w:rPr>
        <w:t>I</w:t>
      </w:r>
      <w:r w:rsidR="00CC32F0" w:rsidRPr="009B3747">
        <w:rPr>
          <w:rFonts w:eastAsia="Times New Roman" w:cstheme="minorHAnsi"/>
          <w:color w:val="000000"/>
          <w:lang w:eastAsia="en-GB"/>
        </w:rPr>
        <w:t xml:space="preserve">nstead of being simply vehicles for interventions, secondary schools and their respective leaders and governors </w:t>
      </w:r>
      <w:r w:rsidR="009D4A4F" w:rsidRPr="009B3747">
        <w:rPr>
          <w:rFonts w:eastAsia="Times New Roman" w:cstheme="minorHAnsi"/>
          <w:color w:val="000000"/>
          <w:lang w:eastAsia="en-GB"/>
        </w:rPr>
        <w:t xml:space="preserve">should </w:t>
      </w:r>
      <w:r w:rsidR="00CC32F0" w:rsidRPr="009B3747">
        <w:rPr>
          <w:rFonts w:eastAsia="Times New Roman" w:cstheme="minorHAnsi"/>
          <w:color w:val="000000"/>
          <w:lang w:eastAsia="en-GB"/>
        </w:rPr>
        <w:t xml:space="preserve">become active partners involved in the front end of public health policy making.  </w:t>
      </w:r>
      <w:r w:rsidR="009D4A4F" w:rsidRPr="009B3747">
        <w:rPr>
          <w:rFonts w:eastAsia="Times New Roman" w:cstheme="minorHAnsi"/>
          <w:color w:val="000000"/>
          <w:lang w:eastAsia="en-GB"/>
        </w:rPr>
        <w:t>By doing this and understanding the unique challenges and opportunities that exist within secondary school settings, the effectiveness and sustainability of future preventative action could be maximised.</w:t>
      </w:r>
    </w:p>
    <w:p w:rsidR="00F12C99" w:rsidRPr="009B3747" w:rsidRDefault="00F12C99" w:rsidP="009D4A4F">
      <w:pPr>
        <w:rPr>
          <w:rFonts w:eastAsia="Times New Roman" w:cstheme="minorHAnsi"/>
          <w:color w:val="000000"/>
          <w:lang w:eastAsia="en-GB"/>
        </w:rPr>
      </w:pPr>
    </w:p>
    <w:p w:rsidR="009D4A4F" w:rsidRPr="009B3747" w:rsidRDefault="007626CA" w:rsidP="009D4A4F">
      <w:pPr>
        <w:rPr>
          <w:rFonts w:eastAsia="Times New Roman" w:cstheme="minorHAnsi"/>
          <w:color w:val="000000"/>
          <w:lang w:eastAsia="en-GB"/>
        </w:rPr>
      </w:pPr>
      <w:r w:rsidRPr="009B3747">
        <w:rPr>
          <w:rFonts w:eastAsia="Times New Roman" w:cstheme="minorHAnsi"/>
          <w:color w:val="000000"/>
          <w:lang w:eastAsia="en-GB"/>
        </w:rPr>
        <w:t>One</w:t>
      </w:r>
      <w:r w:rsidR="009D4A4F" w:rsidRPr="009B3747">
        <w:rPr>
          <w:rFonts w:eastAsia="Times New Roman" w:cstheme="minorHAnsi"/>
          <w:color w:val="000000"/>
          <w:lang w:eastAsia="en-GB"/>
        </w:rPr>
        <w:t xml:space="preserve"> recommendation </w:t>
      </w:r>
      <w:r w:rsidRPr="009B3747">
        <w:rPr>
          <w:rFonts w:eastAsia="Times New Roman" w:cstheme="minorHAnsi"/>
          <w:color w:val="000000"/>
          <w:lang w:eastAsia="en-GB"/>
        </w:rPr>
        <w:t>for</w:t>
      </w:r>
      <w:r w:rsidR="009D4A4F" w:rsidRPr="009B3747">
        <w:rPr>
          <w:rFonts w:eastAsia="Times New Roman" w:cstheme="minorHAnsi"/>
          <w:color w:val="000000"/>
          <w:lang w:eastAsia="en-GB"/>
        </w:rPr>
        <w:t xml:space="preserve"> </w:t>
      </w:r>
      <w:r w:rsidR="008000FD" w:rsidRPr="009B3747">
        <w:rPr>
          <w:rFonts w:eastAsia="Times New Roman" w:cstheme="minorHAnsi"/>
          <w:color w:val="000000"/>
          <w:lang w:eastAsia="en-GB"/>
        </w:rPr>
        <w:t xml:space="preserve">potentially </w:t>
      </w:r>
      <w:r w:rsidR="009D4A4F" w:rsidRPr="009B3747">
        <w:rPr>
          <w:rFonts w:eastAsia="Times New Roman" w:cstheme="minorHAnsi"/>
          <w:color w:val="000000"/>
          <w:lang w:eastAsia="en-GB"/>
        </w:rPr>
        <w:t xml:space="preserve">fostering greater engagement </w:t>
      </w:r>
      <w:r w:rsidRPr="009B3747">
        <w:rPr>
          <w:rFonts w:eastAsia="Times New Roman" w:cstheme="minorHAnsi"/>
          <w:color w:val="000000"/>
          <w:lang w:eastAsia="en-GB"/>
        </w:rPr>
        <w:t>with secondar</w:t>
      </w:r>
      <w:r w:rsidR="008C1779">
        <w:rPr>
          <w:rFonts w:eastAsia="Times New Roman" w:cstheme="minorHAnsi"/>
          <w:color w:val="000000"/>
          <w:lang w:eastAsia="en-GB"/>
        </w:rPr>
        <w:t xml:space="preserve">y schools on obesity prevention, </w:t>
      </w:r>
      <w:r w:rsidR="009D4A4F" w:rsidRPr="009B3747">
        <w:rPr>
          <w:rFonts w:eastAsia="Times New Roman" w:cstheme="minorHAnsi"/>
          <w:color w:val="000000"/>
          <w:lang w:eastAsia="en-GB"/>
        </w:rPr>
        <w:t xml:space="preserve">centres on reducing the </w:t>
      </w:r>
      <w:r w:rsidRPr="009B3747">
        <w:rPr>
          <w:rFonts w:eastAsia="Times New Roman" w:cstheme="minorHAnsi"/>
          <w:color w:val="000000"/>
          <w:lang w:eastAsia="en-GB"/>
        </w:rPr>
        <w:t xml:space="preserve">identified disparity between the </w:t>
      </w:r>
      <w:r w:rsidR="009D4A4F" w:rsidRPr="009B3747">
        <w:rPr>
          <w:rFonts w:eastAsia="Times New Roman" w:cstheme="minorHAnsi"/>
          <w:color w:val="000000"/>
          <w:lang w:eastAsia="en-GB"/>
        </w:rPr>
        <w:t>perception and re</w:t>
      </w:r>
      <w:r w:rsidR="00833D68" w:rsidRPr="009B3747">
        <w:rPr>
          <w:rFonts w:eastAsia="Times New Roman" w:cstheme="minorHAnsi"/>
          <w:color w:val="000000"/>
          <w:lang w:eastAsia="en-GB"/>
        </w:rPr>
        <w:t>ality of the problem</w:t>
      </w:r>
      <w:r w:rsidR="009D4A4F" w:rsidRPr="009B3747">
        <w:rPr>
          <w:rFonts w:eastAsia="Times New Roman" w:cstheme="minorHAnsi"/>
          <w:color w:val="000000"/>
          <w:lang w:eastAsia="en-GB"/>
        </w:rPr>
        <w:t>.</w:t>
      </w:r>
      <w:r w:rsidR="00833D68" w:rsidRPr="009B3747">
        <w:rPr>
          <w:rFonts w:eastAsia="Times New Roman" w:cstheme="minorHAnsi"/>
          <w:color w:val="000000"/>
          <w:lang w:eastAsia="en-GB"/>
        </w:rPr>
        <w:t xml:space="preserve">  F</w:t>
      </w:r>
      <w:r w:rsidR="009D4A4F" w:rsidRPr="009B3747">
        <w:rPr>
          <w:rFonts w:eastAsia="Times New Roman" w:cstheme="minorHAnsi"/>
          <w:color w:val="000000"/>
          <w:lang w:eastAsia="en-GB"/>
        </w:rPr>
        <w:t xml:space="preserve">indings from this study indicated that despite national evidence to the contrary (NHS Digital, 2016b), headteachers and chairs </w:t>
      </w:r>
      <w:r w:rsidR="00BE756E" w:rsidRPr="009B3747">
        <w:rPr>
          <w:rFonts w:eastAsia="Times New Roman" w:cstheme="minorHAnsi"/>
          <w:color w:val="000000"/>
          <w:lang w:eastAsia="en-GB"/>
        </w:rPr>
        <w:t>of governors do not perceive adolescent obesity to be a s</w:t>
      </w:r>
      <w:r w:rsidR="009D4A4F" w:rsidRPr="009B3747">
        <w:rPr>
          <w:rFonts w:eastAsia="Times New Roman" w:cstheme="minorHAnsi"/>
          <w:color w:val="000000"/>
          <w:lang w:eastAsia="en-GB"/>
        </w:rPr>
        <w:t xml:space="preserve">ignificant problem </w:t>
      </w:r>
      <w:r w:rsidR="00BE756E" w:rsidRPr="009B3747">
        <w:rPr>
          <w:rFonts w:eastAsia="Times New Roman" w:cstheme="minorHAnsi"/>
          <w:color w:val="000000"/>
          <w:lang w:eastAsia="en-GB"/>
        </w:rPr>
        <w:t>within secondary schools</w:t>
      </w:r>
      <w:r w:rsidR="009D4A4F" w:rsidRPr="009B3747">
        <w:rPr>
          <w:rFonts w:eastAsia="Times New Roman" w:cstheme="minorHAnsi"/>
          <w:color w:val="000000"/>
          <w:lang w:eastAsia="en-GB"/>
        </w:rPr>
        <w:t>.</w:t>
      </w:r>
      <w:r w:rsidR="00EE79AF" w:rsidRPr="009B3747">
        <w:rPr>
          <w:rFonts w:eastAsia="Times New Roman" w:cstheme="minorHAnsi"/>
          <w:color w:val="000000"/>
          <w:lang w:eastAsia="en-GB"/>
        </w:rPr>
        <w:t xml:space="preserve">  </w:t>
      </w:r>
      <w:r w:rsidR="009D4A4F" w:rsidRPr="009B3747">
        <w:rPr>
          <w:rFonts w:eastAsia="Times New Roman" w:cstheme="minorHAnsi"/>
          <w:color w:val="000000"/>
          <w:lang w:eastAsia="en-GB"/>
        </w:rPr>
        <w:t>The potential implication of this finding and as supported by the current Head of Obesity Policy at The Department of Health, is</w:t>
      </w:r>
      <w:r w:rsidRPr="009B3747">
        <w:rPr>
          <w:rFonts w:eastAsia="Times New Roman" w:cstheme="minorHAnsi"/>
          <w:color w:val="000000"/>
          <w:lang w:eastAsia="en-GB"/>
        </w:rPr>
        <w:t xml:space="preserve"> that </w:t>
      </w:r>
      <w:r w:rsidR="009D4A4F" w:rsidRPr="009B3747">
        <w:rPr>
          <w:rFonts w:eastAsia="Times New Roman" w:cstheme="minorHAnsi"/>
          <w:color w:val="000000"/>
          <w:lang w:eastAsia="en-GB"/>
        </w:rPr>
        <w:t xml:space="preserve">the existence </w:t>
      </w:r>
      <w:r w:rsidR="00EE79AF" w:rsidRPr="009B3747">
        <w:rPr>
          <w:rFonts w:eastAsia="Times New Roman" w:cstheme="minorHAnsi"/>
          <w:color w:val="000000"/>
          <w:lang w:eastAsia="en-GB"/>
        </w:rPr>
        <w:t xml:space="preserve">and scale </w:t>
      </w:r>
      <w:r w:rsidR="009D4A4F" w:rsidRPr="009B3747">
        <w:rPr>
          <w:rFonts w:eastAsia="Times New Roman" w:cstheme="minorHAnsi"/>
          <w:color w:val="000000"/>
          <w:lang w:eastAsia="en-GB"/>
        </w:rPr>
        <w:t>of the problem needs to actually be recognised</w:t>
      </w:r>
      <w:r w:rsidRPr="009B3747">
        <w:rPr>
          <w:rFonts w:eastAsia="Times New Roman" w:cstheme="minorHAnsi"/>
          <w:color w:val="000000"/>
          <w:lang w:eastAsia="en-GB"/>
        </w:rPr>
        <w:t xml:space="preserve"> before it can be prioritised</w:t>
      </w:r>
      <w:r w:rsidR="009D4A4F" w:rsidRPr="009B3747">
        <w:rPr>
          <w:rFonts w:eastAsia="Times New Roman" w:cstheme="minorHAnsi"/>
          <w:color w:val="000000"/>
          <w:lang w:eastAsia="en-GB"/>
        </w:rPr>
        <w:t xml:space="preserve"> </w:t>
      </w:r>
      <w:r w:rsidR="009D4A4F" w:rsidRPr="009B3747">
        <w:rPr>
          <w:rFonts w:eastAsia="Times New Roman" w:cstheme="minorHAnsi"/>
          <w:color w:val="000000"/>
          <w:lang w:eastAsia="en-GB"/>
        </w:rPr>
        <w:fldChar w:fldCharType="begin" w:fldLock="1"/>
      </w:r>
      <w:r w:rsidR="00967099" w:rsidRPr="009B3747">
        <w:rPr>
          <w:rFonts w:eastAsia="Times New Roman" w:cstheme="minorHAnsi"/>
          <w:color w:val="000000"/>
          <w:lang w:eastAsia="en-GB"/>
        </w:rPr>
        <w:instrText>ADDIN CSL_CITATION { "citationItems" : [ { "id" : "ITEM-1", "itemData" : { "author" : [ { "dropping-particle" : "", "family" : "Sangster", "given" : "R", "non-dropping-particle" : "", "parse-names" : false, "suffix" : "" } ], "container-title" : "Tackling and Reducing Obesity in the UK", "id" : "ITEM-1", "issued" : { "date-parts" : [ [ "2016" ] ] }, "publisher" : "Inside Government", "title" : "Tackling Childhood Obesity", "type" : "paper-conference" }, "uris" : [ "http://www.mendeley.com/documents/?uuid=f09b1174-b759-434c-be0d-c12c08b2deeb" ] } ], "mendeley" : { "formattedCitation" : "(Sangster, 2016)", "plainTextFormattedCitation" : "(Sangster, 2016)", "previouslyFormattedCitation" : "(Sangster, 2016)" }, "properties" : { "noteIndex" : 0 }, "schema" : "https://github.com/citation-style-language/schema/raw/master/csl-citation.json" }</w:instrText>
      </w:r>
      <w:r w:rsidR="009D4A4F" w:rsidRPr="009B3747">
        <w:rPr>
          <w:rFonts w:eastAsia="Times New Roman" w:cstheme="minorHAnsi"/>
          <w:color w:val="000000"/>
          <w:lang w:eastAsia="en-GB"/>
        </w:rPr>
        <w:fldChar w:fldCharType="separate"/>
      </w:r>
      <w:r w:rsidR="009D4A4F" w:rsidRPr="009B3747">
        <w:rPr>
          <w:rFonts w:eastAsia="Times New Roman" w:cstheme="minorHAnsi"/>
          <w:noProof/>
          <w:color w:val="000000"/>
          <w:lang w:eastAsia="en-GB"/>
        </w:rPr>
        <w:t>(Sangster, 2016)</w:t>
      </w:r>
      <w:r w:rsidR="009D4A4F" w:rsidRPr="009B3747">
        <w:rPr>
          <w:rFonts w:eastAsia="Times New Roman" w:cstheme="minorHAnsi"/>
          <w:color w:val="000000"/>
          <w:lang w:eastAsia="en-GB"/>
        </w:rPr>
        <w:fldChar w:fldCharType="end"/>
      </w:r>
      <w:r w:rsidR="009D4A4F" w:rsidRPr="009B3747">
        <w:rPr>
          <w:rFonts w:eastAsia="Times New Roman" w:cstheme="minorHAnsi"/>
          <w:color w:val="000000"/>
          <w:lang w:eastAsia="en-GB"/>
        </w:rPr>
        <w:t>.  Therefore,</w:t>
      </w:r>
      <w:r w:rsidR="00926020" w:rsidRPr="009B3747">
        <w:rPr>
          <w:rFonts w:eastAsia="Times New Roman" w:cstheme="minorHAnsi"/>
          <w:color w:val="000000"/>
          <w:lang w:eastAsia="en-GB"/>
        </w:rPr>
        <w:t xml:space="preserve"> it is important to </w:t>
      </w:r>
      <w:r w:rsidR="00EE79AF" w:rsidRPr="009B3747">
        <w:rPr>
          <w:rFonts w:eastAsia="Times New Roman" w:cstheme="minorHAnsi"/>
          <w:color w:val="000000"/>
          <w:lang w:eastAsia="en-GB"/>
        </w:rPr>
        <w:t>increase headteachers’ and chairs of governors’</w:t>
      </w:r>
      <w:r w:rsidR="00926020" w:rsidRPr="009B3747">
        <w:rPr>
          <w:rFonts w:eastAsia="Times New Roman" w:cstheme="minorHAnsi"/>
          <w:color w:val="000000"/>
          <w:lang w:eastAsia="en-GB"/>
        </w:rPr>
        <w:t xml:space="preserve"> </w:t>
      </w:r>
      <w:r w:rsidR="009D4A4F" w:rsidRPr="009B3747">
        <w:rPr>
          <w:rFonts w:eastAsia="Times New Roman" w:cstheme="minorHAnsi"/>
          <w:color w:val="000000"/>
          <w:lang w:eastAsia="en-GB"/>
        </w:rPr>
        <w:t>awareness of adolescent obesity prevalence and its associated risks to both health and educational outcomes.</w:t>
      </w:r>
      <w:r w:rsidR="000E58B2" w:rsidRPr="009B3747">
        <w:rPr>
          <w:rFonts w:eastAsia="Times New Roman" w:cstheme="minorHAnsi"/>
          <w:color w:val="000000"/>
          <w:lang w:eastAsia="en-GB"/>
        </w:rPr>
        <w:t xml:space="preserve">  A possible </w:t>
      </w:r>
      <w:r w:rsidR="009D4A4F" w:rsidRPr="009B3747">
        <w:rPr>
          <w:rFonts w:eastAsia="Times New Roman" w:cstheme="minorHAnsi"/>
          <w:color w:val="000000"/>
          <w:lang w:eastAsia="en-GB"/>
        </w:rPr>
        <w:t>mechanism to achieve this, could be through the dissemination of local or regional results of the National Child Measurement Programme to individual schools (NHS Digital, 2016b).</w:t>
      </w:r>
      <w:r w:rsidR="00EE79AF" w:rsidRPr="009B3747">
        <w:rPr>
          <w:rFonts w:eastAsia="Times New Roman" w:cstheme="minorHAnsi"/>
          <w:color w:val="000000"/>
          <w:lang w:eastAsia="en-GB"/>
        </w:rPr>
        <w:t xml:space="preserve">  </w:t>
      </w:r>
    </w:p>
    <w:p w:rsidR="005D53C4" w:rsidRPr="009B3747" w:rsidRDefault="005D53C4" w:rsidP="009D4A4F">
      <w:pPr>
        <w:rPr>
          <w:rFonts w:eastAsia="Times New Roman" w:cstheme="minorHAnsi"/>
          <w:color w:val="000000"/>
          <w:lang w:eastAsia="en-GB"/>
        </w:rPr>
      </w:pPr>
    </w:p>
    <w:p w:rsidR="00466E1F" w:rsidRPr="009B3747" w:rsidRDefault="00847398" w:rsidP="005D53C4">
      <w:pPr>
        <w:rPr>
          <w:rFonts w:eastAsia="Times New Roman" w:cstheme="minorHAnsi"/>
          <w:color w:val="000000"/>
          <w:lang w:eastAsia="en-GB"/>
        </w:rPr>
      </w:pPr>
      <w:r w:rsidRPr="009B3747">
        <w:rPr>
          <w:rFonts w:eastAsia="Times New Roman" w:cstheme="minorHAnsi"/>
          <w:color w:val="000000"/>
          <w:lang w:eastAsia="en-GB"/>
        </w:rPr>
        <w:t>Whilst action was identifi</w:t>
      </w:r>
      <w:r w:rsidR="008C1779">
        <w:rPr>
          <w:rFonts w:eastAsia="Times New Roman" w:cstheme="minorHAnsi"/>
          <w:color w:val="000000"/>
          <w:lang w:eastAsia="en-GB"/>
        </w:rPr>
        <w:t xml:space="preserve">ed within secondary schools </w:t>
      </w:r>
      <w:r w:rsidR="00281979">
        <w:rPr>
          <w:rFonts w:eastAsia="Times New Roman" w:cstheme="minorHAnsi"/>
          <w:color w:val="000000"/>
          <w:lang w:eastAsia="en-GB"/>
        </w:rPr>
        <w:t>contributing</w:t>
      </w:r>
      <w:r w:rsidRPr="009B3747">
        <w:rPr>
          <w:rFonts w:eastAsia="Times New Roman" w:cstheme="minorHAnsi"/>
          <w:color w:val="000000"/>
          <w:lang w:eastAsia="en-GB"/>
        </w:rPr>
        <w:t xml:space="preserve"> to the prevention of adolescent obesity, this could be strengthened in accordance with the WHO Health Promoting Schools framework </w:t>
      </w:r>
      <w:r w:rsidR="005D53C4" w:rsidRPr="009B3747">
        <w:rPr>
          <w:rFonts w:eastAsia="Times New Roman" w:cstheme="minorHAnsi"/>
          <w:color w:val="000000"/>
          <w:lang w:eastAsia="en-GB"/>
        </w:rPr>
        <w:fldChar w:fldCharType="begin" w:fldLock="1"/>
      </w:r>
      <w:r w:rsidR="00610996" w:rsidRPr="009B3747">
        <w:rPr>
          <w:rFonts w:eastAsia="Times New Roman" w:cstheme="minorHAnsi"/>
          <w:color w:val="000000"/>
          <w:lang w:eastAsia="en-GB"/>
        </w:rPr>
        <w:instrText>ADDIN CSL_CITATION { "citationItems" : [ { "id" : "ITEM-1", "itemData" : { "author" : [ { "dropping-particle" : "", "family" : "Langford", "given" : "R", "non-dropping-particle" : "", "parse-names" : false, "suffix" : "" }, { "dropping-particle" : "", "family" : "Bonell", "given" : "CP", "non-dropping-particle" : "", "parse-names" : false, "suffix" : "" } ], "container-title" : "The Cochrane Database of Systematic Reviews", "id" : "ITEM-1", "issue" : "4", "issued" : { "date-parts" : [ [ "2014" ] ] }, "title" : "The WHO Health Promoting School framework for improving the health and well\u2010being of students and their academic achievement", "type" : "article-journal" }, "uris" : [ "http://www.mendeley.com/documents/?uuid=10eb6afc-158f-4e48-aaad-32b53ce93e25" ] }, { "id" : "ITEM-2", "itemData" : { "author" : [ { "dropping-particle" : "", "family" : "Langford", "given" : "R", "non-dropping-particle" : "", "parse-names" : false, "suffix" : "" }, { "dropping-particle" : "", "family" : "Bonell", "given" : "C", "non-dropping-particle" : "", "parse-names" : false, "suffix" : "" } ], "container-title" : "International Journal of Behavioral Nutrition and Physical Activity", "id" : "ITEM-2", "issue" : "15", "issued" : { "date-parts" : [ [ "2015" ] ] }, "title" : "Obesity prevention and the Health promoting Schools framework: essential components and barriers to success", "type" : "article-journal", "volume" : "12" }, "uris" : [ "http://www.mendeley.com/documents/?uuid=33a18f66-3855-47de-96c1-ab2efb0e4b0c" ] }, { "id" : "ITEM-3", "itemData" : { "DOI" : "10.1177/1090198116673800", "ISSN" : "1090-1981", "abstract" : "The World Health Organization\u2019s Health Promoting Schools (HPS) framework is a whole-school approach to promoting health that recognizes the intrinsic relationship between health and education. Our recent Cochrane systematic review found HPS interventions produced improvements in a number of student health outcomes. Here we reflect on what this review was not able to tell us: in other words, what evidence is missing with regard to the HPS approach. Few HPS interventions engage with schools\u2019 \u201ccore business\u201d by examining impacts on educational outcomes. Current evidence is dominated by obesity interventions, with most studies conducted with children rather than adolescents. Evidence is lacking for outcomes such as mental or sexual health, substance use, and violence. Activities to engage families and communities are currently weak and unlikely to prompt behavioral change. The HPS approach is largely absent in low-income settings, despite its potential in meeting children\u2019s basic health needs. Intervention th...", "author" : [ { "dropping-particle" : "", "family" : "Langford", "given" : "Rebecca", "non-dropping-particle" : "", "parse-names" : false, "suffix" : "" }, { "dropping-particle" : "", "family" : "Bonell", "given" : "Christopher", "non-dropping-particle" : "", "parse-names" : false, "suffix" : "" }, { "dropping-particle" : "", "family" : "Komro", "given" : "Kelli", "non-dropping-particle" : "", "parse-names" : false, "suffix" : "" }, { "dropping-particle" : "", "family" : "Murphy", "given" : "Simon", "non-dropping-particle" : "", "parse-names" : false, "suffix" : "" }, { "dropping-particle" : "", "family" : "Magnus", "given" : "Daniel", "non-dropping-particle" : "", "parse-names" : false, "suffix" : "" }, { "dropping-particle" : "", "family" : "Waters", "given" : "Elizabeth", "non-dropping-particle" : "", "parse-names" : false, "suffix" : "" }, { "dropping-particle" : "", "family" : "Gibbs", "given" : "Lisa", "non-dropping-particle" : "", "parse-names" : false, "suffix" : "" }, { "dropping-particle" : "", "family" : "Campbell", "given" : "Rona", "non-dropping-particle" : "", "parse-names" : false, "suffix" : "" } ], "container-title" : "Health Education &amp; Behavior", "id" : "ITEM-3", "issue" : "3", "issued" : { "date-parts" : [ [ "2017", "6", "14" ] ] }, "page" : "463-475", "publisher" : "SAGE PublicationsSage CA: Los Angeles, CA", "title" : "The Health Promoting Schools Framework: Known Unknowns and an Agenda for Future Research", "type" : "article-journal", "volume" : "44" }, "uris" : [ "http://www.mendeley.com/documents/?uuid=de774f89-a5aa-30ec-92b3-bfccef33e128" ] } ], "mendeley" : { "formattedCitation" : "(Langford and Bonell, 2014, 2015; Langford et al., 2017)", "plainTextFormattedCitation" : "(Langford and Bonell, 2014, 2015; Langford et al., 2017)", "previouslyFormattedCitation" : "(Langford and Bonell, 2014, 2015; Langford et al., 2017)" }, "properties" : { "noteIndex" : 0 }, "schema" : "https://github.com/citation-style-language/schema/raw/master/csl-citation.json" }</w:instrText>
      </w:r>
      <w:r w:rsidR="005D53C4" w:rsidRPr="009B3747">
        <w:rPr>
          <w:rFonts w:eastAsia="Times New Roman" w:cstheme="minorHAnsi"/>
          <w:color w:val="000000"/>
          <w:lang w:eastAsia="en-GB"/>
        </w:rPr>
        <w:fldChar w:fldCharType="separate"/>
      </w:r>
      <w:r w:rsidRPr="009B3747">
        <w:rPr>
          <w:rFonts w:eastAsia="Times New Roman" w:cstheme="minorHAnsi"/>
          <w:noProof/>
          <w:color w:val="000000"/>
          <w:lang w:eastAsia="en-GB"/>
        </w:rPr>
        <w:t>(Langford and Bonell, 2014, 2015; Langford et al., 2017)</w:t>
      </w:r>
      <w:r w:rsidR="005D53C4" w:rsidRPr="009B3747">
        <w:rPr>
          <w:rFonts w:eastAsia="Times New Roman" w:cstheme="minorHAnsi"/>
          <w:color w:val="000000"/>
          <w:lang w:eastAsia="en-GB"/>
        </w:rPr>
        <w:fldChar w:fldCharType="end"/>
      </w:r>
      <w:r w:rsidRPr="009B3747">
        <w:rPr>
          <w:rFonts w:eastAsia="Times New Roman" w:cstheme="minorHAnsi"/>
          <w:color w:val="000000"/>
          <w:lang w:eastAsia="en-GB"/>
        </w:rPr>
        <w:t>.</w:t>
      </w:r>
      <w:r w:rsidR="00466E1F" w:rsidRPr="009B3747">
        <w:rPr>
          <w:rFonts w:eastAsia="Times New Roman" w:cstheme="minorHAnsi"/>
          <w:color w:val="000000"/>
          <w:lang w:eastAsia="en-GB"/>
        </w:rPr>
        <w:t xml:space="preserve">  Current budgetary pressures and an increasing focus on academic performance in schools, means there is little capacity to prioritise the improvement of an adolescent’s wider health and social outcomes.  Consequently and </w:t>
      </w:r>
      <w:r w:rsidR="00466E1F" w:rsidRPr="009B3747">
        <w:rPr>
          <w:rFonts w:eastAsia="Times New Roman" w:cstheme="minorHAnsi"/>
          <w:color w:val="000000"/>
          <w:lang w:eastAsia="en-GB"/>
        </w:rPr>
        <w:lastRenderedPageBreak/>
        <w:t xml:space="preserve">as identified by headteachers and chairs of governors, </w:t>
      </w:r>
      <w:r w:rsidR="00610996" w:rsidRPr="009B3747">
        <w:rPr>
          <w:rFonts w:eastAsia="Times New Roman" w:cstheme="minorHAnsi"/>
          <w:color w:val="000000"/>
          <w:lang w:eastAsia="en-GB"/>
        </w:rPr>
        <w:t>addi</w:t>
      </w:r>
      <w:r w:rsidR="00466E1F" w:rsidRPr="009B3747">
        <w:rPr>
          <w:rFonts w:eastAsia="Times New Roman" w:cstheme="minorHAnsi"/>
          <w:color w:val="000000"/>
          <w:lang w:eastAsia="en-GB"/>
        </w:rPr>
        <w:t xml:space="preserve">tional governmental funding, </w:t>
      </w:r>
      <w:r w:rsidR="00610996" w:rsidRPr="009B3747">
        <w:rPr>
          <w:rFonts w:eastAsia="Times New Roman" w:cstheme="minorHAnsi"/>
          <w:color w:val="000000"/>
          <w:lang w:eastAsia="en-GB"/>
        </w:rPr>
        <w:t xml:space="preserve">resources </w:t>
      </w:r>
      <w:r w:rsidR="00466E1F" w:rsidRPr="009B3747">
        <w:rPr>
          <w:rFonts w:eastAsia="Times New Roman" w:cstheme="minorHAnsi"/>
          <w:color w:val="000000"/>
          <w:lang w:eastAsia="en-GB"/>
        </w:rPr>
        <w:t xml:space="preserve">and training </w:t>
      </w:r>
      <w:r w:rsidR="00610996" w:rsidRPr="009B3747">
        <w:rPr>
          <w:rFonts w:eastAsia="Times New Roman" w:cstheme="minorHAnsi"/>
          <w:color w:val="000000"/>
          <w:lang w:eastAsia="en-GB"/>
        </w:rPr>
        <w:t xml:space="preserve">for preventative action </w:t>
      </w:r>
      <w:r w:rsidR="00466E1F" w:rsidRPr="009B3747">
        <w:rPr>
          <w:rFonts w:eastAsia="Times New Roman" w:cstheme="minorHAnsi"/>
          <w:color w:val="000000"/>
          <w:lang w:eastAsia="en-GB"/>
        </w:rPr>
        <w:t>is required within secondary schools</w:t>
      </w:r>
      <w:r w:rsidR="00610996" w:rsidRPr="009B3747">
        <w:rPr>
          <w:rFonts w:eastAsia="Times New Roman" w:cstheme="minorHAnsi"/>
          <w:color w:val="000000"/>
          <w:lang w:eastAsia="en-GB"/>
        </w:rPr>
        <w:t>.</w:t>
      </w:r>
      <w:r w:rsidR="00466E1F" w:rsidRPr="009B3747">
        <w:rPr>
          <w:rFonts w:eastAsia="Times New Roman" w:cstheme="minorHAnsi"/>
          <w:color w:val="000000"/>
          <w:lang w:eastAsia="en-GB"/>
        </w:rPr>
        <w:t xml:space="preserve">  </w:t>
      </w:r>
    </w:p>
    <w:p w:rsidR="00466E1F" w:rsidRPr="009B3747" w:rsidRDefault="00466E1F" w:rsidP="005D53C4">
      <w:pPr>
        <w:rPr>
          <w:rFonts w:eastAsia="Times New Roman" w:cstheme="minorHAnsi"/>
          <w:color w:val="000000"/>
          <w:lang w:eastAsia="en-GB"/>
        </w:rPr>
      </w:pPr>
    </w:p>
    <w:p w:rsidR="00610996" w:rsidRPr="009B3747" w:rsidRDefault="00466E1F" w:rsidP="005D53C4">
      <w:pPr>
        <w:rPr>
          <w:rFonts w:eastAsia="Times New Roman" w:cstheme="minorHAnsi"/>
          <w:color w:val="000000"/>
          <w:lang w:eastAsia="en-GB"/>
        </w:rPr>
      </w:pPr>
      <w:r w:rsidRPr="009B3747">
        <w:rPr>
          <w:rFonts w:eastAsia="Times New Roman" w:cstheme="minorHAnsi"/>
          <w:color w:val="000000"/>
          <w:lang w:eastAsia="en-GB"/>
        </w:rPr>
        <w:t xml:space="preserve">To facilitate this, </w:t>
      </w:r>
      <w:r w:rsidR="00C91436" w:rsidRPr="009B3747">
        <w:rPr>
          <w:rFonts w:eastAsia="Times New Roman" w:cstheme="minorHAnsi"/>
          <w:color w:val="000000"/>
          <w:lang w:eastAsia="en-GB"/>
        </w:rPr>
        <w:t>an increased partnership approach</w:t>
      </w:r>
      <w:r w:rsidRPr="009B3747">
        <w:rPr>
          <w:rFonts w:eastAsia="Times New Roman" w:cstheme="minorHAnsi"/>
          <w:color w:val="000000"/>
          <w:lang w:eastAsia="en-GB"/>
        </w:rPr>
        <w:t xml:space="preserve"> be</w:t>
      </w:r>
      <w:r w:rsidR="00610996" w:rsidRPr="009B3747">
        <w:rPr>
          <w:rFonts w:eastAsia="Times New Roman" w:cstheme="minorHAnsi"/>
          <w:color w:val="000000"/>
          <w:lang w:eastAsia="en-GB"/>
        </w:rPr>
        <w:t>tween policy makers</w:t>
      </w:r>
      <w:r w:rsidR="006C4BD3" w:rsidRPr="009B3747">
        <w:rPr>
          <w:rFonts w:eastAsia="Times New Roman" w:cstheme="minorHAnsi"/>
          <w:color w:val="000000"/>
          <w:lang w:eastAsia="en-GB"/>
        </w:rPr>
        <w:t xml:space="preserve"> and professionals</w:t>
      </w:r>
      <w:r w:rsidR="00610996" w:rsidRPr="009B3747">
        <w:rPr>
          <w:rFonts w:eastAsia="Times New Roman" w:cstheme="minorHAnsi"/>
          <w:color w:val="000000"/>
          <w:lang w:eastAsia="en-GB"/>
        </w:rPr>
        <w:t xml:space="preserve"> in public health and education</w:t>
      </w:r>
      <w:r w:rsidR="008C1779">
        <w:rPr>
          <w:rFonts w:eastAsia="Times New Roman" w:cstheme="minorHAnsi"/>
          <w:color w:val="000000"/>
          <w:lang w:eastAsia="en-GB"/>
        </w:rPr>
        <w:t xml:space="preserve"> is required.  This will enable</w:t>
      </w:r>
      <w:r w:rsidR="00C91436" w:rsidRPr="009B3747">
        <w:rPr>
          <w:rFonts w:eastAsia="Times New Roman" w:cstheme="minorHAnsi"/>
          <w:color w:val="000000"/>
          <w:lang w:eastAsia="en-GB"/>
        </w:rPr>
        <w:t xml:space="preserve"> the reciprocal relationship between adolescent lifestyle behaviours and academic performance </w:t>
      </w:r>
      <w:r w:rsidR="00C91436" w:rsidRPr="009B3747">
        <w:rPr>
          <w:rFonts w:eastAsia="Times New Roman" w:cstheme="minorHAnsi"/>
          <w:color w:val="000000"/>
          <w:lang w:eastAsia="en-GB"/>
        </w:rPr>
        <w:fldChar w:fldCharType="begin" w:fldLock="1"/>
      </w:r>
      <w:r w:rsidR="0005387D" w:rsidRPr="009B3747">
        <w:rPr>
          <w:rFonts w:eastAsia="Times New Roman" w:cstheme="minorHAnsi"/>
          <w:color w:val="000000"/>
          <w:lang w:eastAsia="en-GB"/>
        </w:rPr>
        <w:instrText>ADDIN CSL_CITATION { "citationItems" : [ { "id" : "ITEM-1", "itemData" : { "author" : [ { "dropping-particle" : "", "family" : "Bonell", "given" : "C", "non-dropping-particle" : "", "parse-names" : false, "suffix" : "" }, { "dropping-particle" : "", "family" : "Humphrey", "given" : "N", "non-dropping-particle" : "", "parse-names" : false, "suffix" : "" }, { "dropping-particle" : "", "family" : "Fletcher", "given" : "A", "non-dropping-particle" : "", "parse-names" : false, "suffix" : "" } ], "container-title" : "BMJ", "id" : "ITEM-1", "issue" : "13", "issued" : { "date-parts" : [ [ "2014" ] ] }, "title" : "Why schools should promote students' health and wellbeing", "type" : "article-journal", "volume" : "348" }, "uris" : [ "http://www.mendeley.com/documents/?uuid=dca5dbfa-95df-4e15-aaf7-44d4a78d1056" ] }, { "id" : "ITEM-2", "itemData" : { "DOI" : "10.1097/MD.0000000000003096", "ISSN" : "1536-5964", "PMID" : "27015180", "abstract" : "Several studies suggest that dietary habits are associated with poor academic performance. However, few studies have evaluated these relations after adjusting for numerous confounding factors. This study evaluated the frequency of various diet items (fruit, soft drinks, fast foods, instant noodles, confections, vegetables, and milk) and the regularity of meal times (breakfast, lunch, and dinner) all at once.A total of 359,264 participants aged from 12 to 18 years old were pooled from the Korea Youth Risk Behavior Web-based Survey (KYRBWS) for the 2009 to 2013 period. Dietary habits over the last 7 days were surveyed, including the regularity of consuming breakfast, lunch and dinner and the frequency of eating fruits, soft drinks, fast foods, instant noodles, confections, vegetables, and milk. Physical activity, obesity, region of residence, subjective assessment of health, stress level, economic level, and parental education level were collected from all of the study participants. School performance was classified into 5 levels. The adjusted odds ratios (AORs) of dietary habits for school performance were analyzed using multinomial logistic regression analyses with complex sampling. Structural equation modeling was used to analyze the effects of diet factors on school performance while considering the effects of other variables on both diet factors and school performance.Frequent intakes of breakfast (AOR\u200a=\u200a2.34, 95% confidence interval [CI]\u200a=\u200a2.20-2.48), fruits (AOR\u200a=\u200a1.73, 95% CI\u200a=\u200a1.62-1.86), vegetables (AOR\u200a=\u200a1.48, 95% CI\u200a=\u200a1.37-1.61), and milk (AOR\u200a=\u200a1.35, 95% CI\u200a=\u200a1.28-1.43) were related to high levels of school performance (each with P\u200a&lt;\u200a0.001). In contrast, soft drinks (AOR\u200a=\u200a0.42, 95% CI\u200a=\u200a0.38-0.46), instant noodles (AOR\u200a=\u200a0.62, 95% CI\u200a=\u200a0.55-0.70), fast food (AOR\u200a=\u200a0.83, 95% CI\u200a=\u200a0.72-0.96), and confectionary (AOR\u200a=\u200a0.86, 95% CI\u200a=\u200a0.80-0.93) were negatively associated with school performance (each with P\u200a&lt;\u200a0.001).This study confirms previous studies of school performance and dietary habits that find a positive association with eating breakfast and consuming fruits and milk and a negative relation with soft drinks, instant noodles, fast foods, and confections.", "author" : [ { "dropping-particle" : "", "family" : "Kim", "given" : "So Young", "non-dropping-particle" : "", "parse-names" : false, "suffix" : "" }, { "dropping-particle" : "", "family" : "Sim", "given" : "Songyong", "non-dropping-particle" : "", "parse-names" : false, "suffix" : "" }, { "dropping-particle" : "", "family" : "Park", "given" : "Bumjung", "non-dropping-particle" : "", "parse-names" : false, "suffix" : "" }, { "dropping-particle" : "", "family" : "Kong", "given" : "Il Gyu", "non-dropping-particle" : "", "parse-names" : false, "suffix" : "" }, { "dropping-particle" : "", "family" : "Kim", "given" : "Jin-Hwan", "non-dropping-particle" : "", "parse-names" : false, "suffix" : "" }, { "dropping-particle" : "", "family" : "Choi", "given" : "Hyo Geun", "non-dropping-particle" : "", "parse-names" : false, "suffix" : "" } ], "container-title" : "Medicine", "id" : "ITEM-2", "issue" : "12", "issued" : { "date-parts" : [ [ "2016", "3" ] ] }, "page" : "e3096", "publisher" : "Wolters Kluwer Health", "title" : "Dietary Habits Are Associated With School Performance in Adolescents.", "type" : "article-journal", "volume" : "95" }, "uris" : [ "http://www.mendeley.com/documents/?uuid=34f241a2-4915-34b7-85a6-3b0516fe0864" ] } ], "mendeley" : { "formattedCitation" : "(Bonell et al., 2014; Kim et al., 2016)", "plainTextFormattedCitation" : "(Bonell et al., 2014; Kim et al., 2016)", "previouslyFormattedCitation" : "(Bonell et al., 2014; Kim et al., 2016)" }, "properties" : { "noteIndex" : 0 }, "schema" : "https://github.com/citation-style-language/schema/raw/master/csl-citation.json" }</w:instrText>
      </w:r>
      <w:r w:rsidR="00C91436" w:rsidRPr="009B3747">
        <w:rPr>
          <w:rFonts w:eastAsia="Times New Roman" w:cstheme="minorHAnsi"/>
          <w:color w:val="000000"/>
          <w:lang w:eastAsia="en-GB"/>
        </w:rPr>
        <w:fldChar w:fldCharType="separate"/>
      </w:r>
      <w:r w:rsidR="00C91436" w:rsidRPr="009B3747">
        <w:rPr>
          <w:rFonts w:eastAsia="Times New Roman" w:cstheme="minorHAnsi"/>
          <w:noProof/>
          <w:color w:val="000000"/>
          <w:lang w:eastAsia="en-GB"/>
        </w:rPr>
        <w:t>(Bonell et al., 2014; Kim et al., 2016)</w:t>
      </w:r>
      <w:r w:rsidR="00C91436" w:rsidRPr="009B3747">
        <w:rPr>
          <w:rFonts w:eastAsia="Times New Roman" w:cstheme="minorHAnsi"/>
          <w:color w:val="000000"/>
          <w:lang w:eastAsia="en-GB"/>
        </w:rPr>
        <w:fldChar w:fldCharType="end"/>
      </w:r>
      <w:r w:rsidR="00C91436" w:rsidRPr="009B3747">
        <w:rPr>
          <w:rFonts w:eastAsia="Times New Roman" w:cstheme="minorHAnsi"/>
          <w:color w:val="000000"/>
          <w:lang w:eastAsia="en-GB"/>
        </w:rPr>
        <w:t xml:space="preserve"> </w:t>
      </w:r>
      <w:r w:rsidR="008C1779">
        <w:rPr>
          <w:rFonts w:eastAsia="Times New Roman" w:cstheme="minorHAnsi"/>
          <w:color w:val="000000"/>
          <w:lang w:eastAsia="en-GB"/>
        </w:rPr>
        <w:t xml:space="preserve">to </w:t>
      </w:r>
      <w:r w:rsidR="009E5696" w:rsidRPr="009B3747">
        <w:rPr>
          <w:rFonts w:eastAsia="Times New Roman" w:cstheme="minorHAnsi"/>
          <w:color w:val="000000"/>
          <w:lang w:eastAsia="en-GB"/>
        </w:rPr>
        <w:t xml:space="preserve">be </w:t>
      </w:r>
      <w:r w:rsidR="00C91436" w:rsidRPr="009B3747">
        <w:rPr>
          <w:rFonts w:eastAsia="Times New Roman" w:cstheme="minorHAnsi"/>
          <w:color w:val="000000"/>
          <w:lang w:eastAsia="en-GB"/>
        </w:rPr>
        <w:t>truly understood and championed.  Furthermore, cross-sector working at both a strategic and operational level would enable knowledge, skills and resources to be shared,</w:t>
      </w:r>
      <w:r w:rsidR="006C4BD3" w:rsidRPr="009B3747">
        <w:rPr>
          <w:rFonts w:eastAsia="Times New Roman" w:cstheme="minorHAnsi"/>
          <w:color w:val="000000"/>
          <w:lang w:eastAsia="en-GB"/>
        </w:rPr>
        <w:t xml:space="preserve"> potentially</w:t>
      </w:r>
      <w:r w:rsidR="00C91436" w:rsidRPr="009B3747">
        <w:rPr>
          <w:rFonts w:eastAsia="Times New Roman" w:cstheme="minorHAnsi"/>
          <w:color w:val="000000"/>
          <w:lang w:eastAsia="en-GB"/>
        </w:rPr>
        <w:t xml:space="preserve"> resulting in the improvement of both </w:t>
      </w:r>
      <w:r w:rsidRPr="009B3747">
        <w:rPr>
          <w:rFonts w:eastAsia="Times New Roman" w:cstheme="minorHAnsi"/>
          <w:color w:val="000000"/>
          <w:lang w:eastAsia="en-GB"/>
        </w:rPr>
        <w:t>educational and health related outcomes</w:t>
      </w:r>
      <w:r w:rsidR="00C91436" w:rsidRPr="009B3747">
        <w:rPr>
          <w:rFonts w:eastAsia="Times New Roman" w:cstheme="minorHAnsi"/>
          <w:color w:val="000000"/>
          <w:lang w:eastAsia="en-GB"/>
        </w:rPr>
        <w:t xml:space="preserve"> for adolescents.</w:t>
      </w:r>
      <w:r w:rsidR="006C4BD3" w:rsidRPr="009B3747">
        <w:rPr>
          <w:rFonts w:eastAsia="Times New Roman" w:cstheme="minorHAnsi"/>
          <w:color w:val="000000"/>
          <w:lang w:eastAsia="en-GB"/>
        </w:rPr>
        <w:t xml:space="preserve">  Examples of which include, the provision of public health training to school staff; ensuring key public health messages are delivered in the taught curriculum and </w:t>
      </w:r>
      <w:r w:rsidR="009E5696" w:rsidRPr="009B3747">
        <w:rPr>
          <w:rFonts w:eastAsia="Times New Roman" w:cstheme="minorHAnsi"/>
          <w:color w:val="000000"/>
          <w:lang w:eastAsia="en-GB"/>
        </w:rPr>
        <w:t xml:space="preserve">PSHE and </w:t>
      </w:r>
      <w:r w:rsidR="006C4BD3" w:rsidRPr="009B3747">
        <w:rPr>
          <w:rFonts w:eastAsia="Times New Roman" w:cstheme="minorHAnsi"/>
          <w:color w:val="000000"/>
          <w:lang w:eastAsia="en-GB"/>
        </w:rPr>
        <w:t>identifying health enhancing opportunities within the</w:t>
      </w:r>
      <w:r w:rsidR="009E5696" w:rsidRPr="009B3747">
        <w:rPr>
          <w:rFonts w:eastAsia="Times New Roman" w:cstheme="minorHAnsi"/>
          <w:color w:val="000000"/>
          <w:lang w:eastAsia="en-GB"/>
        </w:rPr>
        <w:t xml:space="preserve"> existing</w:t>
      </w:r>
      <w:r w:rsidR="006C4BD3" w:rsidRPr="009B3747">
        <w:rPr>
          <w:rFonts w:eastAsia="Times New Roman" w:cstheme="minorHAnsi"/>
          <w:color w:val="000000"/>
          <w:lang w:eastAsia="en-GB"/>
        </w:rPr>
        <w:t xml:space="preserve"> school environment. </w:t>
      </w:r>
      <w:r w:rsidR="00C91436" w:rsidRPr="009B3747">
        <w:rPr>
          <w:rFonts w:eastAsia="Times New Roman" w:cstheme="minorHAnsi"/>
          <w:color w:val="000000"/>
          <w:lang w:eastAsia="en-GB"/>
        </w:rPr>
        <w:t xml:space="preserve">  </w:t>
      </w:r>
      <w:r w:rsidRPr="009B3747">
        <w:rPr>
          <w:rFonts w:eastAsia="Times New Roman" w:cstheme="minorHAnsi"/>
          <w:color w:val="000000"/>
          <w:lang w:eastAsia="en-GB"/>
        </w:rPr>
        <w:t xml:space="preserve">  </w:t>
      </w:r>
      <w:r w:rsidR="00610996" w:rsidRPr="009B3747">
        <w:rPr>
          <w:rFonts w:eastAsia="Times New Roman" w:cstheme="minorHAnsi"/>
          <w:color w:val="000000"/>
          <w:lang w:eastAsia="en-GB"/>
        </w:rPr>
        <w:t xml:space="preserve">   </w:t>
      </w:r>
    </w:p>
    <w:p w:rsidR="00060867" w:rsidRPr="009B3747" w:rsidRDefault="00060867" w:rsidP="006E474A">
      <w:pPr>
        <w:rPr>
          <w:rFonts w:eastAsia="Times New Roman" w:cstheme="minorHAnsi"/>
          <w:color w:val="000000"/>
          <w:lang w:eastAsia="en-GB"/>
        </w:rPr>
      </w:pPr>
    </w:p>
    <w:p w:rsidR="00F361BF" w:rsidRPr="009B3747" w:rsidRDefault="004B33AC" w:rsidP="00060867">
      <w:pPr>
        <w:rPr>
          <w:rFonts w:eastAsia="Times New Roman" w:cstheme="minorHAnsi"/>
          <w:color w:val="000000"/>
          <w:lang w:eastAsia="en-GB"/>
        </w:rPr>
      </w:pPr>
      <w:r w:rsidRPr="009B3747">
        <w:rPr>
          <w:rFonts w:eastAsia="Times New Roman" w:cstheme="minorHAnsi"/>
          <w:color w:val="000000"/>
          <w:lang w:eastAsia="en-GB"/>
        </w:rPr>
        <w:t xml:space="preserve">A </w:t>
      </w:r>
      <w:r w:rsidR="005D53C4" w:rsidRPr="009B3747">
        <w:rPr>
          <w:rFonts w:eastAsia="Times New Roman" w:cstheme="minorHAnsi"/>
          <w:color w:val="000000"/>
          <w:lang w:eastAsia="en-GB"/>
        </w:rPr>
        <w:t xml:space="preserve">final and </w:t>
      </w:r>
      <w:r w:rsidRPr="009B3747">
        <w:rPr>
          <w:rFonts w:eastAsia="Times New Roman" w:cstheme="minorHAnsi"/>
          <w:color w:val="000000"/>
          <w:lang w:eastAsia="en-GB"/>
        </w:rPr>
        <w:t>fundamental recommendation for policy and practice result</w:t>
      </w:r>
      <w:r w:rsidR="00060867" w:rsidRPr="009B3747">
        <w:rPr>
          <w:rFonts w:eastAsia="Times New Roman" w:cstheme="minorHAnsi"/>
          <w:color w:val="000000"/>
          <w:lang w:eastAsia="en-GB"/>
        </w:rPr>
        <w:t>ing from this research</w:t>
      </w:r>
      <w:r w:rsidR="008C1779">
        <w:rPr>
          <w:rFonts w:eastAsia="Times New Roman" w:cstheme="minorHAnsi"/>
          <w:color w:val="000000"/>
          <w:lang w:eastAsia="en-GB"/>
        </w:rPr>
        <w:t>,</w:t>
      </w:r>
      <w:r w:rsidR="00060867" w:rsidRPr="009B3747">
        <w:rPr>
          <w:rFonts w:eastAsia="Times New Roman" w:cstheme="minorHAnsi"/>
          <w:color w:val="000000"/>
          <w:lang w:eastAsia="en-GB"/>
        </w:rPr>
        <w:t xml:space="preserve"> is ensuring </w:t>
      </w:r>
      <w:r w:rsidR="0010136F" w:rsidRPr="009B3747">
        <w:rPr>
          <w:rFonts w:eastAsia="Times New Roman" w:cstheme="minorHAnsi"/>
          <w:color w:val="000000"/>
          <w:lang w:eastAsia="en-GB"/>
        </w:rPr>
        <w:t xml:space="preserve">effective </w:t>
      </w:r>
      <w:r w:rsidR="00060867" w:rsidRPr="009B3747">
        <w:rPr>
          <w:rFonts w:eastAsia="Times New Roman" w:cstheme="minorHAnsi"/>
          <w:color w:val="000000"/>
          <w:lang w:eastAsia="en-GB"/>
        </w:rPr>
        <w:t xml:space="preserve">public health preventative action </w:t>
      </w:r>
      <w:r w:rsidR="0010136F" w:rsidRPr="009B3747">
        <w:rPr>
          <w:rFonts w:eastAsia="Times New Roman" w:cstheme="minorHAnsi"/>
          <w:color w:val="000000"/>
          <w:lang w:eastAsia="en-GB"/>
        </w:rPr>
        <w:t>is targeted in other settings</w:t>
      </w:r>
      <w:r w:rsidR="00003500" w:rsidRPr="009B3747">
        <w:rPr>
          <w:rFonts w:eastAsia="Times New Roman" w:cstheme="minorHAnsi"/>
          <w:color w:val="000000"/>
          <w:lang w:eastAsia="en-GB"/>
        </w:rPr>
        <w:t xml:space="preserve"> in addition</w:t>
      </w:r>
      <w:r w:rsidR="007A0AAE" w:rsidRPr="009B3747">
        <w:rPr>
          <w:rFonts w:eastAsia="Times New Roman" w:cstheme="minorHAnsi"/>
          <w:color w:val="000000"/>
          <w:lang w:eastAsia="en-GB"/>
        </w:rPr>
        <w:t xml:space="preserve"> to schools.  Whilst </w:t>
      </w:r>
      <w:r w:rsidR="00F361BF" w:rsidRPr="009B3747">
        <w:rPr>
          <w:rFonts w:eastAsia="Times New Roman" w:cstheme="minorHAnsi"/>
          <w:color w:val="000000"/>
          <w:lang w:eastAsia="en-GB"/>
        </w:rPr>
        <w:t>secondary schools do have un-parallele</w:t>
      </w:r>
      <w:r w:rsidR="00DA156A" w:rsidRPr="009B3747">
        <w:rPr>
          <w:rFonts w:eastAsia="Times New Roman" w:cstheme="minorHAnsi"/>
          <w:color w:val="000000"/>
          <w:lang w:eastAsia="en-GB"/>
        </w:rPr>
        <w:t xml:space="preserve">d access to adolescents aged 11 to </w:t>
      </w:r>
      <w:r w:rsidR="008C1779">
        <w:rPr>
          <w:rFonts w:eastAsia="Times New Roman" w:cstheme="minorHAnsi"/>
          <w:color w:val="000000"/>
          <w:lang w:eastAsia="en-GB"/>
        </w:rPr>
        <w:t>16 years</w:t>
      </w:r>
      <w:r w:rsidR="007A0AAE" w:rsidRPr="009B3747">
        <w:rPr>
          <w:rFonts w:eastAsia="Times New Roman" w:cstheme="minorHAnsi"/>
          <w:color w:val="000000"/>
          <w:lang w:eastAsia="en-GB"/>
        </w:rPr>
        <w:t xml:space="preserve"> and currently contribute to the obesity prevention agenda, the key decision makers believe other settings play a more </w:t>
      </w:r>
      <w:r w:rsidR="005D53C4" w:rsidRPr="009B3747">
        <w:rPr>
          <w:rFonts w:eastAsia="Times New Roman" w:cstheme="minorHAnsi"/>
          <w:color w:val="000000"/>
          <w:lang w:eastAsia="en-GB"/>
        </w:rPr>
        <w:t>influential</w:t>
      </w:r>
      <w:r w:rsidR="007A0AAE" w:rsidRPr="009B3747">
        <w:rPr>
          <w:rFonts w:eastAsia="Times New Roman" w:cstheme="minorHAnsi"/>
          <w:color w:val="000000"/>
          <w:lang w:eastAsia="en-GB"/>
        </w:rPr>
        <w:t xml:space="preserve"> role, namely the home and wider food environment.  </w:t>
      </w:r>
      <w:r w:rsidR="0075732C" w:rsidRPr="009B3747">
        <w:rPr>
          <w:rFonts w:eastAsia="Times New Roman" w:cstheme="minorHAnsi"/>
          <w:color w:val="000000"/>
          <w:lang w:eastAsia="en-GB"/>
        </w:rPr>
        <w:t xml:space="preserve">Furthermore, </w:t>
      </w:r>
      <w:r w:rsidR="00F361BF" w:rsidRPr="009B3747">
        <w:rPr>
          <w:rFonts w:eastAsia="Times New Roman" w:cstheme="minorHAnsi"/>
          <w:color w:val="000000"/>
          <w:lang w:eastAsia="en-GB"/>
        </w:rPr>
        <w:t>h</w:t>
      </w:r>
      <w:r w:rsidR="00060867" w:rsidRPr="009B3747">
        <w:rPr>
          <w:rFonts w:eastAsia="Times New Roman" w:cstheme="minorHAnsi"/>
          <w:color w:val="000000"/>
          <w:lang w:eastAsia="en-GB"/>
        </w:rPr>
        <w:t>eadteachers and chairs of governors</w:t>
      </w:r>
      <w:r w:rsidR="0010136F" w:rsidRPr="009B3747">
        <w:rPr>
          <w:rFonts w:eastAsia="Times New Roman" w:cstheme="minorHAnsi"/>
          <w:color w:val="000000"/>
          <w:lang w:eastAsia="en-GB"/>
        </w:rPr>
        <w:t xml:space="preserve"> clearly identified that</w:t>
      </w:r>
      <w:r w:rsidR="007A0AAE" w:rsidRPr="009B3747">
        <w:rPr>
          <w:rFonts w:eastAsia="Times New Roman" w:cstheme="minorHAnsi"/>
          <w:color w:val="000000"/>
          <w:lang w:eastAsia="en-GB"/>
        </w:rPr>
        <w:t xml:space="preserve"> </w:t>
      </w:r>
      <w:r w:rsidR="005D53C4" w:rsidRPr="009B3747">
        <w:rPr>
          <w:rFonts w:eastAsia="Times New Roman" w:cstheme="minorHAnsi"/>
          <w:color w:val="000000"/>
          <w:lang w:eastAsia="en-GB"/>
        </w:rPr>
        <w:t xml:space="preserve">the existence of </w:t>
      </w:r>
      <w:r w:rsidR="0010136F" w:rsidRPr="009B3747">
        <w:rPr>
          <w:rFonts w:eastAsia="Times New Roman" w:cstheme="minorHAnsi"/>
          <w:color w:val="000000"/>
          <w:lang w:eastAsia="en-GB"/>
        </w:rPr>
        <w:t xml:space="preserve">negative </w:t>
      </w:r>
      <w:r w:rsidR="005D53C4" w:rsidRPr="009B3747">
        <w:rPr>
          <w:rFonts w:eastAsia="Times New Roman" w:cstheme="minorHAnsi"/>
          <w:color w:val="000000"/>
          <w:lang w:eastAsia="en-GB"/>
        </w:rPr>
        <w:t xml:space="preserve">influences on adolescent lifestyle behaviours from these environments </w:t>
      </w:r>
      <w:r w:rsidR="0075732C" w:rsidRPr="009B3747">
        <w:rPr>
          <w:rFonts w:eastAsia="Times New Roman" w:cstheme="minorHAnsi"/>
          <w:color w:val="000000"/>
          <w:lang w:eastAsia="en-GB"/>
        </w:rPr>
        <w:t xml:space="preserve">are able to </w:t>
      </w:r>
      <w:r w:rsidR="0010136F" w:rsidRPr="009B3747">
        <w:rPr>
          <w:rFonts w:eastAsia="Times New Roman" w:cstheme="minorHAnsi"/>
          <w:color w:val="000000"/>
          <w:lang w:eastAsia="en-GB"/>
        </w:rPr>
        <w:t xml:space="preserve">undermine school </w:t>
      </w:r>
      <w:r w:rsidR="007A0AAE" w:rsidRPr="009B3747">
        <w:rPr>
          <w:rFonts w:eastAsia="Times New Roman" w:cstheme="minorHAnsi"/>
          <w:color w:val="000000"/>
          <w:lang w:eastAsia="en-GB"/>
        </w:rPr>
        <w:t xml:space="preserve">based preventative action.  </w:t>
      </w:r>
    </w:p>
    <w:p w:rsidR="005475D8" w:rsidRPr="009B3747" w:rsidRDefault="005475D8" w:rsidP="00060867">
      <w:pPr>
        <w:rPr>
          <w:rFonts w:eastAsia="Times New Roman" w:cstheme="minorHAnsi"/>
          <w:color w:val="000000"/>
          <w:lang w:eastAsia="en-GB"/>
        </w:rPr>
      </w:pPr>
    </w:p>
    <w:p w:rsidR="009E5696" w:rsidRPr="009B3747" w:rsidRDefault="006D22C9" w:rsidP="00FF2CE9">
      <w:pPr>
        <w:rPr>
          <w:rFonts w:eastAsia="Times New Roman" w:cstheme="minorHAnsi"/>
          <w:color w:val="000000"/>
          <w:lang w:eastAsia="en-GB"/>
        </w:rPr>
      </w:pPr>
      <w:r w:rsidRPr="009B3747">
        <w:rPr>
          <w:rFonts w:eastAsia="Times New Roman" w:cstheme="minorHAnsi"/>
          <w:color w:val="000000"/>
          <w:lang w:eastAsia="en-GB"/>
        </w:rPr>
        <w:t>Consequently, in</w:t>
      </w:r>
      <w:r w:rsidR="00E20F6F" w:rsidRPr="009B3747">
        <w:rPr>
          <w:rFonts w:eastAsia="Times New Roman" w:cstheme="minorHAnsi"/>
          <w:color w:val="000000"/>
          <w:lang w:eastAsia="en-GB"/>
        </w:rPr>
        <w:t xml:space="preserve"> order to support schools, </w:t>
      </w:r>
      <w:r w:rsidR="00060867" w:rsidRPr="009B3747">
        <w:rPr>
          <w:rFonts w:eastAsia="Times New Roman" w:cstheme="minorHAnsi"/>
          <w:color w:val="000000"/>
          <w:lang w:eastAsia="en-GB"/>
        </w:rPr>
        <w:t xml:space="preserve">headteachers and chairs of governors to </w:t>
      </w:r>
      <w:r w:rsidR="00E20F6F" w:rsidRPr="009B3747">
        <w:rPr>
          <w:rFonts w:eastAsia="Times New Roman" w:cstheme="minorHAnsi"/>
          <w:color w:val="000000"/>
          <w:lang w:eastAsia="en-GB"/>
        </w:rPr>
        <w:t xml:space="preserve">be able to </w:t>
      </w:r>
      <w:r w:rsidR="00060867" w:rsidRPr="009B3747">
        <w:rPr>
          <w:rFonts w:eastAsia="Times New Roman" w:cstheme="minorHAnsi"/>
          <w:color w:val="000000"/>
          <w:lang w:eastAsia="en-GB"/>
        </w:rPr>
        <w:t xml:space="preserve">fulfil their </w:t>
      </w:r>
      <w:r w:rsidR="00967099" w:rsidRPr="009B3747">
        <w:rPr>
          <w:rFonts w:eastAsia="Times New Roman" w:cstheme="minorHAnsi"/>
          <w:color w:val="000000"/>
          <w:lang w:eastAsia="en-GB"/>
        </w:rPr>
        <w:t>referenced roles</w:t>
      </w:r>
      <w:r w:rsidR="00060867" w:rsidRPr="009B3747">
        <w:rPr>
          <w:rFonts w:eastAsia="Times New Roman" w:cstheme="minorHAnsi"/>
          <w:color w:val="000000"/>
          <w:lang w:eastAsia="en-GB"/>
        </w:rPr>
        <w:t xml:space="preserve"> (NICE, 2015a</w:t>
      </w:r>
      <w:r w:rsidR="00E20F6F" w:rsidRPr="009B3747">
        <w:rPr>
          <w:rFonts w:eastAsia="Times New Roman" w:cstheme="minorHAnsi"/>
          <w:color w:val="000000"/>
          <w:lang w:eastAsia="en-GB"/>
        </w:rPr>
        <w:t>; 2015b</w:t>
      </w:r>
      <w:r w:rsidR="00060867" w:rsidRPr="009B3747">
        <w:rPr>
          <w:rFonts w:eastAsia="Times New Roman" w:cstheme="minorHAnsi"/>
          <w:color w:val="000000"/>
          <w:lang w:eastAsia="en-GB"/>
        </w:rPr>
        <w:t>),</w:t>
      </w:r>
      <w:r w:rsidR="00E20F6F" w:rsidRPr="009B3747">
        <w:rPr>
          <w:rFonts w:eastAsia="Times New Roman" w:cstheme="minorHAnsi"/>
          <w:color w:val="000000"/>
          <w:lang w:eastAsia="en-GB"/>
        </w:rPr>
        <w:t xml:space="preserve"> </w:t>
      </w:r>
      <w:r w:rsidRPr="009B3747">
        <w:rPr>
          <w:rFonts w:eastAsia="Times New Roman" w:cstheme="minorHAnsi"/>
          <w:color w:val="000000"/>
          <w:lang w:eastAsia="en-GB"/>
        </w:rPr>
        <w:t>wider social and environmental factors causing obesity need to be simultaneously addressed alongside the implementation of school-based interventions.</w:t>
      </w:r>
      <w:r w:rsidR="005D53C4" w:rsidRPr="009B3747">
        <w:rPr>
          <w:rFonts w:eastAsia="Times New Roman" w:cstheme="minorHAnsi"/>
          <w:color w:val="000000"/>
          <w:lang w:eastAsia="en-GB"/>
        </w:rPr>
        <w:t xml:space="preserve">  Addressing these factors</w:t>
      </w:r>
      <w:r w:rsidRPr="009B3747">
        <w:rPr>
          <w:rFonts w:eastAsia="Times New Roman" w:cstheme="minorHAnsi"/>
          <w:color w:val="000000"/>
          <w:lang w:eastAsia="en-GB"/>
        </w:rPr>
        <w:t xml:space="preserve"> require p</w:t>
      </w:r>
      <w:r w:rsidR="00970E3D" w:rsidRPr="009B3747">
        <w:rPr>
          <w:rFonts w:eastAsia="Times New Roman" w:cstheme="minorHAnsi"/>
          <w:color w:val="000000"/>
          <w:lang w:eastAsia="en-GB"/>
        </w:rPr>
        <w:t xml:space="preserve">ublic health policy makers and professionals </w:t>
      </w:r>
      <w:r w:rsidRPr="009B3747">
        <w:rPr>
          <w:rFonts w:eastAsia="Times New Roman" w:cstheme="minorHAnsi"/>
          <w:color w:val="000000"/>
          <w:lang w:eastAsia="en-GB"/>
        </w:rPr>
        <w:t>to</w:t>
      </w:r>
      <w:r w:rsidR="00970E3D" w:rsidRPr="009B3747">
        <w:rPr>
          <w:rFonts w:eastAsia="Times New Roman" w:cstheme="minorHAnsi"/>
          <w:color w:val="000000"/>
          <w:lang w:eastAsia="en-GB"/>
        </w:rPr>
        <w:t xml:space="preserve"> prioritise preventative action </w:t>
      </w:r>
      <w:r w:rsidR="00281979">
        <w:rPr>
          <w:rFonts w:eastAsia="Times New Roman" w:cstheme="minorHAnsi"/>
          <w:color w:val="000000"/>
          <w:lang w:eastAsia="en-GB"/>
        </w:rPr>
        <w:t>that</w:t>
      </w:r>
      <w:r w:rsidRPr="009B3747">
        <w:rPr>
          <w:rFonts w:eastAsia="Times New Roman" w:cstheme="minorHAnsi"/>
          <w:color w:val="000000"/>
          <w:lang w:eastAsia="en-GB"/>
        </w:rPr>
        <w:t xml:space="preserve"> uses a</w:t>
      </w:r>
      <w:r w:rsidR="00970E3D" w:rsidRPr="009B3747">
        <w:rPr>
          <w:rFonts w:eastAsia="Times New Roman" w:cstheme="minorHAnsi"/>
          <w:color w:val="000000"/>
          <w:lang w:eastAsia="en-GB"/>
        </w:rPr>
        <w:t xml:space="preserve"> whole systems approach</w:t>
      </w:r>
      <w:r w:rsidR="0075732C" w:rsidRPr="009B3747">
        <w:rPr>
          <w:rFonts w:eastAsia="Times New Roman" w:cstheme="minorHAnsi"/>
          <w:color w:val="000000"/>
          <w:lang w:eastAsia="en-GB"/>
        </w:rPr>
        <w:t xml:space="preserve">, </w:t>
      </w:r>
      <w:r w:rsidR="005D53C4" w:rsidRPr="009B3747">
        <w:rPr>
          <w:rFonts w:eastAsia="Times New Roman" w:cstheme="minorHAnsi"/>
          <w:color w:val="000000"/>
          <w:lang w:eastAsia="en-GB"/>
        </w:rPr>
        <w:t>promotes</w:t>
      </w:r>
      <w:r w:rsidR="0075732C" w:rsidRPr="009B3747">
        <w:rPr>
          <w:rFonts w:eastAsia="Times New Roman" w:cstheme="minorHAnsi"/>
          <w:color w:val="000000"/>
          <w:lang w:eastAsia="en-GB"/>
        </w:rPr>
        <w:t xml:space="preserve"> collective responsibility</w:t>
      </w:r>
      <w:r w:rsidR="00970E3D" w:rsidRPr="009B3747">
        <w:rPr>
          <w:rFonts w:eastAsia="Times New Roman" w:cstheme="minorHAnsi"/>
          <w:color w:val="000000"/>
          <w:lang w:eastAsia="en-GB"/>
        </w:rPr>
        <w:t xml:space="preserve"> and </w:t>
      </w:r>
      <w:r w:rsidRPr="009B3747">
        <w:rPr>
          <w:rFonts w:eastAsia="Times New Roman" w:cstheme="minorHAnsi"/>
          <w:color w:val="000000"/>
          <w:lang w:eastAsia="en-GB"/>
        </w:rPr>
        <w:t xml:space="preserve">is </w:t>
      </w:r>
      <w:r w:rsidR="00970E3D" w:rsidRPr="009B3747">
        <w:rPr>
          <w:rFonts w:eastAsia="Times New Roman" w:cstheme="minorHAnsi"/>
          <w:color w:val="000000"/>
          <w:lang w:eastAsia="en-GB"/>
        </w:rPr>
        <w:t>reflective of the ladder of public health interventions (Butland and Jebb, 2007; Nuffield Council on Bioethics, 2007)</w:t>
      </w:r>
      <w:r w:rsidR="0075732C" w:rsidRPr="009B3747">
        <w:rPr>
          <w:rFonts w:eastAsia="Times New Roman" w:cstheme="minorHAnsi"/>
          <w:color w:val="000000"/>
          <w:lang w:eastAsia="en-GB"/>
        </w:rPr>
        <w:t xml:space="preserve">.  </w:t>
      </w:r>
      <w:r w:rsidR="00FF2CE9" w:rsidRPr="009B3747">
        <w:rPr>
          <w:rFonts w:eastAsia="Times New Roman" w:cstheme="minorHAnsi"/>
          <w:color w:val="000000"/>
          <w:lang w:eastAsia="en-GB"/>
        </w:rPr>
        <w:t>Visible and consistent p</w:t>
      </w:r>
      <w:r w:rsidRPr="009B3747">
        <w:rPr>
          <w:rFonts w:eastAsia="Times New Roman" w:cstheme="minorHAnsi"/>
          <w:color w:val="000000"/>
          <w:lang w:eastAsia="en-GB"/>
        </w:rPr>
        <w:t xml:space="preserve">ublic health </w:t>
      </w:r>
      <w:r w:rsidR="00281979" w:rsidRPr="009B3747">
        <w:rPr>
          <w:rFonts w:eastAsia="Times New Roman" w:cstheme="minorHAnsi"/>
          <w:color w:val="000000"/>
          <w:lang w:eastAsia="en-GB"/>
        </w:rPr>
        <w:t xml:space="preserve">information, </w:t>
      </w:r>
      <w:r w:rsidR="00281979">
        <w:rPr>
          <w:rFonts w:eastAsia="Times New Roman" w:cstheme="minorHAnsi"/>
          <w:color w:val="000000"/>
          <w:lang w:eastAsia="en-GB"/>
        </w:rPr>
        <w:t>which</w:t>
      </w:r>
      <w:r w:rsidRPr="009B3747">
        <w:rPr>
          <w:rFonts w:eastAsia="Times New Roman" w:cstheme="minorHAnsi"/>
          <w:color w:val="000000"/>
          <w:lang w:eastAsia="en-GB"/>
        </w:rPr>
        <w:t xml:space="preserve"> educates and informs should be provided across</w:t>
      </w:r>
      <w:r w:rsidR="00C8714B" w:rsidRPr="009B3747">
        <w:rPr>
          <w:rFonts w:eastAsia="Times New Roman" w:cstheme="minorHAnsi"/>
          <w:color w:val="000000"/>
          <w:lang w:eastAsia="en-GB"/>
        </w:rPr>
        <w:t xml:space="preserve"> school, family and community settings</w:t>
      </w:r>
      <w:r w:rsidR="00FF2CE9" w:rsidRPr="009B3747">
        <w:rPr>
          <w:rFonts w:eastAsia="Times New Roman" w:cstheme="minorHAnsi"/>
          <w:color w:val="000000"/>
          <w:lang w:eastAsia="en-GB"/>
        </w:rPr>
        <w:t>.  In addition,</w:t>
      </w:r>
      <w:r w:rsidR="00C8714B" w:rsidRPr="009B3747">
        <w:rPr>
          <w:rFonts w:eastAsia="Times New Roman" w:cstheme="minorHAnsi"/>
          <w:color w:val="000000"/>
          <w:lang w:eastAsia="en-GB"/>
        </w:rPr>
        <w:t xml:space="preserve"> </w:t>
      </w:r>
      <w:r w:rsidR="00FF2CE9" w:rsidRPr="009B3747">
        <w:rPr>
          <w:rFonts w:eastAsia="Times New Roman" w:cstheme="minorHAnsi"/>
          <w:color w:val="000000"/>
          <w:lang w:eastAsia="en-GB"/>
        </w:rPr>
        <w:t>societal-wide</w:t>
      </w:r>
      <w:r w:rsidR="00281979">
        <w:rPr>
          <w:rFonts w:eastAsia="Times New Roman" w:cstheme="minorHAnsi"/>
          <w:color w:val="000000"/>
          <w:lang w:eastAsia="en-GB"/>
        </w:rPr>
        <w:t xml:space="preserve"> approaches, which</w:t>
      </w:r>
      <w:r w:rsidRPr="009B3747">
        <w:rPr>
          <w:rFonts w:eastAsia="Times New Roman" w:cstheme="minorHAnsi"/>
          <w:color w:val="000000"/>
          <w:lang w:eastAsia="en-GB"/>
        </w:rPr>
        <w:t xml:space="preserve"> enable and guide</w:t>
      </w:r>
      <w:r w:rsidR="00FF2CE9" w:rsidRPr="009B3747">
        <w:rPr>
          <w:rFonts w:eastAsia="Times New Roman" w:cstheme="minorHAnsi"/>
          <w:color w:val="000000"/>
          <w:lang w:eastAsia="en-GB"/>
        </w:rPr>
        <w:t xml:space="preserve"> individual</w:t>
      </w:r>
      <w:r w:rsidR="00C8714B" w:rsidRPr="009B3747">
        <w:rPr>
          <w:rFonts w:eastAsia="Times New Roman" w:cstheme="minorHAnsi"/>
          <w:color w:val="000000"/>
          <w:lang w:eastAsia="en-GB"/>
        </w:rPr>
        <w:t xml:space="preserve"> choices and behaviours </w:t>
      </w:r>
      <w:r w:rsidR="00FF2CE9" w:rsidRPr="009B3747">
        <w:rPr>
          <w:rFonts w:eastAsia="Times New Roman" w:cstheme="minorHAnsi"/>
          <w:color w:val="000000"/>
          <w:lang w:eastAsia="en-GB"/>
        </w:rPr>
        <w:t>should be employed</w:t>
      </w:r>
      <w:r w:rsidR="00C8714B" w:rsidRPr="009B3747">
        <w:rPr>
          <w:rFonts w:eastAsia="Times New Roman" w:cstheme="minorHAnsi"/>
          <w:color w:val="000000"/>
          <w:lang w:eastAsia="en-GB"/>
        </w:rPr>
        <w:t>.</w:t>
      </w:r>
      <w:r w:rsidR="00FF2CE9" w:rsidRPr="009B3747">
        <w:rPr>
          <w:rFonts w:eastAsia="Times New Roman" w:cstheme="minorHAnsi"/>
          <w:color w:val="000000"/>
          <w:lang w:eastAsia="en-GB"/>
        </w:rPr>
        <w:t xml:space="preserve">  </w:t>
      </w:r>
      <w:r w:rsidR="00847398" w:rsidRPr="009B3747">
        <w:rPr>
          <w:rFonts w:eastAsia="Times New Roman" w:cstheme="minorHAnsi"/>
          <w:color w:val="000000"/>
          <w:lang w:eastAsia="en-GB"/>
        </w:rPr>
        <w:t xml:space="preserve">Examples of which include public health professionals </w:t>
      </w:r>
      <w:r w:rsidR="00FF2CE9" w:rsidRPr="009B3747">
        <w:rPr>
          <w:rFonts w:eastAsia="Times New Roman" w:cstheme="minorHAnsi"/>
          <w:color w:val="000000"/>
          <w:lang w:eastAsia="en-GB"/>
        </w:rPr>
        <w:t>encouraging l</w:t>
      </w:r>
      <w:r w:rsidR="0039768F" w:rsidRPr="009B3747">
        <w:rPr>
          <w:rFonts w:eastAsia="Times New Roman" w:cstheme="minorHAnsi"/>
          <w:color w:val="000000"/>
          <w:lang w:eastAsia="en-GB"/>
        </w:rPr>
        <w:t xml:space="preserve">ocal </w:t>
      </w:r>
      <w:r w:rsidR="00FF2CE9" w:rsidRPr="009B3747">
        <w:rPr>
          <w:rFonts w:eastAsia="Times New Roman" w:cstheme="minorHAnsi"/>
          <w:color w:val="000000"/>
          <w:lang w:eastAsia="en-GB"/>
        </w:rPr>
        <w:t>governments to r</w:t>
      </w:r>
      <w:r w:rsidR="0039768F" w:rsidRPr="009B3747">
        <w:rPr>
          <w:rFonts w:eastAsia="Times New Roman" w:cstheme="minorHAnsi"/>
          <w:color w:val="000000"/>
          <w:lang w:eastAsia="en-GB"/>
        </w:rPr>
        <w:t>educe</w:t>
      </w:r>
      <w:r w:rsidR="00967099" w:rsidRPr="009B3747">
        <w:rPr>
          <w:rFonts w:eastAsia="Times New Roman" w:cstheme="minorHAnsi"/>
          <w:color w:val="000000"/>
          <w:lang w:eastAsia="en-GB"/>
        </w:rPr>
        <w:t xml:space="preserve"> the availability of fast food</w:t>
      </w:r>
      <w:r w:rsidR="00F361BF" w:rsidRPr="009B3747">
        <w:rPr>
          <w:rFonts w:eastAsia="Times New Roman" w:cstheme="minorHAnsi"/>
          <w:color w:val="000000"/>
          <w:lang w:eastAsia="en-GB"/>
        </w:rPr>
        <w:t xml:space="preserve"> outlets</w:t>
      </w:r>
      <w:r w:rsidR="00967099" w:rsidRPr="009B3747">
        <w:rPr>
          <w:rFonts w:eastAsia="Times New Roman" w:cstheme="minorHAnsi"/>
          <w:color w:val="000000"/>
          <w:lang w:eastAsia="en-GB"/>
        </w:rPr>
        <w:t xml:space="preserve"> in close proximity to schools </w:t>
      </w:r>
      <w:r w:rsidR="00967099" w:rsidRPr="009B3747">
        <w:rPr>
          <w:rFonts w:eastAsia="Times New Roman" w:cstheme="minorHAnsi"/>
          <w:color w:val="000000"/>
          <w:lang w:eastAsia="en-GB"/>
        </w:rPr>
        <w:fldChar w:fldCharType="begin" w:fldLock="1"/>
      </w:r>
      <w:r w:rsidR="0039768F" w:rsidRPr="009B3747">
        <w:rPr>
          <w:rFonts w:eastAsia="Times New Roman" w:cstheme="minorHAnsi"/>
          <w:color w:val="000000"/>
          <w:lang w:eastAsia="en-GB"/>
        </w:rPr>
        <w:instrText>ADDIN CSL_CITATION { "citationItems" : [ { "id" : "ITEM-1", "itemData" : { "author" : [ { "dropping-particle" : "", "family" : "Public Health England", "given" : "", "non-dropping-particle" : "", "parse-names" : false, "suffix" : "" } ], "id" : "ITEM-1", "issued" : { "date-parts" : [ [ "2014" ] ] }, "publisher-place" : "London", "title" : "Obesity and the environment: Regulating the growth of fast food outlets", "type" : "report" }, "uris" : [ "http://www.mendeley.com/documents/?uuid=3e208bb8-6395-47bd-8599-8f4225e1172e" ] } ], "mendeley" : { "formattedCitation" : "(Public Health England, 2014b)", "plainTextFormattedCitation" : "(Public Health England, 2014b)", "previouslyFormattedCitation" : "(Public Health England, 2014b)" }, "properties" : { "noteIndex" : 0 }, "schema" : "https://github.com/citation-style-language/schema/raw/master/csl-citation.json" }</w:instrText>
      </w:r>
      <w:r w:rsidR="00967099" w:rsidRPr="009B3747">
        <w:rPr>
          <w:rFonts w:eastAsia="Times New Roman" w:cstheme="minorHAnsi"/>
          <w:color w:val="000000"/>
          <w:lang w:eastAsia="en-GB"/>
        </w:rPr>
        <w:fldChar w:fldCharType="separate"/>
      </w:r>
      <w:r w:rsidR="00967099" w:rsidRPr="009B3747">
        <w:rPr>
          <w:rFonts w:eastAsia="Times New Roman" w:cstheme="minorHAnsi"/>
          <w:noProof/>
          <w:color w:val="000000"/>
          <w:lang w:eastAsia="en-GB"/>
        </w:rPr>
        <w:t>(Public Health England, 2014b)</w:t>
      </w:r>
      <w:r w:rsidR="00967099" w:rsidRPr="009B3747">
        <w:rPr>
          <w:rFonts w:eastAsia="Times New Roman" w:cstheme="minorHAnsi"/>
          <w:color w:val="000000"/>
          <w:lang w:eastAsia="en-GB"/>
        </w:rPr>
        <w:fldChar w:fldCharType="end"/>
      </w:r>
      <w:r w:rsidR="0039768F" w:rsidRPr="009B3747">
        <w:rPr>
          <w:rFonts w:eastAsia="Times New Roman" w:cstheme="minorHAnsi"/>
          <w:color w:val="000000"/>
          <w:lang w:eastAsia="en-GB"/>
        </w:rPr>
        <w:t xml:space="preserve"> and </w:t>
      </w:r>
      <w:r w:rsidR="0039768F" w:rsidRPr="009B3747">
        <w:rPr>
          <w:rFonts w:eastAsia="Times New Roman" w:cstheme="minorHAnsi"/>
          <w:color w:val="000000"/>
          <w:lang w:eastAsia="en-GB"/>
        </w:rPr>
        <w:lastRenderedPageBreak/>
        <w:t xml:space="preserve">lobbying </w:t>
      </w:r>
      <w:r w:rsidR="00F361BF" w:rsidRPr="009B3747">
        <w:rPr>
          <w:rFonts w:eastAsia="Times New Roman" w:cstheme="minorHAnsi"/>
          <w:color w:val="000000"/>
          <w:lang w:eastAsia="en-GB"/>
        </w:rPr>
        <w:t>national government to restrict</w:t>
      </w:r>
      <w:r w:rsidR="0039768F" w:rsidRPr="009B3747">
        <w:rPr>
          <w:rFonts w:eastAsia="Times New Roman" w:cstheme="minorHAnsi"/>
          <w:color w:val="000000"/>
          <w:lang w:eastAsia="en-GB"/>
        </w:rPr>
        <w:t xml:space="preserve"> junk food advertising to children and young people</w:t>
      </w:r>
      <w:r w:rsidR="00F361BF" w:rsidRPr="009B3747">
        <w:rPr>
          <w:rFonts w:eastAsia="Times New Roman" w:cstheme="minorHAnsi"/>
          <w:color w:val="000000"/>
          <w:lang w:eastAsia="en-GB"/>
        </w:rPr>
        <w:t xml:space="preserve"> </w:t>
      </w:r>
      <w:r w:rsidR="0039768F" w:rsidRPr="009B3747">
        <w:rPr>
          <w:rFonts w:eastAsia="Times New Roman" w:cstheme="minorHAnsi"/>
          <w:color w:val="000000"/>
          <w:lang w:eastAsia="en-GB"/>
        </w:rPr>
        <w:fldChar w:fldCharType="begin" w:fldLock="1"/>
      </w:r>
      <w:r w:rsidR="00F361BF" w:rsidRPr="009B3747">
        <w:rPr>
          <w:rFonts w:eastAsia="Times New Roman" w:cstheme="minorHAnsi"/>
          <w:color w:val="000000"/>
          <w:lang w:eastAsia="en-GB"/>
        </w:rPr>
        <w:instrText>ADDIN CSL_CITATION { "citationItems" : [ { "id" : "ITEM-1", "itemData" : { "author" : [ { "dropping-particle" : "", "family" : "The Food Foundation", "given" : "", "non-dropping-particle" : "", "parse-names" : false, "suffix" : "" } ], "id" : "ITEM-1", "issued" : { "date-parts" : [ [ "2017" ] ] }, "publisher-place" : "London", "title" : "UK\u2019S Restrictions on Junk Food Advertising to Children", "type" : "report" }, "uris" : [ "http://www.mendeley.com/documents/?uuid=ac9e4035-64c9-4970-aaf2-bf4144644eb6" ] } ], "mendeley" : { "formattedCitation" : "(The Food Foundation, 2017)", "plainTextFormattedCitation" : "(The Food Foundation, 2017)", "previouslyFormattedCitation" : "(The Food Foundation, 2017)" }, "properties" : { "noteIndex" : 0 }, "schema" : "https://github.com/citation-style-language/schema/raw/master/csl-citation.json" }</w:instrText>
      </w:r>
      <w:r w:rsidR="0039768F" w:rsidRPr="009B3747">
        <w:rPr>
          <w:rFonts w:eastAsia="Times New Roman" w:cstheme="minorHAnsi"/>
          <w:color w:val="000000"/>
          <w:lang w:eastAsia="en-GB"/>
        </w:rPr>
        <w:fldChar w:fldCharType="separate"/>
      </w:r>
      <w:r w:rsidR="0039768F" w:rsidRPr="009B3747">
        <w:rPr>
          <w:rFonts w:eastAsia="Times New Roman" w:cstheme="minorHAnsi"/>
          <w:noProof/>
          <w:color w:val="000000"/>
          <w:lang w:eastAsia="en-GB"/>
        </w:rPr>
        <w:t>(The Food Foundation, 2017)</w:t>
      </w:r>
      <w:r w:rsidR="0039768F" w:rsidRPr="009B3747">
        <w:rPr>
          <w:rFonts w:eastAsia="Times New Roman" w:cstheme="minorHAnsi"/>
          <w:color w:val="000000"/>
          <w:lang w:eastAsia="en-GB"/>
        </w:rPr>
        <w:fldChar w:fldCharType="end"/>
      </w:r>
      <w:r w:rsidR="00F361BF" w:rsidRPr="009B3747">
        <w:rPr>
          <w:rFonts w:eastAsia="Times New Roman" w:cstheme="minorHAnsi"/>
          <w:color w:val="000000"/>
          <w:lang w:eastAsia="en-GB"/>
        </w:rPr>
        <w:t>.</w:t>
      </w:r>
      <w:r w:rsidR="0075732C" w:rsidRPr="009B3747">
        <w:rPr>
          <w:rFonts w:eastAsia="Times New Roman" w:cstheme="minorHAnsi"/>
          <w:color w:val="000000"/>
          <w:lang w:eastAsia="en-GB"/>
        </w:rPr>
        <w:t xml:space="preserve">  </w:t>
      </w:r>
    </w:p>
    <w:p w:rsidR="00847398" w:rsidRPr="009B3747" w:rsidRDefault="00847398" w:rsidP="00A2591A">
      <w:pPr>
        <w:rPr>
          <w:rFonts w:cstheme="minorHAnsi"/>
          <w:color w:val="222222"/>
          <w:sz w:val="19"/>
          <w:szCs w:val="19"/>
          <w:shd w:val="clear" w:color="auto" w:fill="FFFFFF"/>
        </w:rPr>
      </w:pPr>
    </w:p>
    <w:p w:rsidR="00A2591A" w:rsidRPr="009B3747" w:rsidRDefault="00A2591A" w:rsidP="00A2591A">
      <w:pPr>
        <w:rPr>
          <w:rFonts w:eastAsia="Times New Roman" w:cstheme="minorHAnsi"/>
          <w:sz w:val="24"/>
          <w:szCs w:val="24"/>
          <w:lang w:eastAsia="en-GB"/>
        </w:rPr>
      </w:pPr>
      <w:r w:rsidRPr="009B3747">
        <w:rPr>
          <w:rFonts w:eastAsia="Times New Roman" w:cstheme="minorHAnsi"/>
          <w:b/>
          <w:bCs/>
          <w:color w:val="222222"/>
          <w:sz w:val="24"/>
          <w:szCs w:val="24"/>
          <w:u w:val="single"/>
          <w:lang w:eastAsia="en-GB"/>
        </w:rPr>
        <w:t>10.4 Recommendations for future research</w:t>
      </w:r>
    </w:p>
    <w:p w:rsidR="00A2591A" w:rsidRPr="009B3747" w:rsidRDefault="00A2591A" w:rsidP="00A2591A">
      <w:pPr>
        <w:rPr>
          <w:rFonts w:eastAsia="Times New Roman" w:cstheme="minorHAnsi"/>
          <w:sz w:val="24"/>
          <w:szCs w:val="24"/>
          <w:lang w:eastAsia="en-GB"/>
        </w:rPr>
      </w:pPr>
    </w:p>
    <w:p w:rsidR="00A2591A" w:rsidRPr="009B3747" w:rsidRDefault="00A2591A" w:rsidP="00A2591A">
      <w:pPr>
        <w:rPr>
          <w:rFonts w:eastAsia="Times New Roman" w:cstheme="minorHAnsi"/>
          <w:sz w:val="24"/>
          <w:szCs w:val="24"/>
          <w:lang w:eastAsia="en-GB"/>
        </w:rPr>
      </w:pPr>
      <w:r w:rsidRPr="009B3747">
        <w:rPr>
          <w:rFonts w:eastAsia="Times New Roman" w:cstheme="minorHAnsi"/>
          <w:color w:val="222222"/>
          <w:lang w:eastAsia="en-GB"/>
        </w:rPr>
        <w:t>First and foremost, as argued throughout this thesis, there remains a paucit</w:t>
      </w:r>
      <w:r w:rsidR="001F55B9" w:rsidRPr="009B3747">
        <w:rPr>
          <w:rFonts w:eastAsia="Times New Roman" w:cstheme="minorHAnsi"/>
          <w:color w:val="222222"/>
          <w:lang w:eastAsia="en-GB"/>
        </w:rPr>
        <w:t xml:space="preserve">y of literature on headteachers’ and chairs of governors’ </w:t>
      </w:r>
      <w:r w:rsidRPr="009B3747">
        <w:rPr>
          <w:rFonts w:eastAsia="Times New Roman" w:cstheme="minorHAnsi"/>
          <w:color w:val="222222"/>
          <w:lang w:eastAsia="en-GB"/>
        </w:rPr>
        <w:t>perspectives on obesity and its prevention in school settings.  The increasing governmental and public health policy focus on the role of schools in addressing obesity during childhood and adolescence, means understanding the views and opinions of key school stakeholders regarding this topic is imperative.  Consequently more research is needed into the perspectives of school leadership and governance at both primary and secondary school levels.  In addition, value would be identified in expanding the scope of future research to include the perspectives of others involved in or engaged with the school based prevention namely teachers, school nurses, parents and adolescents themselves.     </w:t>
      </w:r>
    </w:p>
    <w:p w:rsidR="00A2591A" w:rsidRPr="009B3747" w:rsidRDefault="00A2591A" w:rsidP="00A2591A">
      <w:pPr>
        <w:rPr>
          <w:rFonts w:eastAsia="Times New Roman" w:cstheme="minorHAnsi"/>
          <w:sz w:val="24"/>
          <w:szCs w:val="24"/>
          <w:lang w:eastAsia="en-GB"/>
        </w:rPr>
      </w:pPr>
    </w:p>
    <w:p w:rsidR="00A2591A" w:rsidRPr="009B3747" w:rsidRDefault="00A2591A" w:rsidP="00A2591A">
      <w:pPr>
        <w:rPr>
          <w:rFonts w:eastAsia="Times New Roman" w:cstheme="minorHAnsi"/>
          <w:sz w:val="24"/>
          <w:szCs w:val="24"/>
          <w:lang w:eastAsia="en-GB"/>
        </w:rPr>
      </w:pPr>
      <w:r w:rsidRPr="009B3747">
        <w:rPr>
          <w:rFonts w:eastAsia="Times New Roman" w:cstheme="minorHAnsi"/>
          <w:color w:val="222222"/>
          <w:lang w:eastAsia="en-GB"/>
        </w:rPr>
        <w:t xml:space="preserve">The non-probability sampling methods in the qualitative phase and small sample size overall meant that the findings identified from this </w:t>
      </w:r>
      <w:r w:rsidR="001F55B9" w:rsidRPr="009B3747">
        <w:rPr>
          <w:rFonts w:eastAsia="Times New Roman" w:cstheme="minorHAnsi"/>
          <w:color w:val="222222"/>
          <w:lang w:eastAsia="en-GB"/>
        </w:rPr>
        <w:t>study are unable to be generalis</w:t>
      </w:r>
      <w:r w:rsidRPr="009B3747">
        <w:rPr>
          <w:rFonts w:eastAsia="Times New Roman" w:cstheme="minorHAnsi"/>
          <w:color w:val="222222"/>
          <w:lang w:eastAsia="en-GB"/>
        </w:rPr>
        <w:t>ed to the wider population of secondary school headteachers and chairs of governors in England.  It is therefore recommended that in order to allow for more definitive and adequately powered conclusions to be drawn on their views, future research is required that will focus on employing methods to obtain a larger representative sample size.</w:t>
      </w:r>
      <w:r w:rsidR="00BE756E" w:rsidRPr="009B3747">
        <w:rPr>
          <w:rFonts w:eastAsia="Times New Roman" w:cstheme="minorHAnsi"/>
          <w:color w:val="222222"/>
          <w:lang w:eastAsia="en-GB"/>
        </w:rPr>
        <w:t xml:space="preserve">  </w:t>
      </w:r>
    </w:p>
    <w:p w:rsidR="00A2591A" w:rsidRPr="009B3747" w:rsidRDefault="00A2591A" w:rsidP="00A2591A">
      <w:pPr>
        <w:rPr>
          <w:rFonts w:eastAsia="Times New Roman" w:cstheme="minorHAnsi"/>
          <w:sz w:val="24"/>
          <w:szCs w:val="24"/>
          <w:lang w:eastAsia="en-GB"/>
        </w:rPr>
      </w:pPr>
    </w:p>
    <w:p w:rsidR="00A2591A" w:rsidRPr="009B3747" w:rsidRDefault="00A2591A" w:rsidP="00A2591A">
      <w:pPr>
        <w:rPr>
          <w:rFonts w:eastAsia="Times New Roman" w:cstheme="minorHAnsi"/>
          <w:sz w:val="24"/>
          <w:szCs w:val="24"/>
          <w:lang w:eastAsia="en-GB"/>
        </w:rPr>
      </w:pPr>
      <w:r w:rsidRPr="009B3747">
        <w:rPr>
          <w:rFonts w:eastAsia="Times New Roman" w:cstheme="minorHAnsi"/>
          <w:color w:val="222222"/>
          <w:lang w:eastAsia="en-GB"/>
        </w:rPr>
        <w:t>A further recommendation centres on the potential use of data collection methods to enhance the validity and reliability of research in this area.  Whilst the questionnaire derived from qualitative findings was entirely appropriate for use in this study</w:t>
      </w:r>
      <w:r w:rsidR="001F55B9" w:rsidRPr="009B3747">
        <w:rPr>
          <w:rFonts w:eastAsia="Times New Roman" w:cstheme="minorHAnsi"/>
          <w:color w:val="222222"/>
          <w:lang w:eastAsia="en-GB"/>
        </w:rPr>
        <w:t>,</w:t>
      </w:r>
      <w:r w:rsidRPr="009B3747">
        <w:rPr>
          <w:rFonts w:eastAsia="Times New Roman" w:cstheme="minorHAnsi"/>
          <w:color w:val="222222"/>
          <w:lang w:eastAsia="en-GB"/>
        </w:rPr>
        <w:t xml:space="preserve"> an opportunity exists for developing and testing a validated tool for measuring school </w:t>
      </w:r>
      <w:r w:rsidR="00DA156A" w:rsidRPr="009B3747">
        <w:rPr>
          <w:rFonts w:eastAsia="Times New Roman" w:cstheme="minorHAnsi"/>
          <w:color w:val="222222"/>
          <w:lang w:eastAsia="en-GB"/>
        </w:rPr>
        <w:t>stakeholders’</w:t>
      </w:r>
      <w:r w:rsidRPr="009B3747">
        <w:rPr>
          <w:rFonts w:eastAsia="Times New Roman" w:cstheme="minorHAnsi"/>
          <w:color w:val="222222"/>
          <w:lang w:eastAsia="en-GB"/>
        </w:rPr>
        <w:t xml:space="preserve"> attitudes towards obesity and its prevention in childhood and adolescence.  </w:t>
      </w:r>
    </w:p>
    <w:p w:rsidR="00A2591A" w:rsidRPr="009B3747" w:rsidRDefault="00A2591A" w:rsidP="00A2591A">
      <w:pPr>
        <w:rPr>
          <w:rFonts w:eastAsia="Times New Roman" w:cstheme="minorHAnsi"/>
          <w:sz w:val="24"/>
          <w:szCs w:val="24"/>
          <w:lang w:eastAsia="en-GB"/>
        </w:rPr>
      </w:pPr>
    </w:p>
    <w:p w:rsidR="00A2591A" w:rsidRPr="009B3747" w:rsidRDefault="00A2591A" w:rsidP="00A2591A">
      <w:pPr>
        <w:rPr>
          <w:rFonts w:eastAsia="Times New Roman" w:cstheme="minorHAnsi"/>
          <w:color w:val="222222"/>
          <w:lang w:eastAsia="en-GB"/>
        </w:rPr>
      </w:pPr>
      <w:r w:rsidRPr="009B3747">
        <w:rPr>
          <w:rFonts w:eastAsia="Times New Roman" w:cstheme="minorHAnsi"/>
          <w:color w:val="222222"/>
          <w:lang w:eastAsia="en-GB"/>
        </w:rPr>
        <w:t>Given the exploratory nature of this study and the broad and diverse range of findings identified, a recommendation would be to examine in greater depth</w:t>
      </w:r>
      <w:r w:rsidR="008C1779">
        <w:rPr>
          <w:rFonts w:eastAsia="Times New Roman" w:cstheme="minorHAnsi"/>
          <w:color w:val="222222"/>
          <w:lang w:eastAsia="en-GB"/>
        </w:rPr>
        <w:t>,</w:t>
      </w:r>
      <w:r w:rsidRPr="009B3747">
        <w:rPr>
          <w:rFonts w:eastAsia="Times New Roman" w:cstheme="minorHAnsi"/>
          <w:color w:val="222222"/>
          <w:lang w:eastAsia="en-GB"/>
        </w:rPr>
        <w:t xml:space="preserve"> one of the specific issues theorised in the discussion.  For example, it may be both interesting and useful to investigate the perception of obesity prevalence by key school stakeholders across primary and secondary school settings.  Furthermore, due to the sustained contact children and adolescents have with school staff, </w:t>
      </w:r>
      <w:r w:rsidRPr="009B3747">
        <w:rPr>
          <w:rFonts w:eastAsia="Times New Roman" w:cstheme="minorHAnsi"/>
          <w:color w:val="222222"/>
          <w:lang w:eastAsia="en-GB"/>
        </w:rPr>
        <w:lastRenderedPageBreak/>
        <w:t>exploring the potential influence and impact of role modelling in schools on obesity could provide a unique and valuable contribution to the evidence base.   </w:t>
      </w:r>
    </w:p>
    <w:p w:rsidR="009E5696" w:rsidRPr="009B3747" w:rsidRDefault="009E5696" w:rsidP="00A2591A">
      <w:pPr>
        <w:rPr>
          <w:rFonts w:eastAsia="Times New Roman" w:cstheme="minorHAnsi"/>
          <w:sz w:val="24"/>
          <w:szCs w:val="24"/>
          <w:lang w:eastAsia="en-GB"/>
        </w:rPr>
      </w:pPr>
    </w:p>
    <w:p w:rsidR="00A2591A" w:rsidRPr="009B3747" w:rsidRDefault="00A2591A" w:rsidP="00A2591A">
      <w:pPr>
        <w:rPr>
          <w:rFonts w:eastAsia="Times New Roman" w:cstheme="minorHAnsi"/>
          <w:sz w:val="24"/>
          <w:szCs w:val="24"/>
          <w:lang w:eastAsia="en-GB"/>
        </w:rPr>
      </w:pPr>
      <w:r w:rsidRPr="009B3747">
        <w:rPr>
          <w:rFonts w:eastAsia="Times New Roman" w:cstheme="minorHAnsi"/>
          <w:b/>
          <w:bCs/>
          <w:color w:val="222222"/>
          <w:sz w:val="24"/>
          <w:szCs w:val="24"/>
          <w:u w:val="single"/>
          <w:lang w:eastAsia="en-GB"/>
        </w:rPr>
        <w:t>10.5 Dissemination of the study findings</w:t>
      </w:r>
    </w:p>
    <w:p w:rsidR="00A2591A" w:rsidRPr="009B3747" w:rsidRDefault="00A2591A" w:rsidP="00A2591A">
      <w:pPr>
        <w:rPr>
          <w:rFonts w:eastAsia="Times New Roman" w:cstheme="minorHAnsi"/>
          <w:sz w:val="24"/>
          <w:szCs w:val="24"/>
          <w:lang w:eastAsia="en-GB"/>
        </w:rPr>
      </w:pPr>
    </w:p>
    <w:p w:rsidR="00A2591A" w:rsidRPr="009B3747" w:rsidRDefault="00A2591A" w:rsidP="00A2591A">
      <w:pPr>
        <w:rPr>
          <w:rFonts w:eastAsia="Times New Roman" w:cstheme="minorHAnsi"/>
          <w:sz w:val="24"/>
          <w:szCs w:val="24"/>
          <w:lang w:eastAsia="en-GB"/>
        </w:rPr>
      </w:pPr>
      <w:r w:rsidRPr="009B3747">
        <w:rPr>
          <w:rFonts w:eastAsia="Times New Roman" w:cstheme="minorHAnsi"/>
          <w:color w:val="222222"/>
          <w:lang w:eastAsia="en-GB"/>
        </w:rPr>
        <w:t>The assertion that the present research is of importance to those engaged in research, policy or practice related to school based obesity prevention, implies that the findings require effective dissemination.  Effective dissemination of study findings is suggested to be a central part of the overarching research process in order to achieve impact both</w:t>
      </w:r>
      <w:r w:rsidR="001B2292" w:rsidRPr="009B3747">
        <w:rPr>
          <w:rFonts w:eastAsia="Times New Roman" w:cstheme="minorHAnsi"/>
          <w:color w:val="222222"/>
          <w:lang w:eastAsia="en-GB"/>
        </w:rPr>
        <w:t xml:space="preserve"> within and beyond academia (Bryman, 2016</w:t>
      </w:r>
      <w:r w:rsidRPr="009B3747">
        <w:rPr>
          <w:rFonts w:eastAsia="Times New Roman" w:cstheme="minorHAnsi"/>
          <w:color w:val="222222"/>
          <w:lang w:eastAsia="en-GB"/>
        </w:rPr>
        <w:t xml:space="preserve">).  Whilst it remains important to demonstrate that one’s research has made a significant empirical contribution, increasingly a crucial consideration is whether conducted research has an effect on, changes or benefits </w:t>
      </w:r>
      <w:r w:rsidRPr="009B3747">
        <w:rPr>
          <w:rFonts w:eastAsia="Times New Roman" w:cstheme="minorHAnsi"/>
          <w:i/>
          <w:color w:val="222222"/>
          <w:lang w:eastAsia="en-GB"/>
        </w:rPr>
        <w:t>"the economy, society, culture, public policy or services, health, the environment or quality of life beyond acad</w:t>
      </w:r>
      <w:r w:rsidR="00E3179E" w:rsidRPr="009B3747">
        <w:rPr>
          <w:rFonts w:eastAsia="Times New Roman" w:cstheme="minorHAnsi"/>
          <w:i/>
          <w:color w:val="222222"/>
          <w:lang w:eastAsia="en-GB"/>
        </w:rPr>
        <w:t xml:space="preserve">emia” </w:t>
      </w:r>
      <w:r w:rsidR="00E3179E" w:rsidRPr="009B3747">
        <w:rPr>
          <w:rFonts w:eastAsia="Times New Roman" w:cstheme="minorHAnsi"/>
          <w:color w:val="222222"/>
          <w:lang w:eastAsia="en-GB"/>
        </w:rPr>
        <w:t>(REF, 2011, p.</w:t>
      </w:r>
      <w:r w:rsidRPr="009B3747">
        <w:rPr>
          <w:rFonts w:eastAsia="Times New Roman" w:cstheme="minorHAnsi"/>
          <w:color w:val="222222"/>
          <w:lang w:eastAsia="en-GB"/>
        </w:rPr>
        <w:t>48).  </w:t>
      </w:r>
    </w:p>
    <w:p w:rsidR="008C1779" w:rsidRDefault="008C1779" w:rsidP="00A2591A">
      <w:pPr>
        <w:rPr>
          <w:rFonts w:eastAsia="Times New Roman" w:cstheme="minorHAnsi"/>
          <w:color w:val="222222"/>
          <w:lang w:eastAsia="en-GB"/>
        </w:rPr>
      </w:pPr>
    </w:p>
    <w:p w:rsidR="00A2591A" w:rsidRPr="009B3747" w:rsidRDefault="008C1779" w:rsidP="00A2591A">
      <w:pPr>
        <w:rPr>
          <w:rFonts w:eastAsia="Times New Roman" w:cstheme="minorHAnsi"/>
          <w:sz w:val="24"/>
          <w:szCs w:val="24"/>
          <w:lang w:eastAsia="en-GB"/>
        </w:rPr>
      </w:pPr>
      <w:r>
        <w:rPr>
          <w:rFonts w:eastAsia="Times New Roman" w:cstheme="minorHAnsi"/>
          <w:color w:val="222222"/>
          <w:lang w:eastAsia="en-GB"/>
        </w:rPr>
        <w:t>I</w:t>
      </w:r>
      <w:r w:rsidR="00A2591A" w:rsidRPr="009B3747">
        <w:rPr>
          <w:rFonts w:eastAsia="Times New Roman" w:cstheme="minorHAnsi"/>
          <w:color w:val="222222"/>
          <w:lang w:eastAsia="en-GB"/>
        </w:rPr>
        <w:t>n accordance with the Research Excellence Framework</w:t>
      </w:r>
      <w:r w:rsidR="001F55B9" w:rsidRPr="009B3747">
        <w:rPr>
          <w:rFonts w:eastAsia="Times New Roman" w:cstheme="minorHAnsi"/>
          <w:color w:val="222222"/>
          <w:lang w:eastAsia="en-GB"/>
        </w:rPr>
        <w:t xml:space="preserve"> </w:t>
      </w:r>
      <w:r w:rsidR="001F55B9" w:rsidRPr="009B3747">
        <w:rPr>
          <w:rFonts w:eastAsia="Times New Roman" w:cstheme="minorHAnsi"/>
          <w:color w:val="222222"/>
          <w:lang w:eastAsia="en-GB"/>
        </w:rPr>
        <w:fldChar w:fldCharType="begin" w:fldLock="1"/>
      </w:r>
      <w:r w:rsidR="001F55B9" w:rsidRPr="009B3747">
        <w:rPr>
          <w:rFonts w:eastAsia="Times New Roman" w:cstheme="minorHAnsi"/>
          <w:color w:val="222222"/>
          <w:lang w:eastAsia="en-GB"/>
        </w:rPr>
        <w:instrText>ADDIN CSL_CITATION { "citationItems" : [ { "id" : "ITEM-1", "itemData" : { "URL" : "http://www.ref.ac.uk/", "author" : [ { "dropping-particle" : "", "family" : "Research Excellence Framework", "given" : "", "non-dropping-particle" : "", "parse-names" : false, "suffix" : "" } ], "id" : "ITEM-1", "issued" : { "date-parts" : [ [ "2014" ] ] }, "title" : "About the REF", "type" : "webpage" }, "uris" : [ "http://www.mendeley.com/documents/?uuid=5252767a-7f94-4c0b-9fb4-85f905ca110f" ] } ], "mendeley" : { "formattedCitation" : "(Research Excellence Framework, 2014)", "plainTextFormattedCitation" : "(Research Excellence Framework, 2014)", "previouslyFormattedCitation" : "(Research Excellence Framework, 2014)" }, "properties" : { "noteIndex" : 0 }, "schema" : "https://github.com/citation-style-language/schema/raw/master/csl-citation.json" }</w:instrText>
      </w:r>
      <w:r w:rsidR="001F55B9" w:rsidRPr="009B3747">
        <w:rPr>
          <w:rFonts w:eastAsia="Times New Roman" w:cstheme="minorHAnsi"/>
          <w:color w:val="222222"/>
          <w:lang w:eastAsia="en-GB"/>
        </w:rPr>
        <w:fldChar w:fldCharType="separate"/>
      </w:r>
      <w:r w:rsidR="001F55B9" w:rsidRPr="009B3747">
        <w:rPr>
          <w:rFonts w:eastAsia="Times New Roman" w:cstheme="minorHAnsi"/>
          <w:noProof/>
          <w:color w:val="222222"/>
          <w:lang w:eastAsia="en-GB"/>
        </w:rPr>
        <w:t>(Research Excellence Framework, 2014)</w:t>
      </w:r>
      <w:r w:rsidR="001F55B9" w:rsidRPr="009B3747">
        <w:rPr>
          <w:rFonts w:eastAsia="Times New Roman" w:cstheme="minorHAnsi"/>
          <w:color w:val="222222"/>
          <w:lang w:eastAsia="en-GB"/>
        </w:rPr>
        <w:fldChar w:fldCharType="end"/>
      </w:r>
      <w:r w:rsidR="001F55B9" w:rsidRPr="009B3747">
        <w:rPr>
          <w:rFonts w:eastAsia="Times New Roman" w:cstheme="minorHAnsi"/>
          <w:color w:val="222222"/>
          <w:lang w:eastAsia="en-GB"/>
        </w:rPr>
        <w:t xml:space="preserve">, </w:t>
      </w:r>
      <w:r w:rsidR="00A2591A" w:rsidRPr="009B3747">
        <w:rPr>
          <w:rFonts w:eastAsia="Times New Roman" w:cstheme="minorHAnsi"/>
          <w:color w:val="222222"/>
          <w:lang w:eastAsia="en-GB"/>
        </w:rPr>
        <w:t>the researcher adopted the understanding that impact can relate to (although is not limited to), affecting, changing or benefiting the attitudes, awareness, behaviour, practice or policy of organisations or individuals in any geographic location.  The main priority was for the researcher to have an effect on the awareness of regional and national stakeholders who were perceived to be able to potentially benefit or have a vested interest</w:t>
      </w:r>
      <w:r w:rsidR="00DA156A" w:rsidRPr="009B3747">
        <w:rPr>
          <w:rFonts w:eastAsia="Times New Roman" w:cstheme="minorHAnsi"/>
          <w:color w:val="222222"/>
          <w:lang w:eastAsia="en-GB"/>
        </w:rPr>
        <w:t xml:space="preserve"> in the study findings, namely:</w:t>
      </w:r>
      <w:r w:rsidR="00A2591A" w:rsidRPr="009B3747">
        <w:rPr>
          <w:rFonts w:eastAsia="Times New Roman" w:cstheme="minorHAnsi"/>
          <w:color w:val="222222"/>
          <w:lang w:eastAsia="en-GB"/>
        </w:rPr>
        <w:t xml:space="preserve"> </w:t>
      </w:r>
    </w:p>
    <w:p w:rsidR="00A2591A" w:rsidRPr="009B3747" w:rsidRDefault="00A2591A" w:rsidP="00A2591A">
      <w:pPr>
        <w:rPr>
          <w:rFonts w:eastAsia="Times New Roman" w:cstheme="minorHAnsi"/>
          <w:sz w:val="24"/>
          <w:szCs w:val="24"/>
          <w:lang w:eastAsia="en-GB"/>
        </w:rPr>
      </w:pPr>
    </w:p>
    <w:p w:rsidR="00A2591A" w:rsidRPr="009B3747" w:rsidRDefault="00A2591A" w:rsidP="00C27072">
      <w:pPr>
        <w:numPr>
          <w:ilvl w:val="0"/>
          <w:numId w:val="123"/>
        </w:numPr>
        <w:textAlignment w:val="baseline"/>
        <w:rPr>
          <w:rFonts w:eastAsia="Times New Roman" w:cstheme="minorHAnsi"/>
          <w:color w:val="222222"/>
          <w:lang w:eastAsia="en-GB"/>
        </w:rPr>
      </w:pPr>
      <w:r w:rsidRPr="009B3747">
        <w:rPr>
          <w:rFonts w:eastAsia="Times New Roman" w:cstheme="minorHAnsi"/>
          <w:color w:val="222222"/>
          <w:lang w:eastAsia="en-GB"/>
        </w:rPr>
        <w:t>Participants of the research</w:t>
      </w:r>
    </w:p>
    <w:p w:rsidR="00A2591A" w:rsidRPr="009B3747" w:rsidRDefault="00A2591A" w:rsidP="00C27072">
      <w:pPr>
        <w:numPr>
          <w:ilvl w:val="0"/>
          <w:numId w:val="123"/>
        </w:numPr>
        <w:textAlignment w:val="baseline"/>
        <w:rPr>
          <w:rFonts w:eastAsia="Times New Roman" w:cstheme="minorHAnsi"/>
          <w:color w:val="222222"/>
          <w:lang w:eastAsia="en-GB"/>
        </w:rPr>
      </w:pPr>
      <w:r w:rsidRPr="009B3747">
        <w:rPr>
          <w:rFonts w:eastAsia="Times New Roman" w:cstheme="minorHAnsi"/>
          <w:color w:val="222222"/>
          <w:lang w:eastAsia="en-GB"/>
        </w:rPr>
        <w:t>The academic research community</w:t>
      </w:r>
    </w:p>
    <w:p w:rsidR="00A2591A" w:rsidRPr="009B3747" w:rsidRDefault="00A2591A" w:rsidP="00C27072">
      <w:pPr>
        <w:numPr>
          <w:ilvl w:val="0"/>
          <w:numId w:val="123"/>
        </w:numPr>
        <w:textAlignment w:val="baseline"/>
        <w:rPr>
          <w:rFonts w:eastAsia="Times New Roman" w:cstheme="minorHAnsi"/>
          <w:color w:val="222222"/>
          <w:lang w:eastAsia="en-GB"/>
        </w:rPr>
      </w:pPr>
      <w:r w:rsidRPr="009B3747">
        <w:rPr>
          <w:rFonts w:eastAsia="Times New Roman" w:cstheme="minorHAnsi"/>
          <w:color w:val="222222"/>
          <w:lang w:eastAsia="en-GB"/>
        </w:rPr>
        <w:t>Leadership and governance professionals engaged in secondary school settings</w:t>
      </w:r>
    </w:p>
    <w:p w:rsidR="00A2591A" w:rsidRPr="009B3747" w:rsidRDefault="00A2591A" w:rsidP="00C27072">
      <w:pPr>
        <w:numPr>
          <w:ilvl w:val="0"/>
          <w:numId w:val="123"/>
        </w:numPr>
        <w:textAlignment w:val="baseline"/>
        <w:rPr>
          <w:rFonts w:eastAsia="Times New Roman" w:cstheme="minorHAnsi"/>
          <w:color w:val="222222"/>
          <w:lang w:eastAsia="en-GB"/>
        </w:rPr>
      </w:pPr>
      <w:r w:rsidRPr="009B3747">
        <w:rPr>
          <w:rFonts w:eastAsia="Times New Roman" w:cstheme="minorHAnsi"/>
          <w:color w:val="222222"/>
          <w:lang w:eastAsia="en-GB"/>
        </w:rPr>
        <w:t>Public health specialists</w:t>
      </w:r>
    </w:p>
    <w:p w:rsidR="00A2591A" w:rsidRPr="009B3747" w:rsidRDefault="00A2591A" w:rsidP="00C27072">
      <w:pPr>
        <w:numPr>
          <w:ilvl w:val="0"/>
          <w:numId w:val="123"/>
        </w:numPr>
        <w:textAlignment w:val="baseline"/>
        <w:rPr>
          <w:rFonts w:eastAsia="Times New Roman" w:cstheme="minorHAnsi"/>
          <w:color w:val="222222"/>
          <w:lang w:eastAsia="en-GB"/>
        </w:rPr>
      </w:pPr>
      <w:r w:rsidRPr="009B3747">
        <w:rPr>
          <w:rFonts w:eastAsia="Times New Roman" w:cstheme="minorHAnsi"/>
          <w:color w:val="222222"/>
          <w:lang w:eastAsia="en-GB"/>
        </w:rPr>
        <w:t>Policy makers with a remit for school health or obesity prevention</w:t>
      </w:r>
    </w:p>
    <w:p w:rsidR="00A2591A" w:rsidRPr="009B3747" w:rsidRDefault="00A2591A" w:rsidP="00A2591A">
      <w:pPr>
        <w:rPr>
          <w:rFonts w:eastAsia="Times New Roman" w:cstheme="minorHAnsi"/>
          <w:sz w:val="24"/>
          <w:szCs w:val="24"/>
          <w:lang w:eastAsia="en-GB"/>
        </w:rPr>
      </w:pPr>
    </w:p>
    <w:p w:rsidR="00A2591A" w:rsidRPr="009B3747" w:rsidRDefault="00A2591A" w:rsidP="00A2591A">
      <w:pPr>
        <w:rPr>
          <w:rFonts w:eastAsia="Times New Roman" w:cstheme="minorHAnsi"/>
          <w:sz w:val="24"/>
          <w:szCs w:val="24"/>
          <w:lang w:eastAsia="en-GB"/>
        </w:rPr>
      </w:pPr>
      <w:r w:rsidRPr="009B3747">
        <w:rPr>
          <w:rFonts w:eastAsia="Times New Roman" w:cstheme="minorHAnsi"/>
          <w:color w:val="222222"/>
          <w:lang w:eastAsia="en-GB"/>
        </w:rPr>
        <w:t xml:space="preserve">To guide the approach for disseminating the research to the above key stakeholders, the researcher reflected upon the five questions posed within the Impact Planning Toolkit </w:t>
      </w:r>
      <w:r w:rsidR="001F55B9" w:rsidRPr="009B3747">
        <w:rPr>
          <w:rFonts w:eastAsia="Times New Roman" w:cstheme="minorHAnsi"/>
          <w:color w:val="222222"/>
          <w:lang w:eastAsia="en-GB"/>
        </w:rPr>
        <w:fldChar w:fldCharType="begin" w:fldLock="1"/>
      </w:r>
      <w:r w:rsidR="009C2ECF" w:rsidRPr="009B3747">
        <w:rPr>
          <w:rFonts w:eastAsia="Times New Roman" w:cstheme="minorHAnsi"/>
          <w:color w:val="222222"/>
          <w:lang w:eastAsia="en-GB"/>
        </w:rPr>
        <w:instrText>ADDIN CSL_CITATION { "citationItems" : [ { "id" : "ITEM-1", "itemData" : { "URL" : "https://www.sheffield.ac.uk/ris/impact/planning_toolkit", "accessed" : { "date-parts" : [ [ "2017", "2", "7" ] ] }, "author" : [ { "dropping-particle" : "", "family" : "The University of Sheffield", "given" : "", "non-dropping-particle" : "", "parse-names" : false, "suffix" : "" } ], "container-title" : "The University of Sheffield", "id" : "ITEM-1", "issued" : { "date-parts" : [ [ "2017" ] ] }, "title" : "Impact planning toolkit", "type" : "webpage" }, "uris" : [ "http://www.mendeley.com/documents/?uuid=2ac6e7b1-2f2f-454d-afd5-253ce0a33f43" ] } ], "mendeley" : { "formattedCitation" : "(The University of Sheffield, 2017)", "plainTextFormattedCitation" : "(The University of Sheffield, 2017)", "previouslyFormattedCitation" : "(The University of Sheffield, 2017)" }, "properties" : { "noteIndex" : 0 }, "schema" : "https://github.com/citation-style-language/schema/raw/master/csl-citation.json" }</w:instrText>
      </w:r>
      <w:r w:rsidR="001F55B9" w:rsidRPr="009B3747">
        <w:rPr>
          <w:rFonts w:eastAsia="Times New Roman" w:cstheme="minorHAnsi"/>
          <w:color w:val="222222"/>
          <w:lang w:eastAsia="en-GB"/>
        </w:rPr>
        <w:fldChar w:fldCharType="separate"/>
      </w:r>
      <w:r w:rsidR="001F55B9" w:rsidRPr="009B3747">
        <w:rPr>
          <w:rFonts w:eastAsia="Times New Roman" w:cstheme="minorHAnsi"/>
          <w:noProof/>
          <w:color w:val="222222"/>
          <w:lang w:eastAsia="en-GB"/>
        </w:rPr>
        <w:t>(The University of Sheffield, 2017)</w:t>
      </w:r>
      <w:r w:rsidR="001F55B9" w:rsidRPr="009B3747">
        <w:rPr>
          <w:rFonts w:eastAsia="Times New Roman" w:cstheme="minorHAnsi"/>
          <w:color w:val="222222"/>
          <w:lang w:eastAsia="en-GB"/>
        </w:rPr>
        <w:fldChar w:fldCharType="end"/>
      </w:r>
      <w:r w:rsidR="001F55B9" w:rsidRPr="009B3747">
        <w:rPr>
          <w:rFonts w:eastAsia="Times New Roman" w:cstheme="minorHAnsi"/>
          <w:color w:val="222222"/>
          <w:lang w:eastAsia="en-GB"/>
        </w:rPr>
        <w:t xml:space="preserve">.  </w:t>
      </w:r>
      <w:r w:rsidRPr="009B3747">
        <w:rPr>
          <w:rFonts w:eastAsia="Times New Roman" w:cstheme="minorHAnsi"/>
          <w:color w:val="222222"/>
          <w:lang w:eastAsia="en-GB"/>
        </w:rPr>
        <w:t>Consequently, several actions are planned and are in process of being undertaken at the point of thesis submission in order to effect</w:t>
      </w:r>
      <w:r w:rsidR="00DA156A" w:rsidRPr="009B3747">
        <w:rPr>
          <w:rFonts w:eastAsia="Times New Roman" w:cstheme="minorHAnsi"/>
          <w:color w:val="222222"/>
          <w:lang w:eastAsia="en-GB"/>
        </w:rPr>
        <w:t>ively disseminate the research:</w:t>
      </w:r>
      <w:r w:rsidRPr="009B3747">
        <w:rPr>
          <w:rFonts w:eastAsia="Times New Roman" w:cstheme="minorHAnsi"/>
          <w:color w:val="222222"/>
          <w:lang w:eastAsia="en-GB"/>
        </w:rPr>
        <w:t xml:space="preserve"> </w:t>
      </w:r>
    </w:p>
    <w:p w:rsidR="00A2591A" w:rsidRPr="009B3747" w:rsidRDefault="00A2591A" w:rsidP="00A2591A">
      <w:pPr>
        <w:rPr>
          <w:rFonts w:eastAsia="Times New Roman" w:cstheme="minorHAnsi"/>
          <w:sz w:val="24"/>
          <w:szCs w:val="24"/>
          <w:lang w:eastAsia="en-GB"/>
        </w:rPr>
      </w:pPr>
    </w:p>
    <w:p w:rsidR="00AC4D6A" w:rsidRPr="009B3747" w:rsidRDefault="00A2591A" w:rsidP="00C27072">
      <w:pPr>
        <w:numPr>
          <w:ilvl w:val="0"/>
          <w:numId w:val="124"/>
        </w:numPr>
        <w:tabs>
          <w:tab w:val="clear" w:pos="720"/>
          <w:tab w:val="num" w:pos="426"/>
        </w:tabs>
        <w:ind w:left="426" w:hanging="284"/>
        <w:textAlignment w:val="baseline"/>
        <w:rPr>
          <w:rFonts w:eastAsia="Times New Roman" w:cstheme="minorHAnsi"/>
          <w:color w:val="000000" w:themeColor="text1"/>
          <w:lang w:eastAsia="en-GB"/>
        </w:rPr>
      </w:pPr>
      <w:r w:rsidRPr="009B3747">
        <w:rPr>
          <w:rFonts w:eastAsia="Times New Roman" w:cstheme="minorHAnsi"/>
          <w:color w:val="222222"/>
          <w:lang w:eastAsia="en-GB"/>
        </w:rPr>
        <w:t xml:space="preserve">As confirmed to participants during the process of conducting semi-structured interviews, a summary of the study findings will be personally emailed to all those who took part in the first </w:t>
      </w:r>
      <w:r w:rsidRPr="009B3747">
        <w:rPr>
          <w:rFonts w:eastAsia="Times New Roman" w:cstheme="minorHAnsi"/>
          <w:color w:val="222222"/>
          <w:lang w:eastAsia="en-GB"/>
        </w:rPr>
        <w:lastRenderedPageBreak/>
        <w:t xml:space="preserve">phase of the study.  Furthermore, a brief overview of the study and summary of resultant findings will be distributed to the census of secondary schools (via contact information within </w:t>
      </w:r>
      <w:r w:rsidRPr="009B3747">
        <w:rPr>
          <w:rFonts w:eastAsia="Times New Roman" w:cstheme="minorHAnsi"/>
          <w:color w:val="000000" w:themeColor="text1"/>
          <w:lang w:eastAsia="en-GB"/>
        </w:rPr>
        <w:t>the Edubase database)</w:t>
      </w:r>
      <w:r w:rsidR="00DA156A" w:rsidRPr="009B3747">
        <w:rPr>
          <w:rFonts w:eastAsia="Times New Roman" w:cstheme="minorHAnsi"/>
          <w:color w:val="000000" w:themeColor="text1"/>
          <w:lang w:eastAsia="en-GB"/>
        </w:rPr>
        <w:t>.</w:t>
      </w:r>
    </w:p>
    <w:p w:rsidR="00AC4D6A" w:rsidRPr="009B3747" w:rsidRDefault="00AC4D6A" w:rsidP="00AC4D6A">
      <w:pPr>
        <w:ind w:left="426"/>
        <w:textAlignment w:val="baseline"/>
        <w:rPr>
          <w:rFonts w:eastAsia="Times New Roman" w:cstheme="minorHAnsi"/>
          <w:color w:val="000000" w:themeColor="text1"/>
          <w:lang w:eastAsia="en-GB"/>
        </w:rPr>
      </w:pPr>
    </w:p>
    <w:p w:rsidR="00AC4D6A" w:rsidRPr="009B3747" w:rsidRDefault="00AC4D6A" w:rsidP="00C27072">
      <w:pPr>
        <w:numPr>
          <w:ilvl w:val="0"/>
          <w:numId w:val="124"/>
        </w:numPr>
        <w:tabs>
          <w:tab w:val="clear" w:pos="720"/>
          <w:tab w:val="num" w:pos="426"/>
        </w:tabs>
        <w:ind w:left="426" w:hanging="284"/>
        <w:textAlignment w:val="baseline"/>
        <w:rPr>
          <w:rFonts w:eastAsia="Times New Roman" w:cstheme="minorHAnsi"/>
          <w:color w:val="000000" w:themeColor="text1"/>
          <w:lang w:eastAsia="en-GB"/>
        </w:rPr>
      </w:pPr>
      <w:r w:rsidRPr="009B3747">
        <w:rPr>
          <w:rFonts w:eastAsia="Times New Roman" w:cstheme="minorHAnsi"/>
          <w:color w:val="000000" w:themeColor="text1"/>
          <w:lang w:eastAsia="en-GB"/>
        </w:rPr>
        <w:t>Two</w:t>
      </w:r>
      <w:r w:rsidR="00A2591A" w:rsidRPr="009B3747">
        <w:rPr>
          <w:rFonts w:eastAsia="Times New Roman" w:cstheme="minorHAnsi"/>
          <w:color w:val="000000" w:themeColor="text1"/>
          <w:lang w:eastAsia="en-GB"/>
        </w:rPr>
        <w:t xml:space="preserve"> separate </w:t>
      </w:r>
      <w:r w:rsidR="003E279B" w:rsidRPr="009B3747">
        <w:rPr>
          <w:rFonts w:eastAsia="Times New Roman" w:cstheme="minorHAnsi"/>
          <w:color w:val="000000" w:themeColor="text1"/>
          <w:lang w:eastAsia="en-GB"/>
        </w:rPr>
        <w:t xml:space="preserve">academic papers </w:t>
      </w:r>
      <w:r w:rsidR="00A2591A" w:rsidRPr="009B3747">
        <w:rPr>
          <w:rFonts w:eastAsia="Times New Roman" w:cstheme="minorHAnsi"/>
          <w:color w:val="000000" w:themeColor="text1"/>
          <w:lang w:eastAsia="en-GB"/>
        </w:rPr>
        <w:t>resulting from this research are currently be</w:t>
      </w:r>
      <w:r w:rsidRPr="009B3747">
        <w:rPr>
          <w:rFonts w:eastAsia="Times New Roman" w:cstheme="minorHAnsi"/>
          <w:color w:val="000000" w:themeColor="text1"/>
          <w:lang w:eastAsia="en-GB"/>
        </w:rPr>
        <w:t xml:space="preserve">ing written for submission to </w:t>
      </w:r>
      <w:r w:rsidR="00A2591A" w:rsidRPr="009B3747">
        <w:rPr>
          <w:rFonts w:eastAsia="Times New Roman" w:cstheme="minorHAnsi"/>
          <w:color w:val="000000" w:themeColor="text1"/>
          <w:lang w:eastAsia="en-GB"/>
        </w:rPr>
        <w:t>peer reviewed journal</w:t>
      </w:r>
      <w:r w:rsidR="003E279B" w:rsidRPr="009B3747">
        <w:rPr>
          <w:rFonts w:eastAsia="Times New Roman" w:cstheme="minorHAnsi"/>
          <w:color w:val="000000" w:themeColor="text1"/>
          <w:lang w:eastAsia="en-GB"/>
        </w:rPr>
        <w:t>s.  The first paper relates t</w:t>
      </w:r>
      <w:r w:rsidRPr="009B3747">
        <w:rPr>
          <w:rFonts w:eastAsia="Times New Roman" w:cstheme="minorHAnsi"/>
          <w:color w:val="000000" w:themeColor="text1"/>
          <w:lang w:eastAsia="en-GB"/>
        </w:rPr>
        <w:t>o the</w:t>
      </w:r>
      <w:r w:rsidR="003E279B" w:rsidRPr="009B3747">
        <w:rPr>
          <w:rFonts w:eastAsia="Times New Roman" w:cstheme="minorHAnsi"/>
          <w:color w:val="000000" w:themeColor="text1"/>
          <w:lang w:eastAsia="en-GB"/>
        </w:rPr>
        <w:t xml:space="preserve"> conducted s</w:t>
      </w:r>
      <w:r w:rsidR="00A2591A" w:rsidRPr="009B3747">
        <w:rPr>
          <w:rFonts w:eastAsia="Times New Roman" w:cstheme="minorHAnsi"/>
          <w:color w:val="000000" w:themeColor="text1"/>
          <w:lang w:eastAsia="en-GB"/>
        </w:rPr>
        <w:t>ystematic review and qualitative synthesis (registere</w:t>
      </w:r>
      <w:r w:rsidR="003E279B" w:rsidRPr="009B3747">
        <w:rPr>
          <w:rFonts w:eastAsia="Times New Roman" w:cstheme="minorHAnsi"/>
          <w:color w:val="000000" w:themeColor="text1"/>
          <w:lang w:eastAsia="en-GB"/>
        </w:rPr>
        <w:t>d on PROSPERO as of June 2017).  The seco</w:t>
      </w:r>
      <w:r w:rsidR="00764E98" w:rsidRPr="009B3747">
        <w:rPr>
          <w:rFonts w:eastAsia="Times New Roman" w:cstheme="minorHAnsi"/>
          <w:color w:val="000000" w:themeColor="text1"/>
          <w:lang w:eastAsia="en-GB"/>
        </w:rPr>
        <w:t>nd, details the mixed methods employed and resultant findings obtained for the doctoral study.</w:t>
      </w:r>
    </w:p>
    <w:p w:rsidR="00AC4D6A" w:rsidRPr="009B3747" w:rsidRDefault="00AC4D6A" w:rsidP="00AC4D6A">
      <w:pPr>
        <w:pStyle w:val="ListParagraph"/>
        <w:rPr>
          <w:rFonts w:eastAsia="Times New Roman" w:cstheme="minorHAnsi"/>
          <w:color w:val="000000" w:themeColor="text1"/>
          <w:lang w:eastAsia="en-GB"/>
        </w:rPr>
      </w:pPr>
    </w:p>
    <w:p w:rsidR="00AC4D6A" w:rsidRPr="009B3747" w:rsidRDefault="00A2591A" w:rsidP="00C27072">
      <w:pPr>
        <w:numPr>
          <w:ilvl w:val="0"/>
          <w:numId w:val="124"/>
        </w:numPr>
        <w:tabs>
          <w:tab w:val="clear" w:pos="720"/>
          <w:tab w:val="num" w:pos="426"/>
        </w:tabs>
        <w:ind w:left="426" w:hanging="284"/>
        <w:textAlignment w:val="baseline"/>
        <w:rPr>
          <w:rFonts w:eastAsia="Times New Roman" w:cstheme="minorHAnsi"/>
          <w:color w:val="222222"/>
          <w:lang w:eastAsia="en-GB"/>
        </w:rPr>
      </w:pPr>
      <w:r w:rsidRPr="009B3747">
        <w:rPr>
          <w:rFonts w:eastAsia="Times New Roman" w:cstheme="minorHAnsi"/>
          <w:color w:val="000000" w:themeColor="text1"/>
          <w:lang w:eastAsia="en-GB"/>
        </w:rPr>
        <w:t xml:space="preserve">A brief overview of the study and summary of resultant findings will be sent to the national associations and professional organisations </w:t>
      </w:r>
      <w:r w:rsidRPr="009B3747">
        <w:rPr>
          <w:rFonts w:eastAsia="Times New Roman" w:cstheme="minorHAnsi"/>
          <w:color w:val="222222"/>
          <w:lang w:eastAsia="en-GB"/>
        </w:rPr>
        <w:t>representing headteachers and chairs of governors with a request for dissemination among their members.</w:t>
      </w:r>
    </w:p>
    <w:p w:rsidR="00AC4D6A" w:rsidRPr="009B3747" w:rsidRDefault="00AC4D6A" w:rsidP="00AC4D6A">
      <w:pPr>
        <w:pStyle w:val="ListParagraph"/>
        <w:rPr>
          <w:rFonts w:eastAsia="Times New Roman" w:cstheme="minorHAnsi"/>
          <w:color w:val="000000"/>
          <w:lang w:eastAsia="en-GB"/>
        </w:rPr>
      </w:pPr>
    </w:p>
    <w:p w:rsidR="00AC4D6A" w:rsidRPr="009B3747" w:rsidRDefault="00A2591A" w:rsidP="00C27072">
      <w:pPr>
        <w:numPr>
          <w:ilvl w:val="0"/>
          <w:numId w:val="124"/>
        </w:numPr>
        <w:tabs>
          <w:tab w:val="clear" w:pos="720"/>
          <w:tab w:val="num" w:pos="426"/>
        </w:tabs>
        <w:ind w:left="426" w:hanging="284"/>
        <w:textAlignment w:val="baseline"/>
        <w:rPr>
          <w:rFonts w:eastAsia="Times New Roman" w:cstheme="minorHAnsi"/>
          <w:color w:val="222222"/>
          <w:lang w:eastAsia="en-GB"/>
        </w:rPr>
      </w:pPr>
      <w:r w:rsidRPr="009B3747">
        <w:rPr>
          <w:rFonts w:eastAsia="Times New Roman" w:cstheme="minorHAnsi"/>
          <w:color w:val="000000"/>
          <w:lang w:eastAsia="en-GB"/>
        </w:rPr>
        <w:t>Upon successful publication in a peer reviewed journal, it is envisaged that a press release will be drafted from the University of Sheffield’s Corporate Communication’s team in order for the findings to be distributed across the regional and national media outlets.  In addition, a copy of the publication will be</w:t>
      </w:r>
      <w:r w:rsidR="00AC4D6A" w:rsidRPr="009B3747">
        <w:rPr>
          <w:rFonts w:eastAsia="Times New Roman" w:cstheme="minorHAnsi"/>
          <w:color w:val="000000"/>
          <w:lang w:eastAsia="en-GB"/>
        </w:rPr>
        <w:t xml:space="preserve"> </w:t>
      </w:r>
      <w:r w:rsidR="00AC4D6A" w:rsidRPr="009B3747">
        <w:rPr>
          <w:rFonts w:cstheme="minorHAnsi"/>
        </w:rPr>
        <w:t>deposited in the open access White Rose Research Repository</w:t>
      </w:r>
      <w:r w:rsidR="00AC4D6A" w:rsidRPr="009B3747">
        <w:rPr>
          <w:rFonts w:eastAsia="Times New Roman" w:cstheme="minorHAnsi"/>
          <w:color w:val="000000"/>
          <w:lang w:eastAsia="en-GB"/>
        </w:rPr>
        <w:t>.</w:t>
      </w:r>
    </w:p>
    <w:p w:rsidR="00AC4D6A" w:rsidRPr="009B3747" w:rsidRDefault="00AC4D6A" w:rsidP="00AC4D6A">
      <w:pPr>
        <w:pStyle w:val="ListParagraph"/>
        <w:rPr>
          <w:rFonts w:eastAsia="Times New Roman" w:cstheme="minorHAnsi"/>
          <w:color w:val="222222"/>
          <w:lang w:eastAsia="en-GB"/>
        </w:rPr>
      </w:pPr>
    </w:p>
    <w:p w:rsidR="00AC4D6A" w:rsidRPr="009B3747" w:rsidRDefault="00A2591A" w:rsidP="00C27072">
      <w:pPr>
        <w:numPr>
          <w:ilvl w:val="0"/>
          <w:numId w:val="124"/>
        </w:numPr>
        <w:tabs>
          <w:tab w:val="clear" w:pos="720"/>
          <w:tab w:val="num" w:pos="426"/>
        </w:tabs>
        <w:ind w:left="426" w:hanging="284"/>
        <w:textAlignment w:val="baseline"/>
        <w:rPr>
          <w:rFonts w:eastAsia="Times New Roman" w:cstheme="minorHAnsi"/>
          <w:color w:val="222222"/>
          <w:lang w:eastAsia="en-GB"/>
        </w:rPr>
      </w:pPr>
      <w:r w:rsidRPr="009B3747">
        <w:rPr>
          <w:rFonts w:eastAsia="Times New Roman" w:cstheme="minorHAnsi"/>
          <w:color w:val="222222"/>
          <w:lang w:eastAsia="en-GB"/>
        </w:rPr>
        <w:t>Following the release of the Childhood obesity strategy (HM Government, 2016) the researcher has developed direct communication with the Deputy Director for Surveys and Evaluation at Ofsted.  Given Ofsted’s proposed involvement in school based obesity related preventative action (HM Government, 2016), they have asked that their attention be directed to any published research resulting from this study.  </w:t>
      </w:r>
    </w:p>
    <w:p w:rsidR="00AC4D6A" w:rsidRPr="009B3747" w:rsidRDefault="00AC4D6A" w:rsidP="00AC4D6A">
      <w:pPr>
        <w:pStyle w:val="ListParagraph"/>
        <w:rPr>
          <w:rFonts w:eastAsia="Times New Roman" w:cstheme="minorHAnsi"/>
          <w:color w:val="222222"/>
          <w:lang w:eastAsia="en-GB"/>
        </w:rPr>
      </w:pPr>
    </w:p>
    <w:p w:rsidR="00467CB0" w:rsidRPr="009B3747" w:rsidRDefault="00A2591A" w:rsidP="00C27072">
      <w:pPr>
        <w:numPr>
          <w:ilvl w:val="0"/>
          <w:numId w:val="124"/>
        </w:numPr>
        <w:tabs>
          <w:tab w:val="clear" w:pos="720"/>
          <w:tab w:val="num" w:pos="426"/>
        </w:tabs>
        <w:ind w:left="426" w:hanging="284"/>
        <w:textAlignment w:val="baseline"/>
        <w:rPr>
          <w:rFonts w:eastAsia="Times New Roman" w:cstheme="minorHAnsi"/>
          <w:color w:val="222222"/>
          <w:lang w:eastAsia="en-GB"/>
        </w:rPr>
      </w:pPr>
      <w:r w:rsidRPr="009B3747">
        <w:rPr>
          <w:rFonts w:eastAsia="Times New Roman" w:cstheme="minorHAnsi"/>
          <w:color w:val="222222"/>
          <w:lang w:eastAsia="en-GB"/>
        </w:rPr>
        <w:t xml:space="preserve">Published research findings are planned to be sent directly to the </w:t>
      </w:r>
      <w:r w:rsidRPr="009B3747">
        <w:rPr>
          <w:rFonts w:eastAsia="Times New Roman" w:cstheme="minorHAnsi"/>
          <w:color w:val="222222"/>
          <w:shd w:val="clear" w:color="auto" w:fill="FFFFFF"/>
          <w:lang w:eastAsia="en-GB"/>
        </w:rPr>
        <w:t>Team leader for Obesity and Healthy weight within Public Health England.</w:t>
      </w:r>
    </w:p>
    <w:p w:rsidR="00467CB0" w:rsidRPr="009B3747" w:rsidRDefault="00467CB0" w:rsidP="00467CB0">
      <w:pPr>
        <w:pStyle w:val="ListParagraph"/>
        <w:rPr>
          <w:rFonts w:eastAsia="Times New Roman" w:cstheme="minorHAnsi"/>
          <w:color w:val="222222"/>
          <w:lang w:eastAsia="en-GB"/>
        </w:rPr>
      </w:pPr>
    </w:p>
    <w:p w:rsidR="005F2FF6" w:rsidRPr="009B3747" w:rsidRDefault="00467CB0" w:rsidP="00C27072">
      <w:pPr>
        <w:numPr>
          <w:ilvl w:val="0"/>
          <w:numId w:val="124"/>
        </w:numPr>
        <w:tabs>
          <w:tab w:val="clear" w:pos="720"/>
          <w:tab w:val="num" w:pos="426"/>
        </w:tabs>
        <w:ind w:left="426" w:hanging="284"/>
        <w:textAlignment w:val="baseline"/>
        <w:rPr>
          <w:rFonts w:eastAsia="Times New Roman" w:cstheme="minorHAnsi"/>
          <w:color w:val="222222"/>
          <w:lang w:eastAsia="en-GB"/>
        </w:rPr>
      </w:pPr>
      <w:r w:rsidRPr="009B3747">
        <w:rPr>
          <w:rFonts w:eastAsia="Times New Roman" w:cstheme="minorHAnsi"/>
          <w:color w:val="222222"/>
          <w:lang w:eastAsia="en-GB"/>
        </w:rPr>
        <w:t xml:space="preserve">The researcher is intending on submitting an abstract to </w:t>
      </w:r>
      <w:r w:rsidR="005F2FF6" w:rsidRPr="009B3747">
        <w:rPr>
          <w:rFonts w:eastAsia="Times New Roman" w:cstheme="minorHAnsi"/>
          <w:color w:val="222222"/>
          <w:lang w:eastAsia="en-GB"/>
        </w:rPr>
        <w:t>various conferences being</w:t>
      </w:r>
      <w:r w:rsidR="00DA156A" w:rsidRPr="009B3747">
        <w:rPr>
          <w:rFonts w:eastAsia="Times New Roman" w:cstheme="minorHAnsi"/>
          <w:color w:val="222222"/>
          <w:lang w:eastAsia="en-GB"/>
        </w:rPr>
        <w:t xml:space="preserve"> held throughout 2018, namely:</w:t>
      </w:r>
    </w:p>
    <w:p w:rsidR="005F2FF6" w:rsidRPr="009B3747" w:rsidRDefault="005F2FF6" w:rsidP="005F2FF6">
      <w:pPr>
        <w:pStyle w:val="ListParagraph"/>
        <w:textAlignment w:val="baseline"/>
        <w:rPr>
          <w:rFonts w:eastAsia="Times New Roman" w:cstheme="minorHAnsi"/>
          <w:color w:val="222222"/>
          <w:lang w:eastAsia="en-GB"/>
        </w:rPr>
      </w:pPr>
    </w:p>
    <w:p w:rsidR="005F2FF6" w:rsidRPr="009B3747" w:rsidRDefault="005F2FF6" w:rsidP="00C27072">
      <w:pPr>
        <w:pStyle w:val="ListParagraph"/>
        <w:numPr>
          <w:ilvl w:val="0"/>
          <w:numId w:val="154"/>
        </w:numPr>
        <w:textAlignment w:val="baseline"/>
        <w:rPr>
          <w:rFonts w:eastAsia="Times New Roman" w:cstheme="minorHAnsi"/>
          <w:color w:val="222222"/>
          <w:lang w:eastAsia="en-GB"/>
        </w:rPr>
      </w:pPr>
      <w:r w:rsidRPr="009B3747">
        <w:rPr>
          <w:rFonts w:eastAsia="Times New Roman" w:cstheme="minorHAnsi"/>
          <w:color w:val="222222"/>
          <w:lang w:eastAsia="en-GB"/>
        </w:rPr>
        <w:t>T</w:t>
      </w:r>
      <w:r w:rsidR="00467CB0" w:rsidRPr="009B3747">
        <w:rPr>
          <w:rFonts w:eastAsia="Times New Roman" w:cstheme="minorHAnsi"/>
          <w:color w:val="222222"/>
          <w:lang w:eastAsia="en-GB"/>
        </w:rPr>
        <w:t xml:space="preserve">he 20th International </w:t>
      </w:r>
      <w:r w:rsidRPr="009B3747">
        <w:rPr>
          <w:rFonts w:eastAsia="Times New Roman" w:cstheme="minorHAnsi"/>
          <w:color w:val="222222"/>
          <w:lang w:eastAsia="en-GB"/>
        </w:rPr>
        <w:t>Conference on Obesity (May 2018 in London</w:t>
      </w:r>
      <w:r w:rsidR="00467CB0" w:rsidRPr="009B3747">
        <w:rPr>
          <w:rFonts w:eastAsia="Times New Roman" w:cstheme="minorHAnsi"/>
          <w:color w:val="222222"/>
          <w:lang w:eastAsia="en-GB"/>
        </w:rPr>
        <w:t xml:space="preserve">) </w:t>
      </w:r>
    </w:p>
    <w:p w:rsidR="005F2FF6" w:rsidRPr="009B3747" w:rsidRDefault="00467CB0" w:rsidP="00C27072">
      <w:pPr>
        <w:pStyle w:val="ListParagraph"/>
        <w:numPr>
          <w:ilvl w:val="0"/>
          <w:numId w:val="154"/>
        </w:numPr>
        <w:textAlignment w:val="baseline"/>
        <w:rPr>
          <w:rFonts w:eastAsia="Times New Roman" w:cstheme="minorHAnsi"/>
          <w:color w:val="222222"/>
          <w:lang w:eastAsia="en-GB"/>
        </w:rPr>
      </w:pPr>
      <w:r w:rsidRPr="009B3747">
        <w:rPr>
          <w:rFonts w:eastAsia="Times New Roman" w:cstheme="minorHAnsi"/>
          <w:color w:val="222222"/>
          <w:lang w:eastAsia="en-GB"/>
        </w:rPr>
        <w:t>The European Association for the Study of Obesity</w:t>
      </w:r>
      <w:r w:rsidR="00DA156A" w:rsidRPr="009B3747">
        <w:rPr>
          <w:rFonts w:eastAsia="Times New Roman" w:cstheme="minorHAnsi"/>
          <w:color w:val="222222"/>
          <w:lang w:eastAsia="en-GB"/>
        </w:rPr>
        <w:t xml:space="preserve"> (May 2018 in Vienna)</w:t>
      </w:r>
      <w:r w:rsidR="005F2FF6" w:rsidRPr="009B3747">
        <w:rPr>
          <w:rFonts w:eastAsia="Times New Roman" w:cstheme="minorHAnsi"/>
          <w:color w:val="222222"/>
          <w:lang w:eastAsia="en-GB"/>
        </w:rPr>
        <w:t xml:space="preserve">  </w:t>
      </w:r>
    </w:p>
    <w:p w:rsidR="00A2591A" w:rsidRPr="009B3747" w:rsidRDefault="005F2FF6" w:rsidP="00C27072">
      <w:pPr>
        <w:pStyle w:val="ListParagraph"/>
        <w:numPr>
          <w:ilvl w:val="0"/>
          <w:numId w:val="154"/>
        </w:numPr>
        <w:textAlignment w:val="baseline"/>
        <w:rPr>
          <w:rFonts w:eastAsia="Times New Roman" w:cstheme="minorHAnsi"/>
          <w:color w:val="222222"/>
          <w:lang w:eastAsia="en-GB"/>
        </w:rPr>
      </w:pPr>
      <w:r w:rsidRPr="009B3747">
        <w:rPr>
          <w:rFonts w:eastAsia="Times New Roman" w:cstheme="minorHAnsi"/>
          <w:color w:val="222222"/>
          <w:lang w:eastAsia="en-GB"/>
        </w:rPr>
        <w:t>The UK Congress on Obesity (2018 date to be confirmed)</w:t>
      </w:r>
    </w:p>
    <w:p w:rsidR="005F2FF6" w:rsidRPr="009B3747" w:rsidRDefault="005F2FF6" w:rsidP="00C27072">
      <w:pPr>
        <w:pStyle w:val="ListParagraph"/>
        <w:numPr>
          <w:ilvl w:val="0"/>
          <w:numId w:val="154"/>
        </w:numPr>
        <w:textAlignment w:val="baseline"/>
        <w:rPr>
          <w:rFonts w:eastAsia="Times New Roman" w:cstheme="minorHAnsi"/>
          <w:color w:val="222222"/>
          <w:lang w:eastAsia="en-GB"/>
        </w:rPr>
      </w:pPr>
      <w:r w:rsidRPr="009B3747">
        <w:rPr>
          <w:rFonts w:eastAsia="Times New Roman" w:cstheme="minorHAnsi"/>
          <w:color w:val="222222"/>
          <w:lang w:eastAsia="en-GB"/>
        </w:rPr>
        <w:t>Public Health England Annual Conference (2018 date to be confirmed)</w:t>
      </w:r>
    </w:p>
    <w:p w:rsidR="005F2FF6" w:rsidRPr="009B3747" w:rsidRDefault="005F2FF6" w:rsidP="00C27072">
      <w:pPr>
        <w:pStyle w:val="ListParagraph"/>
        <w:numPr>
          <w:ilvl w:val="0"/>
          <w:numId w:val="154"/>
        </w:numPr>
        <w:textAlignment w:val="baseline"/>
        <w:rPr>
          <w:rFonts w:eastAsia="Times New Roman" w:cstheme="minorHAnsi"/>
          <w:color w:val="222222"/>
          <w:lang w:eastAsia="en-GB"/>
        </w:rPr>
      </w:pPr>
      <w:r w:rsidRPr="009B3747">
        <w:rPr>
          <w:rFonts w:eastAsia="Times New Roman" w:cstheme="minorHAnsi"/>
          <w:color w:val="222222"/>
          <w:lang w:eastAsia="en-GB"/>
        </w:rPr>
        <w:lastRenderedPageBreak/>
        <w:t>The Faculty of Public Health Annual Conference (2018 date to be confirmed)</w:t>
      </w:r>
    </w:p>
    <w:p w:rsidR="000A3628" w:rsidRPr="009B3747" w:rsidRDefault="000A3628" w:rsidP="00703AD7">
      <w:pPr>
        <w:rPr>
          <w:rFonts w:eastAsia="Times New Roman" w:cstheme="minorHAnsi"/>
          <w:b/>
          <w:u w:val="single"/>
          <w:lang w:eastAsia="en-GB"/>
        </w:rPr>
      </w:pPr>
    </w:p>
    <w:p w:rsidR="009E5696" w:rsidRPr="009B3747" w:rsidRDefault="00847398" w:rsidP="00703AD7">
      <w:pPr>
        <w:rPr>
          <w:rFonts w:eastAsia="Times New Roman" w:cstheme="minorHAnsi"/>
          <w:b/>
          <w:sz w:val="24"/>
          <w:szCs w:val="24"/>
          <w:u w:val="single"/>
          <w:lang w:eastAsia="en-GB"/>
        </w:rPr>
      </w:pPr>
      <w:r w:rsidRPr="009B3747">
        <w:rPr>
          <w:rFonts w:eastAsia="Times New Roman" w:cstheme="minorHAnsi"/>
          <w:b/>
          <w:sz w:val="24"/>
          <w:szCs w:val="24"/>
          <w:u w:val="single"/>
          <w:lang w:eastAsia="en-GB"/>
        </w:rPr>
        <w:t>10.6</w:t>
      </w:r>
      <w:r w:rsidR="00E23B9A" w:rsidRPr="009B3747">
        <w:rPr>
          <w:rFonts w:eastAsia="Times New Roman" w:cstheme="minorHAnsi"/>
          <w:b/>
          <w:sz w:val="24"/>
          <w:szCs w:val="24"/>
          <w:u w:val="single"/>
          <w:lang w:eastAsia="en-GB"/>
        </w:rPr>
        <w:t xml:space="preserve"> The</w:t>
      </w:r>
      <w:r w:rsidR="009E5696" w:rsidRPr="009B3747">
        <w:rPr>
          <w:rFonts w:eastAsia="Times New Roman" w:cstheme="minorHAnsi"/>
          <w:b/>
          <w:sz w:val="24"/>
          <w:szCs w:val="24"/>
          <w:u w:val="single"/>
          <w:lang w:eastAsia="en-GB"/>
        </w:rPr>
        <w:t xml:space="preserve"> final word</w:t>
      </w:r>
      <w:r w:rsidR="00E23B9A" w:rsidRPr="009B3747">
        <w:rPr>
          <w:rFonts w:eastAsia="Times New Roman" w:cstheme="minorHAnsi"/>
          <w:b/>
          <w:sz w:val="24"/>
          <w:szCs w:val="24"/>
          <w:u w:val="single"/>
          <w:lang w:eastAsia="en-GB"/>
        </w:rPr>
        <w:t>?</w:t>
      </w:r>
    </w:p>
    <w:p w:rsidR="009E5696" w:rsidRPr="009B3747" w:rsidRDefault="009E5696" w:rsidP="00703AD7">
      <w:pPr>
        <w:rPr>
          <w:rFonts w:eastAsia="Times New Roman" w:cstheme="minorHAnsi"/>
          <w:b/>
          <w:u w:val="single"/>
          <w:lang w:eastAsia="en-GB"/>
        </w:rPr>
      </w:pPr>
    </w:p>
    <w:p w:rsidR="00E23B9A" w:rsidRPr="009B3747" w:rsidRDefault="00E23B9A" w:rsidP="00E23B9A">
      <w:pPr>
        <w:rPr>
          <w:rFonts w:eastAsia="Times New Roman" w:cstheme="minorHAnsi"/>
          <w:lang w:eastAsia="en-GB"/>
        </w:rPr>
      </w:pPr>
      <w:r w:rsidRPr="009B3747">
        <w:rPr>
          <w:rFonts w:eastAsia="Times New Roman" w:cstheme="minorHAnsi"/>
          <w:lang w:eastAsia="en-GB"/>
        </w:rPr>
        <w:t>This doctoral study, employed a mixed methods exploratory sequential design to address th</w:t>
      </w:r>
      <w:r w:rsidR="00DA156A" w:rsidRPr="009B3747">
        <w:rPr>
          <w:rFonts w:eastAsia="Times New Roman" w:cstheme="minorHAnsi"/>
          <w:lang w:eastAsia="en-GB"/>
        </w:rPr>
        <w:t>e following research question:</w:t>
      </w:r>
    </w:p>
    <w:p w:rsidR="00E23B9A" w:rsidRPr="009B3747" w:rsidRDefault="00E23B9A" w:rsidP="00E23B9A">
      <w:pPr>
        <w:rPr>
          <w:rFonts w:eastAsia="Times New Roman" w:cstheme="minorHAnsi"/>
          <w:lang w:eastAsia="en-GB"/>
        </w:rPr>
      </w:pPr>
    </w:p>
    <w:p w:rsidR="00E23B9A" w:rsidRPr="009B3747" w:rsidRDefault="0083682E" w:rsidP="00E23B9A">
      <w:pPr>
        <w:rPr>
          <w:rFonts w:eastAsia="Times New Roman" w:cstheme="minorHAnsi"/>
          <w:i/>
          <w:lang w:eastAsia="en-GB"/>
        </w:rPr>
      </w:pPr>
      <w:r w:rsidRPr="009B3747">
        <w:rPr>
          <w:rFonts w:eastAsia="Times New Roman" w:cstheme="minorHAnsi"/>
          <w:i/>
          <w:lang w:eastAsia="en-GB"/>
        </w:rPr>
        <w:t>‘</w:t>
      </w:r>
      <w:r w:rsidR="00E23B9A" w:rsidRPr="009B3747">
        <w:rPr>
          <w:rFonts w:eastAsia="Times New Roman" w:cstheme="minorHAnsi"/>
          <w:i/>
          <w:lang w:eastAsia="en-GB"/>
        </w:rPr>
        <w:t>What are headteachers’ and chairs of governors’ perspectives on adolescent obesity and its prevention in Eng</w:t>
      </w:r>
      <w:r w:rsidRPr="009B3747">
        <w:rPr>
          <w:rFonts w:eastAsia="Times New Roman" w:cstheme="minorHAnsi"/>
          <w:i/>
          <w:lang w:eastAsia="en-GB"/>
        </w:rPr>
        <w:t>lish secondary school settings?’</w:t>
      </w:r>
    </w:p>
    <w:p w:rsidR="00E23B9A" w:rsidRPr="009B3747" w:rsidRDefault="00E23B9A" w:rsidP="00E23B9A">
      <w:pPr>
        <w:rPr>
          <w:rFonts w:eastAsia="Times New Roman" w:cstheme="minorHAnsi"/>
          <w:lang w:eastAsia="en-GB"/>
        </w:rPr>
      </w:pPr>
    </w:p>
    <w:p w:rsidR="004953A7" w:rsidRPr="009B3747" w:rsidRDefault="00E23B9A" w:rsidP="00E23B9A">
      <w:pPr>
        <w:pStyle w:val="NormalWeb"/>
        <w:spacing w:before="0" w:beforeAutospacing="0" w:after="0" w:afterAutospacing="0" w:line="360" w:lineRule="auto"/>
        <w:rPr>
          <w:rFonts w:asciiTheme="minorHAnsi" w:hAnsiTheme="minorHAnsi" w:cstheme="minorHAnsi"/>
          <w:sz w:val="22"/>
          <w:szCs w:val="22"/>
        </w:rPr>
      </w:pPr>
      <w:r w:rsidRPr="009B3747">
        <w:rPr>
          <w:rFonts w:asciiTheme="minorHAnsi" w:hAnsiTheme="minorHAnsi" w:cstheme="minorHAnsi"/>
          <w:sz w:val="22"/>
          <w:szCs w:val="22"/>
        </w:rPr>
        <w:t xml:space="preserve">The collective findings from the two distinct yet integrated research phases, have provided </w:t>
      </w:r>
      <w:r w:rsidR="00357F33" w:rsidRPr="009B3747">
        <w:rPr>
          <w:rFonts w:asciiTheme="minorHAnsi" w:hAnsiTheme="minorHAnsi" w:cstheme="minorHAnsi"/>
          <w:sz w:val="22"/>
          <w:szCs w:val="22"/>
        </w:rPr>
        <w:t xml:space="preserve">both </w:t>
      </w:r>
      <w:r w:rsidRPr="009B3747">
        <w:rPr>
          <w:rFonts w:asciiTheme="minorHAnsi" w:hAnsiTheme="minorHAnsi" w:cstheme="minorHAnsi"/>
          <w:sz w:val="22"/>
          <w:szCs w:val="22"/>
        </w:rPr>
        <w:t>comprehensive</w:t>
      </w:r>
      <w:r w:rsidR="00357F33" w:rsidRPr="009B3747">
        <w:rPr>
          <w:rFonts w:asciiTheme="minorHAnsi" w:hAnsiTheme="minorHAnsi" w:cstheme="minorHAnsi"/>
          <w:sz w:val="22"/>
          <w:szCs w:val="22"/>
        </w:rPr>
        <w:t xml:space="preserve"> and </w:t>
      </w:r>
      <w:r w:rsidRPr="009B3747">
        <w:rPr>
          <w:rFonts w:asciiTheme="minorHAnsi" w:hAnsiTheme="minorHAnsi" w:cstheme="minorHAnsi"/>
          <w:sz w:val="22"/>
          <w:szCs w:val="22"/>
        </w:rPr>
        <w:t xml:space="preserve">illuminating answers to this question.  </w:t>
      </w:r>
      <w:r w:rsidR="004B6EC4" w:rsidRPr="009B3747">
        <w:rPr>
          <w:rFonts w:asciiTheme="minorHAnsi" w:hAnsiTheme="minorHAnsi" w:cstheme="minorHAnsi"/>
          <w:sz w:val="22"/>
          <w:szCs w:val="22"/>
        </w:rPr>
        <w:t>As reflected in the study findings, adolescent o</w:t>
      </w:r>
      <w:r w:rsidRPr="009B3747">
        <w:rPr>
          <w:rFonts w:asciiTheme="minorHAnsi" w:hAnsiTheme="minorHAnsi" w:cstheme="minorHAnsi"/>
          <w:sz w:val="22"/>
          <w:szCs w:val="22"/>
        </w:rPr>
        <w:t xml:space="preserve">besity </w:t>
      </w:r>
      <w:r w:rsidR="004B6EC4" w:rsidRPr="009B3747">
        <w:rPr>
          <w:rFonts w:asciiTheme="minorHAnsi" w:hAnsiTheme="minorHAnsi" w:cstheme="minorHAnsi"/>
          <w:sz w:val="22"/>
          <w:szCs w:val="22"/>
        </w:rPr>
        <w:t xml:space="preserve">and indeed obesity more broadly </w:t>
      </w:r>
      <w:r w:rsidRPr="009B3747">
        <w:rPr>
          <w:rFonts w:asciiTheme="minorHAnsi" w:hAnsiTheme="minorHAnsi" w:cstheme="minorHAnsi"/>
          <w:sz w:val="22"/>
          <w:szCs w:val="22"/>
        </w:rPr>
        <w:t xml:space="preserve">is an exceptionally complex, sensitive and at times contentious </w:t>
      </w:r>
      <w:r w:rsidR="004B6EC4" w:rsidRPr="009B3747">
        <w:rPr>
          <w:rFonts w:asciiTheme="minorHAnsi" w:hAnsiTheme="minorHAnsi" w:cstheme="minorHAnsi"/>
          <w:sz w:val="22"/>
          <w:szCs w:val="22"/>
        </w:rPr>
        <w:t>public health issue</w:t>
      </w:r>
      <w:r w:rsidRPr="009B3747">
        <w:rPr>
          <w:rFonts w:asciiTheme="minorHAnsi" w:hAnsiTheme="minorHAnsi" w:cstheme="minorHAnsi"/>
          <w:sz w:val="22"/>
          <w:szCs w:val="22"/>
        </w:rPr>
        <w:t>.</w:t>
      </w:r>
      <w:r w:rsidR="004B6EC4" w:rsidRPr="009B3747">
        <w:rPr>
          <w:rFonts w:asciiTheme="minorHAnsi" w:hAnsiTheme="minorHAnsi" w:cstheme="minorHAnsi"/>
          <w:sz w:val="22"/>
          <w:szCs w:val="22"/>
        </w:rPr>
        <w:t xml:space="preserve">  Neither obesity causation nor the solutions proposed to address it are straightforward, a recognition shared by headteachers and chairs of governors in this research.  However </w:t>
      </w:r>
      <w:r w:rsidRPr="009B3747">
        <w:rPr>
          <w:rFonts w:asciiTheme="minorHAnsi" w:hAnsiTheme="minorHAnsi" w:cstheme="minorHAnsi"/>
          <w:sz w:val="22"/>
          <w:szCs w:val="22"/>
        </w:rPr>
        <w:t>despite th</w:t>
      </w:r>
      <w:r w:rsidR="004B6EC4" w:rsidRPr="009B3747">
        <w:rPr>
          <w:rFonts w:asciiTheme="minorHAnsi" w:hAnsiTheme="minorHAnsi" w:cstheme="minorHAnsi"/>
          <w:sz w:val="22"/>
          <w:szCs w:val="22"/>
        </w:rPr>
        <w:t>is fact and the identified</w:t>
      </w:r>
      <w:r w:rsidRPr="009B3747">
        <w:rPr>
          <w:rFonts w:asciiTheme="minorHAnsi" w:hAnsiTheme="minorHAnsi" w:cstheme="minorHAnsi"/>
          <w:sz w:val="22"/>
          <w:szCs w:val="22"/>
        </w:rPr>
        <w:t xml:space="preserve"> </w:t>
      </w:r>
      <w:r w:rsidR="004B6EC4" w:rsidRPr="009B3747">
        <w:rPr>
          <w:rFonts w:asciiTheme="minorHAnsi" w:hAnsiTheme="minorHAnsi" w:cstheme="minorHAnsi"/>
          <w:sz w:val="22"/>
          <w:szCs w:val="22"/>
        </w:rPr>
        <w:t xml:space="preserve">challenges </w:t>
      </w:r>
      <w:r w:rsidRPr="009B3747">
        <w:rPr>
          <w:rFonts w:asciiTheme="minorHAnsi" w:hAnsiTheme="minorHAnsi" w:cstheme="minorHAnsi"/>
          <w:sz w:val="22"/>
          <w:szCs w:val="22"/>
        </w:rPr>
        <w:t xml:space="preserve">associated with </w:t>
      </w:r>
      <w:r w:rsidR="004B6EC4" w:rsidRPr="009B3747">
        <w:rPr>
          <w:rFonts w:asciiTheme="minorHAnsi" w:hAnsiTheme="minorHAnsi" w:cstheme="minorHAnsi"/>
          <w:sz w:val="22"/>
          <w:szCs w:val="22"/>
        </w:rPr>
        <w:t>preventing adolescent obesity</w:t>
      </w:r>
      <w:r w:rsidRPr="009B3747">
        <w:rPr>
          <w:rFonts w:asciiTheme="minorHAnsi" w:hAnsiTheme="minorHAnsi" w:cstheme="minorHAnsi"/>
          <w:sz w:val="22"/>
          <w:szCs w:val="22"/>
        </w:rPr>
        <w:t xml:space="preserve"> in secondary school settings, </w:t>
      </w:r>
      <w:r w:rsidR="004B6EC4" w:rsidRPr="009B3747">
        <w:rPr>
          <w:rFonts w:asciiTheme="minorHAnsi" w:hAnsiTheme="minorHAnsi" w:cstheme="minorHAnsi"/>
          <w:sz w:val="22"/>
          <w:szCs w:val="22"/>
        </w:rPr>
        <w:t>the two key decision makers tasked with leading preventative action still support the prevention agenda.</w:t>
      </w:r>
      <w:r w:rsidR="00357F33" w:rsidRPr="009B3747">
        <w:rPr>
          <w:rFonts w:asciiTheme="minorHAnsi" w:hAnsiTheme="minorHAnsi" w:cstheme="minorHAnsi"/>
          <w:sz w:val="22"/>
          <w:szCs w:val="22"/>
        </w:rPr>
        <w:t xml:space="preserve"> </w:t>
      </w:r>
      <w:r w:rsidR="004B6EC4" w:rsidRPr="009B3747">
        <w:rPr>
          <w:rFonts w:asciiTheme="minorHAnsi" w:hAnsiTheme="minorHAnsi" w:cstheme="minorHAnsi"/>
          <w:sz w:val="22"/>
          <w:szCs w:val="22"/>
        </w:rPr>
        <w:t xml:space="preserve">  </w:t>
      </w:r>
    </w:p>
    <w:p w:rsidR="004953A7" w:rsidRPr="009B3747" w:rsidRDefault="004953A7" w:rsidP="00E23B9A">
      <w:pPr>
        <w:pStyle w:val="NormalWeb"/>
        <w:spacing w:before="0" w:beforeAutospacing="0" w:after="0" w:afterAutospacing="0" w:line="360" w:lineRule="auto"/>
        <w:rPr>
          <w:rFonts w:asciiTheme="minorHAnsi" w:hAnsiTheme="minorHAnsi" w:cstheme="minorHAnsi"/>
          <w:sz w:val="22"/>
          <w:szCs w:val="22"/>
        </w:rPr>
      </w:pPr>
    </w:p>
    <w:p w:rsidR="00E23B9A" w:rsidRPr="009B3747" w:rsidRDefault="00357F33" w:rsidP="00E23B9A">
      <w:pPr>
        <w:pStyle w:val="NormalWeb"/>
        <w:spacing w:before="0" w:beforeAutospacing="0" w:after="0" w:afterAutospacing="0" w:line="360" w:lineRule="auto"/>
        <w:rPr>
          <w:rFonts w:asciiTheme="minorHAnsi" w:hAnsiTheme="minorHAnsi" w:cstheme="minorHAnsi"/>
          <w:sz w:val="22"/>
          <w:szCs w:val="22"/>
        </w:rPr>
      </w:pPr>
      <w:r w:rsidRPr="009B3747">
        <w:rPr>
          <w:rFonts w:asciiTheme="minorHAnsi" w:hAnsiTheme="minorHAnsi" w:cstheme="minorHAnsi"/>
          <w:sz w:val="22"/>
          <w:szCs w:val="22"/>
        </w:rPr>
        <w:t>Consequently and crucially f</w:t>
      </w:r>
      <w:r w:rsidR="004953A7" w:rsidRPr="009B3747">
        <w:rPr>
          <w:rFonts w:asciiTheme="minorHAnsi" w:hAnsiTheme="minorHAnsi" w:cstheme="minorHAnsi"/>
          <w:sz w:val="22"/>
          <w:szCs w:val="22"/>
        </w:rPr>
        <w:t>or public health researchers, policy makers and professionals, this means o</w:t>
      </w:r>
      <w:r w:rsidRPr="009B3747">
        <w:rPr>
          <w:rFonts w:asciiTheme="minorHAnsi" w:hAnsiTheme="minorHAnsi" w:cstheme="minorHAnsi"/>
          <w:sz w:val="22"/>
          <w:szCs w:val="22"/>
        </w:rPr>
        <w:t>pportunities exist</w:t>
      </w:r>
      <w:r w:rsidR="0071085A">
        <w:rPr>
          <w:rFonts w:asciiTheme="minorHAnsi" w:hAnsiTheme="minorHAnsi" w:cstheme="minorHAnsi"/>
          <w:sz w:val="22"/>
          <w:szCs w:val="22"/>
        </w:rPr>
        <w:t>,</w:t>
      </w:r>
      <w:r w:rsidRPr="009B3747">
        <w:rPr>
          <w:rFonts w:asciiTheme="minorHAnsi" w:hAnsiTheme="minorHAnsi" w:cstheme="minorHAnsi"/>
          <w:sz w:val="22"/>
          <w:szCs w:val="22"/>
        </w:rPr>
        <w:t xml:space="preserve"> for developing further understanding and engagement with one of the key national partners in obesity prevention.  </w:t>
      </w:r>
      <w:r w:rsidR="004953A7" w:rsidRPr="009B3747">
        <w:rPr>
          <w:rFonts w:asciiTheme="minorHAnsi" w:hAnsiTheme="minorHAnsi" w:cstheme="minorHAnsi"/>
          <w:sz w:val="22"/>
          <w:szCs w:val="22"/>
        </w:rPr>
        <w:t>Perhaps therefore, rather than the</w:t>
      </w:r>
      <w:r w:rsidRPr="009B3747">
        <w:rPr>
          <w:rFonts w:asciiTheme="minorHAnsi" w:hAnsiTheme="minorHAnsi" w:cstheme="minorHAnsi"/>
          <w:sz w:val="22"/>
          <w:szCs w:val="22"/>
        </w:rPr>
        <w:t xml:space="preserve"> first and</w:t>
      </w:r>
      <w:r w:rsidR="004953A7" w:rsidRPr="009B3747">
        <w:rPr>
          <w:rFonts w:asciiTheme="minorHAnsi" w:hAnsiTheme="minorHAnsi" w:cstheme="minorHAnsi"/>
          <w:sz w:val="22"/>
          <w:szCs w:val="22"/>
        </w:rPr>
        <w:t xml:space="preserve"> final word on headteachers’ and chairs of governors</w:t>
      </w:r>
      <w:r w:rsidRPr="009B3747">
        <w:rPr>
          <w:rFonts w:asciiTheme="minorHAnsi" w:hAnsiTheme="minorHAnsi" w:cstheme="minorHAnsi"/>
          <w:sz w:val="22"/>
          <w:szCs w:val="22"/>
        </w:rPr>
        <w:t>’</w:t>
      </w:r>
      <w:r w:rsidR="004953A7" w:rsidRPr="009B3747">
        <w:rPr>
          <w:rFonts w:asciiTheme="minorHAnsi" w:hAnsiTheme="minorHAnsi" w:cstheme="minorHAnsi"/>
          <w:sz w:val="22"/>
          <w:szCs w:val="22"/>
        </w:rPr>
        <w:t xml:space="preserve"> perspectives regarding adolescent obesity and its prevention in secondary school settings, this research marks the beg</w:t>
      </w:r>
      <w:r w:rsidR="003512B4" w:rsidRPr="009B3747">
        <w:rPr>
          <w:rFonts w:asciiTheme="minorHAnsi" w:hAnsiTheme="minorHAnsi" w:cstheme="minorHAnsi"/>
          <w:sz w:val="22"/>
          <w:szCs w:val="22"/>
        </w:rPr>
        <w:t>inning of future conversations.</w:t>
      </w:r>
    </w:p>
    <w:p w:rsidR="003512B4" w:rsidRPr="009B3747" w:rsidRDefault="003512B4" w:rsidP="00E23B9A">
      <w:pPr>
        <w:pStyle w:val="NormalWeb"/>
        <w:spacing w:before="0" w:beforeAutospacing="0" w:after="0" w:afterAutospacing="0" w:line="360" w:lineRule="auto"/>
        <w:rPr>
          <w:rFonts w:asciiTheme="minorHAnsi" w:hAnsiTheme="minorHAnsi" w:cstheme="minorHAnsi"/>
          <w:sz w:val="22"/>
          <w:szCs w:val="22"/>
        </w:rPr>
      </w:pPr>
    </w:p>
    <w:p w:rsidR="00847398" w:rsidRPr="009B3747" w:rsidRDefault="00847398" w:rsidP="00703AD7">
      <w:pPr>
        <w:rPr>
          <w:rFonts w:eastAsia="Times New Roman" w:cstheme="minorHAnsi"/>
          <w:color w:val="FF0000"/>
          <w:lang w:eastAsia="en-GB"/>
        </w:rPr>
      </w:pPr>
    </w:p>
    <w:p w:rsidR="00357F33" w:rsidRPr="009B3747" w:rsidRDefault="00357F33" w:rsidP="00703AD7">
      <w:pPr>
        <w:rPr>
          <w:rFonts w:eastAsia="Times New Roman" w:cstheme="minorHAnsi"/>
          <w:color w:val="FF0000"/>
          <w:lang w:eastAsia="en-GB"/>
        </w:rPr>
      </w:pPr>
    </w:p>
    <w:p w:rsidR="00357F33" w:rsidRPr="009B3747" w:rsidRDefault="00357F33" w:rsidP="00703AD7">
      <w:pPr>
        <w:rPr>
          <w:rFonts w:eastAsia="Times New Roman" w:cstheme="minorHAnsi"/>
          <w:color w:val="FF0000"/>
          <w:lang w:eastAsia="en-GB"/>
        </w:rPr>
      </w:pPr>
    </w:p>
    <w:p w:rsidR="00357F33" w:rsidRPr="009B3747" w:rsidRDefault="00357F33" w:rsidP="00703AD7">
      <w:pPr>
        <w:rPr>
          <w:rFonts w:eastAsia="Times New Roman" w:cstheme="minorHAnsi"/>
          <w:color w:val="FF0000"/>
          <w:lang w:eastAsia="en-GB"/>
        </w:rPr>
      </w:pPr>
    </w:p>
    <w:p w:rsidR="00357F33" w:rsidRPr="009B3747" w:rsidRDefault="00357F33" w:rsidP="00703AD7">
      <w:pPr>
        <w:rPr>
          <w:rFonts w:eastAsia="Times New Roman" w:cstheme="minorHAnsi"/>
          <w:color w:val="FF0000"/>
          <w:lang w:eastAsia="en-GB"/>
        </w:rPr>
      </w:pPr>
    </w:p>
    <w:p w:rsidR="00357F33" w:rsidRPr="009B3747" w:rsidRDefault="00357F33" w:rsidP="00703AD7">
      <w:pPr>
        <w:rPr>
          <w:rFonts w:eastAsia="Times New Roman" w:cstheme="minorHAnsi"/>
          <w:color w:val="FF0000"/>
          <w:lang w:eastAsia="en-GB"/>
        </w:rPr>
      </w:pPr>
    </w:p>
    <w:p w:rsidR="00357F33" w:rsidRDefault="00357F33" w:rsidP="00703AD7">
      <w:pPr>
        <w:rPr>
          <w:rFonts w:eastAsia="Times New Roman" w:cstheme="minorHAnsi"/>
          <w:color w:val="FF0000"/>
          <w:lang w:eastAsia="en-GB"/>
        </w:rPr>
      </w:pPr>
    </w:p>
    <w:p w:rsidR="008C1779" w:rsidRDefault="008C1779" w:rsidP="00703AD7">
      <w:pPr>
        <w:rPr>
          <w:rFonts w:eastAsia="Times New Roman" w:cstheme="minorHAnsi"/>
          <w:color w:val="FF0000"/>
          <w:lang w:eastAsia="en-GB"/>
        </w:rPr>
      </w:pPr>
    </w:p>
    <w:p w:rsidR="0071085A" w:rsidRPr="009B3747" w:rsidRDefault="0071085A" w:rsidP="00703AD7">
      <w:pPr>
        <w:rPr>
          <w:rFonts w:eastAsia="Times New Roman" w:cstheme="minorHAnsi"/>
          <w:color w:val="FF0000"/>
          <w:lang w:eastAsia="en-GB"/>
        </w:rPr>
      </w:pPr>
    </w:p>
    <w:p w:rsidR="0005387D" w:rsidRPr="009B3747" w:rsidRDefault="0005387D" w:rsidP="0005387D">
      <w:pPr>
        <w:spacing w:line="240" w:lineRule="auto"/>
        <w:jc w:val="center"/>
        <w:rPr>
          <w:rFonts w:cstheme="minorHAnsi"/>
          <w:b/>
          <w:sz w:val="36"/>
          <w:szCs w:val="36"/>
          <w:u w:val="single"/>
        </w:rPr>
      </w:pPr>
      <w:r w:rsidRPr="009B3747">
        <w:rPr>
          <w:rFonts w:cstheme="minorHAnsi"/>
          <w:b/>
          <w:sz w:val="36"/>
          <w:szCs w:val="36"/>
          <w:u w:val="single"/>
        </w:rPr>
        <w:lastRenderedPageBreak/>
        <w:t>References</w:t>
      </w:r>
    </w:p>
    <w:p w:rsidR="0025486F" w:rsidRPr="009B3747" w:rsidRDefault="0025486F" w:rsidP="0005387D">
      <w:pPr>
        <w:spacing w:line="240" w:lineRule="auto"/>
        <w:jc w:val="center"/>
        <w:rPr>
          <w:rFonts w:cstheme="minorHAnsi"/>
          <w:b/>
          <w:sz w:val="20"/>
          <w:szCs w:val="20"/>
          <w:u w:val="single"/>
        </w:rPr>
      </w:pPr>
    </w:p>
    <w:p w:rsidR="003F4710" w:rsidRPr="003F4710" w:rsidRDefault="0005387D" w:rsidP="003F4710">
      <w:pPr>
        <w:widowControl w:val="0"/>
        <w:autoSpaceDE w:val="0"/>
        <w:autoSpaceDN w:val="0"/>
        <w:adjustRightInd w:val="0"/>
        <w:spacing w:line="240" w:lineRule="auto"/>
        <w:ind w:left="480" w:hanging="480"/>
        <w:rPr>
          <w:rFonts w:ascii="Calibri" w:hAnsi="Calibri" w:cs="Calibri"/>
          <w:noProof/>
          <w:sz w:val="20"/>
          <w:szCs w:val="24"/>
        </w:rPr>
      </w:pPr>
      <w:r w:rsidRPr="009B3747">
        <w:rPr>
          <w:rFonts w:cstheme="minorHAnsi"/>
          <w:sz w:val="20"/>
          <w:szCs w:val="20"/>
        </w:rPr>
        <w:fldChar w:fldCharType="begin" w:fldLock="1"/>
      </w:r>
      <w:r w:rsidRPr="009B3747">
        <w:rPr>
          <w:rFonts w:cstheme="minorHAnsi"/>
          <w:sz w:val="20"/>
          <w:szCs w:val="20"/>
        </w:rPr>
        <w:instrText xml:space="preserve">ADDIN Mendeley Bibliography CSL_BIBLIOGRAPHY </w:instrText>
      </w:r>
      <w:r w:rsidRPr="009B3747">
        <w:rPr>
          <w:rFonts w:cstheme="minorHAnsi"/>
          <w:sz w:val="20"/>
          <w:szCs w:val="20"/>
        </w:rPr>
        <w:fldChar w:fldCharType="separate"/>
      </w:r>
      <w:r w:rsidR="003F4710" w:rsidRPr="003F4710">
        <w:rPr>
          <w:rFonts w:ascii="Calibri" w:hAnsi="Calibri" w:cs="Calibri"/>
          <w:noProof/>
          <w:sz w:val="20"/>
          <w:szCs w:val="24"/>
        </w:rPr>
        <w:t xml:space="preserve">Anderson, P. &amp; Butcher, K. (2006) Childhood obesity: trends and potential causes. </w:t>
      </w:r>
      <w:r w:rsidR="003F4710" w:rsidRPr="003F4710">
        <w:rPr>
          <w:rFonts w:ascii="Calibri" w:hAnsi="Calibri" w:cs="Calibri"/>
          <w:i/>
          <w:iCs/>
          <w:noProof/>
          <w:sz w:val="20"/>
          <w:szCs w:val="24"/>
        </w:rPr>
        <w:t>The Future of children</w:t>
      </w:r>
      <w:r w:rsidR="003F4710" w:rsidRPr="003F4710">
        <w:rPr>
          <w:rFonts w:ascii="Calibri" w:hAnsi="Calibri" w:cs="Calibri"/>
          <w:noProof/>
          <w:sz w:val="20"/>
          <w:szCs w:val="24"/>
        </w:rPr>
        <w:t>. [online]. Available from: http://muse.jhu.edu/journals/foc/summary/v016/16.1anderson.html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Arnold, M. J. &amp; Reynolds, K. E. (2003) Hedonic shopping motivations. </w:t>
      </w:r>
      <w:r w:rsidRPr="003F4710">
        <w:rPr>
          <w:rFonts w:ascii="Calibri" w:hAnsi="Calibri" w:cs="Calibri"/>
          <w:i/>
          <w:iCs/>
          <w:noProof/>
          <w:sz w:val="20"/>
          <w:szCs w:val="24"/>
        </w:rPr>
        <w:t>Journal of Retailing</w:t>
      </w:r>
      <w:r w:rsidRPr="003F4710">
        <w:rPr>
          <w:rFonts w:ascii="Calibri" w:hAnsi="Calibri" w:cs="Calibri"/>
          <w:noProof/>
          <w:sz w:val="20"/>
          <w:szCs w:val="24"/>
        </w:rPr>
        <w:t>. 79 (2), 77–95. [online]. Available from: http://linkinghub.elsevier.com/retrieve/pii/S0022435903000071 (Accessed 7 February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Atkinson, R. &amp; Flint, J. (2001) Accessing Hidden and Hard-to-Reach Populations: Snowball Research Strategies. </w:t>
      </w:r>
      <w:r w:rsidRPr="003F4710">
        <w:rPr>
          <w:rFonts w:ascii="Calibri" w:hAnsi="Calibri" w:cs="Calibri"/>
          <w:i/>
          <w:iCs/>
          <w:noProof/>
          <w:sz w:val="20"/>
          <w:szCs w:val="24"/>
        </w:rPr>
        <w:t>Social Research Update</w:t>
      </w:r>
      <w:r w:rsidRPr="003F4710">
        <w:rPr>
          <w:rFonts w:ascii="Calibri" w:hAnsi="Calibri" w:cs="Calibri"/>
          <w:noProof/>
          <w:sz w:val="20"/>
          <w:szCs w:val="24"/>
        </w:rPr>
        <w:t>. 33 (1), 1–4.</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Baker, S. E. &amp; Edwards, R. (2012) How many qualitative interviews is enough ? </w:t>
      </w:r>
      <w:r w:rsidRPr="003F4710">
        <w:rPr>
          <w:rFonts w:ascii="Calibri" w:hAnsi="Calibri" w:cs="Calibri"/>
          <w:i/>
          <w:iCs/>
          <w:noProof/>
          <w:sz w:val="20"/>
          <w:szCs w:val="24"/>
        </w:rPr>
        <w:t>National Centre for Research Methods Review Paper</w:t>
      </w:r>
      <w:r w:rsidRPr="003F4710">
        <w:rPr>
          <w:rFonts w:ascii="Calibri" w:hAnsi="Calibri" w:cs="Calibri"/>
          <w:noProof/>
          <w:sz w:val="20"/>
          <w:szCs w:val="24"/>
        </w:rPr>
        <w:t>. 1–42. [online]. Available from: http://eprints.ncrm.ac.uk/2273/.</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Bambra, C. L. et al. (2015) How effective are interventions at reducing socioeconomic inequalities in obesity among children and adults? Two systematic reviews. </w:t>
      </w:r>
      <w:r w:rsidRPr="003F4710">
        <w:rPr>
          <w:rFonts w:ascii="Calibri" w:hAnsi="Calibri" w:cs="Calibri"/>
          <w:i/>
          <w:iCs/>
          <w:noProof/>
          <w:sz w:val="20"/>
          <w:szCs w:val="24"/>
        </w:rPr>
        <w:t>Public Health Research</w:t>
      </w:r>
      <w:r w:rsidRPr="003F4710">
        <w:rPr>
          <w:rFonts w:ascii="Calibri" w:hAnsi="Calibri" w:cs="Calibri"/>
          <w:noProof/>
          <w:sz w:val="20"/>
          <w:szCs w:val="24"/>
        </w:rPr>
        <w:t>. 3 (1), . [online]. Available from: http://www.ncbi.nlm.nih.gov/books/NBK273911/ (Accessed 22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Baranowski, T. et al. (2010) 'Problems and possible solutions for interventions among children and adolescents', in </w:t>
      </w:r>
      <w:r w:rsidRPr="003F4710">
        <w:rPr>
          <w:rFonts w:ascii="Calibri" w:hAnsi="Calibri" w:cs="Calibri"/>
          <w:i/>
          <w:iCs/>
          <w:noProof/>
          <w:sz w:val="20"/>
          <w:szCs w:val="24"/>
        </w:rPr>
        <w:t>Childhood Obesity Prevention</w:t>
      </w:r>
      <w:r w:rsidRPr="003F4710">
        <w:rPr>
          <w:rFonts w:ascii="Calibri" w:hAnsi="Calibri" w:cs="Calibri"/>
          <w:noProof/>
          <w:sz w:val="20"/>
          <w:szCs w:val="24"/>
        </w:rPr>
        <w:t>. Oxford University Press. pp. 408–421. [online]. Available from: http://www.oxfordscholarship.com/view/10.1093/acprof:oso/9780199572915.001.0001/acprof-9780199572915-chapter-35 (Accessed 29 May 2016).</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Barlow, S. E. (2007) Expert Committee Recommendations Regarding the Prevention, Assessment, and Treatment of Child and Adolescent Overweight and Obesity: Summary Report. </w:t>
      </w:r>
      <w:r w:rsidRPr="003F4710">
        <w:rPr>
          <w:rFonts w:ascii="Calibri" w:hAnsi="Calibri" w:cs="Calibri"/>
          <w:i/>
          <w:iCs/>
          <w:noProof/>
          <w:sz w:val="20"/>
          <w:szCs w:val="24"/>
        </w:rPr>
        <w:t>Pediatrics</w:t>
      </w:r>
      <w:r w:rsidRPr="003F4710">
        <w:rPr>
          <w:rFonts w:ascii="Calibri" w:hAnsi="Calibri" w:cs="Calibri"/>
          <w:noProof/>
          <w:sz w:val="20"/>
          <w:szCs w:val="24"/>
        </w:rPr>
        <w:t>. 120 (Supplement 4), . [online]. Available from: http://pediatrics.aappublications.org/content/120/Supplement_4/S164.long (Accessed 29 January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Barry, C. L. et al. (2012) Are Americans Ready to Solve the Weight of the Nation? </w:t>
      </w:r>
      <w:r w:rsidRPr="003F4710">
        <w:rPr>
          <w:rFonts w:ascii="Calibri" w:hAnsi="Calibri" w:cs="Calibri"/>
          <w:i/>
          <w:iCs/>
          <w:noProof/>
          <w:sz w:val="20"/>
          <w:szCs w:val="24"/>
        </w:rPr>
        <w:t>New England Journal of Medicine</w:t>
      </w:r>
      <w:r w:rsidRPr="003F4710">
        <w:rPr>
          <w:rFonts w:ascii="Calibri" w:hAnsi="Calibri" w:cs="Calibri"/>
          <w:noProof/>
          <w:sz w:val="20"/>
          <w:szCs w:val="24"/>
        </w:rPr>
        <w:t>. 367 (5), 389–391. [online]. Available from: http://www.nejm.org/doi/abs/10.1056/NEJMp1206519 (Accessed 30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Basit, T. N. (2003) Manual or Electronic: the Role of Coding in Qualitative Data Analysis. </w:t>
      </w:r>
      <w:r w:rsidRPr="003F4710">
        <w:rPr>
          <w:rFonts w:ascii="Calibri" w:hAnsi="Calibri" w:cs="Calibri"/>
          <w:i/>
          <w:iCs/>
          <w:noProof/>
          <w:sz w:val="20"/>
          <w:szCs w:val="24"/>
        </w:rPr>
        <w:t>Educational Research</w:t>
      </w:r>
      <w:r w:rsidRPr="003F4710">
        <w:rPr>
          <w:rFonts w:ascii="Calibri" w:hAnsi="Calibri" w:cs="Calibri"/>
          <w:noProof/>
          <w:sz w:val="20"/>
          <w:szCs w:val="24"/>
        </w:rPr>
        <w:t>. 45 (2), 143–154. [online]. Available from: http://www.tandfonline.com/doi/abs/10.1080/0013188032000133548 (Accessed 6 February 2016).</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Bearman, M. &amp; Dawson, P. (2013) Qualitative synthesis and systematic review in health professions education. </w:t>
      </w:r>
      <w:r w:rsidRPr="003F4710">
        <w:rPr>
          <w:rFonts w:ascii="Calibri" w:hAnsi="Calibri" w:cs="Calibri"/>
          <w:i/>
          <w:iCs/>
          <w:noProof/>
          <w:sz w:val="20"/>
          <w:szCs w:val="24"/>
        </w:rPr>
        <w:t>Medical Education</w:t>
      </w:r>
      <w:r w:rsidRPr="003F4710">
        <w:rPr>
          <w:rFonts w:ascii="Calibri" w:hAnsi="Calibri" w:cs="Calibri"/>
          <w:noProof/>
          <w:sz w:val="20"/>
          <w:szCs w:val="24"/>
        </w:rPr>
        <w:t>. 47 (3), 252–260.</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Bibby, T. et al. (2017) </w:t>
      </w:r>
      <w:r w:rsidRPr="003F4710">
        <w:rPr>
          <w:rFonts w:ascii="Calibri" w:hAnsi="Calibri" w:cs="Calibri"/>
          <w:i/>
          <w:iCs/>
          <w:noProof/>
          <w:sz w:val="20"/>
          <w:szCs w:val="24"/>
        </w:rPr>
        <w:t>Responding to Poverty and Disadvantage in Schools A Reader for Teachers.</w:t>
      </w:r>
      <w:r w:rsidRPr="003F4710">
        <w:rPr>
          <w:rFonts w:ascii="Calibri" w:hAnsi="Calibri" w:cs="Calibri"/>
          <w:noProof/>
          <w:sz w:val="20"/>
          <w:szCs w:val="24"/>
        </w:rPr>
        <w:t xml:space="preserve"> 1st edition. London: Palgrave Macmillan UK.</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Bitsch, V. (2005) Qualitative Research: A Grounded Theory Example and Evaluation Criteria. </w:t>
      </w:r>
      <w:r w:rsidRPr="003F4710">
        <w:rPr>
          <w:rFonts w:ascii="Calibri" w:hAnsi="Calibri" w:cs="Calibri"/>
          <w:i/>
          <w:iCs/>
          <w:noProof/>
          <w:sz w:val="20"/>
          <w:szCs w:val="24"/>
        </w:rPr>
        <w:t>Journal of Agribusiness</w:t>
      </w:r>
      <w:r w:rsidRPr="003F4710">
        <w:rPr>
          <w:rFonts w:ascii="Calibri" w:hAnsi="Calibri" w:cs="Calibri"/>
          <w:noProof/>
          <w:sz w:val="20"/>
          <w:szCs w:val="24"/>
        </w:rPr>
        <w:t>. 231 (1), 75–91. [online]. Available from: http://econpapers.repec.org/article/agsjloagb/59612.htm (Accessed 17 July 2016).</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Bonell, C. et al. (2014) Why schools should promote students’ health and wellbeing. </w:t>
      </w:r>
      <w:r w:rsidRPr="003F4710">
        <w:rPr>
          <w:rFonts w:ascii="Calibri" w:hAnsi="Calibri" w:cs="Calibri"/>
          <w:i/>
          <w:iCs/>
          <w:noProof/>
          <w:sz w:val="20"/>
          <w:szCs w:val="24"/>
        </w:rPr>
        <w:t>BMJ</w:t>
      </w:r>
      <w:r w:rsidRPr="003F4710">
        <w:rPr>
          <w:rFonts w:ascii="Calibri" w:hAnsi="Calibri" w:cs="Calibri"/>
          <w:noProof/>
          <w:sz w:val="20"/>
          <w:szCs w:val="24"/>
        </w:rPr>
        <w:t>. 348 (13), . [online]. Available from: http://www.bmj.com/content/348/bmj.g3078.full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Booth, A. (2004) 'Formulating answerable questions', in </w:t>
      </w:r>
      <w:r w:rsidRPr="003F4710">
        <w:rPr>
          <w:rFonts w:ascii="Calibri" w:hAnsi="Calibri" w:cs="Calibri"/>
          <w:i/>
          <w:iCs/>
          <w:noProof/>
          <w:sz w:val="20"/>
          <w:szCs w:val="24"/>
        </w:rPr>
        <w:t>Evidence-based practice for information professionals: a handbook</w:t>
      </w:r>
      <w:r w:rsidRPr="003F4710">
        <w:rPr>
          <w:rFonts w:ascii="Calibri" w:hAnsi="Calibri" w:cs="Calibri"/>
          <w:noProof/>
          <w:sz w:val="20"/>
          <w:szCs w:val="24"/>
        </w:rPr>
        <w:t>. London: Facet. pp. 61–70.</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Booth, A. et al. (2016) </w:t>
      </w:r>
      <w:r w:rsidRPr="003F4710">
        <w:rPr>
          <w:rFonts w:ascii="Calibri" w:hAnsi="Calibri" w:cs="Calibri"/>
          <w:i/>
          <w:iCs/>
          <w:noProof/>
          <w:sz w:val="20"/>
          <w:szCs w:val="24"/>
        </w:rPr>
        <w:t>Systematic approaches to a successful literature review</w:t>
      </w:r>
      <w:r w:rsidRPr="003F4710">
        <w:rPr>
          <w:rFonts w:ascii="Calibri" w:hAnsi="Calibri" w:cs="Calibri"/>
          <w:noProof/>
          <w:sz w:val="20"/>
          <w:szCs w:val="24"/>
        </w:rPr>
        <w:t>. 2nd edition. London: Sage Publications.</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Booth, A. &amp; Carroll, C. (2015) Systematic searching for theory to inform systematic reviews: is it feasible? Is it desirable? </w:t>
      </w:r>
      <w:r w:rsidRPr="003F4710">
        <w:rPr>
          <w:rFonts w:ascii="Calibri" w:hAnsi="Calibri" w:cs="Calibri"/>
          <w:i/>
          <w:iCs/>
          <w:noProof/>
          <w:sz w:val="20"/>
          <w:szCs w:val="24"/>
        </w:rPr>
        <w:t>Health Information &amp; Libraries Journal</w:t>
      </w:r>
      <w:r w:rsidRPr="003F4710">
        <w:rPr>
          <w:rFonts w:ascii="Calibri" w:hAnsi="Calibri" w:cs="Calibri"/>
          <w:noProof/>
          <w:sz w:val="20"/>
          <w:szCs w:val="24"/>
        </w:rPr>
        <w:t>. 32 (3), 220–235. [online]. Available from: http://www.ncbi.nlm.nih.gov/pubmed/26095232 (Accessed 17 February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Bourdeaudhuij, I. De (2011) School‐based interventions promoting both physical activity and healthy eating in Europe: a systematic review within the HOPE project. </w:t>
      </w:r>
      <w:r w:rsidRPr="003F4710">
        <w:rPr>
          <w:rFonts w:ascii="Calibri" w:hAnsi="Calibri" w:cs="Calibri"/>
          <w:i/>
          <w:iCs/>
          <w:noProof/>
          <w:sz w:val="20"/>
          <w:szCs w:val="24"/>
        </w:rPr>
        <w:t>Obesity reviews</w:t>
      </w:r>
      <w:r w:rsidRPr="003F4710">
        <w:rPr>
          <w:rFonts w:ascii="Calibri" w:hAnsi="Calibri" w:cs="Calibri"/>
          <w:noProof/>
          <w:sz w:val="20"/>
          <w:szCs w:val="24"/>
        </w:rPr>
        <w:t>. 12 (3), 205–216. [online]. Available from: http://onlinelibrary.wiley.com/doi/10.1111/j.1467-789X.2009.00711.x/full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Bowen, G. a. (2008) Naturalistic inquiry and the saturation concept: a research note. </w:t>
      </w:r>
      <w:r w:rsidRPr="003F4710">
        <w:rPr>
          <w:rFonts w:ascii="Calibri" w:hAnsi="Calibri" w:cs="Calibri"/>
          <w:i/>
          <w:iCs/>
          <w:noProof/>
          <w:sz w:val="20"/>
          <w:szCs w:val="24"/>
        </w:rPr>
        <w:t>Qualitative Research</w:t>
      </w:r>
      <w:r w:rsidRPr="003F4710">
        <w:rPr>
          <w:rFonts w:ascii="Calibri" w:hAnsi="Calibri" w:cs="Calibri"/>
          <w:noProof/>
          <w:sz w:val="20"/>
          <w:szCs w:val="24"/>
        </w:rPr>
        <w:t>. 8 (1), 137–152.</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Bowling, A. (2002) </w:t>
      </w:r>
      <w:r w:rsidRPr="003F4710">
        <w:rPr>
          <w:rFonts w:ascii="Calibri" w:hAnsi="Calibri" w:cs="Calibri"/>
          <w:i/>
          <w:iCs/>
          <w:noProof/>
          <w:sz w:val="20"/>
          <w:szCs w:val="24"/>
        </w:rPr>
        <w:t>Research methods in health : investigating health and health services</w:t>
      </w:r>
      <w:r w:rsidRPr="003F4710">
        <w:rPr>
          <w:rFonts w:ascii="Calibri" w:hAnsi="Calibri" w:cs="Calibri"/>
          <w:noProof/>
          <w:sz w:val="20"/>
          <w:szCs w:val="24"/>
        </w:rPr>
        <w:t>. 2nd edition. Buckingham, UK: Open University Press.</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Bowling, A. (2014) </w:t>
      </w:r>
      <w:r w:rsidRPr="003F4710">
        <w:rPr>
          <w:rFonts w:ascii="Calibri" w:hAnsi="Calibri" w:cs="Calibri"/>
          <w:i/>
          <w:iCs/>
          <w:noProof/>
          <w:sz w:val="20"/>
          <w:szCs w:val="24"/>
        </w:rPr>
        <w:t>Research methods in health: investigating health and health services</w:t>
      </w:r>
      <w:r w:rsidRPr="003F4710">
        <w:rPr>
          <w:rFonts w:ascii="Calibri" w:hAnsi="Calibri" w:cs="Calibri"/>
          <w:noProof/>
          <w:sz w:val="20"/>
          <w:szCs w:val="24"/>
        </w:rPr>
        <w:t>. 4th edition. Maidenhead, UK: Open University Press.</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lastRenderedPageBreak/>
        <w:t xml:space="preserve">Bradley, E. H. et al. (2007) Qualitative data analysis for health services research: developing taxonomy, themes, and theory. </w:t>
      </w:r>
      <w:r w:rsidRPr="003F4710">
        <w:rPr>
          <w:rFonts w:ascii="Calibri" w:hAnsi="Calibri" w:cs="Calibri"/>
          <w:i/>
          <w:iCs/>
          <w:noProof/>
          <w:sz w:val="20"/>
          <w:szCs w:val="24"/>
        </w:rPr>
        <w:t>Health services research</w:t>
      </w:r>
      <w:r w:rsidRPr="003F4710">
        <w:rPr>
          <w:rFonts w:ascii="Calibri" w:hAnsi="Calibri" w:cs="Calibri"/>
          <w:noProof/>
          <w:sz w:val="20"/>
          <w:szCs w:val="24"/>
        </w:rPr>
        <w:t>. 42 (4), 1758–1772. [online]. Available from: http://www.pubmedcentral.nih.gov/articlerender.fcgi?artid=1955280&amp;tool=pmcentrez&amp;rendertype=abstract (Accessed 9 July 2014).</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Branson, C. et al. (2012) Acceptable behaviour? Public opinion on behaviour change policy. </w:t>
      </w:r>
      <w:r w:rsidRPr="003F4710">
        <w:rPr>
          <w:rFonts w:ascii="Calibri" w:hAnsi="Calibri" w:cs="Calibri"/>
          <w:i/>
          <w:iCs/>
          <w:noProof/>
          <w:sz w:val="20"/>
          <w:szCs w:val="24"/>
        </w:rPr>
        <w:t>Behaviour</w:t>
      </w:r>
      <w:r w:rsidRPr="003F4710">
        <w:rPr>
          <w:rFonts w:ascii="Calibri" w:hAnsi="Calibri" w:cs="Calibri"/>
          <w:noProof/>
          <w:sz w:val="20"/>
          <w:szCs w:val="24"/>
        </w:rPr>
        <w:t>. 1–28. [online]. Available from: http://ipsos.com.au/wp-content/uploads/2012/10/IpsosSRI_Acceptable_Behaviour_report.pdf.</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Braun, V. &amp; Clarke, V. (2012) Thematic Analysis. </w:t>
      </w:r>
      <w:r w:rsidRPr="003F4710">
        <w:rPr>
          <w:rFonts w:ascii="Calibri" w:hAnsi="Calibri" w:cs="Calibri"/>
          <w:i/>
          <w:iCs/>
          <w:noProof/>
          <w:sz w:val="20"/>
          <w:szCs w:val="24"/>
        </w:rPr>
        <w:t>APA Handbook of Research Methods in Psychology</w:t>
      </w:r>
      <w:r w:rsidRPr="003F4710">
        <w:rPr>
          <w:rFonts w:ascii="Calibri" w:hAnsi="Calibri" w:cs="Calibri"/>
          <w:noProof/>
          <w:sz w:val="20"/>
          <w:szCs w:val="24"/>
        </w:rPr>
        <w:t>. 257–71.</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Braun, V. &amp; Clarke, V. (2006) Using thematic analysis in psychology. </w:t>
      </w:r>
      <w:r w:rsidRPr="003F4710">
        <w:rPr>
          <w:rFonts w:ascii="Calibri" w:hAnsi="Calibri" w:cs="Calibri"/>
          <w:i/>
          <w:iCs/>
          <w:noProof/>
          <w:sz w:val="20"/>
          <w:szCs w:val="24"/>
        </w:rPr>
        <w:t>Qualitative Research in Psychology</w:t>
      </w:r>
      <w:r w:rsidRPr="003F4710">
        <w:rPr>
          <w:rFonts w:ascii="Calibri" w:hAnsi="Calibri" w:cs="Calibri"/>
          <w:noProof/>
          <w:sz w:val="20"/>
          <w:szCs w:val="24"/>
        </w:rPr>
        <w:t>. 377–101.</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Braun, V. &amp; Clarke, V. (2014) What can ‘thematic analysis’ offer health and wellbeing researchers? </w:t>
      </w:r>
      <w:r w:rsidRPr="003F4710">
        <w:rPr>
          <w:rFonts w:ascii="Calibri" w:hAnsi="Calibri" w:cs="Calibri"/>
          <w:i/>
          <w:iCs/>
          <w:noProof/>
          <w:sz w:val="20"/>
          <w:szCs w:val="24"/>
        </w:rPr>
        <w:t>International Journal of Qualitative Studies on Health and Well-being</w:t>
      </w:r>
      <w:r w:rsidRPr="003F4710">
        <w:rPr>
          <w:rFonts w:ascii="Calibri" w:hAnsi="Calibri" w:cs="Calibri"/>
          <w:noProof/>
          <w:sz w:val="20"/>
          <w:szCs w:val="24"/>
        </w:rPr>
        <w:t>. 926152. [online]. Available from: http://www.ncbi.nlm.nih.gov/pubmed/25326092 (Accessed 28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Bray, G. A. (2004) The epidemic of obesity and changes in food intake: the Fluoride Hypothesis. </w:t>
      </w:r>
      <w:r w:rsidRPr="003F4710">
        <w:rPr>
          <w:rFonts w:ascii="Calibri" w:hAnsi="Calibri" w:cs="Calibri"/>
          <w:i/>
          <w:iCs/>
          <w:noProof/>
          <w:sz w:val="20"/>
          <w:szCs w:val="24"/>
        </w:rPr>
        <w:t>Physiology &amp; Behavior</w:t>
      </w:r>
      <w:r w:rsidRPr="003F4710">
        <w:rPr>
          <w:rFonts w:ascii="Calibri" w:hAnsi="Calibri" w:cs="Calibri"/>
          <w:noProof/>
          <w:sz w:val="20"/>
          <w:szCs w:val="24"/>
        </w:rPr>
        <w:t>. 82 (1), 115–121. [online]. Available from: http://www.ncbi.nlm.nih.gov/pubmed/15234599 (Accessed 21 May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Bridges, J. et al. (2010) Older people’s and relatives? experiences in acute care settings: Systematic review and synthesis of qualitative studies. </w:t>
      </w:r>
      <w:r w:rsidRPr="003F4710">
        <w:rPr>
          <w:rFonts w:ascii="Calibri" w:hAnsi="Calibri" w:cs="Calibri"/>
          <w:i/>
          <w:iCs/>
          <w:noProof/>
          <w:sz w:val="20"/>
          <w:szCs w:val="24"/>
        </w:rPr>
        <w:t>International Journal of Nursing Studies</w:t>
      </w:r>
      <w:r w:rsidRPr="003F4710">
        <w:rPr>
          <w:rFonts w:ascii="Calibri" w:hAnsi="Calibri" w:cs="Calibri"/>
          <w:noProof/>
          <w:sz w:val="20"/>
          <w:szCs w:val="24"/>
        </w:rPr>
        <w:t>. 47 (1), 89–107. [online]. Available from: http://www.ncbi.nlm.nih.gov/pubmed/19854441 (Accessed 17 May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Brinkmann, S. &amp; Kvale, S. (2008) 'Ethics in Qualitative Psychological Research', in C Willig &amp; W Stainton-Rogers (eds.) </w:t>
      </w:r>
      <w:r w:rsidRPr="003F4710">
        <w:rPr>
          <w:rFonts w:ascii="Calibri" w:hAnsi="Calibri" w:cs="Calibri"/>
          <w:i/>
          <w:iCs/>
          <w:noProof/>
          <w:sz w:val="20"/>
          <w:szCs w:val="24"/>
        </w:rPr>
        <w:t>The SAGE Handbook of Qualitative Research in Psychology Ethics in Qualitative Psychological Research</w:t>
      </w:r>
      <w:r w:rsidRPr="003F4710">
        <w:rPr>
          <w:rFonts w:ascii="Calibri" w:hAnsi="Calibri" w:cs="Calibri"/>
          <w:noProof/>
          <w:sz w:val="20"/>
          <w:szCs w:val="24"/>
        </w:rPr>
        <w:t>. London: Sage Publications, Incorporated. pp. 263–279.</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Brinsden, H. &amp; Lobstein, T. (2013) Comparison of nutrient profiling schemes for restricting the marketing of food and drink to children. </w:t>
      </w:r>
      <w:r w:rsidRPr="003F4710">
        <w:rPr>
          <w:rFonts w:ascii="Calibri" w:hAnsi="Calibri" w:cs="Calibri"/>
          <w:i/>
          <w:iCs/>
          <w:noProof/>
          <w:sz w:val="20"/>
          <w:szCs w:val="24"/>
        </w:rPr>
        <w:t>Pediatric obesity</w:t>
      </w:r>
      <w:r w:rsidRPr="003F4710">
        <w:rPr>
          <w:rFonts w:ascii="Calibri" w:hAnsi="Calibri" w:cs="Calibri"/>
          <w:noProof/>
          <w:sz w:val="20"/>
          <w:szCs w:val="24"/>
        </w:rPr>
        <w:t>. 8 (4), 325–327. [online]. Available from: http://onlinelibrary.wiley.com/doi/10.1111/j.2047-6310.2013.00167.x/pdf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Britten, N. et al. (2002) Using meta ethnography to synthesise qualitative research: a worked example. </w:t>
      </w:r>
      <w:r w:rsidRPr="003F4710">
        <w:rPr>
          <w:rFonts w:ascii="Calibri" w:hAnsi="Calibri" w:cs="Calibri"/>
          <w:i/>
          <w:iCs/>
          <w:noProof/>
          <w:sz w:val="20"/>
          <w:szCs w:val="24"/>
        </w:rPr>
        <w:t>Journal of Health Services Research &amp; Policy</w:t>
      </w:r>
      <w:r w:rsidRPr="003F4710">
        <w:rPr>
          <w:rFonts w:ascii="Calibri" w:hAnsi="Calibri" w:cs="Calibri"/>
          <w:noProof/>
          <w:sz w:val="20"/>
          <w:szCs w:val="24"/>
        </w:rPr>
        <w:t>. 7 (4), 209–215. [online]. Available from: http://www.ncbi.nlm.nih.gov/pubmed/12425780 (Accessed 4 February 2016).</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Brodersen, N. H. et al. (2007) Trends in physical activity and sedentary behaviour in adolescence: ethnic and socioeconomic differences. </w:t>
      </w:r>
      <w:r w:rsidRPr="003F4710">
        <w:rPr>
          <w:rFonts w:ascii="Calibri" w:hAnsi="Calibri" w:cs="Calibri"/>
          <w:i/>
          <w:iCs/>
          <w:noProof/>
          <w:sz w:val="20"/>
          <w:szCs w:val="24"/>
        </w:rPr>
        <w:t>British journal of sports medicine</w:t>
      </w:r>
      <w:r w:rsidRPr="003F4710">
        <w:rPr>
          <w:rFonts w:ascii="Calibri" w:hAnsi="Calibri" w:cs="Calibri"/>
          <w:noProof/>
          <w:sz w:val="20"/>
          <w:szCs w:val="24"/>
        </w:rPr>
        <w:t>. 41 (3), 140–144. [online]. Available from: http://www.ncbi.nlm.nih.gov/pubmed/17178773 (Accessed 18 March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Bronfenbrenner, U. (1979) </w:t>
      </w:r>
      <w:r w:rsidRPr="003F4710">
        <w:rPr>
          <w:rFonts w:ascii="Calibri" w:hAnsi="Calibri" w:cs="Calibri"/>
          <w:i/>
          <w:iCs/>
          <w:noProof/>
          <w:sz w:val="20"/>
          <w:szCs w:val="24"/>
        </w:rPr>
        <w:t>The ecology of human development: Experiments by nature and design</w:t>
      </w:r>
      <w:r w:rsidRPr="003F4710">
        <w:rPr>
          <w:rFonts w:ascii="Calibri" w:hAnsi="Calibri" w:cs="Calibri"/>
          <w:noProof/>
          <w:sz w:val="20"/>
          <w:szCs w:val="24"/>
        </w:rPr>
        <w:t>. Cambridge: Harvard University Press.</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Brown, R. C. H. (2013) Moral responsibility for (un)healthy behaviour. </w:t>
      </w:r>
      <w:r w:rsidRPr="003F4710">
        <w:rPr>
          <w:rFonts w:ascii="Calibri" w:hAnsi="Calibri" w:cs="Calibri"/>
          <w:i/>
          <w:iCs/>
          <w:noProof/>
          <w:sz w:val="20"/>
          <w:szCs w:val="24"/>
        </w:rPr>
        <w:t>Journal of Medical Ethics</w:t>
      </w:r>
      <w:r w:rsidRPr="003F4710">
        <w:rPr>
          <w:rFonts w:ascii="Calibri" w:hAnsi="Calibri" w:cs="Calibri"/>
          <w:noProof/>
          <w:sz w:val="20"/>
          <w:szCs w:val="24"/>
        </w:rPr>
        <w:t>. 39 (11), 695–698. [online]. Available from: http://jme.bmj.com/lookup/doi/10.1136/medethics-2012-100774 (Accessed 30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Brown, T. &amp; Summerbell, C. (2009) Systematic review of school‐based interventions that focus on changing dietary intake and physical activity levels to prevent childhood obesity: an update to the obesity guidance produced by the National Institute of Health and Clinical Excellence. </w:t>
      </w:r>
      <w:r w:rsidRPr="003F4710">
        <w:rPr>
          <w:rFonts w:ascii="Calibri" w:hAnsi="Calibri" w:cs="Calibri"/>
          <w:i/>
          <w:iCs/>
          <w:noProof/>
          <w:sz w:val="20"/>
          <w:szCs w:val="24"/>
        </w:rPr>
        <w:t>Obesity reviews</w:t>
      </w:r>
      <w:r w:rsidRPr="003F4710">
        <w:rPr>
          <w:rFonts w:ascii="Calibri" w:hAnsi="Calibri" w:cs="Calibri"/>
          <w:noProof/>
          <w:sz w:val="20"/>
          <w:szCs w:val="24"/>
        </w:rPr>
        <w:t>. 10 (1), 110–141. [online]. Available from: http://onlinelibrary.wiley.com/doi/10.1111/j.1467-789X.2008.00515.x/full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Brownell, K. D. et al. (2010) Personal Responsibility And Obesity: A Constructive Approach To A Controversial Issue. </w:t>
      </w:r>
      <w:r w:rsidRPr="003F4710">
        <w:rPr>
          <w:rFonts w:ascii="Calibri" w:hAnsi="Calibri" w:cs="Calibri"/>
          <w:i/>
          <w:iCs/>
          <w:noProof/>
          <w:sz w:val="20"/>
          <w:szCs w:val="24"/>
        </w:rPr>
        <w:t>Health Affairs</w:t>
      </w:r>
      <w:r w:rsidRPr="003F4710">
        <w:rPr>
          <w:rFonts w:ascii="Calibri" w:hAnsi="Calibri" w:cs="Calibri"/>
          <w:noProof/>
          <w:sz w:val="20"/>
          <w:szCs w:val="24"/>
        </w:rPr>
        <w:t>. 29 (3), 379–387. [online]. Available from: http://www.ncbi.nlm.nih.gov/pubmed/20194976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Brownell, K. D. et al. (2009) The Need for Bold Action to Prevent Adolescent Obesity. </w:t>
      </w:r>
      <w:r w:rsidRPr="003F4710">
        <w:rPr>
          <w:rFonts w:ascii="Calibri" w:hAnsi="Calibri" w:cs="Calibri"/>
          <w:i/>
          <w:iCs/>
          <w:noProof/>
          <w:sz w:val="20"/>
          <w:szCs w:val="24"/>
        </w:rPr>
        <w:t>Journal of Adolescent Health</w:t>
      </w:r>
      <w:r w:rsidRPr="003F4710">
        <w:rPr>
          <w:rFonts w:ascii="Calibri" w:hAnsi="Calibri" w:cs="Calibri"/>
          <w:noProof/>
          <w:sz w:val="20"/>
          <w:szCs w:val="24"/>
        </w:rPr>
        <w:t>. 45 (3), S8–S17. [online]. Available from: http://www.ncbi.nlm.nih.gov/pubmed/19699441 (Accessed 13 February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Brug, J. et al. (2010) 'Evidence of the Influence of Home and Family Environment', in E Waters et al. (eds.) </w:t>
      </w:r>
      <w:r w:rsidRPr="003F4710">
        <w:rPr>
          <w:rFonts w:ascii="Calibri" w:hAnsi="Calibri" w:cs="Calibri"/>
          <w:i/>
          <w:iCs/>
          <w:noProof/>
          <w:sz w:val="20"/>
          <w:szCs w:val="24"/>
        </w:rPr>
        <w:t>Preventing Childhood Obesity</w:t>
      </w:r>
      <w:r w:rsidRPr="003F4710">
        <w:rPr>
          <w:rFonts w:ascii="Calibri" w:hAnsi="Calibri" w:cs="Calibri"/>
          <w:noProof/>
          <w:sz w:val="20"/>
          <w:szCs w:val="24"/>
        </w:rPr>
        <w:t>. Oxford: Wiley-Blackwell. pp. 64–70. [online]. Available from: http://doi.wiley.com/10.1002/9781444318517.ch8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Brundrett, M. (2008) 'Educational leadership development in England', in M Brundrett &amp; M Crawford (eds.) </w:t>
      </w:r>
      <w:r w:rsidRPr="003F4710">
        <w:rPr>
          <w:rFonts w:ascii="Calibri" w:hAnsi="Calibri" w:cs="Calibri"/>
          <w:i/>
          <w:iCs/>
          <w:noProof/>
          <w:sz w:val="20"/>
          <w:szCs w:val="24"/>
        </w:rPr>
        <w:t>Developing school leaders: An International Perspective</w:t>
      </w:r>
      <w:r w:rsidRPr="003F4710">
        <w:rPr>
          <w:rFonts w:ascii="Calibri" w:hAnsi="Calibri" w:cs="Calibri"/>
          <w:noProof/>
          <w:sz w:val="20"/>
          <w:szCs w:val="24"/>
        </w:rPr>
        <w:t>. Abingdon: Routledge. pp. 7–22.</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Bryman, A. (2007) Barriers to integrating quantitative and qualitative research. </w:t>
      </w:r>
      <w:r w:rsidRPr="003F4710">
        <w:rPr>
          <w:rFonts w:ascii="Calibri" w:hAnsi="Calibri" w:cs="Calibri"/>
          <w:i/>
          <w:iCs/>
          <w:noProof/>
          <w:sz w:val="20"/>
          <w:szCs w:val="24"/>
        </w:rPr>
        <w:t>Journal of mixed methods research</w:t>
      </w:r>
      <w:r w:rsidRPr="003F4710">
        <w:rPr>
          <w:rFonts w:ascii="Calibri" w:hAnsi="Calibri" w:cs="Calibri"/>
          <w:noProof/>
          <w:sz w:val="20"/>
          <w:szCs w:val="24"/>
        </w:rPr>
        <w:t>. 1 (1), 8–22. [online]. Available from: http://mmr.sagepub.com/content/1/1/8.short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Bryman, A. (2006) Integrating quantitative and qualitative research: how is it done? </w:t>
      </w:r>
      <w:r w:rsidRPr="003F4710">
        <w:rPr>
          <w:rFonts w:ascii="Calibri" w:hAnsi="Calibri" w:cs="Calibri"/>
          <w:i/>
          <w:iCs/>
          <w:noProof/>
          <w:sz w:val="20"/>
          <w:szCs w:val="24"/>
        </w:rPr>
        <w:t>Qualitative research</w:t>
      </w:r>
      <w:r w:rsidRPr="003F4710">
        <w:rPr>
          <w:rFonts w:ascii="Calibri" w:hAnsi="Calibri" w:cs="Calibri"/>
          <w:noProof/>
          <w:sz w:val="20"/>
          <w:szCs w:val="24"/>
        </w:rPr>
        <w:t xml:space="preserve">. 6 (1), 97–113. [online]. Available from: http://qrj.sagepub.com/content/6/1/97.short (Accessed 17 October </w:t>
      </w:r>
      <w:r w:rsidRPr="003F4710">
        <w:rPr>
          <w:rFonts w:ascii="Calibri" w:hAnsi="Calibri" w:cs="Calibri"/>
          <w:noProof/>
          <w:sz w:val="20"/>
          <w:szCs w:val="24"/>
        </w:rPr>
        <w:lastRenderedPageBreak/>
        <w:t>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Bryman, A. (2008) Of methods and methodology. </w:t>
      </w:r>
      <w:r w:rsidRPr="003F4710">
        <w:rPr>
          <w:rFonts w:ascii="Calibri" w:hAnsi="Calibri" w:cs="Calibri"/>
          <w:i/>
          <w:iCs/>
          <w:noProof/>
          <w:sz w:val="20"/>
          <w:szCs w:val="24"/>
        </w:rPr>
        <w:t>Qualitative Research in Organizations and Management: An International Journal</w:t>
      </w:r>
      <w:r w:rsidRPr="003F4710">
        <w:rPr>
          <w:rFonts w:ascii="Calibri" w:hAnsi="Calibri" w:cs="Calibri"/>
          <w:noProof/>
          <w:sz w:val="20"/>
          <w:szCs w:val="24"/>
        </w:rPr>
        <w:t>. 3 (2), 159–168. [online]. Available from: http://www.emeraldinsight.com/doi/10.1108/17465640810900568 (Accessed 5 January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Bryman, A. (2012) </w:t>
      </w:r>
      <w:r w:rsidRPr="003F4710">
        <w:rPr>
          <w:rFonts w:ascii="Calibri" w:hAnsi="Calibri" w:cs="Calibri"/>
          <w:i/>
          <w:iCs/>
          <w:noProof/>
          <w:sz w:val="20"/>
          <w:szCs w:val="24"/>
        </w:rPr>
        <w:t>Social research methods</w:t>
      </w:r>
      <w:r w:rsidRPr="003F4710">
        <w:rPr>
          <w:rFonts w:ascii="Calibri" w:hAnsi="Calibri" w:cs="Calibri"/>
          <w:noProof/>
          <w:sz w:val="20"/>
          <w:szCs w:val="24"/>
        </w:rPr>
        <w:t>. 4th edition. Oxford: Oxford University Press.</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Bryman, A. (2016) </w:t>
      </w:r>
      <w:r w:rsidRPr="003F4710">
        <w:rPr>
          <w:rFonts w:ascii="Calibri" w:hAnsi="Calibri" w:cs="Calibri"/>
          <w:i/>
          <w:iCs/>
          <w:noProof/>
          <w:sz w:val="20"/>
          <w:szCs w:val="24"/>
        </w:rPr>
        <w:t>Social research methods Bryman</w:t>
      </w:r>
      <w:r w:rsidRPr="003F4710">
        <w:rPr>
          <w:rFonts w:ascii="Calibri" w:hAnsi="Calibri" w:cs="Calibri"/>
          <w:noProof/>
          <w:sz w:val="20"/>
          <w:szCs w:val="24"/>
        </w:rPr>
        <w:t>. 5th edition. Oxford: Open University Press.</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Budd, G. &amp; Volpe, S. (2006) School‐Based Obesity Prevention: Research, Challenges, and Recommendations. </w:t>
      </w:r>
      <w:r w:rsidRPr="003F4710">
        <w:rPr>
          <w:rFonts w:ascii="Calibri" w:hAnsi="Calibri" w:cs="Calibri"/>
          <w:i/>
          <w:iCs/>
          <w:noProof/>
          <w:sz w:val="20"/>
          <w:szCs w:val="24"/>
        </w:rPr>
        <w:t>Journal of School Health</w:t>
      </w:r>
      <w:r w:rsidRPr="003F4710">
        <w:rPr>
          <w:rFonts w:ascii="Calibri" w:hAnsi="Calibri" w:cs="Calibri"/>
          <w:noProof/>
          <w:sz w:val="20"/>
          <w:szCs w:val="24"/>
        </w:rPr>
        <w:t>. 76 (10), 485–495. [online]. Available from: http://onlinelibrary.wiley.com/doi/10.1111/j.1746-1561.2006.00149.x/pdf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Burke, M. A. et al. (2010) From ‘Overweight’ to ‘About Right’: Evidence of a Generational Shift in Body Weight Norms. </w:t>
      </w:r>
      <w:r w:rsidRPr="003F4710">
        <w:rPr>
          <w:rFonts w:ascii="Calibri" w:hAnsi="Calibri" w:cs="Calibri"/>
          <w:i/>
          <w:iCs/>
          <w:noProof/>
          <w:sz w:val="20"/>
          <w:szCs w:val="24"/>
        </w:rPr>
        <w:t>Obesity</w:t>
      </w:r>
      <w:r w:rsidRPr="003F4710">
        <w:rPr>
          <w:rFonts w:ascii="Calibri" w:hAnsi="Calibri" w:cs="Calibri"/>
          <w:noProof/>
          <w:sz w:val="20"/>
          <w:szCs w:val="24"/>
        </w:rPr>
        <w:t>. 18 (6), 1226–1234. [online]. Available from: http://doi.wiley.com/10.1038/oby.2009.369 (Accessed 18 February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Burman, E. &amp; Parker, I. (1993) </w:t>
      </w:r>
      <w:r w:rsidRPr="003F4710">
        <w:rPr>
          <w:rFonts w:ascii="Calibri" w:hAnsi="Calibri" w:cs="Calibri"/>
          <w:i/>
          <w:iCs/>
          <w:noProof/>
          <w:sz w:val="20"/>
          <w:szCs w:val="24"/>
        </w:rPr>
        <w:t>Discourse analytic research : repertoires and readings of texts in action</w:t>
      </w:r>
      <w:r w:rsidRPr="003F4710">
        <w:rPr>
          <w:rFonts w:ascii="Calibri" w:hAnsi="Calibri" w:cs="Calibri"/>
          <w:noProof/>
          <w:sz w:val="20"/>
          <w:szCs w:val="24"/>
        </w:rPr>
        <w:t>. London: Routledge.</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Butland, B. &amp; Jebb, S. (2007) </w:t>
      </w:r>
      <w:r w:rsidRPr="003F4710">
        <w:rPr>
          <w:rFonts w:ascii="Calibri" w:hAnsi="Calibri" w:cs="Calibri"/>
          <w:i/>
          <w:iCs/>
          <w:noProof/>
          <w:sz w:val="20"/>
          <w:szCs w:val="24"/>
        </w:rPr>
        <w:t>Foresight. Tackling obesities: future choices. Project report.</w:t>
      </w:r>
      <w:r w:rsidRPr="003F4710">
        <w:rPr>
          <w:rFonts w:ascii="Calibri" w:hAnsi="Calibri" w:cs="Calibri"/>
          <w:noProof/>
          <w:sz w:val="20"/>
          <w:szCs w:val="24"/>
        </w:rPr>
        <w:t xml:space="preserve"> [online]. Available from: https://www.gov.uk/government/publications/reducing-obesity-future-choices (Accessed 16 October 2015). [online]. Available from: https://www.gov.uk/government/publications/reducing-obesity-future-choices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Buttenheim, A. M. et al. (2013) Underestimation of Adolescent Obesity. </w:t>
      </w:r>
      <w:r w:rsidRPr="003F4710">
        <w:rPr>
          <w:rFonts w:ascii="Calibri" w:hAnsi="Calibri" w:cs="Calibri"/>
          <w:i/>
          <w:iCs/>
          <w:noProof/>
          <w:sz w:val="20"/>
          <w:szCs w:val="24"/>
        </w:rPr>
        <w:t>Nursing Research</w:t>
      </w:r>
      <w:r w:rsidRPr="003F4710">
        <w:rPr>
          <w:rFonts w:ascii="Calibri" w:hAnsi="Calibri" w:cs="Calibri"/>
          <w:noProof/>
          <w:sz w:val="20"/>
          <w:szCs w:val="24"/>
        </w:rPr>
        <w:t>. 62 (3), 195–202. [online]. Available from: http://www.ncbi.nlm.nih.gov/pubmed/23636345 (Accessed 11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Cacciari, E. &amp; Milani, S. (2002) Italian cross-sectional growth charts for height, weight and BMI (6-20 y). </w:t>
      </w:r>
      <w:r w:rsidRPr="003F4710">
        <w:rPr>
          <w:rFonts w:ascii="Calibri" w:hAnsi="Calibri" w:cs="Calibri"/>
          <w:i/>
          <w:iCs/>
          <w:noProof/>
          <w:sz w:val="20"/>
          <w:szCs w:val="24"/>
        </w:rPr>
        <w:t>European Journal of Clinical Nutrition</w:t>
      </w:r>
      <w:r w:rsidRPr="003F4710">
        <w:rPr>
          <w:rFonts w:ascii="Calibri" w:hAnsi="Calibri" w:cs="Calibri"/>
          <w:noProof/>
          <w:sz w:val="20"/>
          <w:szCs w:val="24"/>
        </w:rPr>
        <w:t>. 56 (2), 171–180. [online]. Available from: http://europepmc.org/abstract/med/11857051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Caird, J. et al. (2011) </w:t>
      </w:r>
      <w:r w:rsidRPr="003F4710">
        <w:rPr>
          <w:rFonts w:ascii="Calibri" w:hAnsi="Calibri" w:cs="Calibri"/>
          <w:i/>
          <w:iCs/>
          <w:noProof/>
          <w:sz w:val="20"/>
          <w:szCs w:val="24"/>
        </w:rPr>
        <w:t>Childhood obesity and educational attainment: a systematic review</w:t>
      </w:r>
      <w:r w:rsidRPr="003F4710">
        <w:rPr>
          <w:rFonts w:ascii="Calibri" w:hAnsi="Calibri" w:cs="Calibri"/>
          <w:noProof/>
          <w:sz w:val="20"/>
          <w:szCs w:val="24"/>
        </w:rPr>
        <w:t>. [online]. Available from: http://eprints.ioe.ac.uk/16316/ (Accessed 16 October 2015). [online]. Available from: http://eprints.ioe.ac.uk/16316/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Caracelli, V. &amp; Greene, J. (1997) Crafting mixed‐method evaluation designs. </w:t>
      </w:r>
      <w:r w:rsidRPr="003F4710">
        <w:rPr>
          <w:rFonts w:ascii="Calibri" w:hAnsi="Calibri" w:cs="Calibri"/>
          <w:i/>
          <w:iCs/>
          <w:noProof/>
          <w:sz w:val="20"/>
          <w:szCs w:val="24"/>
        </w:rPr>
        <w:t>New directions for evaluation</w:t>
      </w:r>
      <w:r w:rsidRPr="003F4710">
        <w:rPr>
          <w:rFonts w:ascii="Calibri" w:hAnsi="Calibri" w:cs="Calibri"/>
          <w:noProof/>
          <w:sz w:val="20"/>
          <w:szCs w:val="24"/>
        </w:rPr>
        <w:t>. 1997 (74), 19–32. [online]. Available from: http://onlinelibrary.wiley.com/doi/10.1002/ev.1069/full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Caraher, M. et al. (2014) The ‘School Foodshed’: schools and fast-food outlets in a London borough. </w:t>
      </w:r>
      <w:r w:rsidRPr="003F4710">
        <w:rPr>
          <w:rFonts w:ascii="Calibri" w:hAnsi="Calibri" w:cs="Calibri"/>
          <w:i/>
          <w:iCs/>
          <w:noProof/>
          <w:sz w:val="20"/>
          <w:szCs w:val="24"/>
        </w:rPr>
        <w:t>British Food Journal</w:t>
      </w:r>
      <w:r w:rsidRPr="003F4710">
        <w:rPr>
          <w:rFonts w:ascii="Calibri" w:hAnsi="Calibri" w:cs="Calibri"/>
          <w:noProof/>
          <w:sz w:val="20"/>
          <w:szCs w:val="24"/>
        </w:rPr>
        <w:t>. 116 (3), 472–493. [online]. Available from: http://www.emeraldinsight.com/doi/10.1108/BFJ-02-2012-0042 (Accessed 18 February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Cassell, D. K. &amp; Gleaves, D. H. (2006) </w:t>
      </w:r>
      <w:r w:rsidRPr="003F4710">
        <w:rPr>
          <w:rFonts w:ascii="Calibri" w:hAnsi="Calibri" w:cs="Calibri"/>
          <w:i/>
          <w:iCs/>
          <w:noProof/>
          <w:sz w:val="20"/>
          <w:szCs w:val="24"/>
        </w:rPr>
        <w:t>The encyclopedia of obesity and eating disorders</w:t>
      </w:r>
      <w:r w:rsidRPr="003F4710">
        <w:rPr>
          <w:rFonts w:ascii="Calibri" w:hAnsi="Calibri" w:cs="Calibri"/>
          <w:noProof/>
          <w:sz w:val="20"/>
          <w:szCs w:val="24"/>
        </w:rPr>
        <w:t>. 3rd edition. New York: Facts on File.</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Catalano, R. F. et al. (2012) Worldwide application of prevention science in adolescent health. </w:t>
      </w:r>
      <w:r w:rsidRPr="003F4710">
        <w:rPr>
          <w:rFonts w:ascii="Calibri" w:hAnsi="Calibri" w:cs="Calibri"/>
          <w:i/>
          <w:iCs/>
          <w:noProof/>
          <w:sz w:val="20"/>
          <w:szCs w:val="24"/>
        </w:rPr>
        <w:t>The Lancet</w:t>
      </w:r>
      <w:r w:rsidRPr="003F4710">
        <w:rPr>
          <w:rFonts w:ascii="Calibri" w:hAnsi="Calibri" w:cs="Calibri"/>
          <w:noProof/>
          <w:sz w:val="20"/>
          <w:szCs w:val="24"/>
        </w:rPr>
        <w:t>. 379 (9826), 1653–1664. [online]. Available from: http://www.ncbi.nlm.nih.gov/pubmed/22538180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Cetateanu, A. &amp; Jones, A. (2014) Understanding the relationship between food environments, deprivation and childhood overweight and obesity: Evidence from a cross sectional England-wide study. </w:t>
      </w:r>
      <w:r w:rsidRPr="003F4710">
        <w:rPr>
          <w:rFonts w:ascii="Calibri" w:hAnsi="Calibri" w:cs="Calibri"/>
          <w:i/>
          <w:iCs/>
          <w:noProof/>
          <w:sz w:val="20"/>
          <w:szCs w:val="24"/>
        </w:rPr>
        <w:t>Health &amp; Place</w:t>
      </w:r>
      <w:r w:rsidRPr="003F4710">
        <w:rPr>
          <w:rFonts w:ascii="Calibri" w:hAnsi="Calibri" w:cs="Calibri"/>
          <w:noProof/>
          <w:sz w:val="20"/>
          <w:szCs w:val="24"/>
        </w:rPr>
        <w:t>. 2768–76. [online]. Available from: http://linkinghub.elsevier.com/retrieve/pii/S1353829214000094 (Accessed 20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Chaimovitz, R. et al. (2008) Body Perception: Do Parents, Their Children, and Their Childrenʼs Physicians Perceive Body Image Differently? </w:t>
      </w:r>
      <w:r w:rsidRPr="003F4710">
        <w:rPr>
          <w:rFonts w:ascii="Calibri" w:hAnsi="Calibri" w:cs="Calibri"/>
          <w:i/>
          <w:iCs/>
          <w:noProof/>
          <w:sz w:val="20"/>
          <w:szCs w:val="24"/>
        </w:rPr>
        <w:t>Journal of Pediatric Gastroenterology and Nutrition</w:t>
      </w:r>
      <w:r w:rsidRPr="003F4710">
        <w:rPr>
          <w:rFonts w:ascii="Calibri" w:hAnsi="Calibri" w:cs="Calibri"/>
          <w:noProof/>
          <w:sz w:val="20"/>
          <w:szCs w:val="24"/>
        </w:rPr>
        <w:t>. 47 (1), 76–80. [online]. Available from: http://www.ncbi.nlm.nih.gov/pubmed/18607272 (Accessed 11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Chang, V. W. &amp; Christakis, N. A. (2002) Medical modelling of obesity: a transition from action to experience in a 20th century American medical textbook. </w:t>
      </w:r>
      <w:r w:rsidRPr="003F4710">
        <w:rPr>
          <w:rFonts w:ascii="Calibri" w:hAnsi="Calibri" w:cs="Calibri"/>
          <w:i/>
          <w:iCs/>
          <w:noProof/>
          <w:sz w:val="20"/>
          <w:szCs w:val="24"/>
        </w:rPr>
        <w:t>Sociology of Health &amp;amp; Illness</w:t>
      </w:r>
      <w:r w:rsidRPr="003F4710">
        <w:rPr>
          <w:rFonts w:ascii="Calibri" w:hAnsi="Calibri" w:cs="Calibri"/>
          <w:noProof/>
          <w:sz w:val="20"/>
          <w:szCs w:val="24"/>
        </w:rPr>
        <w:t>. 24 (2), 151–177. [online]. Available from: http://doi.wiley.com/10.1111/1467-9566.00289 (Accessed 11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Cheung, W. W. &amp; Mao, P. (2012) Recent Advances in Obesity: Genetics and Beyond. </w:t>
      </w:r>
      <w:r w:rsidRPr="003F4710">
        <w:rPr>
          <w:rFonts w:ascii="Calibri" w:hAnsi="Calibri" w:cs="Calibri"/>
          <w:i/>
          <w:iCs/>
          <w:noProof/>
          <w:sz w:val="20"/>
          <w:szCs w:val="24"/>
        </w:rPr>
        <w:t>ISRN Endocrinology</w:t>
      </w:r>
      <w:r w:rsidRPr="003F4710">
        <w:rPr>
          <w:rFonts w:ascii="Calibri" w:hAnsi="Calibri" w:cs="Calibri"/>
          <w:noProof/>
          <w:sz w:val="20"/>
          <w:szCs w:val="24"/>
        </w:rPr>
        <w:t>. 20121–11. [online]. Available from: http://www.hindawi.com/journals/isrn/2012/536905/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Chilton, R. et al. (2015) Health promotion in schools: a scoping review of systematic reviews. </w:t>
      </w:r>
      <w:r w:rsidRPr="003F4710">
        <w:rPr>
          <w:rFonts w:ascii="Calibri" w:hAnsi="Calibri" w:cs="Calibri"/>
          <w:i/>
          <w:iCs/>
          <w:noProof/>
          <w:sz w:val="20"/>
          <w:szCs w:val="24"/>
        </w:rPr>
        <w:t>Health Education</w:t>
      </w:r>
      <w:r w:rsidRPr="003F4710">
        <w:rPr>
          <w:rFonts w:ascii="Calibri" w:hAnsi="Calibri" w:cs="Calibri"/>
          <w:noProof/>
          <w:sz w:val="20"/>
          <w:szCs w:val="24"/>
        </w:rPr>
        <w:t>. 115 (3/4), 357–376. [online]. Available from: http://www.emeraldinsight.com/doi/abs/10.1108/HE-03-2014-0033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Chinn, S. &amp; Rona, R. (2001) Prevalence and trends in overweight and obesity in three cross sectional studies of British children, 1974-94. </w:t>
      </w:r>
      <w:r w:rsidRPr="003F4710">
        <w:rPr>
          <w:rFonts w:ascii="Calibri" w:hAnsi="Calibri" w:cs="Calibri"/>
          <w:i/>
          <w:iCs/>
          <w:noProof/>
          <w:sz w:val="20"/>
          <w:szCs w:val="24"/>
        </w:rPr>
        <w:t>Bmj</w:t>
      </w:r>
      <w:r w:rsidRPr="003F4710">
        <w:rPr>
          <w:rFonts w:ascii="Calibri" w:hAnsi="Calibri" w:cs="Calibri"/>
          <w:noProof/>
          <w:sz w:val="20"/>
          <w:szCs w:val="24"/>
        </w:rPr>
        <w:t>. 322 (7277), 24–26. [online]. Available from: http://www.bmj.com/content/322/7277/24.short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Christian, D. et al. (2015) Community led active schools programme (CLASP) exploring the implementation of </w:t>
      </w:r>
      <w:r w:rsidRPr="003F4710">
        <w:rPr>
          <w:rFonts w:ascii="Calibri" w:hAnsi="Calibri" w:cs="Calibri"/>
          <w:noProof/>
          <w:sz w:val="20"/>
          <w:szCs w:val="24"/>
        </w:rPr>
        <w:lastRenderedPageBreak/>
        <w:t xml:space="preserve">health interventions in primary schools: headteachers’ perspectives. </w:t>
      </w:r>
      <w:r w:rsidRPr="003F4710">
        <w:rPr>
          <w:rFonts w:ascii="Calibri" w:hAnsi="Calibri" w:cs="Calibri"/>
          <w:i/>
          <w:iCs/>
          <w:noProof/>
          <w:sz w:val="20"/>
          <w:szCs w:val="24"/>
        </w:rPr>
        <w:t>BMC Public Health</w:t>
      </w:r>
      <w:r w:rsidRPr="003F4710">
        <w:rPr>
          <w:rFonts w:ascii="Calibri" w:hAnsi="Calibri" w:cs="Calibri"/>
          <w:noProof/>
          <w:sz w:val="20"/>
          <w:szCs w:val="24"/>
        </w:rPr>
        <w:t>. 15 (1), 238. [online]. Available from: http://www.biomedcentral.com/1471-2458/15/238/ (Accessed 29 March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Civil Service World (2016) </w:t>
      </w:r>
      <w:r w:rsidRPr="003F4710">
        <w:rPr>
          <w:rFonts w:ascii="Calibri" w:hAnsi="Calibri" w:cs="Calibri"/>
          <w:i/>
          <w:iCs/>
          <w:noProof/>
          <w:sz w:val="20"/>
          <w:szCs w:val="24"/>
        </w:rPr>
        <w:t>Public Health England chief exec Duncan Selbie reviews the year and looks ahead to 2017</w:t>
      </w:r>
      <w:r w:rsidRPr="003F4710">
        <w:rPr>
          <w:rFonts w:ascii="Calibri" w:hAnsi="Calibri" w:cs="Calibri"/>
          <w:noProof/>
          <w:sz w:val="20"/>
          <w:szCs w:val="24"/>
        </w:rPr>
        <w:t>. [online]. Available from: https://www.civilserviceworld.com/articles/interview/public-health-england-chief-exec-duncan-selbie-reviews-year-and-looks-ahead-2017. [online]. Available from: https://www.civilserviceworld.com/articles/interview/public-health-england-chief-exec-duncan-selbie-reviews-year-and-looks-ahead-2017.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Clark, V. et al. (2008) 'Mixing quantitative and qualitative approaches', in S.N Hessey-Biber &amp; P Leavy (eds.) </w:t>
      </w:r>
      <w:r w:rsidRPr="003F4710">
        <w:rPr>
          <w:rFonts w:ascii="Calibri" w:hAnsi="Calibri" w:cs="Calibri"/>
          <w:i/>
          <w:iCs/>
          <w:noProof/>
          <w:sz w:val="20"/>
          <w:szCs w:val="24"/>
        </w:rPr>
        <w:t>Handbook of emergent methodos</w:t>
      </w:r>
      <w:r w:rsidRPr="003F4710">
        <w:rPr>
          <w:rFonts w:ascii="Calibri" w:hAnsi="Calibri" w:cs="Calibri"/>
          <w:noProof/>
          <w:sz w:val="20"/>
          <w:szCs w:val="24"/>
        </w:rPr>
        <w:t>. New York: The Guildford Press. pp. 363–387.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Clarke, J. et al. (2015) Headteacher perspectives on the role of the primary school in preventing childhood obesity. </w:t>
      </w:r>
      <w:r w:rsidRPr="003F4710">
        <w:rPr>
          <w:rFonts w:ascii="Calibri" w:hAnsi="Calibri" w:cs="Calibri"/>
          <w:i/>
          <w:iCs/>
          <w:noProof/>
          <w:sz w:val="20"/>
          <w:szCs w:val="24"/>
        </w:rPr>
        <w:t>Appetite</w:t>
      </w:r>
      <w:r w:rsidRPr="003F4710">
        <w:rPr>
          <w:rFonts w:ascii="Calibri" w:hAnsi="Calibri" w:cs="Calibri"/>
          <w:noProof/>
          <w:sz w:val="20"/>
          <w:szCs w:val="24"/>
        </w:rPr>
        <w:t>. 87377. [online]. Available from: http://www.sciencedirect.com/science/article/pii/S0195666314006746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Clarke, J. et al. (2013) The views of stakeholders on the role of the primary school in preventing childhood obesity: a qualitative systematic review. </w:t>
      </w:r>
      <w:r w:rsidRPr="003F4710">
        <w:rPr>
          <w:rFonts w:ascii="Calibri" w:hAnsi="Calibri" w:cs="Calibri"/>
          <w:i/>
          <w:iCs/>
          <w:noProof/>
          <w:sz w:val="20"/>
          <w:szCs w:val="24"/>
        </w:rPr>
        <w:t>Obesity …</w:t>
      </w:r>
      <w:r w:rsidRPr="003F4710">
        <w:rPr>
          <w:rFonts w:ascii="Calibri" w:hAnsi="Calibri" w:cs="Calibri"/>
          <w:noProof/>
          <w:sz w:val="20"/>
          <w:szCs w:val="24"/>
        </w:rPr>
        <w:t>. 14 (12), 975–988. [online]. Available from: http://onlinelibrary.wiley.com/doi/10.1111/obr.12058/full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Clarke, V. &amp; Braun, V. (2013) Teaching thematic analysis: Overcoming challenges and developing strategies for effective learning. </w:t>
      </w:r>
      <w:r w:rsidRPr="003F4710">
        <w:rPr>
          <w:rFonts w:ascii="Calibri" w:hAnsi="Calibri" w:cs="Calibri"/>
          <w:i/>
          <w:iCs/>
          <w:noProof/>
          <w:sz w:val="20"/>
          <w:szCs w:val="24"/>
        </w:rPr>
        <w:t>The Pscyhologist</w:t>
      </w:r>
      <w:r w:rsidRPr="003F4710">
        <w:rPr>
          <w:rFonts w:ascii="Calibri" w:hAnsi="Calibri" w:cs="Calibri"/>
          <w:noProof/>
          <w:sz w:val="20"/>
          <w:szCs w:val="24"/>
        </w:rPr>
        <w:t>. 26 (2), 120–123.</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Cohen, J. (1992) Quantitative Methods in Psychology. </w:t>
      </w:r>
      <w:r w:rsidRPr="003F4710">
        <w:rPr>
          <w:rFonts w:ascii="Calibri" w:hAnsi="Calibri" w:cs="Calibri"/>
          <w:i/>
          <w:iCs/>
          <w:noProof/>
          <w:sz w:val="20"/>
          <w:szCs w:val="24"/>
        </w:rPr>
        <w:t>Psychological Bulletin</w:t>
      </w:r>
      <w:r w:rsidRPr="003F4710">
        <w:rPr>
          <w:rFonts w:ascii="Calibri" w:hAnsi="Calibri" w:cs="Calibri"/>
          <w:noProof/>
          <w:sz w:val="20"/>
          <w:szCs w:val="24"/>
        </w:rPr>
        <w:t>. 112 (1), 155–159. [online]. Available from: http://www.ncbi.nlm.nih.gov/pubmed/19565683 (Accessed 1 January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Cohen, L. et al. (2004) </w:t>
      </w:r>
      <w:r w:rsidRPr="003F4710">
        <w:rPr>
          <w:rFonts w:ascii="Calibri" w:hAnsi="Calibri" w:cs="Calibri"/>
          <w:i/>
          <w:iCs/>
          <w:noProof/>
          <w:sz w:val="20"/>
          <w:szCs w:val="24"/>
        </w:rPr>
        <w:t>A guide to teaching practice</w:t>
      </w:r>
      <w:r w:rsidRPr="003F4710">
        <w:rPr>
          <w:rFonts w:ascii="Calibri" w:hAnsi="Calibri" w:cs="Calibri"/>
          <w:noProof/>
          <w:sz w:val="20"/>
          <w:szCs w:val="24"/>
        </w:rPr>
        <w:t>. 5th edition. London: Routledge.</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Cohen, L. et al. (2007) </w:t>
      </w:r>
      <w:r w:rsidRPr="003F4710">
        <w:rPr>
          <w:rFonts w:ascii="Calibri" w:hAnsi="Calibri" w:cs="Calibri"/>
          <w:i/>
          <w:iCs/>
          <w:noProof/>
          <w:sz w:val="20"/>
          <w:szCs w:val="24"/>
        </w:rPr>
        <w:t>Research methods in education</w:t>
      </w:r>
      <w:r w:rsidRPr="003F4710">
        <w:rPr>
          <w:rFonts w:ascii="Calibri" w:hAnsi="Calibri" w:cs="Calibri"/>
          <w:noProof/>
          <w:sz w:val="20"/>
          <w:szCs w:val="24"/>
        </w:rPr>
        <w:t>. 6th edition. Abingdon: Routledge.</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Cohen, L. et al. (2003) </w:t>
      </w:r>
      <w:r w:rsidRPr="003F4710">
        <w:rPr>
          <w:rFonts w:ascii="Calibri" w:hAnsi="Calibri" w:cs="Calibri"/>
          <w:i/>
          <w:iCs/>
          <w:noProof/>
          <w:sz w:val="20"/>
          <w:szCs w:val="24"/>
        </w:rPr>
        <w:t>Research methods in education</w:t>
      </w:r>
      <w:r w:rsidRPr="003F4710">
        <w:rPr>
          <w:rFonts w:ascii="Calibri" w:hAnsi="Calibri" w:cs="Calibri"/>
          <w:noProof/>
          <w:sz w:val="20"/>
          <w:szCs w:val="24"/>
        </w:rPr>
        <w:t>. 5th edition. New York: RoutledgeFalmer.</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Cole, T. et al. (1995) Body mass index reference curves for the UK, 1990. </w:t>
      </w:r>
      <w:r w:rsidRPr="003F4710">
        <w:rPr>
          <w:rFonts w:ascii="Calibri" w:hAnsi="Calibri" w:cs="Calibri"/>
          <w:i/>
          <w:iCs/>
          <w:noProof/>
          <w:sz w:val="20"/>
          <w:szCs w:val="24"/>
        </w:rPr>
        <w:t>Archives of disease in childhood</w:t>
      </w:r>
      <w:r w:rsidRPr="003F4710">
        <w:rPr>
          <w:rFonts w:ascii="Calibri" w:hAnsi="Calibri" w:cs="Calibri"/>
          <w:noProof/>
          <w:sz w:val="20"/>
          <w:szCs w:val="24"/>
        </w:rPr>
        <w:t>. 73 (1), 25–29. [online]. Available from: http://adc.bmj.com/content/73/1/25.short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Cole, T. et al. (2000) Establishing a standard definition for child overweight and obesity worldwide: international survey. </w:t>
      </w:r>
      <w:r w:rsidRPr="003F4710">
        <w:rPr>
          <w:rFonts w:ascii="Calibri" w:hAnsi="Calibri" w:cs="Calibri"/>
          <w:i/>
          <w:iCs/>
          <w:noProof/>
          <w:sz w:val="20"/>
          <w:szCs w:val="24"/>
        </w:rPr>
        <w:t>Bmj</w:t>
      </w:r>
      <w:r w:rsidRPr="003F4710">
        <w:rPr>
          <w:rFonts w:ascii="Calibri" w:hAnsi="Calibri" w:cs="Calibri"/>
          <w:noProof/>
          <w:sz w:val="20"/>
          <w:szCs w:val="24"/>
        </w:rPr>
        <w:t>. 3201240. [online]. Available from: http://www.bmj.com/content/320/7244/1240.short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Coleman, J. &amp; Hagell, A. (2015) Young people, health and youth policy. </w:t>
      </w:r>
      <w:r w:rsidRPr="003F4710">
        <w:rPr>
          <w:rFonts w:ascii="Calibri" w:hAnsi="Calibri" w:cs="Calibri"/>
          <w:i/>
          <w:iCs/>
          <w:noProof/>
          <w:sz w:val="20"/>
          <w:szCs w:val="24"/>
        </w:rPr>
        <w:t>Youth &amp; Policy</w:t>
      </w:r>
      <w:r w:rsidRPr="003F4710">
        <w:rPr>
          <w:rFonts w:ascii="Calibri" w:hAnsi="Calibri" w:cs="Calibri"/>
          <w:noProof/>
          <w:sz w:val="20"/>
          <w:szCs w:val="24"/>
        </w:rPr>
        <w:t>. 11417–30.</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Collins, K. (2007) A mixed methods investigation of mixed methods sampling designs in social and health science research. </w:t>
      </w:r>
      <w:r w:rsidRPr="003F4710">
        <w:rPr>
          <w:rFonts w:ascii="Calibri" w:hAnsi="Calibri" w:cs="Calibri"/>
          <w:i/>
          <w:iCs/>
          <w:noProof/>
          <w:sz w:val="20"/>
          <w:szCs w:val="24"/>
        </w:rPr>
        <w:t>Journal of mixed methods …</w:t>
      </w:r>
      <w:r w:rsidRPr="003F4710">
        <w:rPr>
          <w:rFonts w:ascii="Calibri" w:hAnsi="Calibri" w:cs="Calibri"/>
          <w:noProof/>
          <w:sz w:val="20"/>
          <w:szCs w:val="24"/>
        </w:rPr>
        <w:t>. 1 (3), 267–294. [online]. Available from: http://mmr.sagepub.com/content/1/3/267.short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Conrad, D. &amp; Capewell, S. (2012) Associations between deprivation and rates of childhood overweight and obesity in England, 2007-2010: an ecological study. </w:t>
      </w:r>
      <w:r w:rsidRPr="003F4710">
        <w:rPr>
          <w:rFonts w:ascii="Calibri" w:hAnsi="Calibri" w:cs="Calibri"/>
          <w:i/>
          <w:iCs/>
          <w:noProof/>
          <w:sz w:val="20"/>
          <w:szCs w:val="24"/>
        </w:rPr>
        <w:t>BMJ open</w:t>
      </w:r>
      <w:r w:rsidRPr="003F4710">
        <w:rPr>
          <w:rFonts w:ascii="Calibri" w:hAnsi="Calibri" w:cs="Calibri"/>
          <w:noProof/>
          <w:sz w:val="20"/>
          <w:szCs w:val="24"/>
        </w:rPr>
        <w:t>. 2 (2), e000463. [online]. Available from: http://www.ncbi.nlm.nih.gov/pubmed/22505306 (Accessed 2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Coolican, H. (2004) </w:t>
      </w:r>
      <w:r w:rsidRPr="003F4710">
        <w:rPr>
          <w:rFonts w:ascii="Calibri" w:hAnsi="Calibri" w:cs="Calibri"/>
          <w:i/>
          <w:iCs/>
          <w:noProof/>
          <w:sz w:val="20"/>
          <w:szCs w:val="24"/>
        </w:rPr>
        <w:t>Research methods and statistics in psychology</w:t>
      </w:r>
      <w:r w:rsidRPr="003F4710">
        <w:rPr>
          <w:rFonts w:ascii="Calibri" w:hAnsi="Calibri" w:cs="Calibri"/>
          <w:noProof/>
          <w:sz w:val="20"/>
          <w:szCs w:val="24"/>
        </w:rPr>
        <w:t>. 4th edition. London: Hodder &amp; Stoughton.</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Corbin, J. &amp; Strauss, A. (2015) </w:t>
      </w:r>
      <w:r w:rsidRPr="003F4710">
        <w:rPr>
          <w:rFonts w:ascii="Calibri" w:hAnsi="Calibri" w:cs="Calibri"/>
          <w:i/>
          <w:iCs/>
          <w:noProof/>
          <w:sz w:val="20"/>
          <w:szCs w:val="24"/>
        </w:rPr>
        <w:t>Basics of qualitative research: Techniques and procedures for developing grounded theory</w:t>
      </w:r>
      <w:r w:rsidRPr="003F4710">
        <w:rPr>
          <w:rFonts w:ascii="Calibri" w:hAnsi="Calibri" w:cs="Calibri"/>
          <w:noProof/>
          <w:sz w:val="20"/>
          <w:szCs w:val="24"/>
        </w:rPr>
        <w:t>. 4th edition. Los Angeles: SAGE Publications Inc.</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Corder, K. et al. (2015) Change in objectively measured physical activity during the transition to adolescence. </w:t>
      </w:r>
      <w:r w:rsidRPr="003F4710">
        <w:rPr>
          <w:rFonts w:ascii="Calibri" w:hAnsi="Calibri" w:cs="Calibri"/>
          <w:i/>
          <w:iCs/>
          <w:noProof/>
          <w:sz w:val="20"/>
          <w:szCs w:val="24"/>
        </w:rPr>
        <w:t>British Journal of Sports Medicine</w:t>
      </w:r>
      <w:r w:rsidRPr="003F4710">
        <w:rPr>
          <w:rFonts w:ascii="Calibri" w:hAnsi="Calibri" w:cs="Calibri"/>
          <w:noProof/>
          <w:sz w:val="20"/>
          <w:szCs w:val="24"/>
        </w:rPr>
        <w:t>. 49 (11), 730–736. [online]. Available from: http://www.ncbi.nlm.nih.gov/pubmed/24273308 (Accessed 18 March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Crespo, C. J. et al. (2001) Television watching, energy intake, and obesity in US children: results from the third National Health and Nutrition Examination Survey, 1988-1994. </w:t>
      </w:r>
      <w:r w:rsidRPr="003F4710">
        <w:rPr>
          <w:rFonts w:ascii="Calibri" w:hAnsi="Calibri" w:cs="Calibri"/>
          <w:i/>
          <w:iCs/>
          <w:noProof/>
          <w:sz w:val="20"/>
          <w:szCs w:val="24"/>
        </w:rPr>
        <w:t>Archives of pediatrics &amp; adolescent medicine</w:t>
      </w:r>
      <w:r w:rsidRPr="003F4710">
        <w:rPr>
          <w:rFonts w:ascii="Calibri" w:hAnsi="Calibri" w:cs="Calibri"/>
          <w:noProof/>
          <w:sz w:val="20"/>
          <w:szCs w:val="24"/>
        </w:rPr>
        <w:t>. 155 (3), 360–365. [online]. Available from: http://www.ncbi.nlm.nih.gov/pubmed/11231802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Creswell, J. (2004) Designing a mixed methods study in primary care. </w:t>
      </w:r>
      <w:r w:rsidRPr="003F4710">
        <w:rPr>
          <w:rFonts w:ascii="Calibri" w:hAnsi="Calibri" w:cs="Calibri"/>
          <w:i/>
          <w:iCs/>
          <w:noProof/>
          <w:sz w:val="20"/>
          <w:szCs w:val="24"/>
        </w:rPr>
        <w:t>The Annals of Family Medicine</w:t>
      </w:r>
      <w:r w:rsidRPr="003F4710">
        <w:rPr>
          <w:rFonts w:ascii="Calibri" w:hAnsi="Calibri" w:cs="Calibri"/>
          <w:noProof/>
          <w:sz w:val="20"/>
          <w:szCs w:val="24"/>
        </w:rPr>
        <w:t>. 2 (1), 7–12. [online]. Available from: http://www.annfammed.org/content/2/1/7.short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Creswell, J. (2013) </w:t>
      </w:r>
      <w:r w:rsidRPr="003F4710">
        <w:rPr>
          <w:rFonts w:ascii="Calibri" w:hAnsi="Calibri" w:cs="Calibri"/>
          <w:i/>
          <w:iCs/>
          <w:noProof/>
          <w:sz w:val="20"/>
          <w:szCs w:val="24"/>
        </w:rPr>
        <w:t>Research design: Qualitative, quantitative, and mixed methods approaches</w:t>
      </w:r>
      <w:r w:rsidRPr="003F4710">
        <w:rPr>
          <w:rFonts w:ascii="Calibri" w:hAnsi="Calibri" w:cs="Calibri"/>
          <w:noProof/>
          <w:sz w:val="20"/>
          <w:szCs w:val="24"/>
        </w:rPr>
        <w:t>. 4th edition. Los Angeles: SAGE Publications Inc.</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Creswell, J. &amp; Clark, V. (2007) </w:t>
      </w:r>
      <w:r w:rsidRPr="003F4710">
        <w:rPr>
          <w:rFonts w:ascii="Calibri" w:hAnsi="Calibri" w:cs="Calibri"/>
          <w:i/>
          <w:iCs/>
          <w:noProof/>
          <w:sz w:val="20"/>
          <w:szCs w:val="24"/>
        </w:rPr>
        <w:t>Designing and conducting mixed methods research</w:t>
      </w:r>
      <w:r w:rsidRPr="003F4710">
        <w:rPr>
          <w:rFonts w:ascii="Calibri" w:hAnsi="Calibri" w:cs="Calibri"/>
          <w:noProof/>
          <w:sz w:val="20"/>
          <w:szCs w:val="24"/>
        </w:rPr>
        <w:t>. 1st edition. Thousand Oaks: SAGE Publications Inc.</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Creswell, J. W. (2009a) </w:t>
      </w:r>
      <w:r w:rsidRPr="003F4710">
        <w:rPr>
          <w:rFonts w:ascii="Calibri" w:hAnsi="Calibri" w:cs="Calibri"/>
          <w:i/>
          <w:iCs/>
          <w:noProof/>
          <w:sz w:val="20"/>
          <w:szCs w:val="24"/>
        </w:rPr>
        <w:t>Research design : qualitative, quantitative, and mixed methods approaches</w:t>
      </w:r>
      <w:r w:rsidRPr="003F4710">
        <w:rPr>
          <w:rFonts w:ascii="Calibri" w:hAnsi="Calibri" w:cs="Calibri"/>
          <w:noProof/>
          <w:sz w:val="20"/>
          <w:szCs w:val="24"/>
        </w:rPr>
        <w:t>. 3rd edition. Thousand Oaks: SAGE Publications Inc.</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Creswell, J. W. (2009b) </w:t>
      </w:r>
      <w:r w:rsidRPr="003F4710">
        <w:rPr>
          <w:rFonts w:ascii="Calibri" w:hAnsi="Calibri" w:cs="Calibri"/>
          <w:i/>
          <w:iCs/>
          <w:noProof/>
          <w:sz w:val="20"/>
          <w:szCs w:val="24"/>
        </w:rPr>
        <w:t>Research design : qualitative, quantitative, and mixed methods approaches</w:t>
      </w:r>
      <w:r w:rsidRPr="003F4710">
        <w:rPr>
          <w:rFonts w:ascii="Calibri" w:hAnsi="Calibri" w:cs="Calibri"/>
          <w:noProof/>
          <w:sz w:val="20"/>
          <w:szCs w:val="24"/>
        </w:rPr>
        <w:t>. 3rd edition. Thousand Oaks: SAGE Publications, Inc.</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Creswell, J. W. (2014) </w:t>
      </w:r>
      <w:r w:rsidRPr="003F4710">
        <w:rPr>
          <w:rFonts w:ascii="Calibri" w:hAnsi="Calibri" w:cs="Calibri"/>
          <w:i/>
          <w:iCs/>
          <w:noProof/>
          <w:sz w:val="20"/>
          <w:szCs w:val="24"/>
        </w:rPr>
        <w:t>Research Design: Qualitative, Quantitative, and Mixed Methods Approaches</w:t>
      </w:r>
      <w:r w:rsidRPr="003F4710">
        <w:rPr>
          <w:rFonts w:ascii="Calibri" w:hAnsi="Calibri" w:cs="Calibri"/>
          <w:noProof/>
          <w:sz w:val="20"/>
          <w:szCs w:val="24"/>
        </w:rPr>
        <w:t xml:space="preserve">. 4th edition. </w:t>
      </w:r>
      <w:r w:rsidRPr="003F4710">
        <w:rPr>
          <w:rFonts w:ascii="Calibri" w:hAnsi="Calibri" w:cs="Calibri"/>
          <w:noProof/>
          <w:sz w:val="20"/>
          <w:szCs w:val="24"/>
        </w:rPr>
        <w:lastRenderedPageBreak/>
        <w:t>Los Angeles: SAGE Publications Inc.</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Creswell, J. W. &amp; Plano Clark, V. L. (2011) </w:t>
      </w:r>
      <w:r w:rsidRPr="003F4710">
        <w:rPr>
          <w:rFonts w:ascii="Calibri" w:hAnsi="Calibri" w:cs="Calibri"/>
          <w:i/>
          <w:iCs/>
          <w:noProof/>
          <w:sz w:val="20"/>
          <w:szCs w:val="24"/>
        </w:rPr>
        <w:t>Designing and conducting mixed methods research</w:t>
      </w:r>
      <w:r w:rsidRPr="003F4710">
        <w:rPr>
          <w:rFonts w:ascii="Calibri" w:hAnsi="Calibri" w:cs="Calibri"/>
          <w:noProof/>
          <w:sz w:val="20"/>
          <w:szCs w:val="24"/>
        </w:rPr>
        <w:t>. 2nd edition. Thousand Oaks: SAGE Publications.</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Critical Appraisal Skills Programme (CASP) (2014) </w:t>
      </w:r>
      <w:r w:rsidRPr="003F4710">
        <w:rPr>
          <w:rFonts w:ascii="Calibri" w:hAnsi="Calibri" w:cs="Calibri"/>
          <w:i/>
          <w:iCs/>
          <w:noProof/>
          <w:sz w:val="20"/>
          <w:szCs w:val="24"/>
        </w:rPr>
        <w:t>CASP Qualitative Checklist</w:t>
      </w:r>
      <w:r w:rsidRPr="003F4710">
        <w:rPr>
          <w:rFonts w:ascii="Calibri" w:hAnsi="Calibri" w:cs="Calibri"/>
          <w:noProof/>
          <w:sz w:val="20"/>
          <w:szCs w:val="24"/>
        </w:rPr>
        <w:t xml:space="preserve"> [online]. Available from: http://media.wix.com/ugd/dded87_29c5b002d99342f788c6ac670e49f274.pdf.</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Crone, E. &amp; Dahl, R. (2012) Understanding adolescence as a period of social–affective engagement and goal flexibility. </w:t>
      </w:r>
      <w:r w:rsidRPr="003F4710">
        <w:rPr>
          <w:rFonts w:ascii="Calibri" w:hAnsi="Calibri" w:cs="Calibri"/>
          <w:i/>
          <w:iCs/>
          <w:noProof/>
          <w:sz w:val="20"/>
          <w:szCs w:val="24"/>
        </w:rPr>
        <w:t>Nature Reviews Neuroscience</w:t>
      </w:r>
      <w:r w:rsidRPr="003F4710">
        <w:rPr>
          <w:rFonts w:ascii="Calibri" w:hAnsi="Calibri" w:cs="Calibri"/>
          <w:noProof/>
          <w:sz w:val="20"/>
          <w:szCs w:val="24"/>
        </w:rPr>
        <w:t>. 13 (9), 636–650. [online]. Available from: http://www.nature.com/nrn/journal/v13/n9/abs/nrn3313.html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Cundiff, D. K. (2006) BMI: a poor surrogate for diet and exercise in assessing risk of death. </w:t>
      </w:r>
      <w:r w:rsidRPr="003F4710">
        <w:rPr>
          <w:rFonts w:ascii="Calibri" w:hAnsi="Calibri" w:cs="Calibri"/>
          <w:i/>
          <w:iCs/>
          <w:noProof/>
          <w:sz w:val="20"/>
          <w:szCs w:val="24"/>
        </w:rPr>
        <w:t>International Journal of Obesity</w:t>
      </w:r>
      <w:r w:rsidRPr="003F4710">
        <w:rPr>
          <w:rFonts w:ascii="Calibri" w:hAnsi="Calibri" w:cs="Calibri"/>
          <w:noProof/>
          <w:sz w:val="20"/>
          <w:szCs w:val="24"/>
        </w:rPr>
        <w:t>. 30 (8), 1173–1175. [online]. Available from: http://www.ncbi.nlm.nih.gov/pubmed/16871274 (Accessed 16 October 2016).</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Curry, L. A. et al. (2009) Qualitative and Mixed Methods Provide Unique Contributions to Outcomes Research. </w:t>
      </w:r>
      <w:r w:rsidRPr="003F4710">
        <w:rPr>
          <w:rFonts w:ascii="Calibri" w:hAnsi="Calibri" w:cs="Calibri"/>
          <w:i/>
          <w:iCs/>
          <w:noProof/>
          <w:sz w:val="20"/>
          <w:szCs w:val="24"/>
        </w:rPr>
        <w:t>Circulation</w:t>
      </w:r>
      <w:r w:rsidRPr="003F4710">
        <w:rPr>
          <w:rFonts w:ascii="Calibri" w:hAnsi="Calibri" w:cs="Calibri"/>
          <w:noProof/>
          <w:sz w:val="20"/>
          <w:szCs w:val="24"/>
        </w:rPr>
        <w:t>. 119 (10), 1442–1452. [online]. Available from: http://www.ncbi.nlm.nih.gov/pubmed/19289649 (Accessed 5 February 2011).</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Dadaczynski, K. et al. (2010) </w:t>
      </w:r>
      <w:r w:rsidRPr="003F4710">
        <w:rPr>
          <w:rFonts w:ascii="Calibri" w:hAnsi="Calibri" w:cs="Calibri"/>
          <w:i/>
          <w:iCs/>
          <w:noProof/>
          <w:sz w:val="20"/>
          <w:szCs w:val="24"/>
        </w:rPr>
        <w:t>HEPS Inventory Tool: An Inventory Tool Including Quality Assessment of School Interventions on Healthy Eating and Physical Activity.</w:t>
      </w:r>
      <w:r w:rsidRPr="003F4710">
        <w:rPr>
          <w:rFonts w:ascii="Calibri" w:hAnsi="Calibri" w:cs="Calibri"/>
          <w:noProof/>
          <w:sz w:val="20"/>
          <w:szCs w:val="24"/>
        </w:rPr>
        <w:t xml:space="preserve"> [online]. Available from: http://eric.ed.gov/?id=ED518321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Dadaczynski, K. &amp; Vries, N. de (2013) Quality based prevention of overweight in the school setting: the HEPS quality checklist. </w:t>
      </w:r>
      <w:r w:rsidRPr="003F4710">
        <w:rPr>
          <w:rFonts w:ascii="Calibri" w:hAnsi="Calibri" w:cs="Calibri"/>
          <w:i/>
          <w:iCs/>
          <w:noProof/>
          <w:sz w:val="20"/>
          <w:szCs w:val="24"/>
        </w:rPr>
        <w:t>Journal of Public Health</w:t>
      </w:r>
      <w:r w:rsidRPr="003F4710">
        <w:rPr>
          <w:rFonts w:ascii="Calibri" w:hAnsi="Calibri" w:cs="Calibri"/>
          <w:noProof/>
          <w:sz w:val="20"/>
          <w:szCs w:val="24"/>
        </w:rPr>
        <w:t>. [online]. Available from: http://link.springer.com/article/10.1007/s10389-012-0547-2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Daniels, S. R. et al. (2005) Overweight in Children and Adolescents: Pathophysiology, Consequences, Prevention, and Treatment. </w:t>
      </w:r>
      <w:r w:rsidRPr="003F4710">
        <w:rPr>
          <w:rFonts w:ascii="Calibri" w:hAnsi="Calibri" w:cs="Calibri"/>
          <w:i/>
          <w:iCs/>
          <w:noProof/>
          <w:sz w:val="20"/>
          <w:szCs w:val="24"/>
        </w:rPr>
        <w:t>Circulation</w:t>
      </w:r>
      <w:r w:rsidRPr="003F4710">
        <w:rPr>
          <w:rFonts w:ascii="Calibri" w:hAnsi="Calibri" w:cs="Calibri"/>
          <w:noProof/>
          <w:sz w:val="20"/>
          <w:szCs w:val="24"/>
        </w:rPr>
        <w:t>. 111 (15), 1999–2012. [online]. Available from: http://www.ncbi.nlm.nih.gov/pubmed/15837955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Davies, D. &amp; Dodd, J. (2002) Qualitative research and the question of rigor. </w:t>
      </w:r>
      <w:r w:rsidRPr="003F4710">
        <w:rPr>
          <w:rFonts w:ascii="Calibri" w:hAnsi="Calibri" w:cs="Calibri"/>
          <w:i/>
          <w:iCs/>
          <w:noProof/>
          <w:sz w:val="20"/>
          <w:szCs w:val="24"/>
        </w:rPr>
        <w:t>Qualitative health research</w:t>
      </w:r>
      <w:r w:rsidRPr="003F4710">
        <w:rPr>
          <w:rFonts w:ascii="Calibri" w:hAnsi="Calibri" w:cs="Calibri"/>
          <w:noProof/>
          <w:sz w:val="20"/>
          <w:szCs w:val="24"/>
        </w:rPr>
        <w:t>. 12 (2), 279–289. [online]. Available from: http://qhr.sagepub.com/content/12/2/279.short (Accessed 18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Davis, B. &amp; Carpenter, C. (2009) Proximity of Fast-Food Restaurants to Schools and Adolescent Obesity. </w:t>
      </w:r>
      <w:r w:rsidRPr="003F4710">
        <w:rPr>
          <w:rFonts w:ascii="Calibri" w:hAnsi="Calibri" w:cs="Calibri"/>
          <w:i/>
          <w:iCs/>
          <w:noProof/>
          <w:sz w:val="20"/>
          <w:szCs w:val="24"/>
        </w:rPr>
        <w:t>American Journal of Public Health</w:t>
      </w:r>
      <w:r w:rsidRPr="003F4710">
        <w:rPr>
          <w:rFonts w:ascii="Calibri" w:hAnsi="Calibri" w:cs="Calibri"/>
          <w:noProof/>
          <w:sz w:val="20"/>
          <w:szCs w:val="24"/>
        </w:rPr>
        <w:t>. 99 (3), 505–510. [online]. Available from: http://www.ncbi.nlm.nih.gov/pubmed/19106421 (Accessed 18 February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Davis, M. M. et al. (2007) Recommendations for Prevention of Childhood Obesity. </w:t>
      </w:r>
      <w:r w:rsidRPr="003F4710">
        <w:rPr>
          <w:rFonts w:ascii="Calibri" w:hAnsi="Calibri" w:cs="Calibri"/>
          <w:i/>
          <w:iCs/>
          <w:noProof/>
          <w:sz w:val="20"/>
          <w:szCs w:val="24"/>
        </w:rPr>
        <w:t>Pediatrics</w:t>
      </w:r>
      <w:r w:rsidRPr="003F4710">
        <w:rPr>
          <w:rFonts w:ascii="Calibri" w:hAnsi="Calibri" w:cs="Calibri"/>
          <w:noProof/>
          <w:sz w:val="20"/>
          <w:szCs w:val="24"/>
        </w:rPr>
        <w:t>. 120 (Supplement 4), S229–S253. [online]. Available from: http://pediatrics.aappublications.org/content/120/Supplement_4/S229.short (Accessed 4 May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Day, C. et al. (2009) </w:t>
      </w:r>
      <w:r w:rsidRPr="003F4710">
        <w:rPr>
          <w:rFonts w:ascii="Calibri" w:hAnsi="Calibri" w:cs="Calibri"/>
          <w:i/>
          <w:iCs/>
          <w:noProof/>
          <w:sz w:val="20"/>
          <w:szCs w:val="24"/>
        </w:rPr>
        <w:t>The Impact of Leadership on Pupil Outcomes</w:t>
      </w:r>
      <w:r w:rsidRPr="003F4710">
        <w:rPr>
          <w:rFonts w:ascii="Calibri" w:hAnsi="Calibri" w:cs="Calibri"/>
          <w:noProof/>
          <w:sz w:val="20"/>
          <w:szCs w:val="24"/>
        </w:rPr>
        <w:t>. [online]. Available from: http://www.topkinisis.com/conference/CCEAM/wib/index/outline/H/HOPKINS David.html (Accessed 16 October 2015). [online]. Available from: http://www.topkinisis.com/conference/CCEAM/wib/index/outline/H/HOPKINS David.html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Denscombe, M. (2008) Communities of practice a research paradigm for the mixed methods approach. </w:t>
      </w:r>
      <w:r w:rsidRPr="003F4710">
        <w:rPr>
          <w:rFonts w:ascii="Calibri" w:hAnsi="Calibri" w:cs="Calibri"/>
          <w:i/>
          <w:iCs/>
          <w:noProof/>
          <w:sz w:val="20"/>
          <w:szCs w:val="24"/>
        </w:rPr>
        <w:t>Journal of mixed methods research</w:t>
      </w:r>
      <w:r w:rsidRPr="003F4710">
        <w:rPr>
          <w:rFonts w:ascii="Calibri" w:hAnsi="Calibri" w:cs="Calibri"/>
          <w:noProof/>
          <w:sz w:val="20"/>
          <w:szCs w:val="24"/>
        </w:rPr>
        <w:t>. 2 (3), 270–283. [online]. Available from: http://mmr.sagepub.com/content/2/3/270.short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Denscombe, M. (2009) </w:t>
      </w:r>
      <w:r w:rsidRPr="003F4710">
        <w:rPr>
          <w:rFonts w:ascii="Calibri" w:hAnsi="Calibri" w:cs="Calibri"/>
          <w:i/>
          <w:iCs/>
          <w:noProof/>
          <w:sz w:val="20"/>
          <w:szCs w:val="24"/>
        </w:rPr>
        <w:t>Ground rules for social research: Guidelines for good practice</w:t>
      </w:r>
      <w:r w:rsidRPr="003F4710">
        <w:rPr>
          <w:rFonts w:ascii="Calibri" w:hAnsi="Calibri" w:cs="Calibri"/>
          <w:noProof/>
          <w:sz w:val="20"/>
          <w:szCs w:val="24"/>
        </w:rPr>
        <w:t>. 2nd edition. Maidenhead: Open University Press/McGraw-Hill.</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Denscombe, M. (2014) </w:t>
      </w:r>
      <w:r w:rsidRPr="003F4710">
        <w:rPr>
          <w:rFonts w:ascii="Calibri" w:hAnsi="Calibri" w:cs="Calibri"/>
          <w:i/>
          <w:iCs/>
          <w:noProof/>
          <w:sz w:val="20"/>
          <w:szCs w:val="24"/>
        </w:rPr>
        <w:t>The good research guide: for small-scale social research projects</w:t>
      </w:r>
      <w:r w:rsidRPr="003F4710">
        <w:rPr>
          <w:rFonts w:ascii="Calibri" w:hAnsi="Calibri" w:cs="Calibri"/>
          <w:noProof/>
          <w:sz w:val="20"/>
          <w:szCs w:val="24"/>
        </w:rPr>
        <w:t>. 5th edition. Maidenhead: Open University Press/McGraw-Hill.</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Denzin, N. &amp; Lincoln, Y. (2011) </w:t>
      </w:r>
      <w:r w:rsidRPr="003F4710">
        <w:rPr>
          <w:rFonts w:ascii="Calibri" w:hAnsi="Calibri" w:cs="Calibri"/>
          <w:i/>
          <w:iCs/>
          <w:noProof/>
          <w:sz w:val="20"/>
          <w:szCs w:val="24"/>
        </w:rPr>
        <w:t>The SAGE handbook of qualitative research</w:t>
      </w:r>
      <w:r w:rsidRPr="003F4710">
        <w:rPr>
          <w:rFonts w:ascii="Calibri" w:hAnsi="Calibri" w:cs="Calibri"/>
          <w:noProof/>
          <w:sz w:val="20"/>
          <w:szCs w:val="24"/>
        </w:rPr>
        <w:t>. 4th edition. Los Angeles: SAGE Publications Inc.</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Department for Education (2016a) </w:t>
      </w:r>
      <w:r w:rsidRPr="003F4710">
        <w:rPr>
          <w:rFonts w:ascii="Calibri" w:hAnsi="Calibri" w:cs="Calibri"/>
          <w:i/>
          <w:iCs/>
          <w:noProof/>
          <w:sz w:val="20"/>
          <w:szCs w:val="24"/>
        </w:rPr>
        <w:t>Department for Education - About us</w:t>
      </w:r>
      <w:r w:rsidRPr="003F4710">
        <w:rPr>
          <w:rFonts w:ascii="Calibri" w:hAnsi="Calibri" w:cs="Calibri"/>
          <w:noProof/>
          <w:sz w:val="20"/>
          <w:szCs w:val="24"/>
        </w:rPr>
        <w:t xml:space="preserve"> [online]. Available from: https://www.gov.uk/government/organisations/department-for-education/about.</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Department for Education (2015a) </w:t>
      </w:r>
      <w:r w:rsidRPr="003F4710">
        <w:rPr>
          <w:rFonts w:ascii="Calibri" w:hAnsi="Calibri" w:cs="Calibri"/>
          <w:i/>
          <w:iCs/>
          <w:noProof/>
          <w:sz w:val="20"/>
          <w:szCs w:val="24"/>
        </w:rPr>
        <w:t>Edubase2</w:t>
      </w:r>
      <w:r w:rsidRPr="003F4710">
        <w:rPr>
          <w:rFonts w:ascii="Calibri" w:hAnsi="Calibri" w:cs="Calibri"/>
          <w:noProof/>
          <w:sz w:val="20"/>
          <w:szCs w:val="24"/>
        </w:rPr>
        <w:t xml:space="preserve"> [online]. Available from: http://www.education.gov.uk/edubase/home.xhtml (Accessed 18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Department for Education (2013a) </w:t>
      </w:r>
      <w:r w:rsidRPr="003F4710">
        <w:rPr>
          <w:rFonts w:ascii="Calibri" w:hAnsi="Calibri" w:cs="Calibri"/>
          <w:i/>
          <w:iCs/>
          <w:noProof/>
          <w:sz w:val="20"/>
          <w:szCs w:val="24"/>
        </w:rPr>
        <w:t>Evidence on physical education and sport in schools: key findings</w:t>
      </w:r>
      <w:r w:rsidRPr="003F4710">
        <w:rPr>
          <w:rFonts w:ascii="Calibri" w:hAnsi="Calibri" w:cs="Calibri"/>
          <w:noProof/>
          <w:sz w:val="20"/>
          <w:szCs w:val="24"/>
        </w:rPr>
        <w:t>. [online]. Available from: https://www.gov.uk/government/uploads/system/uploads/attachment_data/file/226506/Evidence_on_physical_education_and_sport_in_schools-summary.pdf (Accessed 8 October 2015). [online]. Available from: https://www.gov.uk/government/uploads/system/uploads/attachment_data/file/226506/Evidence_on_physical_education_and_sport_in_schools-summary.pdf (Accessed 8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lastRenderedPageBreak/>
        <w:t xml:space="preserve">Department for Education (2014a) </w:t>
      </w:r>
      <w:r w:rsidRPr="003F4710">
        <w:rPr>
          <w:rFonts w:ascii="Calibri" w:hAnsi="Calibri" w:cs="Calibri"/>
          <w:i/>
          <w:iCs/>
          <w:noProof/>
          <w:sz w:val="20"/>
          <w:szCs w:val="24"/>
        </w:rPr>
        <w:t>Governors’ handbook</w:t>
      </w:r>
      <w:r w:rsidRPr="003F4710">
        <w:rPr>
          <w:rFonts w:ascii="Calibri" w:hAnsi="Calibri" w:cs="Calibri"/>
          <w:noProof/>
          <w:sz w:val="20"/>
          <w:szCs w:val="24"/>
        </w:rPr>
        <w:t>. [online]. Available from: https://www.gov.uk/government/uploads/system/uploads/attachment_data/file/395789/Governors_Handbook.pdf (Accessed 12 October 2015). [online]. Available from: https://www.gov.uk/government/uploads/system/uploads/attachment_data/file/395789/Governors_Handbook.pdf (Accessed 12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Department for Education (2015b) </w:t>
      </w:r>
      <w:r w:rsidRPr="003F4710">
        <w:rPr>
          <w:rFonts w:ascii="Calibri" w:hAnsi="Calibri" w:cs="Calibri"/>
          <w:i/>
          <w:iCs/>
          <w:noProof/>
          <w:sz w:val="20"/>
          <w:szCs w:val="24"/>
        </w:rPr>
        <w:t>National standards of excellence for headteachers</w:t>
      </w:r>
      <w:r w:rsidRPr="003F4710">
        <w:rPr>
          <w:rFonts w:ascii="Calibri" w:hAnsi="Calibri" w:cs="Calibri"/>
          <w:noProof/>
          <w:sz w:val="20"/>
          <w:szCs w:val="24"/>
        </w:rPr>
        <w:t>. [online]. Available from: https://www.gov.uk/government/uploads/system/uploads/attachment_data/file/396247/National_Standards_of_Excellence_for_Headteachers.pdf (Accessed 18 September 2015). [online]. Available from: https://www.gov.uk/government/uploads/system/uploads/attachment_data/file/396247/National_Standards_of_Excellence_for_Headteachers.pdf (Accessed 18 September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Department for Education (2013b) </w:t>
      </w:r>
      <w:r w:rsidRPr="003F4710">
        <w:rPr>
          <w:rFonts w:ascii="Calibri" w:hAnsi="Calibri" w:cs="Calibri"/>
          <w:i/>
          <w:iCs/>
          <w:noProof/>
          <w:sz w:val="20"/>
          <w:szCs w:val="24"/>
        </w:rPr>
        <w:t>Personal, social, health and economic (PSHE) education</w:t>
      </w:r>
      <w:r w:rsidRPr="003F4710">
        <w:rPr>
          <w:rFonts w:ascii="Calibri" w:hAnsi="Calibri" w:cs="Calibri"/>
          <w:noProof/>
          <w:sz w:val="20"/>
          <w:szCs w:val="24"/>
        </w:rPr>
        <w:t xml:space="preserve"> [online]. Available from: https://www.gov.uk/government/publications/personal-social-health-and-economic-education-pshe/personal-social-health-and-economic-pshe-education (Accessed 18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Department for Education (2017) </w:t>
      </w:r>
      <w:r w:rsidRPr="003F4710">
        <w:rPr>
          <w:rFonts w:ascii="Calibri" w:hAnsi="Calibri" w:cs="Calibri"/>
          <w:i/>
          <w:iCs/>
          <w:noProof/>
          <w:sz w:val="20"/>
          <w:szCs w:val="24"/>
        </w:rPr>
        <w:t>Pupil premium 2016 to 2017: conditions of grant</w:t>
      </w:r>
      <w:r w:rsidRPr="003F4710">
        <w:rPr>
          <w:rFonts w:ascii="Calibri" w:hAnsi="Calibri" w:cs="Calibri"/>
          <w:noProof/>
          <w:sz w:val="20"/>
          <w:szCs w:val="24"/>
        </w:rPr>
        <w:t xml:space="preserve"> [online]. Available from: https://www.gov.uk/government/publications/pupil-premium-conditions-of-grant-2016-to-2017/pupil-premium-2016-to-2017-conditions-of-grant.</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Department for Education (2015c) </w:t>
      </w:r>
      <w:r w:rsidRPr="003F4710">
        <w:rPr>
          <w:rFonts w:ascii="Calibri" w:hAnsi="Calibri" w:cs="Calibri"/>
          <w:i/>
          <w:iCs/>
          <w:noProof/>
          <w:sz w:val="20"/>
          <w:szCs w:val="24"/>
        </w:rPr>
        <w:t>School and college performance tables</w:t>
      </w:r>
      <w:r w:rsidRPr="003F4710">
        <w:rPr>
          <w:rFonts w:ascii="Calibri" w:hAnsi="Calibri" w:cs="Calibri"/>
          <w:noProof/>
          <w:sz w:val="20"/>
          <w:szCs w:val="24"/>
        </w:rPr>
        <w:t xml:space="preserve"> [online]. Available from: http://www.education.gov.uk/schools/performance/.</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Department for Education (2014b) </w:t>
      </w:r>
      <w:r w:rsidRPr="003F4710">
        <w:rPr>
          <w:rFonts w:ascii="Calibri" w:hAnsi="Calibri" w:cs="Calibri"/>
          <w:i/>
          <w:iCs/>
          <w:noProof/>
          <w:sz w:val="20"/>
          <w:szCs w:val="24"/>
        </w:rPr>
        <w:t>School Workforce in England</w:t>
      </w:r>
      <w:r w:rsidRPr="003F4710">
        <w:rPr>
          <w:rFonts w:ascii="Calibri" w:hAnsi="Calibri" w:cs="Calibri"/>
          <w:noProof/>
          <w:sz w:val="20"/>
          <w:szCs w:val="24"/>
        </w:rPr>
        <w:t>. [online]. Available from: https://www.gov.uk/government/uploads/system/uploads/attachment_data/file/440577/Text_SFR21-2015.pdf (Accessed 12 September 2015). [online]. Available from: https://www.gov.uk/government/uploads/system/uploads/attachment_data/file/440577/Text_SFR21-2015.pdf (Accessed 12 September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Department for Education (2016b) </w:t>
      </w:r>
      <w:r w:rsidRPr="003F4710">
        <w:rPr>
          <w:rFonts w:ascii="Calibri" w:hAnsi="Calibri" w:cs="Calibri"/>
          <w:i/>
          <w:iCs/>
          <w:noProof/>
          <w:sz w:val="20"/>
          <w:szCs w:val="24"/>
        </w:rPr>
        <w:t>Schools, pupils and their characteristics</w:t>
      </w:r>
      <w:r w:rsidRPr="003F4710">
        <w:rPr>
          <w:rFonts w:ascii="Calibri" w:hAnsi="Calibri" w:cs="Calibri"/>
          <w:noProof/>
          <w:sz w:val="20"/>
          <w:szCs w:val="24"/>
        </w:rPr>
        <w:t>. [online]. Available from: https://www.gov.uk/government/statistics/schools-pupils-and-their-characteristics-january-2016 (Accessed 3 February 2017). [online]. Available from: https://www.gov.uk/government/statistics/schools-pupils-and-their-characteristics-january-2016 (Accessed 3 February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Department for Education (2013c) </w:t>
      </w:r>
      <w:r w:rsidRPr="003F4710">
        <w:rPr>
          <w:rFonts w:ascii="Calibri" w:hAnsi="Calibri" w:cs="Calibri"/>
          <w:i/>
          <w:iCs/>
          <w:noProof/>
          <w:sz w:val="20"/>
          <w:szCs w:val="24"/>
        </w:rPr>
        <w:t>The School Food Plan</w:t>
      </w:r>
      <w:r w:rsidRPr="003F4710">
        <w:rPr>
          <w:rFonts w:ascii="Calibri" w:hAnsi="Calibri" w:cs="Calibri"/>
          <w:noProof/>
          <w:sz w:val="20"/>
          <w:szCs w:val="24"/>
        </w:rPr>
        <w:t>. [online]. Available from: https://www.gov.uk/government/publications/the-school-food-plan. [online]. Available from: https://www.gov.uk/government/publications/the-school-food-plan.</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Department of Health (2011) Healthy Lives, Healthy People: A Call to Action on Obesity in England. London: Department of Health [online]. Available from: https://www.gov.uk/government/uploads/system/uploads/attachment_data/file/213720/dh_130487.pdf (Accessed 20 June 2015). [online]. Available from: https://www.gov.uk/government/uploads/system/uploads/attachment_data/file/213720/dh_130487.pdf (Accessed 20 June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Department of Health (2008) Healthy weight, Healthy lives: a cross-government strategy for england. London: Department of Health [online]. Available from: http://webarchive.nationalarchives.gov.uk/20130401151715/http://www.education.gov.uk/publications/eOrderingDownload/DH-9087.pdf (Accessed 24 June 2015). [online]. Available from: http://webarchive.nationalarchives.gov.uk/20130401151715/http://www.education.gov.uk/publications/eOrderingDownload/DH-9087.pdf (Accessed 24 June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Deschesnes, M. et al. (2003) Comprehensive approaches to school health promotion: how to achieve broader implementation? </w:t>
      </w:r>
      <w:r w:rsidRPr="003F4710">
        <w:rPr>
          <w:rFonts w:ascii="Calibri" w:hAnsi="Calibri" w:cs="Calibri"/>
          <w:i/>
          <w:iCs/>
          <w:noProof/>
          <w:sz w:val="20"/>
          <w:szCs w:val="24"/>
        </w:rPr>
        <w:t>Health promotion international</w:t>
      </w:r>
      <w:r w:rsidRPr="003F4710">
        <w:rPr>
          <w:rFonts w:ascii="Calibri" w:hAnsi="Calibri" w:cs="Calibri"/>
          <w:noProof/>
          <w:sz w:val="20"/>
          <w:szCs w:val="24"/>
        </w:rPr>
        <w:t>. 18 (4), 387–396. [online]. Available from: http://heapro.oxfordjournals.org/content/18/4/387.short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DeVellis, R. F. (2003) </w:t>
      </w:r>
      <w:r w:rsidRPr="003F4710">
        <w:rPr>
          <w:rFonts w:ascii="Calibri" w:hAnsi="Calibri" w:cs="Calibri"/>
          <w:i/>
          <w:iCs/>
          <w:noProof/>
          <w:sz w:val="20"/>
          <w:szCs w:val="24"/>
        </w:rPr>
        <w:t>Scale development : theory and applications</w:t>
      </w:r>
      <w:r w:rsidRPr="003F4710">
        <w:rPr>
          <w:rFonts w:ascii="Calibri" w:hAnsi="Calibri" w:cs="Calibri"/>
          <w:noProof/>
          <w:sz w:val="20"/>
          <w:szCs w:val="24"/>
        </w:rPr>
        <w:t>. 2nd edition. Los Angeles: Sage Publications.</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DiCicco-Bloom, B. &amp; Crabtree, B. F. (2006) The qualitative research interview. Medical Education 40 (4) p.314–321.</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Dietz, W. et al. (2015) Management of obesity: improvement of health-care training and systems for prevention and care. </w:t>
      </w:r>
      <w:r w:rsidRPr="003F4710">
        <w:rPr>
          <w:rFonts w:ascii="Calibri" w:hAnsi="Calibri" w:cs="Calibri"/>
          <w:i/>
          <w:iCs/>
          <w:noProof/>
          <w:sz w:val="20"/>
          <w:szCs w:val="24"/>
        </w:rPr>
        <w:t>The Lancet</w:t>
      </w:r>
      <w:r w:rsidRPr="003F4710">
        <w:rPr>
          <w:rFonts w:ascii="Calibri" w:hAnsi="Calibri" w:cs="Calibri"/>
          <w:noProof/>
          <w:sz w:val="20"/>
          <w:szCs w:val="24"/>
        </w:rPr>
        <w:t>. 385 (9986), 2521–2533. [online]. Available from: http://www.sciencedirect.com/science/article/pii/S0140673614617487 (Accessed 29 March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Dietz, W. &amp; Bellizzi, M. (1999) Introduction: the use of body mass index to assess obesity in children. </w:t>
      </w:r>
      <w:r w:rsidRPr="003F4710">
        <w:rPr>
          <w:rFonts w:ascii="Calibri" w:hAnsi="Calibri" w:cs="Calibri"/>
          <w:i/>
          <w:iCs/>
          <w:noProof/>
          <w:sz w:val="20"/>
          <w:szCs w:val="24"/>
        </w:rPr>
        <w:t>The American journal of clinical nutrition</w:t>
      </w:r>
      <w:r w:rsidRPr="003F4710">
        <w:rPr>
          <w:rFonts w:ascii="Calibri" w:hAnsi="Calibri" w:cs="Calibri"/>
          <w:noProof/>
          <w:sz w:val="20"/>
          <w:szCs w:val="24"/>
        </w:rPr>
        <w:t>. 70 (1), 123S–125S. [online]. Available from: http://ajcn.nutrition.org/content/70/1/123s.short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Dietz, W. H. (1994) Critical periods in childhood for the development of obesity. </w:t>
      </w:r>
      <w:r w:rsidRPr="003F4710">
        <w:rPr>
          <w:rFonts w:ascii="Calibri" w:hAnsi="Calibri" w:cs="Calibri"/>
          <w:i/>
          <w:iCs/>
          <w:noProof/>
          <w:sz w:val="20"/>
          <w:szCs w:val="24"/>
        </w:rPr>
        <w:t>The American journal of clinical nutrition</w:t>
      </w:r>
      <w:r w:rsidRPr="003F4710">
        <w:rPr>
          <w:rFonts w:ascii="Calibri" w:hAnsi="Calibri" w:cs="Calibri"/>
          <w:noProof/>
          <w:sz w:val="20"/>
          <w:szCs w:val="24"/>
        </w:rPr>
        <w:t xml:space="preserve">. 59 (5), 955–959. [online]. Available from: </w:t>
      </w:r>
      <w:r w:rsidRPr="003F4710">
        <w:rPr>
          <w:rFonts w:ascii="Calibri" w:hAnsi="Calibri" w:cs="Calibri"/>
          <w:noProof/>
          <w:sz w:val="20"/>
          <w:szCs w:val="24"/>
        </w:rPr>
        <w:lastRenderedPageBreak/>
        <w:t>http://www.ncbi.nlm.nih.gov/pubmed/8172099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Dillman, D. A. (2007) </w:t>
      </w:r>
      <w:r w:rsidRPr="003F4710">
        <w:rPr>
          <w:rFonts w:ascii="Calibri" w:hAnsi="Calibri" w:cs="Calibri"/>
          <w:i/>
          <w:iCs/>
          <w:noProof/>
          <w:sz w:val="20"/>
          <w:szCs w:val="24"/>
        </w:rPr>
        <w:t>Mail and internet surveys : the tailored design method</w:t>
      </w:r>
      <w:r w:rsidRPr="003F4710">
        <w:rPr>
          <w:rFonts w:ascii="Calibri" w:hAnsi="Calibri" w:cs="Calibri"/>
          <w:noProof/>
          <w:sz w:val="20"/>
          <w:szCs w:val="24"/>
        </w:rPr>
        <w:t>. 2nd edition. New York: Wiley.</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Dimbleby, H. &amp; Vincent, J. (2013) </w:t>
      </w:r>
      <w:r w:rsidRPr="003F4710">
        <w:rPr>
          <w:rFonts w:ascii="Calibri" w:hAnsi="Calibri" w:cs="Calibri"/>
          <w:i/>
          <w:iCs/>
          <w:noProof/>
          <w:sz w:val="20"/>
          <w:szCs w:val="24"/>
        </w:rPr>
        <w:t>The school food plan</w:t>
      </w:r>
      <w:r w:rsidRPr="003F4710">
        <w:rPr>
          <w:rFonts w:ascii="Calibri" w:hAnsi="Calibri" w:cs="Calibri"/>
          <w:noProof/>
          <w:sz w:val="20"/>
          <w:szCs w:val="24"/>
        </w:rPr>
        <w:t>. [online]. Available from: https://www.gov.uk/government/uploads/system/uploads/attachment_data/file/251020/The_School_Food_Plan.pdf (Accessed 17 October 2015). [online]. Available from: https://www.gov.uk/government/uploads/system/uploads/attachment_data/file/251020/The_School_Food_Plan.pdf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Dixey, R. &amp; Wordley, J. (2010) Tackling childhood obesity within schools: A review of interventions. CfBT</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Dixon-Woods, M. &amp; NHS Health Development Agency. (2004) </w:t>
      </w:r>
      <w:r w:rsidRPr="003F4710">
        <w:rPr>
          <w:rFonts w:ascii="Calibri" w:hAnsi="Calibri" w:cs="Calibri"/>
          <w:i/>
          <w:iCs/>
          <w:noProof/>
          <w:sz w:val="20"/>
          <w:szCs w:val="24"/>
        </w:rPr>
        <w:t>Integrative approaches to qualitative and quantitative evidence</w:t>
      </w:r>
      <w:r w:rsidRPr="003F4710">
        <w:rPr>
          <w:rFonts w:ascii="Calibri" w:hAnsi="Calibri" w:cs="Calibri"/>
          <w:noProof/>
          <w:sz w:val="20"/>
          <w:szCs w:val="24"/>
        </w:rPr>
        <w:t>. [online]. Available from: http://www.cwhn.ca/en/node/24702 (Accessed 29 June 2017). [online]. Available from: http://www.cwhn.ca/en/node/24702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Doak, C. &amp; Visscher, T. (2006) The prevention of overweight and obesity in children and adolescents: a review of interventions and programmes. </w:t>
      </w:r>
      <w:r w:rsidRPr="003F4710">
        <w:rPr>
          <w:rFonts w:ascii="Calibri" w:hAnsi="Calibri" w:cs="Calibri"/>
          <w:i/>
          <w:iCs/>
          <w:noProof/>
          <w:sz w:val="20"/>
          <w:szCs w:val="24"/>
        </w:rPr>
        <w:t>Obesity reviews</w:t>
      </w:r>
      <w:r w:rsidRPr="003F4710">
        <w:rPr>
          <w:rFonts w:ascii="Calibri" w:hAnsi="Calibri" w:cs="Calibri"/>
          <w:noProof/>
          <w:sz w:val="20"/>
          <w:szCs w:val="24"/>
        </w:rPr>
        <w:t>. 7 (1), 111–136. [online]. Available from: http://onlinelibrary.wiley.com/doi/10.1111/j.1467-789X.2006.00234.x/full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Duckworth, A. &amp; Seligman, M. (2005) Self-discipline outdoes IQ in predicting academic performance of adolescents. </w:t>
      </w:r>
      <w:r w:rsidRPr="003F4710">
        <w:rPr>
          <w:rFonts w:ascii="Calibri" w:hAnsi="Calibri" w:cs="Calibri"/>
          <w:i/>
          <w:iCs/>
          <w:noProof/>
          <w:sz w:val="20"/>
          <w:szCs w:val="24"/>
        </w:rPr>
        <w:t>Psychological science</w:t>
      </w:r>
      <w:r w:rsidRPr="003F4710">
        <w:rPr>
          <w:rFonts w:ascii="Calibri" w:hAnsi="Calibri" w:cs="Calibri"/>
          <w:noProof/>
          <w:sz w:val="20"/>
          <w:szCs w:val="24"/>
        </w:rPr>
        <w:t>. 16 (12), 939–944. [online]. Available from: http://pss.sagepub.com/content/16/12/939.short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Durham, J. et al. (2011) Utilizing Mixed Research Methods to Develop a Quantitative Assessment Tool. </w:t>
      </w:r>
      <w:r w:rsidRPr="003F4710">
        <w:rPr>
          <w:rFonts w:ascii="Calibri" w:hAnsi="Calibri" w:cs="Calibri"/>
          <w:i/>
          <w:iCs/>
          <w:noProof/>
          <w:sz w:val="20"/>
          <w:szCs w:val="24"/>
        </w:rPr>
        <w:t>Journal of Mixed Methods Research</w:t>
      </w:r>
      <w:r w:rsidRPr="003F4710">
        <w:rPr>
          <w:rFonts w:ascii="Calibri" w:hAnsi="Calibri" w:cs="Calibri"/>
          <w:noProof/>
          <w:sz w:val="20"/>
          <w:szCs w:val="24"/>
        </w:rPr>
        <w:t>. 5 (3), 212–226. [online]. Available from: http://journals.sagepub.com/doi/10.1177/1558689811402505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Earley, P. &amp; Bubb, S. (2013) A Day in the Life of New Headteachers Learning from Observation. </w:t>
      </w:r>
      <w:r w:rsidRPr="003F4710">
        <w:rPr>
          <w:rFonts w:ascii="Calibri" w:hAnsi="Calibri" w:cs="Calibri"/>
          <w:i/>
          <w:iCs/>
          <w:noProof/>
          <w:sz w:val="20"/>
          <w:szCs w:val="24"/>
        </w:rPr>
        <w:t>Educational Management Administration &amp; …</w:t>
      </w:r>
      <w:r w:rsidRPr="003F4710">
        <w:rPr>
          <w:rFonts w:ascii="Calibri" w:hAnsi="Calibri" w:cs="Calibri"/>
          <w:noProof/>
          <w:sz w:val="20"/>
          <w:szCs w:val="24"/>
        </w:rPr>
        <w:t>. 41 (6), 782–799. [online]. Available from: http://ema.sagepub.com/content/41/6/782.short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Easton, K. L. et al. (2000) Avoiding common pitfalls in qualitative data collection and transcription. </w:t>
      </w:r>
      <w:r w:rsidRPr="003F4710">
        <w:rPr>
          <w:rFonts w:ascii="Calibri" w:hAnsi="Calibri" w:cs="Calibri"/>
          <w:i/>
          <w:iCs/>
          <w:noProof/>
          <w:sz w:val="20"/>
          <w:szCs w:val="24"/>
        </w:rPr>
        <w:t>Qualitative health research</w:t>
      </w:r>
      <w:r w:rsidRPr="003F4710">
        <w:rPr>
          <w:rFonts w:ascii="Calibri" w:hAnsi="Calibri" w:cs="Calibri"/>
          <w:noProof/>
          <w:sz w:val="20"/>
          <w:szCs w:val="24"/>
        </w:rPr>
        <w:t>. 10 (5), 703–707.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Ebbeling, C. et al. (2002) Childhood obesity: public-health crisis, common sense cure. </w:t>
      </w:r>
      <w:r w:rsidRPr="003F4710">
        <w:rPr>
          <w:rFonts w:ascii="Calibri" w:hAnsi="Calibri" w:cs="Calibri"/>
          <w:i/>
          <w:iCs/>
          <w:noProof/>
          <w:sz w:val="20"/>
          <w:szCs w:val="24"/>
        </w:rPr>
        <w:t>The lancet</w:t>
      </w:r>
      <w:r w:rsidRPr="003F4710">
        <w:rPr>
          <w:rFonts w:ascii="Calibri" w:hAnsi="Calibri" w:cs="Calibri"/>
          <w:noProof/>
          <w:sz w:val="20"/>
          <w:szCs w:val="24"/>
        </w:rPr>
        <w:t>. 360 (9331), 473–482. [online]. Available from: http://www.sciencedirect.com/science/article/pii/S0140673602096782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Edwards, P. et al. (2002) Increasing response rates to postal questionnaires: systematic review. </w:t>
      </w:r>
      <w:r w:rsidRPr="003F4710">
        <w:rPr>
          <w:rFonts w:ascii="Calibri" w:hAnsi="Calibri" w:cs="Calibri"/>
          <w:i/>
          <w:iCs/>
          <w:noProof/>
          <w:sz w:val="20"/>
          <w:szCs w:val="24"/>
        </w:rPr>
        <w:t>BMJ (Clinical research ed.)</w:t>
      </w:r>
      <w:r w:rsidRPr="003F4710">
        <w:rPr>
          <w:rFonts w:ascii="Calibri" w:hAnsi="Calibri" w:cs="Calibri"/>
          <w:noProof/>
          <w:sz w:val="20"/>
          <w:szCs w:val="24"/>
        </w:rPr>
        <w:t>. 324 (7347), 1183. [online]. Available from: http://www.ncbi.nlm.nih.gov/pubmed/12016181 (Accessed 2 April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Edwards, P. J. et al. (2009) 'Methods to increase response to postal and electronic questionnaires', in Philip James Edwards (ed.) </w:t>
      </w:r>
      <w:r w:rsidRPr="003F4710">
        <w:rPr>
          <w:rFonts w:ascii="Calibri" w:hAnsi="Calibri" w:cs="Calibri"/>
          <w:i/>
          <w:iCs/>
          <w:noProof/>
          <w:sz w:val="20"/>
          <w:szCs w:val="24"/>
        </w:rPr>
        <w:t>Cochrane Database of Systematic Reviews</w:t>
      </w:r>
      <w:r w:rsidRPr="003F4710">
        <w:rPr>
          <w:rFonts w:ascii="Calibri" w:hAnsi="Calibri" w:cs="Calibri"/>
          <w:noProof/>
          <w:sz w:val="20"/>
          <w:szCs w:val="24"/>
        </w:rPr>
        <w:t>. Chichester, UK: John Wiley &amp; Sons, Ltd. p. MR000008. [online]. Available from: http://www.ncbi.nlm.nih.gov/pubmed/19588449 (Accessed 2 January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Eisenmann, J. &amp; Welk, G. (2004) Stability of variables associated with the metabolic syndrome from adolescence to adulthood: the Aerobics Center Longitudinal Study. </w:t>
      </w:r>
      <w:r w:rsidRPr="003F4710">
        <w:rPr>
          <w:rFonts w:ascii="Calibri" w:hAnsi="Calibri" w:cs="Calibri"/>
          <w:i/>
          <w:iCs/>
          <w:noProof/>
          <w:sz w:val="20"/>
          <w:szCs w:val="24"/>
        </w:rPr>
        <w:t>American Journal of …</w:t>
      </w:r>
      <w:r w:rsidRPr="003F4710">
        <w:rPr>
          <w:rFonts w:ascii="Calibri" w:hAnsi="Calibri" w:cs="Calibri"/>
          <w:noProof/>
          <w:sz w:val="20"/>
          <w:szCs w:val="24"/>
        </w:rPr>
        <w:t>. 16 (6), 690–696. [online]. Available from: http://onlinelibrary.wiley.com/doi/10.1002/ajhb.20079/abstract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Ernsberger, P. &amp; Haskew, P. (1987) </w:t>
      </w:r>
      <w:r w:rsidRPr="003F4710">
        <w:rPr>
          <w:rFonts w:ascii="Calibri" w:hAnsi="Calibri" w:cs="Calibri"/>
          <w:i/>
          <w:iCs/>
          <w:noProof/>
          <w:sz w:val="20"/>
          <w:szCs w:val="24"/>
        </w:rPr>
        <w:t>Rethinking obesity : an alternative view of its health implications</w:t>
      </w:r>
      <w:r w:rsidRPr="003F4710">
        <w:rPr>
          <w:rFonts w:ascii="Calibri" w:hAnsi="Calibri" w:cs="Calibri"/>
          <w:noProof/>
          <w:sz w:val="20"/>
          <w:szCs w:val="24"/>
        </w:rPr>
        <w:t>. Human Sciences Press. [online]. Available from: http://agris.fao.org/agris-search/search.do?recordID=US9102431 (Accessed 7 May 2016).</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Ezzati, M. et al. (2005) Rethinking the Diseases of Affluence Paradigm: Global Patterns of Nutritional Risks in Relation to Economic Development Thomas Novotny (ed.). </w:t>
      </w:r>
      <w:r w:rsidRPr="003F4710">
        <w:rPr>
          <w:rFonts w:ascii="Calibri" w:hAnsi="Calibri" w:cs="Calibri"/>
          <w:i/>
          <w:iCs/>
          <w:noProof/>
          <w:sz w:val="20"/>
          <w:szCs w:val="24"/>
        </w:rPr>
        <w:t>PLoS Medicine</w:t>
      </w:r>
      <w:r w:rsidRPr="003F4710">
        <w:rPr>
          <w:rFonts w:ascii="Calibri" w:hAnsi="Calibri" w:cs="Calibri"/>
          <w:noProof/>
          <w:sz w:val="20"/>
          <w:szCs w:val="24"/>
        </w:rPr>
        <w:t>. 2 (5), e133. [online]. Available from: http://dx.plos.org/10.1371/journal.pmed.0020133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Ezzati, M. &amp; Hoorn, S. Vander (2006) 'Comparative quantification of mortality and burden of disease attributable to selected risk factors', in AD Lopez et al. (eds.) </w:t>
      </w:r>
      <w:r w:rsidRPr="003F4710">
        <w:rPr>
          <w:rFonts w:ascii="Calibri" w:hAnsi="Calibri" w:cs="Calibri"/>
          <w:i/>
          <w:iCs/>
          <w:noProof/>
          <w:sz w:val="20"/>
          <w:szCs w:val="24"/>
        </w:rPr>
        <w:t>Global burden of disease and risk factors</w:t>
      </w:r>
      <w:r w:rsidRPr="003F4710">
        <w:rPr>
          <w:rFonts w:ascii="Calibri" w:hAnsi="Calibri" w:cs="Calibri"/>
          <w:noProof/>
          <w:sz w:val="20"/>
          <w:szCs w:val="24"/>
        </w:rPr>
        <w:t>. New York: Oxford University Press. pp. 241–396.</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Ezzy, D. (2002) </w:t>
      </w:r>
      <w:r w:rsidRPr="003F4710">
        <w:rPr>
          <w:rFonts w:ascii="Calibri" w:hAnsi="Calibri" w:cs="Calibri"/>
          <w:i/>
          <w:iCs/>
          <w:noProof/>
          <w:sz w:val="20"/>
          <w:szCs w:val="24"/>
        </w:rPr>
        <w:t>Qualitative Analysis: Practice and Innovation</w:t>
      </w:r>
      <w:r w:rsidRPr="003F4710">
        <w:rPr>
          <w:rFonts w:ascii="Calibri" w:hAnsi="Calibri" w:cs="Calibri"/>
          <w:noProof/>
          <w:sz w:val="20"/>
          <w:szCs w:val="24"/>
        </w:rPr>
        <w:t>. Sydney: Allen &amp; Unwin.</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Feilzer, M. (2010) Doing mixed methods research pragmatically: Implications for the rediscovery of pragmatism as a research paradigm. </w:t>
      </w:r>
      <w:r w:rsidRPr="003F4710">
        <w:rPr>
          <w:rFonts w:ascii="Calibri" w:hAnsi="Calibri" w:cs="Calibri"/>
          <w:i/>
          <w:iCs/>
          <w:noProof/>
          <w:sz w:val="20"/>
          <w:szCs w:val="24"/>
        </w:rPr>
        <w:t>Journal of mixed methods research</w:t>
      </w:r>
      <w:r w:rsidRPr="003F4710">
        <w:rPr>
          <w:rFonts w:ascii="Calibri" w:hAnsi="Calibri" w:cs="Calibri"/>
          <w:noProof/>
          <w:sz w:val="20"/>
          <w:szCs w:val="24"/>
        </w:rPr>
        <w:t>. 4 (1), 6–16. [online]. Available from: http://mmr.sagepub.com/content/4/1/6.short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Field, A. P. (2009) </w:t>
      </w:r>
      <w:r w:rsidRPr="003F4710">
        <w:rPr>
          <w:rFonts w:ascii="Calibri" w:hAnsi="Calibri" w:cs="Calibri"/>
          <w:i/>
          <w:iCs/>
          <w:noProof/>
          <w:sz w:val="20"/>
          <w:szCs w:val="24"/>
        </w:rPr>
        <w:t>Discovering statistics using SPSS : (and sex and drugs and rock ‘n’ roll)</w:t>
      </w:r>
      <w:r w:rsidRPr="003F4710">
        <w:rPr>
          <w:rFonts w:ascii="Calibri" w:hAnsi="Calibri" w:cs="Calibri"/>
          <w:noProof/>
          <w:sz w:val="20"/>
          <w:szCs w:val="24"/>
        </w:rPr>
        <w:t>. SAGE Publications.</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Figueroa-Munoz, J. et al. (2001) Association between obesity and asthma in 4–11 year old children in the UK. </w:t>
      </w:r>
      <w:r w:rsidRPr="003F4710">
        <w:rPr>
          <w:rFonts w:ascii="Calibri" w:hAnsi="Calibri" w:cs="Calibri"/>
          <w:i/>
          <w:iCs/>
          <w:noProof/>
          <w:sz w:val="20"/>
          <w:szCs w:val="24"/>
        </w:rPr>
        <w:t>Thorax</w:t>
      </w:r>
      <w:r w:rsidRPr="003F4710">
        <w:rPr>
          <w:rFonts w:ascii="Calibri" w:hAnsi="Calibri" w:cs="Calibri"/>
          <w:noProof/>
          <w:sz w:val="20"/>
          <w:szCs w:val="24"/>
        </w:rPr>
        <w:t>. 56 (2), 133–137. [online]. Available from: http://thorax.bmj.com/content/56/2/133.short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Figueroa-Muñoz, J. I. et al. (2001) Association between obesity and asthma in 4-11 year old children in the UK. </w:t>
      </w:r>
      <w:r w:rsidRPr="003F4710">
        <w:rPr>
          <w:rFonts w:ascii="Calibri" w:hAnsi="Calibri" w:cs="Calibri"/>
          <w:i/>
          <w:iCs/>
          <w:noProof/>
          <w:sz w:val="20"/>
          <w:szCs w:val="24"/>
        </w:rPr>
        <w:lastRenderedPageBreak/>
        <w:t>Thorax</w:t>
      </w:r>
      <w:r w:rsidRPr="003F4710">
        <w:rPr>
          <w:rFonts w:ascii="Calibri" w:hAnsi="Calibri" w:cs="Calibri"/>
          <w:noProof/>
          <w:sz w:val="20"/>
          <w:szCs w:val="24"/>
        </w:rPr>
        <w:t>. 56 (2), 133–137. [online]. Available from: http://www.ncbi.nlm.nih.gov/pubmed/11209102.</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Finegood, D. T. et al. (2010) Implications of the Foresight Obesity System Map for Solutions to Childhood Obesity. </w:t>
      </w:r>
      <w:r w:rsidRPr="003F4710">
        <w:rPr>
          <w:rFonts w:ascii="Calibri" w:hAnsi="Calibri" w:cs="Calibri"/>
          <w:i/>
          <w:iCs/>
          <w:noProof/>
          <w:sz w:val="20"/>
          <w:szCs w:val="24"/>
        </w:rPr>
        <w:t>Obesity</w:t>
      </w:r>
      <w:r w:rsidRPr="003F4710">
        <w:rPr>
          <w:rFonts w:ascii="Calibri" w:hAnsi="Calibri" w:cs="Calibri"/>
          <w:noProof/>
          <w:sz w:val="20"/>
          <w:szCs w:val="24"/>
        </w:rPr>
        <w:t>. 18 (n1s), S13–S16. [online]. Available from: http://doi.wiley.com/10.1038/oby.2009.426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Fink, A. (2005) </w:t>
      </w:r>
      <w:r w:rsidRPr="003F4710">
        <w:rPr>
          <w:rFonts w:ascii="Calibri" w:hAnsi="Calibri" w:cs="Calibri"/>
          <w:i/>
          <w:iCs/>
          <w:noProof/>
          <w:sz w:val="20"/>
          <w:szCs w:val="24"/>
        </w:rPr>
        <w:t>Conducting research literature reviews : from the Internet to paper</w:t>
      </w:r>
      <w:r w:rsidRPr="003F4710">
        <w:rPr>
          <w:rFonts w:ascii="Calibri" w:hAnsi="Calibri" w:cs="Calibri"/>
          <w:noProof/>
          <w:sz w:val="20"/>
          <w:szCs w:val="24"/>
        </w:rPr>
        <w:t>. 2nd edition. Thousand Oaks: Sage Publications.</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Fink, A. (2003) </w:t>
      </w:r>
      <w:r w:rsidRPr="003F4710">
        <w:rPr>
          <w:rFonts w:ascii="Calibri" w:hAnsi="Calibri" w:cs="Calibri"/>
          <w:i/>
          <w:iCs/>
          <w:noProof/>
          <w:sz w:val="20"/>
          <w:szCs w:val="24"/>
        </w:rPr>
        <w:t>The survey kit.</w:t>
      </w:r>
      <w:r w:rsidRPr="003F4710">
        <w:rPr>
          <w:rFonts w:ascii="Calibri" w:hAnsi="Calibri" w:cs="Calibri"/>
          <w:noProof/>
          <w:sz w:val="20"/>
          <w:szCs w:val="24"/>
        </w:rPr>
        <w:t xml:space="preserve"> 2nd edition. Thousand Oaks: SAGE Publications Inc.</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Finlay, L. (2002a) Negotiating the swamp: the opportunity and challenge of reflexivity in research practice. </w:t>
      </w:r>
      <w:r w:rsidRPr="003F4710">
        <w:rPr>
          <w:rFonts w:ascii="Calibri" w:hAnsi="Calibri" w:cs="Calibri"/>
          <w:i/>
          <w:iCs/>
          <w:noProof/>
          <w:sz w:val="20"/>
          <w:szCs w:val="24"/>
        </w:rPr>
        <w:t>Qualitative research</w:t>
      </w:r>
      <w:r w:rsidRPr="003F4710">
        <w:rPr>
          <w:rFonts w:ascii="Calibri" w:hAnsi="Calibri" w:cs="Calibri"/>
          <w:noProof/>
          <w:sz w:val="20"/>
          <w:szCs w:val="24"/>
        </w:rPr>
        <w:t>. 2 (2), 209–230. [online]. Available from: http://qrj.sagepub.com/content/2/2/209.short (Accessed 18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Finlay, L. (2002b) ‘Outing’ the researcher: The provenance, process, and practice of reflexivity. </w:t>
      </w:r>
      <w:r w:rsidRPr="003F4710">
        <w:rPr>
          <w:rFonts w:ascii="Calibri" w:hAnsi="Calibri" w:cs="Calibri"/>
          <w:i/>
          <w:iCs/>
          <w:noProof/>
          <w:sz w:val="20"/>
          <w:szCs w:val="24"/>
        </w:rPr>
        <w:t>Qualitative health research</w:t>
      </w:r>
      <w:r w:rsidRPr="003F4710">
        <w:rPr>
          <w:rFonts w:ascii="Calibri" w:hAnsi="Calibri" w:cs="Calibri"/>
          <w:noProof/>
          <w:sz w:val="20"/>
          <w:szCs w:val="24"/>
        </w:rPr>
        <w:t>. 12 (4), 531–545. [online]. Available from: http://qhr.sagepub.com/content/12/4/531.short (Accessed 18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Finucane, M. et al. (2011) National, regional, and global trends in body-mass index since 1980: systematic analysis of health examination surveys and epidemiological studies with 960 country-. </w:t>
      </w:r>
      <w:r w:rsidRPr="003F4710">
        <w:rPr>
          <w:rFonts w:ascii="Calibri" w:hAnsi="Calibri" w:cs="Calibri"/>
          <w:i/>
          <w:iCs/>
          <w:noProof/>
          <w:sz w:val="20"/>
          <w:szCs w:val="24"/>
        </w:rPr>
        <w:t>The Lancet</w:t>
      </w:r>
      <w:r w:rsidRPr="003F4710">
        <w:rPr>
          <w:rFonts w:ascii="Calibri" w:hAnsi="Calibri" w:cs="Calibri"/>
          <w:noProof/>
          <w:sz w:val="20"/>
          <w:szCs w:val="24"/>
        </w:rPr>
        <w:t>. 377 (9765), 557–567. [online]. Available from: http://www.sciencedirect.com/science/article/pii/S0140673610620375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Flaschberger, E. (2012) Implementing School Health Promotion in Austria Experiences From a Pilot Training Course. </w:t>
      </w:r>
      <w:r w:rsidRPr="003F4710">
        <w:rPr>
          <w:rFonts w:ascii="Calibri" w:hAnsi="Calibri" w:cs="Calibri"/>
          <w:i/>
          <w:iCs/>
          <w:noProof/>
          <w:sz w:val="20"/>
          <w:szCs w:val="24"/>
        </w:rPr>
        <w:t>Health promotion practice</w:t>
      </w:r>
      <w:r w:rsidRPr="003F4710">
        <w:rPr>
          <w:rFonts w:ascii="Calibri" w:hAnsi="Calibri" w:cs="Calibri"/>
          <w:noProof/>
          <w:sz w:val="20"/>
          <w:szCs w:val="24"/>
        </w:rPr>
        <w:t>. 13 (3), 364–369. [online]. Available from: http://hpp.sagepub.com/content/13/3/364.short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Flegal, K. et al. (2013) Association of all-cause mortality with overweight and obesity using standard body mass index categories: a systematic review and meta-analysis. </w:t>
      </w:r>
      <w:r w:rsidRPr="003F4710">
        <w:rPr>
          <w:rFonts w:ascii="Calibri" w:hAnsi="Calibri" w:cs="Calibri"/>
          <w:i/>
          <w:iCs/>
          <w:noProof/>
          <w:sz w:val="20"/>
          <w:szCs w:val="24"/>
        </w:rPr>
        <w:t>Jama</w:t>
      </w:r>
      <w:r w:rsidRPr="003F4710">
        <w:rPr>
          <w:rFonts w:ascii="Calibri" w:hAnsi="Calibri" w:cs="Calibri"/>
          <w:noProof/>
          <w:sz w:val="20"/>
          <w:szCs w:val="24"/>
        </w:rPr>
        <w:t>. 309 (1), 71–82. [online]. Available from: http://jama.jamanetwork.com/article.aspx?articleID=1555137&amp;”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Flegal, K. (2005) Epidemiologic aspects of overweight and obesity in the United States. </w:t>
      </w:r>
      <w:r w:rsidRPr="003F4710">
        <w:rPr>
          <w:rFonts w:ascii="Calibri" w:hAnsi="Calibri" w:cs="Calibri"/>
          <w:i/>
          <w:iCs/>
          <w:noProof/>
          <w:sz w:val="20"/>
          <w:szCs w:val="24"/>
        </w:rPr>
        <w:t>Physiology &amp; Behavior</w:t>
      </w:r>
      <w:r w:rsidRPr="003F4710">
        <w:rPr>
          <w:rFonts w:ascii="Calibri" w:hAnsi="Calibri" w:cs="Calibri"/>
          <w:noProof/>
          <w:sz w:val="20"/>
          <w:szCs w:val="24"/>
        </w:rPr>
        <w:t>. 86 (5), 599–602. [online]. Available from: http://www.sciencedirect.com/science/article/pii/S0031938405003872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Flegal, K. M. &amp; Ogden, C. L. (2010) 'High body mass index, overweight, and obesity in children: Definitions, terminology, and interpretation', in J O’Dea &amp; M Eriksen (eds.) </w:t>
      </w:r>
      <w:r w:rsidRPr="003F4710">
        <w:rPr>
          <w:rFonts w:ascii="Calibri" w:hAnsi="Calibri" w:cs="Calibri"/>
          <w:i/>
          <w:iCs/>
          <w:noProof/>
          <w:sz w:val="20"/>
          <w:szCs w:val="24"/>
        </w:rPr>
        <w:t>Childhood Obesity Prevention: International Research, Controversies and Interventions</w:t>
      </w:r>
      <w:r w:rsidRPr="003F4710">
        <w:rPr>
          <w:rFonts w:ascii="Calibri" w:hAnsi="Calibri" w:cs="Calibri"/>
          <w:noProof/>
          <w:sz w:val="20"/>
          <w:szCs w:val="24"/>
        </w:rPr>
        <w:t>. Oxford: Oxford University Press. pp. 3–16. [online]. Available from: http://www.oxfordscholarship.com/view/10.1093/acprof:oso/9780199572915.001.0001/acprof-9780199572915-chapter-1 (Accessed 17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Flegal, K. &amp; Ogden, C. (2011) Childhood obesity: are we all speaking the same language? </w:t>
      </w:r>
      <w:r w:rsidRPr="003F4710">
        <w:rPr>
          <w:rFonts w:ascii="Calibri" w:hAnsi="Calibri" w:cs="Calibri"/>
          <w:i/>
          <w:iCs/>
          <w:noProof/>
          <w:sz w:val="20"/>
          <w:szCs w:val="24"/>
        </w:rPr>
        <w:t>Advances in Nutrition: An International Review Journal</w:t>
      </w:r>
      <w:r w:rsidRPr="003F4710">
        <w:rPr>
          <w:rFonts w:ascii="Calibri" w:hAnsi="Calibri" w:cs="Calibri"/>
          <w:noProof/>
          <w:sz w:val="20"/>
          <w:szCs w:val="24"/>
        </w:rPr>
        <w:t>. 2159S–166S. [online]. Available from: http://advances.nutrition.org/content/2/2/159S.short (Accessed 29 March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Florence, M. D. et al. (2008) Diet quality and academic performance. </w:t>
      </w:r>
      <w:r w:rsidRPr="003F4710">
        <w:rPr>
          <w:rFonts w:ascii="Calibri" w:hAnsi="Calibri" w:cs="Calibri"/>
          <w:i/>
          <w:iCs/>
          <w:noProof/>
          <w:sz w:val="20"/>
          <w:szCs w:val="24"/>
        </w:rPr>
        <w:t>The Journal of school health</w:t>
      </w:r>
      <w:r w:rsidRPr="003F4710">
        <w:rPr>
          <w:rFonts w:ascii="Calibri" w:hAnsi="Calibri" w:cs="Calibri"/>
          <w:noProof/>
          <w:sz w:val="20"/>
          <w:szCs w:val="24"/>
        </w:rPr>
        <w:t>. 78 (4), 209-15-41. [online]. Available from: http://www.ncbi.nlm.nih.gov/pubmed/18336680 (Accessed 26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Flynn, M. et al. (2006) Reducing obesity and related chronic disease risk in children and youth: a synthesis of evidence with ‘best practice’recommendations. </w:t>
      </w:r>
      <w:r w:rsidRPr="003F4710">
        <w:rPr>
          <w:rFonts w:ascii="Calibri" w:hAnsi="Calibri" w:cs="Calibri"/>
          <w:i/>
          <w:iCs/>
          <w:noProof/>
          <w:sz w:val="20"/>
          <w:szCs w:val="24"/>
        </w:rPr>
        <w:t>Obesity reviews</w:t>
      </w:r>
      <w:r w:rsidRPr="003F4710">
        <w:rPr>
          <w:rFonts w:ascii="Calibri" w:hAnsi="Calibri" w:cs="Calibri"/>
          <w:noProof/>
          <w:sz w:val="20"/>
          <w:szCs w:val="24"/>
        </w:rPr>
        <w:t>. 7 (Supplement 1), 7–66. [online]. Available from: http://onlinelibrary.wiley.com/doi/10.1111/j.1467-789X.2006.00242.x/full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Foddy, W. &amp; Mantle, J. (1994) Constructing Questions for Interviews and Questionnaires ? Theory and practice in social research. </w:t>
      </w:r>
      <w:r w:rsidRPr="003F4710">
        <w:rPr>
          <w:rFonts w:ascii="Calibri" w:hAnsi="Calibri" w:cs="Calibri"/>
          <w:i/>
          <w:iCs/>
          <w:noProof/>
          <w:sz w:val="20"/>
          <w:szCs w:val="24"/>
        </w:rPr>
        <w:t>Physiotherapy</w:t>
      </w:r>
      <w:r w:rsidRPr="003F4710">
        <w:rPr>
          <w:rFonts w:ascii="Calibri" w:hAnsi="Calibri" w:cs="Calibri"/>
          <w:noProof/>
          <w:sz w:val="20"/>
          <w:szCs w:val="24"/>
        </w:rPr>
        <w:t>. 80 (6), 382. [online]. Available from: http://linkinghub.elsevier.com/retrieve/pii/S0031940610611108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Franks, P. &amp; Hanson, R. (2010) Childhood obesity, other cardiovascular risk factors, and premature death. </w:t>
      </w:r>
      <w:r w:rsidRPr="003F4710">
        <w:rPr>
          <w:rFonts w:ascii="Calibri" w:hAnsi="Calibri" w:cs="Calibri"/>
          <w:i/>
          <w:iCs/>
          <w:noProof/>
          <w:sz w:val="20"/>
          <w:szCs w:val="24"/>
        </w:rPr>
        <w:t>The New England Journal of Medicine</w:t>
      </w:r>
      <w:r w:rsidRPr="003F4710">
        <w:rPr>
          <w:rFonts w:ascii="Calibri" w:hAnsi="Calibri" w:cs="Calibri"/>
          <w:noProof/>
          <w:sz w:val="20"/>
          <w:szCs w:val="24"/>
        </w:rPr>
        <w:t>. 362 (6), 485–493. [online]. Available from: http://www.nejm.org/doi/full/10.1056/nejmoa0904130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Fraser, L. et al. (2010) The geography of fast food outlets: a review. </w:t>
      </w:r>
      <w:r w:rsidRPr="003F4710">
        <w:rPr>
          <w:rFonts w:ascii="Calibri" w:hAnsi="Calibri" w:cs="Calibri"/>
          <w:i/>
          <w:iCs/>
          <w:noProof/>
          <w:sz w:val="20"/>
          <w:szCs w:val="24"/>
        </w:rPr>
        <w:t>International Journal of Environmental Research and Public Health</w:t>
      </w:r>
      <w:r w:rsidRPr="003F4710">
        <w:rPr>
          <w:rFonts w:ascii="Calibri" w:hAnsi="Calibri" w:cs="Calibri"/>
          <w:noProof/>
          <w:sz w:val="20"/>
          <w:szCs w:val="24"/>
        </w:rPr>
        <w:t>. 7 (5), 2290–2308. [online]. Available from: http://www.mdpi.com/1660-4601/7/5/2290/htm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Fraser, L. K. et al. (2011) Fast food, other food choices and body mass index in teenagers in the United Kingdom (ALSPAC): a structural equation modelling approach. </w:t>
      </w:r>
      <w:r w:rsidRPr="003F4710">
        <w:rPr>
          <w:rFonts w:ascii="Calibri" w:hAnsi="Calibri" w:cs="Calibri"/>
          <w:i/>
          <w:iCs/>
          <w:noProof/>
          <w:sz w:val="20"/>
          <w:szCs w:val="24"/>
        </w:rPr>
        <w:t>International Journal of Obesity</w:t>
      </w:r>
      <w:r w:rsidRPr="003F4710">
        <w:rPr>
          <w:rFonts w:ascii="Calibri" w:hAnsi="Calibri" w:cs="Calibri"/>
          <w:noProof/>
          <w:sz w:val="20"/>
          <w:szCs w:val="24"/>
        </w:rPr>
        <w:t>. 35 (10), 1325–1330. [online]. Available from: http://www.ncbi.nlm.nih.gov/pubmed/21712805 (Accessed 18 April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Fraser, L. K. &amp; Edwards, K. L. (2010) The association between the geography of fast food outlets and childhood obesity rates in Leeds, UK. </w:t>
      </w:r>
      <w:r w:rsidRPr="003F4710">
        <w:rPr>
          <w:rFonts w:ascii="Calibri" w:hAnsi="Calibri" w:cs="Calibri"/>
          <w:i/>
          <w:iCs/>
          <w:noProof/>
          <w:sz w:val="20"/>
          <w:szCs w:val="24"/>
        </w:rPr>
        <w:t>Health &amp; Place</w:t>
      </w:r>
      <w:r w:rsidRPr="003F4710">
        <w:rPr>
          <w:rFonts w:ascii="Calibri" w:hAnsi="Calibri" w:cs="Calibri"/>
          <w:noProof/>
          <w:sz w:val="20"/>
          <w:szCs w:val="24"/>
        </w:rPr>
        <w:t xml:space="preserve">. 16 (6), 1124–1128. [online]. Available from: </w:t>
      </w:r>
      <w:r w:rsidRPr="003F4710">
        <w:rPr>
          <w:rFonts w:ascii="Calibri" w:hAnsi="Calibri" w:cs="Calibri"/>
          <w:noProof/>
          <w:sz w:val="20"/>
          <w:szCs w:val="24"/>
        </w:rPr>
        <w:lastRenderedPageBreak/>
        <w:t>http://linkinghub.elsevier.com/retrieve/pii/S1353829210000948 (Accessed 20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Freedman, D. &amp; Serdula, M. (1999) Relation of circumferences and skinfold thicknesses to lipid and insulin concentrations in children and adolescents: the Bogalusa Heart Study. </w:t>
      </w:r>
      <w:r w:rsidRPr="003F4710">
        <w:rPr>
          <w:rFonts w:ascii="Calibri" w:hAnsi="Calibri" w:cs="Calibri"/>
          <w:i/>
          <w:iCs/>
          <w:noProof/>
          <w:sz w:val="20"/>
          <w:szCs w:val="24"/>
        </w:rPr>
        <w:t>The American journal …</w:t>
      </w:r>
      <w:r w:rsidRPr="003F4710">
        <w:rPr>
          <w:rFonts w:ascii="Calibri" w:hAnsi="Calibri" w:cs="Calibri"/>
          <w:noProof/>
          <w:sz w:val="20"/>
          <w:szCs w:val="24"/>
        </w:rPr>
        <w:t>. 69 (2), 308–317. [online]. Available from: http://ajcn.nutrition.org/content/69/2/308.short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Fu, Y. et al. (2016) Patient-professional partnerships and chronic back pain self-management: a qualitative systematic review and synthesis. </w:t>
      </w:r>
      <w:r w:rsidRPr="003F4710">
        <w:rPr>
          <w:rFonts w:ascii="Calibri" w:hAnsi="Calibri" w:cs="Calibri"/>
          <w:i/>
          <w:iCs/>
          <w:noProof/>
          <w:sz w:val="20"/>
          <w:szCs w:val="24"/>
        </w:rPr>
        <w:t>Health &amp; Social Care in the Community</w:t>
      </w:r>
      <w:r w:rsidRPr="003F4710">
        <w:rPr>
          <w:rFonts w:ascii="Calibri" w:hAnsi="Calibri" w:cs="Calibri"/>
          <w:noProof/>
          <w:sz w:val="20"/>
          <w:szCs w:val="24"/>
        </w:rPr>
        <w:t>. 24 (3), 247–259. [online]. Available from: http://doi.wiley.com/10.1111/hsc.12223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Fung, C. et al. (2012) From ‘best practice’ to ‘next practice’: the effectiveness of school-based health promotion in improving healthy eating and physical activity and preventing childhood. </w:t>
      </w:r>
      <w:r w:rsidRPr="003F4710">
        <w:rPr>
          <w:rFonts w:ascii="Calibri" w:hAnsi="Calibri" w:cs="Calibri"/>
          <w:i/>
          <w:iCs/>
          <w:noProof/>
          <w:sz w:val="20"/>
          <w:szCs w:val="24"/>
        </w:rPr>
        <w:t>International Journal of Behavioral Nutrition and Physical Activity</w:t>
      </w:r>
      <w:r w:rsidRPr="003F4710">
        <w:rPr>
          <w:rFonts w:ascii="Calibri" w:hAnsi="Calibri" w:cs="Calibri"/>
          <w:noProof/>
          <w:sz w:val="20"/>
          <w:szCs w:val="24"/>
        </w:rPr>
        <w:t>. 9 (27), . [online]. Available from: http://www.biomedcentral.com/content/pdf/1479-5868-9-27.pdf (Accessed 29 March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Gallagher, D. &amp; Visser, M. (1996) How useful is body mass index for comparison of body fatness across age, sex, and ethnic groups? </w:t>
      </w:r>
      <w:r w:rsidRPr="003F4710">
        <w:rPr>
          <w:rFonts w:ascii="Calibri" w:hAnsi="Calibri" w:cs="Calibri"/>
          <w:i/>
          <w:iCs/>
          <w:noProof/>
          <w:sz w:val="20"/>
          <w:szCs w:val="24"/>
        </w:rPr>
        <w:t>American journal of …</w:t>
      </w:r>
      <w:r w:rsidRPr="003F4710">
        <w:rPr>
          <w:rFonts w:ascii="Calibri" w:hAnsi="Calibri" w:cs="Calibri"/>
          <w:noProof/>
          <w:sz w:val="20"/>
          <w:szCs w:val="24"/>
        </w:rPr>
        <w:t>. 143 (3), 228–239. [online]. Available from: http://aje.oxfordjournals.org/content/143/3/228.short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Gates, M. et al. (2016) Advancing the adolescent health agenda. </w:t>
      </w:r>
      <w:r w:rsidRPr="003F4710">
        <w:rPr>
          <w:rFonts w:ascii="Calibri" w:hAnsi="Calibri" w:cs="Calibri"/>
          <w:i/>
          <w:iCs/>
          <w:noProof/>
          <w:sz w:val="20"/>
          <w:szCs w:val="24"/>
        </w:rPr>
        <w:t>Lancet (London, England)</w:t>
      </w:r>
      <w:r w:rsidRPr="003F4710">
        <w:rPr>
          <w:rFonts w:ascii="Calibri" w:hAnsi="Calibri" w:cs="Calibri"/>
          <w:noProof/>
          <w:sz w:val="20"/>
          <w:szCs w:val="24"/>
        </w:rPr>
        <w:t>. 387 (10036), 2358–2359. [online]. Available from: http://www.ncbi.nlm.nih.gov/pubmed/27174308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Gatineau, M. &amp; Dent, M. (2011) Obesity and mental health. National Obesity Observatory</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Gearhardt, A. &amp; Bragg, M. (2012) Obesity and public policy. </w:t>
      </w:r>
      <w:r w:rsidRPr="003F4710">
        <w:rPr>
          <w:rFonts w:ascii="Calibri" w:hAnsi="Calibri" w:cs="Calibri"/>
          <w:i/>
          <w:iCs/>
          <w:noProof/>
          <w:sz w:val="20"/>
          <w:szCs w:val="24"/>
        </w:rPr>
        <w:t>Annual Review of Clinical Psychology</w:t>
      </w:r>
      <w:r w:rsidRPr="003F4710">
        <w:rPr>
          <w:rFonts w:ascii="Calibri" w:hAnsi="Calibri" w:cs="Calibri"/>
          <w:noProof/>
          <w:sz w:val="20"/>
          <w:szCs w:val="24"/>
        </w:rPr>
        <w:t>. 8405–430. [online]. Available from: http://www.annualreviews.org/doi/abs/10.1146/annurev-clinpsy-032511-143129 (Accessed 29 March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Gerards, S. M. P. L. &amp; Kremers, S. P. J. (2015) The Role of Food Parenting Skills and the Home Food Environment in Children’s Weight Gain and Obesity. </w:t>
      </w:r>
      <w:r w:rsidRPr="003F4710">
        <w:rPr>
          <w:rFonts w:ascii="Calibri" w:hAnsi="Calibri" w:cs="Calibri"/>
          <w:i/>
          <w:iCs/>
          <w:noProof/>
          <w:sz w:val="20"/>
          <w:szCs w:val="24"/>
        </w:rPr>
        <w:t>Current Obesity Reports</w:t>
      </w:r>
      <w:r w:rsidRPr="003F4710">
        <w:rPr>
          <w:rFonts w:ascii="Calibri" w:hAnsi="Calibri" w:cs="Calibri"/>
          <w:noProof/>
          <w:sz w:val="20"/>
          <w:szCs w:val="24"/>
        </w:rPr>
        <w:t>. 4 (1), 30–36. [online]. Available from: http://link.springer.com/10.1007/s13679-015-0139-x (Accessed 23 February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Gillham, B. (2000) </w:t>
      </w:r>
      <w:r w:rsidRPr="003F4710">
        <w:rPr>
          <w:rFonts w:ascii="Calibri" w:hAnsi="Calibri" w:cs="Calibri"/>
          <w:i/>
          <w:iCs/>
          <w:noProof/>
          <w:sz w:val="20"/>
          <w:szCs w:val="24"/>
        </w:rPr>
        <w:t>Developing a questionnaire</w:t>
      </w:r>
      <w:r w:rsidRPr="003F4710">
        <w:rPr>
          <w:rFonts w:ascii="Calibri" w:hAnsi="Calibri" w:cs="Calibri"/>
          <w:noProof/>
          <w:sz w:val="20"/>
          <w:szCs w:val="24"/>
        </w:rPr>
        <w:t>. London: Continuum.</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Gittelsohn, J. &amp; Kumar, M. (2007) Preventing childhood obesity and diabetes: is it time to move out of the school? </w:t>
      </w:r>
      <w:r w:rsidRPr="003F4710">
        <w:rPr>
          <w:rFonts w:ascii="Calibri" w:hAnsi="Calibri" w:cs="Calibri"/>
          <w:i/>
          <w:iCs/>
          <w:noProof/>
          <w:sz w:val="20"/>
          <w:szCs w:val="24"/>
        </w:rPr>
        <w:t>Pediatric Diabetes</w:t>
      </w:r>
      <w:r w:rsidRPr="003F4710">
        <w:rPr>
          <w:rFonts w:ascii="Calibri" w:hAnsi="Calibri" w:cs="Calibri"/>
          <w:noProof/>
          <w:sz w:val="20"/>
          <w:szCs w:val="24"/>
        </w:rPr>
        <w:t>. 8 (Suppl 9), 55–69. [online]. Available from: http://onlinelibrary.wiley.com/doi/10.1111/j.1399-5448.2007.00333.x/full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Glaser, B. G. (1992) </w:t>
      </w:r>
      <w:r w:rsidRPr="003F4710">
        <w:rPr>
          <w:rFonts w:ascii="Calibri" w:hAnsi="Calibri" w:cs="Calibri"/>
          <w:i/>
          <w:iCs/>
          <w:noProof/>
          <w:sz w:val="20"/>
          <w:szCs w:val="24"/>
        </w:rPr>
        <w:t>Emergence vs forcing : basics of grounded theory analysis</w:t>
      </w:r>
      <w:r w:rsidRPr="003F4710">
        <w:rPr>
          <w:rFonts w:ascii="Calibri" w:hAnsi="Calibri" w:cs="Calibri"/>
          <w:noProof/>
          <w:sz w:val="20"/>
          <w:szCs w:val="24"/>
        </w:rPr>
        <w:t>. Mill Valley: Sociology Press.</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Glatter, R. (2012) Persistent Preoccupations The Rise and Rise of School Autonomy and Accountability In England. </w:t>
      </w:r>
      <w:r w:rsidRPr="003F4710">
        <w:rPr>
          <w:rFonts w:ascii="Calibri" w:hAnsi="Calibri" w:cs="Calibri"/>
          <w:i/>
          <w:iCs/>
          <w:noProof/>
          <w:sz w:val="20"/>
          <w:szCs w:val="24"/>
        </w:rPr>
        <w:t>Educational management administration &amp; …</w:t>
      </w:r>
      <w:r w:rsidRPr="003F4710">
        <w:rPr>
          <w:rFonts w:ascii="Calibri" w:hAnsi="Calibri" w:cs="Calibri"/>
          <w:noProof/>
          <w:sz w:val="20"/>
          <w:szCs w:val="24"/>
        </w:rPr>
        <w:t>. 40 (559–575), . [online]. Available from: http://ema.sagepub.com/content/40/5/559.short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Gortmaker, S. et al. (2011) Changing the future of obesity: science, policy, and action. </w:t>
      </w:r>
      <w:r w:rsidRPr="003F4710">
        <w:rPr>
          <w:rFonts w:ascii="Calibri" w:hAnsi="Calibri" w:cs="Calibri"/>
          <w:i/>
          <w:iCs/>
          <w:noProof/>
          <w:sz w:val="20"/>
          <w:szCs w:val="24"/>
        </w:rPr>
        <w:t>The Lancet</w:t>
      </w:r>
      <w:r w:rsidRPr="003F4710">
        <w:rPr>
          <w:rFonts w:ascii="Calibri" w:hAnsi="Calibri" w:cs="Calibri"/>
          <w:noProof/>
          <w:sz w:val="20"/>
          <w:szCs w:val="24"/>
        </w:rPr>
        <w:t>. 378 (9793), 838–847. [online]. Available from: http://www.sciencedirect.com/science/article/pii/S0140673611608155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Graneheim, U. . &amp; Lundman, B. (2004) Qualitative content analysis in nursing research: concepts, procedures and measures to achieve trustworthiness. </w:t>
      </w:r>
      <w:r w:rsidRPr="003F4710">
        <w:rPr>
          <w:rFonts w:ascii="Calibri" w:hAnsi="Calibri" w:cs="Calibri"/>
          <w:i/>
          <w:iCs/>
          <w:noProof/>
          <w:sz w:val="20"/>
          <w:szCs w:val="24"/>
        </w:rPr>
        <w:t>Nurse Education Today</w:t>
      </w:r>
      <w:r w:rsidRPr="003F4710">
        <w:rPr>
          <w:rFonts w:ascii="Calibri" w:hAnsi="Calibri" w:cs="Calibri"/>
          <w:noProof/>
          <w:sz w:val="20"/>
          <w:szCs w:val="24"/>
        </w:rPr>
        <w:t>. 24 (2), 105–112. [online]. Available from: http://www.ncbi.nlm.nih.gov/pubmed/14769454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Grant, M. J. &amp; Booth, A. (2009) A typology of reviews: an analysis of 14 review types and associated methodologies. </w:t>
      </w:r>
      <w:r w:rsidRPr="003F4710">
        <w:rPr>
          <w:rFonts w:ascii="Calibri" w:hAnsi="Calibri" w:cs="Calibri"/>
          <w:i/>
          <w:iCs/>
          <w:noProof/>
          <w:sz w:val="20"/>
          <w:szCs w:val="24"/>
        </w:rPr>
        <w:t>Health Information &amp; Libraries Journal</w:t>
      </w:r>
      <w:r w:rsidRPr="003F4710">
        <w:rPr>
          <w:rFonts w:ascii="Calibri" w:hAnsi="Calibri" w:cs="Calibri"/>
          <w:noProof/>
          <w:sz w:val="20"/>
          <w:szCs w:val="24"/>
        </w:rPr>
        <w:t>. 26 (2), 91–108. [online]. Available from: http://doi.wiley.com/10.1111/j.1471-1842.2009.00848.x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Green, J. &amp; Browne, J. (2005) </w:t>
      </w:r>
      <w:r w:rsidRPr="003F4710">
        <w:rPr>
          <w:rFonts w:ascii="Calibri" w:hAnsi="Calibri" w:cs="Calibri"/>
          <w:i/>
          <w:iCs/>
          <w:noProof/>
          <w:sz w:val="20"/>
          <w:szCs w:val="24"/>
        </w:rPr>
        <w:t>Principles of social research</w:t>
      </w:r>
      <w:r w:rsidRPr="003F4710">
        <w:rPr>
          <w:rFonts w:ascii="Calibri" w:hAnsi="Calibri" w:cs="Calibri"/>
          <w:noProof/>
          <w:sz w:val="20"/>
          <w:szCs w:val="24"/>
        </w:rPr>
        <w:t>. Maidenhead: Open University Press/McGraw-Hill.</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Greene, J. (1989) Toward a conceptual framework for mixed-method evaluation designs. </w:t>
      </w:r>
      <w:r w:rsidRPr="003F4710">
        <w:rPr>
          <w:rFonts w:ascii="Calibri" w:hAnsi="Calibri" w:cs="Calibri"/>
          <w:i/>
          <w:iCs/>
          <w:noProof/>
          <w:sz w:val="20"/>
          <w:szCs w:val="24"/>
        </w:rPr>
        <w:t>Educational evaluation and …</w:t>
      </w:r>
      <w:r w:rsidRPr="003F4710">
        <w:rPr>
          <w:rFonts w:ascii="Calibri" w:hAnsi="Calibri" w:cs="Calibri"/>
          <w:noProof/>
          <w:sz w:val="20"/>
          <w:szCs w:val="24"/>
        </w:rPr>
        <w:t>. [online]. Available from: http://epa.sagepub.com/content/11/3/255.short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Greene, J. C. &amp; Caracelli, V. J. (1997) Defining and describing the paradigm issue in mixed-method evaluation. </w:t>
      </w:r>
      <w:r w:rsidRPr="003F4710">
        <w:rPr>
          <w:rFonts w:ascii="Calibri" w:hAnsi="Calibri" w:cs="Calibri"/>
          <w:i/>
          <w:iCs/>
          <w:noProof/>
          <w:sz w:val="20"/>
          <w:szCs w:val="24"/>
        </w:rPr>
        <w:t>New Directions for Evaluation</w:t>
      </w:r>
      <w:r w:rsidRPr="003F4710">
        <w:rPr>
          <w:rFonts w:ascii="Calibri" w:hAnsi="Calibri" w:cs="Calibri"/>
          <w:noProof/>
          <w:sz w:val="20"/>
          <w:szCs w:val="24"/>
        </w:rPr>
        <w:t>. 1997 (74), 5–17. [online]. Available from: http://doi.wiley.com/10.1002/ev.1068 (Accessed 21 July 2016).</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Greener, J. et al. (2010) More of the same? Conflicting perspectives of obesity causation and intervention amongst overweight people, health professionals and policy makers. </w:t>
      </w:r>
      <w:r w:rsidRPr="003F4710">
        <w:rPr>
          <w:rFonts w:ascii="Calibri" w:hAnsi="Calibri" w:cs="Calibri"/>
          <w:i/>
          <w:iCs/>
          <w:noProof/>
          <w:sz w:val="20"/>
          <w:szCs w:val="24"/>
        </w:rPr>
        <w:t>Social Science &amp; Medicine</w:t>
      </w:r>
      <w:r w:rsidRPr="003F4710">
        <w:rPr>
          <w:rFonts w:ascii="Calibri" w:hAnsi="Calibri" w:cs="Calibri"/>
          <w:noProof/>
          <w:sz w:val="20"/>
          <w:szCs w:val="24"/>
        </w:rPr>
        <w:t>. 70 (7), 1042–1049. [online]. Available from: http://www.ncbi.nlm.nih.gov/pubmed/20106576 (Accessed 1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Griffiths, L. et al. (2011) Is obesity associated with emotional and behavioural problems in children? Findings from the Millennium Cohort Study. </w:t>
      </w:r>
      <w:r w:rsidRPr="003F4710">
        <w:rPr>
          <w:rFonts w:ascii="Calibri" w:hAnsi="Calibri" w:cs="Calibri"/>
          <w:i/>
          <w:iCs/>
          <w:noProof/>
          <w:sz w:val="20"/>
          <w:szCs w:val="24"/>
        </w:rPr>
        <w:t>International Journal of Pediatric Obesity</w:t>
      </w:r>
      <w:r w:rsidRPr="003F4710">
        <w:rPr>
          <w:rFonts w:ascii="Calibri" w:hAnsi="Calibri" w:cs="Calibri"/>
          <w:noProof/>
          <w:sz w:val="20"/>
          <w:szCs w:val="24"/>
        </w:rPr>
        <w:t>. 6 (2–2), e423-32. [online]. Available from: http://onlinelibrary.wiley.com/doi/10.3109/17477166.2010.526221/full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lastRenderedPageBreak/>
        <w:t xml:space="preserve">Griffiths, L. &amp; Page, A. (2008) The Impact of Weight‐related Victimization on Peer Relationships: The Female Adolescent Perspective. </w:t>
      </w:r>
      <w:r w:rsidRPr="003F4710">
        <w:rPr>
          <w:rFonts w:ascii="Calibri" w:hAnsi="Calibri" w:cs="Calibri"/>
          <w:i/>
          <w:iCs/>
          <w:noProof/>
          <w:sz w:val="20"/>
          <w:szCs w:val="24"/>
        </w:rPr>
        <w:t>Obesity</w:t>
      </w:r>
      <w:r w:rsidRPr="003F4710">
        <w:rPr>
          <w:rFonts w:ascii="Calibri" w:hAnsi="Calibri" w:cs="Calibri"/>
          <w:noProof/>
          <w:sz w:val="20"/>
          <w:szCs w:val="24"/>
        </w:rPr>
        <w:t>. 16 (Suppl 2), S39-45. [online]. Available from: http://onlinelibrary.wiley.com/doi/10.1038/oby.2008.449/full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Guba, E. &amp; Lincoln, Y. (1994) Competing paradigms in qualitative research. </w:t>
      </w:r>
      <w:r w:rsidRPr="003F4710">
        <w:rPr>
          <w:rFonts w:ascii="Calibri" w:hAnsi="Calibri" w:cs="Calibri"/>
          <w:i/>
          <w:iCs/>
          <w:noProof/>
          <w:sz w:val="20"/>
          <w:szCs w:val="24"/>
        </w:rPr>
        <w:t>Handbook of qualitative research</w:t>
      </w:r>
      <w:r w:rsidRPr="003F4710">
        <w:rPr>
          <w:rFonts w:ascii="Calibri" w:hAnsi="Calibri" w:cs="Calibri"/>
          <w:noProof/>
          <w:sz w:val="20"/>
          <w:szCs w:val="24"/>
        </w:rPr>
        <w:t>. [online]. Available from: http://www.gdufs.biz/10-guba_lincoln_94.pdf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Guerra, P. et al. (2015) Physical activity and nutrition education at the school environment aimed at preventing childhood obesity: evidence from systematic reviews. </w:t>
      </w:r>
      <w:r w:rsidRPr="003F4710">
        <w:rPr>
          <w:rFonts w:ascii="Calibri" w:hAnsi="Calibri" w:cs="Calibri"/>
          <w:i/>
          <w:iCs/>
          <w:noProof/>
          <w:sz w:val="20"/>
          <w:szCs w:val="24"/>
        </w:rPr>
        <w:t>Jornal de Pediatria</w:t>
      </w:r>
      <w:r w:rsidRPr="003F4710">
        <w:rPr>
          <w:rFonts w:ascii="Calibri" w:hAnsi="Calibri" w:cs="Calibri"/>
          <w:noProof/>
          <w:sz w:val="20"/>
          <w:szCs w:val="24"/>
        </w:rPr>
        <w:t>. 92 (1), 15–23. [online]. Available from: http://www.sciencedirect.com/science/article/pii/S0021755715001412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Guest, G. et al. (2006) How Many Interviews Are Enough ? An Experiment with Data Saturation and Variability. </w:t>
      </w:r>
      <w:r w:rsidRPr="003F4710">
        <w:rPr>
          <w:rFonts w:ascii="Calibri" w:hAnsi="Calibri" w:cs="Calibri"/>
          <w:i/>
          <w:iCs/>
          <w:noProof/>
          <w:sz w:val="20"/>
          <w:szCs w:val="24"/>
        </w:rPr>
        <w:t>Family Health International</w:t>
      </w:r>
      <w:r w:rsidRPr="003F4710">
        <w:rPr>
          <w:rFonts w:ascii="Calibri" w:hAnsi="Calibri" w:cs="Calibri"/>
          <w:noProof/>
          <w:sz w:val="20"/>
          <w:szCs w:val="24"/>
        </w:rPr>
        <w:t>. 18 (1), 59–82.</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Guthrie, J. et al. (2004) Using content analysis as a research method to inquire into intellectual capital reporting. </w:t>
      </w:r>
      <w:r w:rsidRPr="003F4710">
        <w:rPr>
          <w:rFonts w:ascii="Calibri" w:hAnsi="Calibri" w:cs="Calibri"/>
          <w:i/>
          <w:iCs/>
          <w:noProof/>
          <w:sz w:val="20"/>
          <w:szCs w:val="24"/>
        </w:rPr>
        <w:t>Journal of Intellectual Capital</w:t>
      </w:r>
      <w:r w:rsidRPr="003F4710">
        <w:rPr>
          <w:rFonts w:ascii="Calibri" w:hAnsi="Calibri" w:cs="Calibri"/>
          <w:noProof/>
          <w:sz w:val="20"/>
          <w:szCs w:val="24"/>
        </w:rPr>
        <w:t>. 5 (2), 282–293. [online]. Available from: http://www.emeraldinsight.com/doi/10.1108/14691930410533704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Gutman, L. &amp; Vorhaus, J. (2012) </w:t>
      </w:r>
      <w:r w:rsidRPr="003F4710">
        <w:rPr>
          <w:rFonts w:ascii="Calibri" w:hAnsi="Calibri" w:cs="Calibri"/>
          <w:i/>
          <w:iCs/>
          <w:noProof/>
          <w:sz w:val="20"/>
          <w:szCs w:val="24"/>
        </w:rPr>
        <w:t>The impact of pupil behaviour and wellbeing on educational outcomes</w:t>
      </w:r>
      <w:r w:rsidRPr="003F4710">
        <w:rPr>
          <w:rFonts w:ascii="Calibri" w:hAnsi="Calibri" w:cs="Calibri"/>
          <w:noProof/>
          <w:sz w:val="20"/>
          <w:szCs w:val="24"/>
        </w:rPr>
        <w:t>. [online]. Available from: http://dera.ioe.ac.uk/16093/1/DFE-RR253.pdf (Accessed 16 October 2015). [online]. Available from: http://dera.ioe.ac.uk/16093/1/DFE-RR253.pdf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Hagell, A. et al. (2015) Promoting health literacy in secondary schools: A review. </w:t>
      </w:r>
      <w:r w:rsidRPr="003F4710">
        <w:rPr>
          <w:rFonts w:ascii="Calibri" w:hAnsi="Calibri" w:cs="Calibri"/>
          <w:i/>
          <w:iCs/>
          <w:noProof/>
          <w:sz w:val="20"/>
          <w:szCs w:val="24"/>
        </w:rPr>
        <w:t>British Journal of School …</w:t>
      </w:r>
      <w:r w:rsidRPr="003F4710">
        <w:rPr>
          <w:rFonts w:ascii="Calibri" w:hAnsi="Calibri" w:cs="Calibri"/>
          <w:noProof/>
          <w:sz w:val="20"/>
          <w:szCs w:val="24"/>
        </w:rPr>
        <w:t>. 10 (2), 82–87. [online]. Available from: http://www.magonlinelibrary.com/doi/abs/10.12968/bjsn.2015.10.2.82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Hallal, P. C. et al. (2012) Global physical activity levels: surveillance progress, pitfalls, and prospects. </w:t>
      </w:r>
      <w:r w:rsidRPr="003F4710">
        <w:rPr>
          <w:rFonts w:ascii="Calibri" w:hAnsi="Calibri" w:cs="Calibri"/>
          <w:i/>
          <w:iCs/>
          <w:noProof/>
          <w:sz w:val="20"/>
          <w:szCs w:val="24"/>
        </w:rPr>
        <w:t>Lancet (London, England)</w:t>
      </w:r>
      <w:r w:rsidRPr="003F4710">
        <w:rPr>
          <w:rFonts w:ascii="Calibri" w:hAnsi="Calibri" w:cs="Calibri"/>
          <w:noProof/>
          <w:sz w:val="20"/>
          <w:szCs w:val="24"/>
        </w:rPr>
        <w:t>. 380 (9838), 247–257. [online]. Available from: http://www.ncbi.nlm.nih.gov/pubmed/22818937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Hammersley, M. (1992) </w:t>
      </w:r>
      <w:r w:rsidRPr="003F4710">
        <w:rPr>
          <w:rFonts w:ascii="Calibri" w:hAnsi="Calibri" w:cs="Calibri"/>
          <w:i/>
          <w:iCs/>
          <w:noProof/>
          <w:sz w:val="20"/>
          <w:szCs w:val="24"/>
        </w:rPr>
        <w:t>What’s wrong with ethnography? : methodological explorations</w:t>
      </w:r>
      <w:r w:rsidRPr="003F4710">
        <w:rPr>
          <w:rFonts w:ascii="Calibri" w:hAnsi="Calibri" w:cs="Calibri"/>
          <w:noProof/>
          <w:sz w:val="20"/>
          <w:szCs w:val="24"/>
        </w:rPr>
        <w:t>. London: Routledge.</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Hammersley *, M. (2004) Action research: a contradiction in terms? </w:t>
      </w:r>
      <w:r w:rsidRPr="003F4710">
        <w:rPr>
          <w:rFonts w:ascii="Calibri" w:hAnsi="Calibri" w:cs="Calibri"/>
          <w:i/>
          <w:iCs/>
          <w:noProof/>
          <w:sz w:val="20"/>
          <w:szCs w:val="24"/>
        </w:rPr>
        <w:t>Oxford Review of Education</w:t>
      </w:r>
      <w:r w:rsidRPr="003F4710">
        <w:rPr>
          <w:rFonts w:ascii="Calibri" w:hAnsi="Calibri" w:cs="Calibri"/>
          <w:noProof/>
          <w:sz w:val="20"/>
          <w:szCs w:val="24"/>
        </w:rPr>
        <w:t>. 30 (2), 165–181. [online]. Available from: http://www.tandfonline.com/doi/abs/10.1080/0305498042000215502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Han, J. et al. (2010) Childhood obesity. </w:t>
      </w:r>
      <w:r w:rsidRPr="003F4710">
        <w:rPr>
          <w:rFonts w:ascii="Calibri" w:hAnsi="Calibri" w:cs="Calibri"/>
          <w:i/>
          <w:iCs/>
          <w:noProof/>
          <w:sz w:val="20"/>
          <w:szCs w:val="24"/>
        </w:rPr>
        <w:t>The Lancet</w:t>
      </w:r>
      <w:r w:rsidRPr="003F4710">
        <w:rPr>
          <w:rFonts w:ascii="Calibri" w:hAnsi="Calibri" w:cs="Calibri"/>
          <w:noProof/>
          <w:sz w:val="20"/>
          <w:szCs w:val="24"/>
        </w:rPr>
        <w:t>. 375 (9727), 1737–1748. [online]. Available from: http://www.sciencedirect.com/science/article/pii/S0140673610601717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Harding, S. K. et al. (2015) Longitudinal changes in sedentary time and physical activity during adolescence. </w:t>
      </w:r>
      <w:r w:rsidRPr="003F4710">
        <w:rPr>
          <w:rFonts w:ascii="Calibri" w:hAnsi="Calibri" w:cs="Calibri"/>
          <w:i/>
          <w:iCs/>
          <w:noProof/>
          <w:sz w:val="20"/>
          <w:szCs w:val="24"/>
        </w:rPr>
        <w:t>International Journal of Behavioral Nutrition and Physical Activity</w:t>
      </w:r>
      <w:r w:rsidRPr="003F4710">
        <w:rPr>
          <w:rFonts w:ascii="Calibri" w:hAnsi="Calibri" w:cs="Calibri"/>
          <w:noProof/>
          <w:sz w:val="20"/>
          <w:szCs w:val="24"/>
        </w:rPr>
        <w:t>. 12 (1), 44. [online]. Available from: http://www.ijbnpa.org/content/12/1/44 (Accessed 18 January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Hargreaves, D. (2012) </w:t>
      </w:r>
      <w:r w:rsidRPr="003F4710">
        <w:rPr>
          <w:rFonts w:ascii="Calibri" w:hAnsi="Calibri" w:cs="Calibri"/>
          <w:i/>
          <w:iCs/>
          <w:noProof/>
          <w:sz w:val="20"/>
          <w:szCs w:val="24"/>
        </w:rPr>
        <w:t>A self-improving school system: towards maturity</w:t>
      </w:r>
      <w:r w:rsidRPr="003F4710">
        <w:rPr>
          <w:rFonts w:ascii="Calibri" w:hAnsi="Calibri" w:cs="Calibri"/>
          <w:noProof/>
          <w:sz w:val="20"/>
          <w:szCs w:val="24"/>
        </w:rPr>
        <w:t>. [online]. Available from: http://dera.ioe.ac.uk/15804/1/a-self-improving-school-system-towards-maturity.pdf (Accessed 16 October 2015). [online]. Available from: http://dera.ioe.ac.uk/15804/1/a-self-improving-school-system-towards-maturity.pdf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Hargreaves, D. (2011) </w:t>
      </w:r>
      <w:r w:rsidRPr="003F4710">
        <w:rPr>
          <w:rFonts w:ascii="Calibri" w:hAnsi="Calibri" w:cs="Calibri"/>
          <w:i/>
          <w:iCs/>
          <w:noProof/>
          <w:sz w:val="20"/>
          <w:szCs w:val="24"/>
        </w:rPr>
        <w:t>Leading a self-improving school system</w:t>
      </w:r>
      <w:r w:rsidRPr="003F4710">
        <w:rPr>
          <w:rFonts w:ascii="Calibri" w:hAnsi="Calibri" w:cs="Calibri"/>
          <w:noProof/>
          <w:sz w:val="20"/>
          <w:szCs w:val="24"/>
        </w:rPr>
        <w:t>. [online]. Available from: http://dera.ioe.ac.uk/10429/1/download%3Fid%3D154604%26filename%3Dleading-a-self-improving-school-system.pdf (Accessed 16 October 2015). [online]. Available from: http://dera.ioe.ac.uk/10429/1/download%3Fid%3D154604%26filename%3Dleading-a-self-improving-school-system.pdf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Harris, J. L. et al. (2009) A Crisis in the Marketplace: How Food Marketing Contributes to Childhood Obesity and What Can Be Done. </w:t>
      </w:r>
      <w:r w:rsidRPr="003F4710">
        <w:rPr>
          <w:rFonts w:ascii="Calibri" w:hAnsi="Calibri" w:cs="Calibri"/>
          <w:i/>
          <w:iCs/>
          <w:noProof/>
          <w:sz w:val="20"/>
          <w:szCs w:val="24"/>
        </w:rPr>
        <w:t>Annual Review of Public Health</w:t>
      </w:r>
      <w:r w:rsidRPr="003F4710">
        <w:rPr>
          <w:rFonts w:ascii="Calibri" w:hAnsi="Calibri" w:cs="Calibri"/>
          <w:noProof/>
          <w:sz w:val="20"/>
          <w:szCs w:val="24"/>
        </w:rPr>
        <w:t>. 30 (1), 211–225. [online]. Available from: http://www.ncbi.nlm.nih.gov/pubmed/18976142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Hart, C. (2001) </w:t>
      </w:r>
      <w:r w:rsidRPr="003F4710">
        <w:rPr>
          <w:rFonts w:ascii="Calibri" w:hAnsi="Calibri" w:cs="Calibri"/>
          <w:i/>
          <w:iCs/>
          <w:noProof/>
          <w:sz w:val="20"/>
          <w:szCs w:val="24"/>
        </w:rPr>
        <w:t>Doing a literature search : a comprehensive guide for the social sciences</w:t>
      </w:r>
      <w:r w:rsidRPr="003F4710">
        <w:rPr>
          <w:rFonts w:ascii="Calibri" w:hAnsi="Calibri" w:cs="Calibri"/>
          <w:noProof/>
          <w:sz w:val="20"/>
          <w:szCs w:val="24"/>
        </w:rPr>
        <w:t>. London: SAGE Publications Ltd.</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Hawkes, C. et al. (2015) Smart food policies for obesity prevention. </w:t>
      </w:r>
      <w:r w:rsidRPr="003F4710">
        <w:rPr>
          <w:rFonts w:ascii="Calibri" w:hAnsi="Calibri" w:cs="Calibri"/>
          <w:i/>
          <w:iCs/>
          <w:noProof/>
          <w:sz w:val="20"/>
          <w:szCs w:val="24"/>
        </w:rPr>
        <w:t>The Lancet</w:t>
      </w:r>
      <w:r w:rsidRPr="003F4710">
        <w:rPr>
          <w:rFonts w:ascii="Calibri" w:hAnsi="Calibri" w:cs="Calibri"/>
          <w:noProof/>
          <w:sz w:val="20"/>
          <w:szCs w:val="24"/>
        </w:rPr>
        <w:t>. Volume 385 (9985), 2410–2421. [online]. Available from: http://www.sciencedirect.com/science/article/pii/S0140673614617451 (Accessed 29 March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Hawks, S. &amp; Gast, J. (2000) The ethics of promoting weight loss. </w:t>
      </w:r>
      <w:r w:rsidRPr="003F4710">
        <w:rPr>
          <w:rFonts w:ascii="Calibri" w:hAnsi="Calibri" w:cs="Calibri"/>
          <w:i/>
          <w:iCs/>
          <w:noProof/>
          <w:sz w:val="20"/>
          <w:szCs w:val="24"/>
        </w:rPr>
        <w:t>Healthy Weight Journal</w:t>
      </w:r>
      <w:r w:rsidRPr="003F4710">
        <w:rPr>
          <w:rFonts w:ascii="Calibri" w:hAnsi="Calibri" w:cs="Calibri"/>
          <w:noProof/>
          <w:sz w:val="20"/>
          <w:szCs w:val="24"/>
        </w:rPr>
        <w:t>. 14 (2), 25–26. [online]. Available from: http://www.moreofmetolove.com/resources/article/the-ethics-of-promoting-weight-loss/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He, Q. et al. (2000) Population‐based body mass index reference values from Göteborg, Sweden: birth to 18 years of age. </w:t>
      </w:r>
      <w:r w:rsidRPr="003F4710">
        <w:rPr>
          <w:rFonts w:ascii="Calibri" w:hAnsi="Calibri" w:cs="Calibri"/>
          <w:i/>
          <w:iCs/>
          <w:noProof/>
          <w:sz w:val="20"/>
          <w:szCs w:val="24"/>
        </w:rPr>
        <w:t>Acta Paediatrica</w:t>
      </w:r>
      <w:r w:rsidRPr="003F4710">
        <w:rPr>
          <w:rFonts w:ascii="Calibri" w:hAnsi="Calibri" w:cs="Calibri"/>
          <w:noProof/>
          <w:sz w:val="20"/>
          <w:szCs w:val="24"/>
        </w:rPr>
        <w:t>. 85 (9), 582–592. [online]. Available from: http://onlinelibrary.wiley.com/doi/10.1111/j.1651-2227.2000.tb00343.x/abstract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Head, B. (2008) Wicked problems in public policy. </w:t>
      </w:r>
      <w:r w:rsidRPr="003F4710">
        <w:rPr>
          <w:rFonts w:ascii="Calibri" w:hAnsi="Calibri" w:cs="Calibri"/>
          <w:i/>
          <w:iCs/>
          <w:noProof/>
          <w:sz w:val="20"/>
          <w:szCs w:val="24"/>
        </w:rPr>
        <w:t>Public Policy</w:t>
      </w:r>
      <w:r w:rsidRPr="003F4710">
        <w:rPr>
          <w:rFonts w:ascii="Calibri" w:hAnsi="Calibri" w:cs="Calibri"/>
          <w:noProof/>
          <w:sz w:val="20"/>
          <w:szCs w:val="24"/>
        </w:rPr>
        <w:t xml:space="preserve">. 3 (2), 101–118. [online]. Available from: </w:t>
      </w:r>
      <w:r w:rsidRPr="003F4710">
        <w:rPr>
          <w:rFonts w:ascii="Calibri" w:hAnsi="Calibri" w:cs="Calibri"/>
          <w:noProof/>
          <w:sz w:val="20"/>
          <w:szCs w:val="24"/>
        </w:rPr>
        <w:lastRenderedPageBreak/>
        <w:t>http://search.informit.com.au/fullText;dn=662880306504754;res=IELFSC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Health, C. on S. D. of (2008) </w:t>
      </w:r>
      <w:r w:rsidRPr="003F4710">
        <w:rPr>
          <w:rFonts w:ascii="Calibri" w:hAnsi="Calibri" w:cs="Calibri"/>
          <w:i/>
          <w:iCs/>
          <w:noProof/>
          <w:sz w:val="20"/>
          <w:szCs w:val="24"/>
        </w:rPr>
        <w:t>Closing the gap in a generation: health equity through action on the social determinants of health. Final Report of the Commission on Social Determinants of Health</w:t>
      </w:r>
      <w:r w:rsidRPr="003F4710">
        <w:rPr>
          <w:rFonts w:ascii="Calibri" w:hAnsi="Calibri" w:cs="Calibri"/>
          <w:noProof/>
          <w:sz w:val="20"/>
          <w:szCs w:val="24"/>
        </w:rPr>
        <w:t>.</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Heyvaert, M. &amp; Hannes, K. (2013) Critical Appraisal of Mixed Methods Studies. </w:t>
      </w:r>
      <w:r w:rsidRPr="003F4710">
        <w:rPr>
          <w:rFonts w:ascii="Calibri" w:hAnsi="Calibri" w:cs="Calibri"/>
          <w:i/>
          <w:iCs/>
          <w:noProof/>
          <w:sz w:val="20"/>
          <w:szCs w:val="24"/>
        </w:rPr>
        <w:t>… Methods Research</w:t>
      </w:r>
      <w:r w:rsidRPr="003F4710">
        <w:rPr>
          <w:rFonts w:ascii="Calibri" w:hAnsi="Calibri" w:cs="Calibri"/>
          <w:noProof/>
          <w:sz w:val="20"/>
          <w:szCs w:val="24"/>
        </w:rPr>
        <w:t>. 7 (4), 302–327. [online]. Available from: http://mmr.sagepub.com/content/early/2013/03/03/1558689813479449.abstract.</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Higgins, J. &amp; Green, S. (2011) </w:t>
      </w:r>
      <w:r w:rsidRPr="003F4710">
        <w:rPr>
          <w:rFonts w:ascii="Calibri" w:hAnsi="Calibri" w:cs="Calibri"/>
          <w:i/>
          <w:iCs/>
          <w:noProof/>
          <w:sz w:val="20"/>
          <w:szCs w:val="24"/>
        </w:rPr>
        <w:t>Cochrane Handbook for Systematic Reviews of Interventions Version 5.1.0 [updated March 2011]</w:t>
      </w:r>
      <w:r w:rsidRPr="003F4710">
        <w:rPr>
          <w:rFonts w:ascii="Calibri" w:hAnsi="Calibri" w:cs="Calibri"/>
          <w:noProof/>
          <w:sz w:val="20"/>
          <w:szCs w:val="24"/>
        </w:rPr>
        <w:t>. [online]. Available from: http://handbook.cochrane.org. [online]. Available from: http://handbook.cochrane.org.</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Higham, R. &amp; Earley, P. (2013) School Autonomy and Government Control School Leaders’ Views on a Changing Policy Landscape in England. </w:t>
      </w:r>
      <w:r w:rsidRPr="003F4710">
        <w:rPr>
          <w:rFonts w:ascii="Calibri" w:hAnsi="Calibri" w:cs="Calibri"/>
          <w:i/>
          <w:iCs/>
          <w:noProof/>
          <w:sz w:val="20"/>
          <w:szCs w:val="24"/>
        </w:rPr>
        <w:t>Educational Management Administration …</w:t>
      </w:r>
      <w:r w:rsidRPr="003F4710">
        <w:rPr>
          <w:rFonts w:ascii="Calibri" w:hAnsi="Calibri" w:cs="Calibri"/>
          <w:noProof/>
          <w:sz w:val="20"/>
          <w:szCs w:val="24"/>
        </w:rPr>
        <w:t>. 41 (6), 701–717. [online]. Available from: http://ema.sagepub.com/content/41/6/701.short (Accessed 29 March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HM Government (2016) </w:t>
      </w:r>
      <w:r w:rsidRPr="003F4710">
        <w:rPr>
          <w:rFonts w:ascii="Calibri" w:hAnsi="Calibri" w:cs="Calibri"/>
          <w:i/>
          <w:iCs/>
          <w:noProof/>
          <w:sz w:val="20"/>
          <w:szCs w:val="24"/>
        </w:rPr>
        <w:t>Childhood obesity - A plan for action</w:t>
      </w:r>
      <w:r w:rsidRPr="003F4710">
        <w:rPr>
          <w:rFonts w:ascii="Calibri" w:hAnsi="Calibri" w:cs="Calibri"/>
          <w:noProof/>
          <w:sz w:val="20"/>
          <w:szCs w:val="24"/>
        </w:rPr>
        <w:t>. [online]. Available from: https://www.gov.uk/government/uploads/system/uploads/attachment_data/file/546588/Childhood_obesity_2016__2__acc.pdf. [online]. Available from: https://www.gov.uk/government/uploads/system/uploads/attachment_data/file/546588/Childhood_obesity_2016__2__acc.pdf.</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Holloway, I. &amp; Todres, L. (2003) The Status of Method: Flexibility, Consistency and Coherence. </w:t>
      </w:r>
      <w:r w:rsidRPr="003F4710">
        <w:rPr>
          <w:rFonts w:ascii="Calibri" w:hAnsi="Calibri" w:cs="Calibri"/>
          <w:i/>
          <w:iCs/>
          <w:noProof/>
          <w:sz w:val="20"/>
          <w:szCs w:val="24"/>
        </w:rPr>
        <w:t>Qualitative Research</w:t>
      </w:r>
      <w:r w:rsidRPr="003F4710">
        <w:rPr>
          <w:rFonts w:ascii="Calibri" w:hAnsi="Calibri" w:cs="Calibri"/>
          <w:noProof/>
          <w:sz w:val="20"/>
          <w:szCs w:val="24"/>
        </w:rPr>
        <w:t>. 3 (3), 345–357. [online]. Available from: http://qrj.sagepub.com/cgi/doi/10.1177/1468794103033004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Horsley, T. et al. (2011) 'Teaching critical appraisal skills in healthcare settings', in Tanya Horsley (ed.) </w:t>
      </w:r>
      <w:r w:rsidRPr="003F4710">
        <w:rPr>
          <w:rFonts w:ascii="Calibri" w:hAnsi="Calibri" w:cs="Calibri"/>
          <w:i/>
          <w:iCs/>
          <w:noProof/>
          <w:sz w:val="20"/>
          <w:szCs w:val="24"/>
        </w:rPr>
        <w:t>Cochrane Database of Systematic Reviews</w:t>
      </w:r>
      <w:r w:rsidRPr="003F4710">
        <w:rPr>
          <w:rFonts w:ascii="Calibri" w:hAnsi="Calibri" w:cs="Calibri"/>
          <w:noProof/>
          <w:sz w:val="20"/>
          <w:szCs w:val="24"/>
        </w:rPr>
        <w:t>. Chichester, UK: John Wiley &amp; Sons, Ltd. p. CD001270. [online]. Available from: http://www.ncbi.nlm.nih.gov/pubmed/22071800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House of Commons Health Select Committee (2017) </w:t>
      </w:r>
      <w:r w:rsidRPr="003F4710">
        <w:rPr>
          <w:rFonts w:ascii="Calibri" w:hAnsi="Calibri" w:cs="Calibri"/>
          <w:i/>
          <w:iCs/>
          <w:noProof/>
          <w:sz w:val="20"/>
          <w:szCs w:val="24"/>
        </w:rPr>
        <w:t>Childhood obesity: follow up</w:t>
      </w:r>
      <w:r w:rsidRPr="003F4710">
        <w:rPr>
          <w:rFonts w:ascii="Calibri" w:hAnsi="Calibri" w:cs="Calibri"/>
          <w:noProof/>
          <w:sz w:val="20"/>
          <w:szCs w:val="24"/>
        </w:rPr>
        <w:t>. [online]. Available from: https://www.publications.parliament.uk/pa/cm201617/cmselect/cmhealth/928/928.pdf. [online]. Available from: https://www.publications.parliament.uk/pa/cm201617/cmselect/cmhealth/928/928.pdf.</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Howard-Drake, E. &amp; Halliday, V. (2015) Exploring primary school headteachers’ perspectives on the barriers and facilitators of preventing childhood obesity. </w:t>
      </w:r>
      <w:r w:rsidRPr="003F4710">
        <w:rPr>
          <w:rFonts w:ascii="Calibri" w:hAnsi="Calibri" w:cs="Calibri"/>
          <w:i/>
          <w:iCs/>
          <w:noProof/>
          <w:sz w:val="20"/>
          <w:szCs w:val="24"/>
        </w:rPr>
        <w:t>Journal of Public Health</w:t>
      </w:r>
      <w:r w:rsidRPr="003F4710">
        <w:rPr>
          <w:rFonts w:ascii="Calibri" w:hAnsi="Calibri" w:cs="Calibri"/>
          <w:noProof/>
          <w:sz w:val="20"/>
          <w:szCs w:val="24"/>
        </w:rPr>
        <w:t>. 38 (1), 44–52. [online]. Available from: http://jpubhealth.oxfordjournals.org/content/early/2015/03/05/pubmed.fdv021.short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Howe, K. &amp; Eisenhart, M. (1990) Standards for qualitative (and quantitative) research: A prolegomenon. </w:t>
      </w:r>
      <w:r w:rsidRPr="003F4710">
        <w:rPr>
          <w:rFonts w:ascii="Calibri" w:hAnsi="Calibri" w:cs="Calibri"/>
          <w:i/>
          <w:iCs/>
          <w:noProof/>
          <w:sz w:val="20"/>
          <w:szCs w:val="24"/>
        </w:rPr>
        <w:t>Educational researcher</w:t>
      </w:r>
      <w:r w:rsidRPr="003F4710">
        <w:rPr>
          <w:rFonts w:ascii="Calibri" w:hAnsi="Calibri" w:cs="Calibri"/>
          <w:noProof/>
          <w:sz w:val="20"/>
          <w:szCs w:val="24"/>
        </w:rPr>
        <w:t>. 19 (4), 2–9. [online]. Available from: http://edr.sagepub.com/content/19/4/2.short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Howe, K. R. (1988) Against the Quantitative-Qualitative Incompatibility Thesis or Dogmas Die Hard. </w:t>
      </w:r>
      <w:r w:rsidRPr="003F4710">
        <w:rPr>
          <w:rFonts w:ascii="Calibri" w:hAnsi="Calibri" w:cs="Calibri"/>
          <w:i/>
          <w:iCs/>
          <w:noProof/>
          <w:sz w:val="20"/>
          <w:szCs w:val="24"/>
        </w:rPr>
        <w:t>Educational Researcher</w:t>
      </w:r>
      <w:r w:rsidRPr="003F4710">
        <w:rPr>
          <w:rFonts w:ascii="Calibri" w:hAnsi="Calibri" w:cs="Calibri"/>
          <w:noProof/>
          <w:sz w:val="20"/>
          <w:szCs w:val="24"/>
        </w:rPr>
        <w:t>. 17 (8), 10–16. [online]. Available from: http://edr.sagepub.com/cgi/doi/10.3102/0013189X017008010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Huang, T. T.-K. &amp; Glass, T. A. (2008) Transforming Research Strategies for Understanding and Preventing Obesity. </w:t>
      </w:r>
      <w:r w:rsidRPr="003F4710">
        <w:rPr>
          <w:rFonts w:ascii="Calibri" w:hAnsi="Calibri" w:cs="Calibri"/>
          <w:i/>
          <w:iCs/>
          <w:noProof/>
          <w:sz w:val="20"/>
          <w:szCs w:val="24"/>
        </w:rPr>
        <w:t>JAMA</w:t>
      </w:r>
      <w:r w:rsidRPr="003F4710">
        <w:rPr>
          <w:rFonts w:ascii="Calibri" w:hAnsi="Calibri" w:cs="Calibri"/>
          <w:noProof/>
          <w:sz w:val="20"/>
          <w:szCs w:val="24"/>
        </w:rPr>
        <w:t>. 300 (15), 1811. [online]. Available from: http://www.ncbi.nlm.nih.gov/pubmed/18854544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Huberman, A. &amp; Miles, M. (1994) 'Data management and analysis methods.', in N Denzin &amp; Y Lincoln (eds.) </w:t>
      </w:r>
      <w:r w:rsidRPr="003F4710">
        <w:rPr>
          <w:rFonts w:ascii="Calibri" w:hAnsi="Calibri" w:cs="Calibri"/>
          <w:i/>
          <w:iCs/>
          <w:noProof/>
          <w:sz w:val="20"/>
          <w:szCs w:val="24"/>
        </w:rPr>
        <w:t>Handbook of Qualitative Research</w:t>
      </w:r>
      <w:r w:rsidRPr="003F4710">
        <w:rPr>
          <w:rFonts w:ascii="Calibri" w:hAnsi="Calibri" w:cs="Calibri"/>
          <w:noProof/>
          <w:sz w:val="20"/>
          <w:szCs w:val="24"/>
        </w:rPr>
        <w:t>. Thousand Oaks: SAGE Publications Inc. pp. 428–444. [online]. Available from: http://psycnet.apa.org/psycinfo/1994-98625-026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Huberman, A. &amp; Miles, M. (2002) </w:t>
      </w:r>
      <w:r w:rsidRPr="003F4710">
        <w:rPr>
          <w:rFonts w:ascii="Calibri" w:hAnsi="Calibri" w:cs="Calibri"/>
          <w:i/>
          <w:iCs/>
          <w:noProof/>
          <w:sz w:val="20"/>
          <w:szCs w:val="24"/>
        </w:rPr>
        <w:t>The Qualitative Researcher’s Companion</w:t>
      </w:r>
      <w:r w:rsidRPr="003F4710">
        <w:rPr>
          <w:rFonts w:ascii="Calibri" w:hAnsi="Calibri" w:cs="Calibri"/>
          <w:noProof/>
          <w:sz w:val="20"/>
          <w:szCs w:val="24"/>
        </w:rPr>
        <w:t>. Thousand Oaks: SAGE Publications, Inc. [online]. Available from: http://methods.sagepub.com/book/the-qualitative-researchers-companion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Huberty, J. et al. (2012) The role of schools in children’s physical activity participation: staff perceptions. </w:t>
      </w:r>
      <w:r w:rsidRPr="003F4710">
        <w:rPr>
          <w:rFonts w:ascii="Calibri" w:hAnsi="Calibri" w:cs="Calibri"/>
          <w:i/>
          <w:iCs/>
          <w:noProof/>
          <w:sz w:val="20"/>
          <w:szCs w:val="24"/>
        </w:rPr>
        <w:t>Health education …</w:t>
      </w:r>
      <w:r w:rsidRPr="003F4710">
        <w:rPr>
          <w:rFonts w:ascii="Calibri" w:hAnsi="Calibri" w:cs="Calibri"/>
          <w:noProof/>
          <w:sz w:val="20"/>
          <w:szCs w:val="24"/>
        </w:rPr>
        <w:t>. 27 (6), 989–995. [online]. Available from: http://her.oxfordjournals.org/content/early/2012/06/11/her.cys071.short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Hung, T. T. M. et al. (2014) Understanding of Factors that Enable Health Promoters in Implementing Health-Promoting Schools: A Systematic Review and Narrative Synthesis of Qualitative Evidence Yoshihiro Kokubo (ed.). </w:t>
      </w:r>
      <w:r w:rsidRPr="003F4710">
        <w:rPr>
          <w:rFonts w:ascii="Calibri" w:hAnsi="Calibri" w:cs="Calibri"/>
          <w:i/>
          <w:iCs/>
          <w:noProof/>
          <w:sz w:val="20"/>
          <w:szCs w:val="24"/>
        </w:rPr>
        <w:t>PLoS ONE</w:t>
      </w:r>
      <w:r w:rsidRPr="003F4710">
        <w:rPr>
          <w:rFonts w:ascii="Calibri" w:hAnsi="Calibri" w:cs="Calibri"/>
          <w:noProof/>
          <w:sz w:val="20"/>
          <w:szCs w:val="24"/>
        </w:rPr>
        <w:t>. 9 (9), e108284. [online]. Available from: http://dx.plos.org/10.1371/journal.pone.0108284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IBM Corp (2016) </w:t>
      </w:r>
      <w:r w:rsidRPr="003F4710">
        <w:rPr>
          <w:rFonts w:ascii="Calibri" w:hAnsi="Calibri" w:cs="Calibri"/>
          <w:i/>
          <w:iCs/>
          <w:noProof/>
          <w:sz w:val="20"/>
          <w:szCs w:val="24"/>
        </w:rPr>
        <w:t>IBM SPSS Statistics for Windows</w:t>
      </w:r>
      <w:r w:rsidRPr="003F4710">
        <w:rPr>
          <w:rFonts w:ascii="Calibri" w:hAnsi="Calibri" w:cs="Calibri"/>
          <w:noProof/>
          <w:sz w:val="20"/>
          <w:szCs w:val="24"/>
        </w:rPr>
        <w:t>.</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Inchley, J. et al. (2007) Becoming a health promoting school: evaluating the process of effective implementation in Scotland. </w:t>
      </w:r>
      <w:r w:rsidRPr="003F4710">
        <w:rPr>
          <w:rFonts w:ascii="Calibri" w:hAnsi="Calibri" w:cs="Calibri"/>
          <w:i/>
          <w:iCs/>
          <w:noProof/>
          <w:sz w:val="20"/>
          <w:szCs w:val="24"/>
        </w:rPr>
        <w:t>Health Promotion International</w:t>
      </w:r>
      <w:r w:rsidRPr="003F4710">
        <w:rPr>
          <w:rFonts w:ascii="Calibri" w:hAnsi="Calibri" w:cs="Calibri"/>
          <w:noProof/>
          <w:sz w:val="20"/>
          <w:szCs w:val="24"/>
        </w:rPr>
        <w:t>. 22 (1), 65–71. [online]. Available from: http://heapro.oxfordjournals.org/content/22/1/65.short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Irvine, A. (2011) Duration, Dominance and Depth in Telephone and Face-to-Face Interviews: A Comparative </w:t>
      </w:r>
      <w:r w:rsidRPr="003F4710">
        <w:rPr>
          <w:rFonts w:ascii="Calibri" w:hAnsi="Calibri" w:cs="Calibri"/>
          <w:noProof/>
          <w:sz w:val="20"/>
          <w:szCs w:val="24"/>
        </w:rPr>
        <w:lastRenderedPageBreak/>
        <w:t>Exploration. International Journal of Qualitative Methods - ARCHIVE 10 (3) p.202–220.</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James, C. et al. (2012) The role of the chair of the school governing body in England. </w:t>
      </w:r>
      <w:r w:rsidRPr="003F4710">
        <w:rPr>
          <w:rFonts w:ascii="Calibri" w:hAnsi="Calibri" w:cs="Calibri"/>
          <w:i/>
          <w:iCs/>
          <w:noProof/>
          <w:sz w:val="20"/>
          <w:szCs w:val="24"/>
        </w:rPr>
        <w:t>School Leadership &amp; Management</w:t>
      </w:r>
      <w:r w:rsidRPr="003F4710">
        <w:rPr>
          <w:rFonts w:ascii="Calibri" w:hAnsi="Calibri" w:cs="Calibri"/>
          <w:noProof/>
          <w:sz w:val="20"/>
          <w:szCs w:val="24"/>
        </w:rPr>
        <w:t>. 32 (1), 3–19. [online]. Available from: http://www.tandfonline.com/doi/abs/10.1080/13632434.2011.642356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Janssen, I. &amp; Bacon, E. (2008) Effect of current and midlife obesity status on mortality risk in the elderly. </w:t>
      </w:r>
      <w:r w:rsidRPr="003F4710">
        <w:rPr>
          <w:rFonts w:ascii="Calibri" w:hAnsi="Calibri" w:cs="Calibri"/>
          <w:i/>
          <w:iCs/>
          <w:noProof/>
          <w:sz w:val="20"/>
          <w:szCs w:val="24"/>
        </w:rPr>
        <w:t>Obesity</w:t>
      </w:r>
      <w:r w:rsidRPr="003F4710">
        <w:rPr>
          <w:rFonts w:ascii="Calibri" w:hAnsi="Calibri" w:cs="Calibri"/>
          <w:noProof/>
          <w:sz w:val="20"/>
          <w:szCs w:val="24"/>
        </w:rPr>
        <w:t>. 16 (11), 2504–2509. [online]. Available from: http://onlinelibrary.wiley.com/doi/10.1038/oby.2008.400/full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Jebb, S. (2014) 'Government action to tackle obesity', in David W. Haslam et al. (eds.) </w:t>
      </w:r>
      <w:r w:rsidRPr="003F4710">
        <w:rPr>
          <w:rFonts w:ascii="Calibri" w:hAnsi="Calibri" w:cs="Calibri"/>
          <w:i/>
          <w:iCs/>
          <w:noProof/>
          <w:sz w:val="20"/>
          <w:szCs w:val="24"/>
        </w:rPr>
        <w:t>Controversies in Obesity</w:t>
      </w:r>
      <w:r w:rsidRPr="003F4710">
        <w:rPr>
          <w:rFonts w:ascii="Calibri" w:hAnsi="Calibri" w:cs="Calibri"/>
          <w:noProof/>
          <w:sz w:val="20"/>
          <w:szCs w:val="24"/>
        </w:rPr>
        <w:t>. London: Springer-Verlag. p. 306.</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Jebb, S. et al. (2013) The evolution of policy and actions to tackle obesity in England. </w:t>
      </w:r>
      <w:r w:rsidRPr="003F4710">
        <w:rPr>
          <w:rFonts w:ascii="Calibri" w:hAnsi="Calibri" w:cs="Calibri"/>
          <w:i/>
          <w:iCs/>
          <w:noProof/>
          <w:sz w:val="20"/>
          <w:szCs w:val="24"/>
        </w:rPr>
        <w:t>obesity reviews</w:t>
      </w:r>
      <w:r w:rsidRPr="003F4710">
        <w:rPr>
          <w:rFonts w:ascii="Calibri" w:hAnsi="Calibri" w:cs="Calibri"/>
          <w:noProof/>
          <w:sz w:val="20"/>
          <w:szCs w:val="24"/>
        </w:rPr>
        <w:t>. 14 (S2), 42–59. [online]. Available from: http://onlinelibrary.wiley.com/doi/10.1111/obr.12093/full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Jebb, S. A. et al. (2007) Executive Summary: FORESIGHT ?Tackling Obesities: Future Choices? project. </w:t>
      </w:r>
      <w:r w:rsidRPr="003F4710">
        <w:rPr>
          <w:rFonts w:ascii="Calibri" w:hAnsi="Calibri" w:cs="Calibri"/>
          <w:i/>
          <w:iCs/>
          <w:noProof/>
          <w:sz w:val="20"/>
          <w:szCs w:val="24"/>
        </w:rPr>
        <w:t>Obesity Reviews</w:t>
      </w:r>
      <w:r w:rsidRPr="003F4710">
        <w:rPr>
          <w:rFonts w:ascii="Calibri" w:hAnsi="Calibri" w:cs="Calibri"/>
          <w:noProof/>
          <w:sz w:val="20"/>
          <w:szCs w:val="24"/>
        </w:rPr>
        <w:t>. 8 (s1), vi–ix. [online]. Available from: http://doi.wiley.com/10.1111/j.1467-789X.2007.00344.x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Jebb, S. &amp; Prentice, A. (2001) Single definition of overweight and obesity should be used. </w:t>
      </w:r>
      <w:r w:rsidRPr="003F4710">
        <w:rPr>
          <w:rFonts w:ascii="Calibri" w:hAnsi="Calibri" w:cs="Calibri"/>
          <w:i/>
          <w:iCs/>
          <w:noProof/>
          <w:sz w:val="20"/>
          <w:szCs w:val="24"/>
        </w:rPr>
        <w:t>BMJ: British Medical Journal</w:t>
      </w:r>
      <w:r w:rsidRPr="003F4710">
        <w:rPr>
          <w:rFonts w:ascii="Calibri" w:hAnsi="Calibri" w:cs="Calibri"/>
          <w:noProof/>
          <w:sz w:val="20"/>
          <w:szCs w:val="24"/>
        </w:rPr>
        <w:t>. 323 (7319), 999. [online]. Available from: http://www.ncbi.nlm.nih.gov/pmc/articles/pmc1121519/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Johnson, F. et al. (2008) Changing perceptions of weight in Great Britain: comparison of two population surveys. </w:t>
      </w:r>
      <w:r w:rsidRPr="003F4710">
        <w:rPr>
          <w:rFonts w:ascii="Calibri" w:hAnsi="Calibri" w:cs="Calibri"/>
          <w:i/>
          <w:iCs/>
          <w:noProof/>
          <w:sz w:val="20"/>
          <w:szCs w:val="24"/>
        </w:rPr>
        <w:t>BMJ</w:t>
      </w:r>
      <w:r w:rsidRPr="003F4710">
        <w:rPr>
          <w:rFonts w:ascii="Calibri" w:hAnsi="Calibri" w:cs="Calibri"/>
          <w:noProof/>
          <w:sz w:val="20"/>
          <w:szCs w:val="24"/>
        </w:rPr>
        <w:t>. 337 (7664), 270–272. [online]. Available from: http://www.bmj.com/content/337/bmj.a494 (Accessed 11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Johnson, R. &amp; Onwuegbuzie, A. (2004) Mixed methods research: A research paradigm whose time has come. </w:t>
      </w:r>
      <w:r w:rsidRPr="003F4710">
        <w:rPr>
          <w:rFonts w:ascii="Calibri" w:hAnsi="Calibri" w:cs="Calibri"/>
          <w:i/>
          <w:iCs/>
          <w:noProof/>
          <w:sz w:val="20"/>
          <w:szCs w:val="24"/>
        </w:rPr>
        <w:t>Educational researcher</w:t>
      </w:r>
      <w:r w:rsidRPr="003F4710">
        <w:rPr>
          <w:rFonts w:ascii="Calibri" w:hAnsi="Calibri" w:cs="Calibri"/>
          <w:noProof/>
          <w:sz w:val="20"/>
          <w:szCs w:val="24"/>
        </w:rPr>
        <w:t>. 33 (7), 14–26. [online]. Available from: http://edr.sagepub.com/content/33/7/14.short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Jones, A. R. et al. (2011) Parental perceptions of weight status in children: the Gateshead Millennium Study. </w:t>
      </w:r>
      <w:r w:rsidRPr="003F4710">
        <w:rPr>
          <w:rFonts w:ascii="Calibri" w:hAnsi="Calibri" w:cs="Calibri"/>
          <w:i/>
          <w:iCs/>
          <w:noProof/>
          <w:sz w:val="20"/>
          <w:szCs w:val="24"/>
        </w:rPr>
        <w:t>International journal of obesity (2005)</w:t>
      </w:r>
      <w:r w:rsidRPr="003F4710">
        <w:rPr>
          <w:rFonts w:ascii="Calibri" w:hAnsi="Calibri" w:cs="Calibri"/>
          <w:noProof/>
          <w:sz w:val="20"/>
          <w:szCs w:val="24"/>
        </w:rPr>
        <w:t>. 35 (7), 953–962. [online]. Available from: http://www.ncbi.nlm.nih.gov/pubmed/21673651 (Accessed 19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Jones, R. A. et al. (2014) School-based obesity prevention interventions: Practicalities and considerations. </w:t>
      </w:r>
      <w:r w:rsidRPr="003F4710">
        <w:rPr>
          <w:rFonts w:ascii="Calibri" w:hAnsi="Calibri" w:cs="Calibri"/>
          <w:i/>
          <w:iCs/>
          <w:noProof/>
          <w:sz w:val="20"/>
          <w:szCs w:val="24"/>
        </w:rPr>
        <w:t>Obesity Research and Clinical Practice</w:t>
      </w:r>
      <w:r w:rsidRPr="003F4710">
        <w:rPr>
          <w:rFonts w:ascii="Calibri" w:hAnsi="Calibri" w:cs="Calibri"/>
          <w:noProof/>
          <w:sz w:val="20"/>
          <w:szCs w:val="24"/>
        </w:rPr>
        <w:t>. 8 (5), e497–e510. [online]. Available from: http://www.sciencedirect.com/science/article/pii/S1871403X13002007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Jones Nielsen, J. D. et al. (2013) Rising obesity-related hospital admissions among children and young people in England: national time trends study. </w:t>
      </w:r>
      <w:r w:rsidRPr="003F4710">
        <w:rPr>
          <w:rFonts w:ascii="Calibri" w:hAnsi="Calibri" w:cs="Calibri"/>
          <w:i/>
          <w:iCs/>
          <w:noProof/>
          <w:sz w:val="20"/>
          <w:szCs w:val="24"/>
        </w:rPr>
        <w:t>PloS one</w:t>
      </w:r>
      <w:r w:rsidRPr="003F4710">
        <w:rPr>
          <w:rFonts w:ascii="Calibri" w:hAnsi="Calibri" w:cs="Calibri"/>
          <w:noProof/>
          <w:sz w:val="20"/>
          <w:szCs w:val="24"/>
        </w:rPr>
        <w:t>. 8 (6), e65764. [online]. Available from: http://www.pubmedcentral.nih.gov/articlerender.fcgi?artid=3680468&amp;tool=pmcentrez&amp;rendertype=abstract (Accessed 22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Jootun, D. et al. (2009) Reflexivity: promoting rigour in qualitative research. </w:t>
      </w:r>
      <w:r w:rsidRPr="003F4710">
        <w:rPr>
          <w:rFonts w:ascii="Calibri" w:hAnsi="Calibri" w:cs="Calibri"/>
          <w:i/>
          <w:iCs/>
          <w:noProof/>
          <w:sz w:val="20"/>
          <w:szCs w:val="24"/>
        </w:rPr>
        <w:t>Nursing Standard</w:t>
      </w:r>
      <w:r w:rsidRPr="003F4710">
        <w:rPr>
          <w:rFonts w:ascii="Calibri" w:hAnsi="Calibri" w:cs="Calibri"/>
          <w:noProof/>
          <w:sz w:val="20"/>
          <w:szCs w:val="24"/>
        </w:rPr>
        <w:t>. [online]. Available from: http://search.proquest.com/openview/b44fdf96e0179efbe1c401b59f6c19f2/1?pq-origsite=gscholar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Jordan, A. B. et al. (2008) Does adolescent media use cause obesity and eating disorders? </w:t>
      </w:r>
      <w:r w:rsidRPr="003F4710">
        <w:rPr>
          <w:rFonts w:ascii="Calibri" w:hAnsi="Calibri" w:cs="Calibri"/>
          <w:i/>
          <w:iCs/>
          <w:noProof/>
          <w:sz w:val="20"/>
          <w:szCs w:val="24"/>
        </w:rPr>
        <w:t>Adolescent medicine: state of the art reviews</w:t>
      </w:r>
      <w:r w:rsidRPr="003F4710">
        <w:rPr>
          <w:rFonts w:ascii="Calibri" w:hAnsi="Calibri" w:cs="Calibri"/>
          <w:noProof/>
          <w:sz w:val="20"/>
          <w:szCs w:val="24"/>
        </w:rPr>
        <w:t>. 19 (3), 431–49, viii–ix. [online]. Available from: http://www.ncbi.nlm.nih.gov/pubmed/19227385 (Accessed 22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Juonala, M. et al. (2011) Childhood Adiposity, Adult Adiposity, and Cardiovascular Risk Factors. </w:t>
      </w:r>
      <w:r w:rsidRPr="003F4710">
        <w:rPr>
          <w:rFonts w:ascii="Calibri" w:hAnsi="Calibri" w:cs="Calibri"/>
          <w:i/>
          <w:iCs/>
          <w:noProof/>
          <w:sz w:val="20"/>
          <w:szCs w:val="24"/>
        </w:rPr>
        <w:t>New England Journal of Medicine</w:t>
      </w:r>
      <w:r w:rsidRPr="003F4710">
        <w:rPr>
          <w:rFonts w:ascii="Calibri" w:hAnsi="Calibri" w:cs="Calibri"/>
          <w:noProof/>
          <w:sz w:val="20"/>
          <w:szCs w:val="24"/>
        </w:rPr>
        <w:t>. 365 (20), 1876–1885. [online]. Available from: http://www.nejm.org/doi/abs/10.1056/NEJMoa1010112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Kam, C. et al. (2003) Examining the role of implementation quality in school-based prevention using the PATHS curriculum. </w:t>
      </w:r>
      <w:r w:rsidRPr="003F4710">
        <w:rPr>
          <w:rFonts w:ascii="Calibri" w:hAnsi="Calibri" w:cs="Calibri"/>
          <w:i/>
          <w:iCs/>
          <w:noProof/>
          <w:sz w:val="20"/>
          <w:szCs w:val="24"/>
        </w:rPr>
        <w:t>Prevention Science</w:t>
      </w:r>
      <w:r w:rsidRPr="003F4710">
        <w:rPr>
          <w:rFonts w:ascii="Calibri" w:hAnsi="Calibri" w:cs="Calibri"/>
          <w:noProof/>
          <w:sz w:val="20"/>
          <w:szCs w:val="24"/>
        </w:rPr>
        <w:t>. 4 (1), 55–63. [online]. Available from: http://link.springer.com/article/10.1023/A:1021786811186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Kastner, M. et al. (2012) What is the most appropriate knowledge synthesis method to conduct a review? Protocol for a scoping review. </w:t>
      </w:r>
      <w:r w:rsidRPr="003F4710">
        <w:rPr>
          <w:rFonts w:ascii="Calibri" w:hAnsi="Calibri" w:cs="Calibri"/>
          <w:i/>
          <w:iCs/>
          <w:noProof/>
          <w:sz w:val="20"/>
          <w:szCs w:val="24"/>
        </w:rPr>
        <w:t>BMC Medical Research Methodology</w:t>
      </w:r>
      <w:r w:rsidRPr="003F4710">
        <w:rPr>
          <w:rFonts w:ascii="Calibri" w:hAnsi="Calibri" w:cs="Calibri"/>
          <w:noProof/>
          <w:sz w:val="20"/>
          <w:szCs w:val="24"/>
        </w:rPr>
        <w:t>. 12 (1), 114. [online]. Available from: http://bmcmedresmethodol.biomedcentral.com/articles/10.1186/1471-2288-12-114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Katz, D. (2009) School-based interventions for health promotion and weight control: not just waiting on the world to change. </w:t>
      </w:r>
      <w:r w:rsidRPr="003F4710">
        <w:rPr>
          <w:rFonts w:ascii="Calibri" w:hAnsi="Calibri" w:cs="Calibri"/>
          <w:i/>
          <w:iCs/>
          <w:noProof/>
          <w:sz w:val="20"/>
          <w:szCs w:val="24"/>
        </w:rPr>
        <w:t>Annual review of public health</w:t>
      </w:r>
      <w:r w:rsidRPr="003F4710">
        <w:rPr>
          <w:rFonts w:ascii="Calibri" w:hAnsi="Calibri" w:cs="Calibri"/>
          <w:noProof/>
          <w:sz w:val="20"/>
          <w:szCs w:val="24"/>
        </w:rPr>
        <w:t>. 30253–272. [online]. Available from: http://www.annualreviews.org/doi/abs/10.1146/annurev.publhealth.031308.100307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Keating, C. (2011) The health-related quality of life of overweight and obese adolescents–a study measuring body mass index and adolescent-reported perceptions. </w:t>
      </w:r>
      <w:r w:rsidRPr="003F4710">
        <w:rPr>
          <w:rFonts w:ascii="Calibri" w:hAnsi="Calibri" w:cs="Calibri"/>
          <w:i/>
          <w:iCs/>
          <w:noProof/>
          <w:sz w:val="20"/>
          <w:szCs w:val="24"/>
        </w:rPr>
        <w:t>International Journal of …</w:t>
      </w:r>
      <w:r w:rsidRPr="003F4710">
        <w:rPr>
          <w:rFonts w:ascii="Calibri" w:hAnsi="Calibri" w:cs="Calibri"/>
          <w:noProof/>
          <w:sz w:val="20"/>
          <w:szCs w:val="24"/>
        </w:rPr>
        <w:t xml:space="preserve">. 6 (5–6), 434–441. [online]. Available from: http://www.tandfonline.com/doi/abs/10.3109/17477166.2011.590197 </w:t>
      </w:r>
      <w:r w:rsidRPr="003F4710">
        <w:rPr>
          <w:rFonts w:ascii="Calibri" w:hAnsi="Calibri" w:cs="Calibri"/>
          <w:noProof/>
          <w:sz w:val="20"/>
          <w:szCs w:val="24"/>
        </w:rPr>
        <w:lastRenderedPageBreak/>
        <w:t>(Accessed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Kelder, S. &amp; Perry, C. (1994) Longitudinal tracking of adolescent smoking, physical activity, and food choice behaviors. </w:t>
      </w:r>
      <w:r w:rsidRPr="003F4710">
        <w:rPr>
          <w:rFonts w:ascii="Calibri" w:hAnsi="Calibri" w:cs="Calibri"/>
          <w:i/>
          <w:iCs/>
          <w:noProof/>
          <w:sz w:val="20"/>
          <w:szCs w:val="24"/>
        </w:rPr>
        <w:t>American journal of public health</w:t>
      </w:r>
      <w:r w:rsidRPr="003F4710">
        <w:rPr>
          <w:rFonts w:ascii="Calibri" w:hAnsi="Calibri" w:cs="Calibri"/>
          <w:noProof/>
          <w:sz w:val="20"/>
          <w:szCs w:val="24"/>
        </w:rPr>
        <w:t>. 84 (7), 1121–1126. [online]. Available from: http://ajph.aphapublications.org/doi/abs/10.2105/AJPH.84.7.1121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Kelley, K. et al. (2003) Good practice in the conduct and reporting of survey research. </w:t>
      </w:r>
      <w:r w:rsidRPr="003F4710">
        <w:rPr>
          <w:rFonts w:ascii="Calibri" w:hAnsi="Calibri" w:cs="Calibri"/>
          <w:i/>
          <w:iCs/>
          <w:noProof/>
          <w:sz w:val="20"/>
          <w:szCs w:val="24"/>
        </w:rPr>
        <w:t>International journal for quality in health care : journal of the International Society for Quality in Health Care</w:t>
      </w:r>
      <w:r w:rsidRPr="003F4710">
        <w:rPr>
          <w:rFonts w:ascii="Calibri" w:hAnsi="Calibri" w:cs="Calibri"/>
          <w:noProof/>
          <w:sz w:val="20"/>
          <w:szCs w:val="24"/>
        </w:rPr>
        <w:t>. 15 (3), 261–266. [online]. Available from: http://www.ncbi.nlm.nih.gov/pubmed/12803354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Kelsall, D. (2015) How schools teach our children to be fat. </w:t>
      </w:r>
      <w:r w:rsidRPr="003F4710">
        <w:rPr>
          <w:rFonts w:ascii="Calibri" w:hAnsi="Calibri" w:cs="Calibri"/>
          <w:i/>
          <w:iCs/>
          <w:noProof/>
          <w:sz w:val="20"/>
          <w:szCs w:val="24"/>
        </w:rPr>
        <w:t>CMAJ : Canadian Medical Association journal = journal de l’Association medicale canadienne</w:t>
      </w:r>
      <w:r w:rsidRPr="003F4710">
        <w:rPr>
          <w:rFonts w:ascii="Calibri" w:hAnsi="Calibri" w:cs="Calibri"/>
          <w:noProof/>
          <w:sz w:val="20"/>
          <w:szCs w:val="24"/>
        </w:rPr>
        <w:t>. 187 (6), 387. [online]. Available from: http://www.ncbi.nlm.nih.gov/pubmed/25824501 (Accessed 21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Keshavarz, N. &amp; Nutbeam, D. (2010) Schools as social complex adaptive systems: a new way to understand the challenges of introducing the health promoting schools concept. </w:t>
      </w:r>
      <w:r w:rsidRPr="003F4710">
        <w:rPr>
          <w:rFonts w:ascii="Calibri" w:hAnsi="Calibri" w:cs="Calibri"/>
          <w:i/>
          <w:iCs/>
          <w:noProof/>
          <w:sz w:val="20"/>
          <w:szCs w:val="24"/>
        </w:rPr>
        <w:t>Social Science &amp; Medicine</w:t>
      </w:r>
      <w:r w:rsidRPr="003F4710">
        <w:rPr>
          <w:rFonts w:ascii="Calibri" w:hAnsi="Calibri" w:cs="Calibri"/>
          <w:noProof/>
          <w:sz w:val="20"/>
          <w:szCs w:val="24"/>
        </w:rPr>
        <w:t>. 70 (10), 1467–1474. [online]. Available from: http://www.sciencedirect.com/science/article/pii/S0277953610001164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Kessler, R. et al. (2010) Childhood adversities and adult psychopathology in the WHO World Mental Health Surveys. </w:t>
      </w:r>
      <w:r w:rsidRPr="003F4710">
        <w:rPr>
          <w:rFonts w:ascii="Calibri" w:hAnsi="Calibri" w:cs="Calibri"/>
          <w:i/>
          <w:iCs/>
          <w:noProof/>
          <w:sz w:val="20"/>
          <w:szCs w:val="24"/>
        </w:rPr>
        <w:t>The British Journal of Psychiatry</w:t>
      </w:r>
      <w:r w:rsidRPr="003F4710">
        <w:rPr>
          <w:rFonts w:ascii="Calibri" w:hAnsi="Calibri" w:cs="Calibri"/>
          <w:noProof/>
          <w:sz w:val="20"/>
          <w:szCs w:val="24"/>
        </w:rPr>
        <w:t>. 197 (5), 378–385. [online]. Available from: http://bjp.rcpsych.org/content/197/5/378.short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Khambalia,  a. Z. et al. (2012) A synthesis of existing systematic reviews and meta-analyses of school-based behavioural interventions for controlling and preventing obesity. </w:t>
      </w:r>
      <w:r w:rsidRPr="003F4710">
        <w:rPr>
          <w:rFonts w:ascii="Calibri" w:hAnsi="Calibri" w:cs="Calibri"/>
          <w:i/>
          <w:iCs/>
          <w:noProof/>
          <w:sz w:val="20"/>
          <w:szCs w:val="24"/>
        </w:rPr>
        <w:t>Obesity Reviews</w:t>
      </w:r>
      <w:r w:rsidRPr="003F4710">
        <w:rPr>
          <w:rFonts w:ascii="Calibri" w:hAnsi="Calibri" w:cs="Calibri"/>
          <w:noProof/>
          <w:sz w:val="20"/>
          <w:szCs w:val="24"/>
        </w:rPr>
        <w:t>. 13 (3), 214–233. [online]. Available from: http://onlinelibrary.wiley.com/doi/10.1111/j.1467-789X.2011.00947.x/full (Accessed 30 March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Kim, S.-H. &amp; Anne Willis, L. (2007) Talking about Obesity: News Framing of Who Is Responsible for Causing and Fixing the Problem. </w:t>
      </w:r>
      <w:r w:rsidRPr="003F4710">
        <w:rPr>
          <w:rFonts w:ascii="Calibri" w:hAnsi="Calibri" w:cs="Calibri"/>
          <w:i/>
          <w:iCs/>
          <w:noProof/>
          <w:sz w:val="20"/>
          <w:szCs w:val="24"/>
        </w:rPr>
        <w:t>Journal of Health Communication</w:t>
      </w:r>
      <w:r w:rsidRPr="003F4710">
        <w:rPr>
          <w:rFonts w:ascii="Calibri" w:hAnsi="Calibri" w:cs="Calibri"/>
          <w:noProof/>
          <w:sz w:val="20"/>
          <w:szCs w:val="24"/>
        </w:rPr>
        <w:t>. 12 (4), 359–376. [online]. Available from: http://www.ncbi.nlm.nih.gov/pubmed/17558788 (Accessed 17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Kim, S. Y. et al. (2016) Dietary Habits Are Associated With School Performance in Adolescents. </w:t>
      </w:r>
      <w:r w:rsidRPr="003F4710">
        <w:rPr>
          <w:rFonts w:ascii="Calibri" w:hAnsi="Calibri" w:cs="Calibri"/>
          <w:i/>
          <w:iCs/>
          <w:noProof/>
          <w:sz w:val="20"/>
          <w:szCs w:val="24"/>
        </w:rPr>
        <w:t>Medicine</w:t>
      </w:r>
      <w:r w:rsidRPr="003F4710">
        <w:rPr>
          <w:rFonts w:ascii="Calibri" w:hAnsi="Calibri" w:cs="Calibri"/>
          <w:noProof/>
          <w:sz w:val="20"/>
          <w:szCs w:val="24"/>
        </w:rPr>
        <w:t>. 95 (12), e3096. [online]. Available from: http://www.ncbi.nlm.nih.gov/pubmed/27015180 (Accessed 20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Kinra, S. (2000) Deprivation and childhood obesity: a cross sectional study of 20 973 children in Plymouth, United Kingdom. </w:t>
      </w:r>
      <w:r w:rsidRPr="003F4710">
        <w:rPr>
          <w:rFonts w:ascii="Calibri" w:hAnsi="Calibri" w:cs="Calibri"/>
          <w:i/>
          <w:iCs/>
          <w:noProof/>
          <w:sz w:val="20"/>
          <w:szCs w:val="24"/>
        </w:rPr>
        <w:t>Journal of Epidemiology &amp; Community Health</w:t>
      </w:r>
      <w:r w:rsidRPr="003F4710">
        <w:rPr>
          <w:rFonts w:ascii="Calibri" w:hAnsi="Calibri" w:cs="Calibri"/>
          <w:noProof/>
          <w:sz w:val="20"/>
          <w:szCs w:val="24"/>
        </w:rPr>
        <w:t>. 54 (6), 456–460. [online]. Available from: http://jech.bmj.com/cgi/doi/10.1136/jech.54.6.456 (Accessed 12 May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Klein, J. D. &amp; Dietz, W. (2010) Childhood obesity: the new tobacco. </w:t>
      </w:r>
      <w:r w:rsidRPr="003F4710">
        <w:rPr>
          <w:rFonts w:ascii="Calibri" w:hAnsi="Calibri" w:cs="Calibri"/>
          <w:i/>
          <w:iCs/>
          <w:noProof/>
          <w:sz w:val="20"/>
          <w:szCs w:val="24"/>
        </w:rPr>
        <w:t>Health affairs (Project Hope)</w:t>
      </w:r>
      <w:r w:rsidRPr="003F4710">
        <w:rPr>
          <w:rFonts w:ascii="Calibri" w:hAnsi="Calibri" w:cs="Calibri"/>
          <w:noProof/>
          <w:sz w:val="20"/>
          <w:szCs w:val="24"/>
        </w:rPr>
        <w:t>. 29 (3), 388–392. [online]. Available from: http://www.ncbi.nlm.nih.gov/pubmed/20194977 (Accessed 28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Klein, S. (2001) Outcome success in obesity. </w:t>
      </w:r>
      <w:r w:rsidRPr="003F4710">
        <w:rPr>
          <w:rFonts w:ascii="Calibri" w:hAnsi="Calibri" w:cs="Calibri"/>
          <w:i/>
          <w:iCs/>
          <w:noProof/>
          <w:sz w:val="20"/>
          <w:szCs w:val="24"/>
        </w:rPr>
        <w:t>Obesity research</w:t>
      </w:r>
      <w:r w:rsidRPr="003F4710">
        <w:rPr>
          <w:rFonts w:ascii="Calibri" w:hAnsi="Calibri" w:cs="Calibri"/>
          <w:noProof/>
          <w:sz w:val="20"/>
          <w:szCs w:val="24"/>
        </w:rPr>
        <w:t>. [online]. Available from: http://onlinelibrary.wiley.com/doi/10.1038/oby.2001.142/pdf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Kleinert, S. et al. (2016) Adolescent health and wellbeing: a key to a sustainable future. </w:t>
      </w:r>
      <w:r w:rsidRPr="003F4710">
        <w:rPr>
          <w:rFonts w:ascii="Calibri" w:hAnsi="Calibri" w:cs="Calibri"/>
          <w:i/>
          <w:iCs/>
          <w:noProof/>
          <w:sz w:val="20"/>
          <w:szCs w:val="24"/>
        </w:rPr>
        <w:t>Lancet (London, England)</w:t>
      </w:r>
      <w:r w:rsidRPr="003F4710">
        <w:rPr>
          <w:rFonts w:ascii="Calibri" w:hAnsi="Calibri" w:cs="Calibri"/>
          <w:noProof/>
          <w:sz w:val="20"/>
          <w:szCs w:val="24"/>
        </w:rPr>
        <w:t>. 387 (10036), 2355–2356. [online]. Available from: http://www.ncbi.nlm.nih.gov/pubmed/27174303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Kleinert, S. &amp; Horton, R. (2015) Rethinking and reframing obesity. </w:t>
      </w:r>
      <w:r w:rsidRPr="003F4710">
        <w:rPr>
          <w:rFonts w:ascii="Calibri" w:hAnsi="Calibri" w:cs="Calibri"/>
          <w:i/>
          <w:iCs/>
          <w:noProof/>
          <w:sz w:val="20"/>
          <w:szCs w:val="24"/>
        </w:rPr>
        <w:t>The Lancet</w:t>
      </w:r>
      <w:r w:rsidRPr="003F4710">
        <w:rPr>
          <w:rFonts w:ascii="Calibri" w:hAnsi="Calibri" w:cs="Calibri"/>
          <w:noProof/>
          <w:sz w:val="20"/>
          <w:szCs w:val="24"/>
        </w:rPr>
        <w:t>. 385 (9985), 2326–2328. [online]. Available from: http://middleeast.thelancet.com/journals/lancet/article/PIIS0140-6736(15)60163-5/fulltext (Accessed 29 March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Knai, C. et al. (2016) The childhood obesity strategy. </w:t>
      </w:r>
      <w:r w:rsidRPr="003F4710">
        <w:rPr>
          <w:rFonts w:ascii="Calibri" w:hAnsi="Calibri" w:cs="Calibri"/>
          <w:i/>
          <w:iCs/>
          <w:noProof/>
          <w:sz w:val="20"/>
          <w:szCs w:val="24"/>
        </w:rPr>
        <w:t>BMJ</w:t>
      </w:r>
      <w:r w:rsidRPr="003F4710">
        <w:rPr>
          <w:rFonts w:ascii="Calibri" w:hAnsi="Calibri" w:cs="Calibri"/>
          <w:noProof/>
          <w:sz w:val="20"/>
          <w:szCs w:val="24"/>
        </w:rPr>
        <w:t>. 354 (4613), . [online]. Available from: http://www.bmj.com/content/354/bmj.i4613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Koehly, L. M. &amp; Loscalzo, A. (2009) Adolescent obesity and social networks. </w:t>
      </w:r>
      <w:r w:rsidRPr="003F4710">
        <w:rPr>
          <w:rFonts w:ascii="Calibri" w:hAnsi="Calibri" w:cs="Calibri"/>
          <w:i/>
          <w:iCs/>
          <w:noProof/>
          <w:sz w:val="20"/>
          <w:szCs w:val="24"/>
        </w:rPr>
        <w:t>Preventing chronic disease</w:t>
      </w:r>
      <w:r w:rsidRPr="003F4710">
        <w:rPr>
          <w:rFonts w:ascii="Calibri" w:hAnsi="Calibri" w:cs="Calibri"/>
          <w:noProof/>
          <w:sz w:val="20"/>
          <w:szCs w:val="24"/>
        </w:rPr>
        <w:t>. 6 (3), A99. [online]. Available from: http://www.ncbi.nlm.nih.gov/pubmed/19527601 (Accessed 12 May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Kothandan, S. K. (2014) School based interventions versus family based interventions in the treatment of childhood obesity- a systematic review. </w:t>
      </w:r>
      <w:r w:rsidRPr="003F4710">
        <w:rPr>
          <w:rFonts w:ascii="Calibri" w:hAnsi="Calibri" w:cs="Calibri"/>
          <w:i/>
          <w:iCs/>
          <w:noProof/>
          <w:sz w:val="20"/>
          <w:szCs w:val="24"/>
        </w:rPr>
        <w:t>Archives of public health = Archives belges de sante publique</w:t>
      </w:r>
      <w:r w:rsidRPr="003F4710">
        <w:rPr>
          <w:rFonts w:ascii="Calibri" w:hAnsi="Calibri" w:cs="Calibri"/>
          <w:noProof/>
          <w:sz w:val="20"/>
          <w:szCs w:val="24"/>
        </w:rPr>
        <w:t>. 72 (1), 3. [online]. Available from: http://www.archpublichealth.com/content/72/1/3.</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Kraak, V. I. et al. (2014) A Q methodology study of stakeholders’ views about accountability for promoting healthy food environments in England through the Responsibility Deal Food Network. </w:t>
      </w:r>
      <w:r w:rsidRPr="003F4710">
        <w:rPr>
          <w:rFonts w:ascii="Calibri" w:hAnsi="Calibri" w:cs="Calibri"/>
          <w:i/>
          <w:iCs/>
          <w:noProof/>
          <w:sz w:val="20"/>
          <w:szCs w:val="24"/>
        </w:rPr>
        <w:t>Food Policy</w:t>
      </w:r>
      <w:r w:rsidRPr="003F4710">
        <w:rPr>
          <w:rFonts w:ascii="Calibri" w:hAnsi="Calibri" w:cs="Calibri"/>
          <w:noProof/>
          <w:sz w:val="20"/>
          <w:szCs w:val="24"/>
        </w:rPr>
        <w:t>. 49 (1), 207–218. [online]. Available from: http://linkinghub.elsevier.com/retrieve/pii/S0306919214001249 (Accessed 21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Krebs, N. F. et al. (2007) Assessment of child and adolescent overweight and obesity. </w:t>
      </w:r>
      <w:r w:rsidRPr="003F4710">
        <w:rPr>
          <w:rFonts w:ascii="Calibri" w:hAnsi="Calibri" w:cs="Calibri"/>
          <w:i/>
          <w:iCs/>
          <w:noProof/>
          <w:sz w:val="20"/>
          <w:szCs w:val="24"/>
        </w:rPr>
        <w:t>Pediatrics</w:t>
      </w:r>
      <w:r w:rsidRPr="003F4710">
        <w:rPr>
          <w:rFonts w:ascii="Calibri" w:hAnsi="Calibri" w:cs="Calibri"/>
          <w:noProof/>
          <w:sz w:val="20"/>
          <w:szCs w:val="24"/>
        </w:rPr>
        <w:t>. 120 (Supp4), S193–S228.</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Krieg, E. F. (1999) Biases Induced by Coarse Measurement Scales. </w:t>
      </w:r>
      <w:r w:rsidRPr="003F4710">
        <w:rPr>
          <w:rFonts w:ascii="Calibri" w:hAnsi="Calibri" w:cs="Calibri"/>
          <w:i/>
          <w:iCs/>
          <w:noProof/>
          <w:sz w:val="20"/>
          <w:szCs w:val="24"/>
        </w:rPr>
        <w:t>Educational and Psychological Measurement</w:t>
      </w:r>
      <w:r w:rsidRPr="003F4710">
        <w:rPr>
          <w:rFonts w:ascii="Calibri" w:hAnsi="Calibri" w:cs="Calibri"/>
          <w:noProof/>
          <w:sz w:val="20"/>
          <w:szCs w:val="24"/>
        </w:rPr>
        <w:t>. 59 (5), 749–766. [online]. Available from: http://journals.sagepub.com/doi/10.1177/00131649921970125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Kropski, J. et al. (2008) School‐based obesity prevention programs: an evidence‐based review. </w:t>
      </w:r>
      <w:r w:rsidRPr="003F4710">
        <w:rPr>
          <w:rFonts w:ascii="Calibri" w:hAnsi="Calibri" w:cs="Calibri"/>
          <w:i/>
          <w:iCs/>
          <w:noProof/>
          <w:sz w:val="20"/>
          <w:szCs w:val="24"/>
        </w:rPr>
        <w:t>Obesity</w:t>
      </w:r>
      <w:r w:rsidRPr="003F4710">
        <w:rPr>
          <w:rFonts w:ascii="Calibri" w:hAnsi="Calibri" w:cs="Calibri"/>
          <w:noProof/>
          <w:sz w:val="20"/>
          <w:szCs w:val="24"/>
        </w:rPr>
        <w:t xml:space="preserve">. 16 (5), </w:t>
      </w:r>
      <w:r w:rsidRPr="003F4710">
        <w:rPr>
          <w:rFonts w:ascii="Calibri" w:hAnsi="Calibri" w:cs="Calibri"/>
          <w:noProof/>
          <w:sz w:val="20"/>
          <w:szCs w:val="24"/>
        </w:rPr>
        <w:lastRenderedPageBreak/>
        <w:t>1009–1018. [online]. Available from: http://onlinelibrary.wiley.com/doi/10.1038/oby.2008.29/pdf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Kuczmarski, R. &amp; Ogden, C. (2000) CDC growth charts: United States. </w:t>
      </w:r>
      <w:r w:rsidRPr="003F4710">
        <w:rPr>
          <w:rFonts w:ascii="Calibri" w:hAnsi="Calibri" w:cs="Calibri"/>
          <w:i/>
          <w:iCs/>
          <w:noProof/>
          <w:sz w:val="20"/>
          <w:szCs w:val="24"/>
        </w:rPr>
        <w:t>Advance data</w:t>
      </w:r>
      <w:r w:rsidRPr="003F4710">
        <w:rPr>
          <w:rFonts w:ascii="Calibri" w:hAnsi="Calibri" w:cs="Calibri"/>
          <w:noProof/>
          <w:sz w:val="20"/>
          <w:szCs w:val="24"/>
        </w:rPr>
        <w:t>. 8 (314), 1–27. [online]. Available from: http://europepmc.org/abstract/med/11183293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Kuhn, T. (1962) </w:t>
      </w:r>
      <w:r w:rsidRPr="003F4710">
        <w:rPr>
          <w:rFonts w:ascii="Calibri" w:hAnsi="Calibri" w:cs="Calibri"/>
          <w:i/>
          <w:iCs/>
          <w:noProof/>
          <w:sz w:val="20"/>
          <w:szCs w:val="24"/>
        </w:rPr>
        <w:t>The Structure of Scientific Revolutions Vol.</w:t>
      </w:r>
      <w:r w:rsidRPr="003F4710">
        <w:rPr>
          <w:rFonts w:ascii="Calibri" w:hAnsi="Calibri" w:cs="Calibri"/>
          <w:noProof/>
          <w:sz w:val="20"/>
          <w:szCs w:val="24"/>
        </w:rPr>
        <w:t xml:space="preserve"> Chicago: University of Chicago Press.</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Kumanyika, S. et al. (2008) Population-based prevention of obesity the need for comprehensive promotion of healthful eating, physical activity, and energy balance: A scientific statement from. </w:t>
      </w:r>
      <w:r w:rsidRPr="003F4710">
        <w:rPr>
          <w:rFonts w:ascii="Calibri" w:hAnsi="Calibri" w:cs="Calibri"/>
          <w:i/>
          <w:iCs/>
          <w:noProof/>
          <w:sz w:val="20"/>
          <w:szCs w:val="24"/>
        </w:rPr>
        <w:t>Circulation</w:t>
      </w:r>
      <w:r w:rsidRPr="003F4710">
        <w:rPr>
          <w:rFonts w:ascii="Calibri" w:hAnsi="Calibri" w:cs="Calibri"/>
          <w:noProof/>
          <w:sz w:val="20"/>
          <w:szCs w:val="24"/>
        </w:rPr>
        <w:t>. 118 (4), 428–464. [online]. Available from: http://circ.ahajournals.org/content/118/4/428.short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Kuper, A. et al. (2008) Critically appraising qualitative research. </w:t>
      </w:r>
      <w:r w:rsidRPr="003F4710">
        <w:rPr>
          <w:rFonts w:ascii="Calibri" w:hAnsi="Calibri" w:cs="Calibri"/>
          <w:i/>
          <w:iCs/>
          <w:noProof/>
          <w:sz w:val="20"/>
          <w:szCs w:val="24"/>
        </w:rPr>
        <w:t>BMJ</w:t>
      </w:r>
      <w:r w:rsidRPr="003F4710">
        <w:rPr>
          <w:rFonts w:ascii="Calibri" w:hAnsi="Calibri" w:cs="Calibri"/>
          <w:noProof/>
          <w:sz w:val="20"/>
          <w:szCs w:val="24"/>
        </w:rPr>
        <w:t>. 337 (a1035), . [online]. Available from: http://www.bmj.com/content/337/bmj.a1035 (Accessed 4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Lakshman, R. et al. (2012) Childhood Obesity. </w:t>
      </w:r>
      <w:r w:rsidRPr="003F4710">
        <w:rPr>
          <w:rFonts w:ascii="Calibri" w:hAnsi="Calibri" w:cs="Calibri"/>
          <w:i/>
          <w:iCs/>
          <w:noProof/>
          <w:sz w:val="20"/>
          <w:szCs w:val="24"/>
        </w:rPr>
        <w:t>Circulation</w:t>
      </w:r>
      <w:r w:rsidRPr="003F4710">
        <w:rPr>
          <w:rFonts w:ascii="Calibri" w:hAnsi="Calibri" w:cs="Calibri"/>
          <w:noProof/>
          <w:sz w:val="20"/>
          <w:szCs w:val="24"/>
        </w:rPr>
        <w:t>. 126 (14), 1770–1779. [online]. Available from: http://www.ncbi.nlm.nih.gov/pubmed/23027812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Lang, T. &amp; Rayner, G. (2007) Overcoming policy cacophony on obesity: an ecological public health framework for policymakers. </w:t>
      </w:r>
      <w:r w:rsidRPr="003F4710">
        <w:rPr>
          <w:rFonts w:ascii="Calibri" w:hAnsi="Calibri" w:cs="Calibri"/>
          <w:i/>
          <w:iCs/>
          <w:noProof/>
          <w:sz w:val="20"/>
          <w:szCs w:val="24"/>
        </w:rPr>
        <w:t>Obesity reviews : an official journal of the International Association for the Study of Obesity</w:t>
      </w:r>
      <w:r w:rsidRPr="003F4710">
        <w:rPr>
          <w:rFonts w:ascii="Calibri" w:hAnsi="Calibri" w:cs="Calibri"/>
          <w:noProof/>
          <w:sz w:val="20"/>
          <w:szCs w:val="24"/>
        </w:rPr>
        <w:t>. 8 Suppl 1165–181. [online]. Available from: http://www.ncbi.nlm.nih.gov/pubmed/17316322 (Accessed 27 July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Langford, R. et al. (2017) The Health Promoting Schools Framework: Known Unknowns and an Agenda for Future Research. </w:t>
      </w:r>
      <w:r w:rsidRPr="003F4710">
        <w:rPr>
          <w:rFonts w:ascii="Calibri" w:hAnsi="Calibri" w:cs="Calibri"/>
          <w:i/>
          <w:iCs/>
          <w:noProof/>
          <w:sz w:val="20"/>
          <w:szCs w:val="24"/>
        </w:rPr>
        <w:t>Health Education &amp; Behavior</w:t>
      </w:r>
      <w:r w:rsidRPr="003F4710">
        <w:rPr>
          <w:rFonts w:ascii="Calibri" w:hAnsi="Calibri" w:cs="Calibri"/>
          <w:noProof/>
          <w:sz w:val="20"/>
          <w:szCs w:val="24"/>
        </w:rPr>
        <w:t>. 44 (3), 463–475. [online]. Available from: http://journals.sagepub.com/doi/10.1177/1090198116673800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Langford, R. &amp; Bonell, C. (2015) Obesity prevention and the Health promoting Schools framework: essential components and barriers to success. </w:t>
      </w:r>
      <w:r w:rsidRPr="003F4710">
        <w:rPr>
          <w:rFonts w:ascii="Calibri" w:hAnsi="Calibri" w:cs="Calibri"/>
          <w:i/>
          <w:iCs/>
          <w:noProof/>
          <w:sz w:val="20"/>
          <w:szCs w:val="24"/>
        </w:rPr>
        <w:t>International Journal of Behavioral Nutrition and Physical Activity</w:t>
      </w:r>
      <w:r w:rsidRPr="003F4710">
        <w:rPr>
          <w:rFonts w:ascii="Calibri" w:hAnsi="Calibri" w:cs="Calibri"/>
          <w:noProof/>
          <w:sz w:val="20"/>
          <w:szCs w:val="24"/>
        </w:rPr>
        <w:t>. 12 (15), . [online]. Available from: http://www.biomedcentral.com/content/pdf/s12966-015-0167-7.pdf (Accessed 29 March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Langford, R. &amp; Bonell, C. (2014) The WHO Health Promoting School framework for improving the health and well‐being of students and their academic achievement. </w:t>
      </w:r>
      <w:r w:rsidRPr="003F4710">
        <w:rPr>
          <w:rFonts w:ascii="Calibri" w:hAnsi="Calibri" w:cs="Calibri"/>
          <w:i/>
          <w:iCs/>
          <w:noProof/>
          <w:sz w:val="20"/>
          <w:szCs w:val="24"/>
        </w:rPr>
        <w:t>The Cochrane Database of Systematic Reviews</w:t>
      </w:r>
      <w:r w:rsidRPr="003F4710">
        <w:rPr>
          <w:rFonts w:ascii="Calibri" w:hAnsi="Calibri" w:cs="Calibri"/>
          <w:noProof/>
          <w:sz w:val="20"/>
          <w:szCs w:val="24"/>
        </w:rPr>
        <w:t>. (4), . [online]. Available from: http://onlinelibrary.wiley.com/doi/10.1002/14651858.CD008958.pub2/full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Lawlor, D. A. &amp; Chaturvedi, N. (2005) Treatment and prevention of obesity--are there critical periods for intervention? </w:t>
      </w:r>
      <w:r w:rsidRPr="003F4710">
        <w:rPr>
          <w:rFonts w:ascii="Calibri" w:hAnsi="Calibri" w:cs="Calibri"/>
          <w:i/>
          <w:iCs/>
          <w:noProof/>
          <w:sz w:val="20"/>
          <w:szCs w:val="24"/>
        </w:rPr>
        <w:t>International Journal of Epidemiology</w:t>
      </w:r>
      <w:r w:rsidRPr="003F4710">
        <w:rPr>
          <w:rFonts w:ascii="Calibri" w:hAnsi="Calibri" w:cs="Calibri"/>
          <w:noProof/>
          <w:sz w:val="20"/>
          <w:szCs w:val="24"/>
        </w:rPr>
        <w:t>. 35 (1), 3–9. [online]. Available from: http://www.ncbi.nlm.nih.gov/pubmed/16396899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Lee, H. et al. (2014) Longitudinal Associations Between Poverty and Obesity From Birth Through Adolescence. </w:t>
      </w:r>
      <w:r w:rsidRPr="003F4710">
        <w:rPr>
          <w:rFonts w:ascii="Calibri" w:hAnsi="Calibri" w:cs="Calibri"/>
          <w:i/>
          <w:iCs/>
          <w:noProof/>
          <w:sz w:val="20"/>
          <w:szCs w:val="24"/>
        </w:rPr>
        <w:t>American Journal of Public Health</w:t>
      </w:r>
      <w:r w:rsidRPr="003F4710">
        <w:rPr>
          <w:rFonts w:ascii="Calibri" w:hAnsi="Calibri" w:cs="Calibri"/>
          <w:noProof/>
          <w:sz w:val="20"/>
          <w:szCs w:val="24"/>
        </w:rPr>
        <w:t>. 104 (5), e70–e76. [online]. Available from: http://www.ncbi.nlm.nih.gov/pubmed/24625156 (Accessed 25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Leech, N. &amp; Onwuegbuzie, A. (2009) A typology of mixed methods research designs. </w:t>
      </w:r>
      <w:r w:rsidRPr="003F4710">
        <w:rPr>
          <w:rFonts w:ascii="Calibri" w:hAnsi="Calibri" w:cs="Calibri"/>
          <w:i/>
          <w:iCs/>
          <w:noProof/>
          <w:sz w:val="20"/>
          <w:szCs w:val="24"/>
        </w:rPr>
        <w:t>Quality &amp; quantity</w:t>
      </w:r>
      <w:r w:rsidRPr="003F4710">
        <w:rPr>
          <w:rFonts w:ascii="Calibri" w:hAnsi="Calibri" w:cs="Calibri"/>
          <w:noProof/>
          <w:sz w:val="20"/>
          <w:szCs w:val="24"/>
        </w:rPr>
        <w:t>. 42 (2), 265–275. [online]. Available from: http://link.springer.com/article/10.1007/s11135-007-9105-3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Leithwood, K. &amp; Louis, K. S. (2004) </w:t>
      </w:r>
      <w:r w:rsidRPr="003F4710">
        <w:rPr>
          <w:rFonts w:ascii="Calibri" w:hAnsi="Calibri" w:cs="Calibri"/>
          <w:i/>
          <w:iCs/>
          <w:noProof/>
          <w:sz w:val="20"/>
          <w:szCs w:val="24"/>
        </w:rPr>
        <w:t>Review of research: How leadership influences student learning</w:t>
      </w:r>
      <w:r w:rsidRPr="003F4710">
        <w:rPr>
          <w:rFonts w:ascii="Calibri" w:hAnsi="Calibri" w:cs="Calibri"/>
          <w:noProof/>
          <w:sz w:val="20"/>
          <w:szCs w:val="24"/>
        </w:rPr>
        <w:t>. [online]. Available from: http://conservancy.umn.edu/handle/11299/2035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Li, S. &amp; Seale, C. (2007) Learning to Do Qualitative Data Analysis: An Observational Study of Doctoral Work. </w:t>
      </w:r>
      <w:r w:rsidRPr="003F4710">
        <w:rPr>
          <w:rFonts w:ascii="Calibri" w:hAnsi="Calibri" w:cs="Calibri"/>
          <w:i/>
          <w:iCs/>
          <w:noProof/>
          <w:sz w:val="20"/>
          <w:szCs w:val="24"/>
        </w:rPr>
        <w:t>Qualitative Health Research</w:t>
      </w:r>
      <w:r w:rsidRPr="003F4710">
        <w:rPr>
          <w:rFonts w:ascii="Calibri" w:hAnsi="Calibri" w:cs="Calibri"/>
          <w:noProof/>
          <w:sz w:val="20"/>
          <w:szCs w:val="24"/>
        </w:rPr>
        <w:t>. 17 (10), 1442–1452. [online]. Available from: http://www.ncbi.nlm.nih.gov/pubmed/18000083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Liamputtong, P. (2009) Qualitative data analysis: Conceptual and practical considerations. </w:t>
      </w:r>
      <w:r w:rsidRPr="003F4710">
        <w:rPr>
          <w:rFonts w:ascii="Calibri" w:hAnsi="Calibri" w:cs="Calibri"/>
          <w:i/>
          <w:iCs/>
          <w:noProof/>
          <w:sz w:val="20"/>
          <w:szCs w:val="24"/>
        </w:rPr>
        <w:t>Health Promotion Journal of Australia</w:t>
      </w:r>
      <w:r w:rsidRPr="003F4710">
        <w:rPr>
          <w:rFonts w:ascii="Calibri" w:hAnsi="Calibri" w:cs="Calibri"/>
          <w:noProof/>
          <w:sz w:val="20"/>
          <w:szCs w:val="24"/>
        </w:rPr>
        <w:t>. 20 (2), 133–139. [online]. Available from: http://www.ncbi.nlm.nih.gov/pubmed/19642962.</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Lincoln, Y. &amp; Guba, E. (1985) </w:t>
      </w:r>
      <w:r w:rsidRPr="003F4710">
        <w:rPr>
          <w:rFonts w:ascii="Calibri" w:hAnsi="Calibri" w:cs="Calibri"/>
          <w:i/>
          <w:iCs/>
          <w:noProof/>
          <w:sz w:val="20"/>
          <w:szCs w:val="24"/>
        </w:rPr>
        <w:t>Naturalistic inquiry</w:t>
      </w:r>
      <w:r w:rsidRPr="003F4710">
        <w:rPr>
          <w:rFonts w:ascii="Calibri" w:hAnsi="Calibri" w:cs="Calibri"/>
          <w:noProof/>
          <w:sz w:val="20"/>
          <w:szCs w:val="24"/>
        </w:rPr>
        <w:t>. Los Angeles: SAGE Publications Inc.</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Lindsay, A. C. et al. (2006) The Role of Parents in Preventing Childhood Obesity. </w:t>
      </w:r>
      <w:r w:rsidRPr="003F4710">
        <w:rPr>
          <w:rFonts w:ascii="Calibri" w:hAnsi="Calibri" w:cs="Calibri"/>
          <w:i/>
          <w:iCs/>
          <w:noProof/>
          <w:sz w:val="20"/>
          <w:szCs w:val="24"/>
        </w:rPr>
        <w:t>The Future of Children</w:t>
      </w:r>
      <w:r w:rsidRPr="003F4710">
        <w:rPr>
          <w:rFonts w:ascii="Calibri" w:hAnsi="Calibri" w:cs="Calibri"/>
          <w:noProof/>
          <w:sz w:val="20"/>
          <w:szCs w:val="24"/>
        </w:rPr>
        <w:t>. 16169–186. [online]. Available from: http://www.jstor.org/stable/3556555 (Accessed 6 May 2016).</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Lister-Sharp, D. (1998) Health promoting schools and health promotion in schools: two systematic reviews. </w:t>
      </w:r>
      <w:r w:rsidRPr="003F4710">
        <w:rPr>
          <w:rFonts w:ascii="Calibri" w:hAnsi="Calibri" w:cs="Calibri"/>
          <w:i/>
          <w:iCs/>
          <w:noProof/>
          <w:sz w:val="20"/>
          <w:szCs w:val="24"/>
        </w:rPr>
        <w:t>Health Technology Assessment</w:t>
      </w:r>
      <w:r w:rsidRPr="003F4710">
        <w:rPr>
          <w:rFonts w:ascii="Calibri" w:hAnsi="Calibri" w:cs="Calibri"/>
          <w:noProof/>
          <w:sz w:val="20"/>
          <w:szCs w:val="24"/>
        </w:rPr>
        <w:t>. 3 (22), 1–207. [online]. Available from: http://europepmc.org/abstract/med/10683593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Little, M. A. et al. (2013) The Effects of Teacher Fidelity of Implementation of Pathways to Health on Student Outcomes. </w:t>
      </w:r>
      <w:r w:rsidRPr="003F4710">
        <w:rPr>
          <w:rFonts w:ascii="Calibri" w:hAnsi="Calibri" w:cs="Calibri"/>
          <w:i/>
          <w:iCs/>
          <w:noProof/>
          <w:sz w:val="20"/>
          <w:szCs w:val="24"/>
        </w:rPr>
        <w:t>Evaluation &amp; the Health Professions</w:t>
      </w:r>
      <w:r w:rsidRPr="003F4710">
        <w:rPr>
          <w:rFonts w:ascii="Calibri" w:hAnsi="Calibri" w:cs="Calibri"/>
          <w:noProof/>
          <w:sz w:val="20"/>
          <w:szCs w:val="24"/>
        </w:rPr>
        <w:t>. 38 (1), 21–41. [online]. Available from: http://www.pubmedcentral.nih.gov/articlerender.fcgi?artid=4111782&amp;tool=pmcentrez&amp;rendertype=abstract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Lobstein, T. et al. (2015) Child and adolescent obesity: part of a bigger picture. </w:t>
      </w:r>
      <w:r w:rsidRPr="003F4710">
        <w:rPr>
          <w:rFonts w:ascii="Calibri" w:hAnsi="Calibri" w:cs="Calibri"/>
          <w:i/>
          <w:iCs/>
          <w:noProof/>
          <w:sz w:val="20"/>
          <w:szCs w:val="24"/>
        </w:rPr>
        <w:t>The Lancet</w:t>
      </w:r>
      <w:r w:rsidRPr="003F4710">
        <w:rPr>
          <w:rFonts w:ascii="Calibri" w:hAnsi="Calibri" w:cs="Calibri"/>
          <w:noProof/>
          <w:sz w:val="20"/>
          <w:szCs w:val="24"/>
        </w:rPr>
        <w:t xml:space="preserve">. 385 (9986), 2510–2520. [online]. Available from: http://www.sciencedirect.com/science/article/pii/S0140673614617463 </w:t>
      </w:r>
      <w:r w:rsidRPr="003F4710">
        <w:rPr>
          <w:rFonts w:ascii="Calibri" w:hAnsi="Calibri" w:cs="Calibri"/>
          <w:noProof/>
          <w:sz w:val="20"/>
          <w:szCs w:val="24"/>
        </w:rPr>
        <w:lastRenderedPageBreak/>
        <w:t>(Accessed 29 March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Lobstein, T. et al. (2004) Obesity in children and young people: a crisis in public health. </w:t>
      </w:r>
      <w:r w:rsidRPr="003F4710">
        <w:rPr>
          <w:rFonts w:ascii="Calibri" w:hAnsi="Calibri" w:cs="Calibri"/>
          <w:i/>
          <w:iCs/>
          <w:noProof/>
          <w:sz w:val="20"/>
          <w:szCs w:val="24"/>
        </w:rPr>
        <w:t>Obesity reviews</w:t>
      </w:r>
      <w:r w:rsidRPr="003F4710">
        <w:rPr>
          <w:rFonts w:ascii="Calibri" w:hAnsi="Calibri" w:cs="Calibri"/>
          <w:noProof/>
          <w:sz w:val="20"/>
          <w:szCs w:val="24"/>
        </w:rPr>
        <w:t>. 5 (Supp 1), 4–85. [online]. Available from: http://onlinelibrary.wiley.com/doi/10.1111/j.1467-789X.2004.00133.x/pdf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Lobstein, T. &amp; Baur, L. (2005) Policies to prevent childhood obesity in the European Union. </w:t>
      </w:r>
      <w:r w:rsidRPr="003F4710">
        <w:rPr>
          <w:rFonts w:ascii="Calibri" w:hAnsi="Calibri" w:cs="Calibri"/>
          <w:i/>
          <w:iCs/>
          <w:noProof/>
          <w:sz w:val="20"/>
          <w:szCs w:val="24"/>
        </w:rPr>
        <w:t>The European Journal of Public Health</w:t>
      </w:r>
      <w:r w:rsidRPr="003F4710">
        <w:rPr>
          <w:rFonts w:ascii="Calibri" w:hAnsi="Calibri" w:cs="Calibri"/>
          <w:noProof/>
          <w:sz w:val="20"/>
          <w:szCs w:val="24"/>
        </w:rPr>
        <w:t>. 15 (6), 576–579. [online]. Available from: http://eurpub.oxfordjournals.org/content/15/6/576.short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Lobstein, T. &amp; Dibb, S. (2005) Evidence of a possible link between obesogenic food advertising and child overweight. </w:t>
      </w:r>
      <w:r w:rsidRPr="003F4710">
        <w:rPr>
          <w:rFonts w:ascii="Calibri" w:hAnsi="Calibri" w:cs="Calibri"/>
          <w:i/>
          <w:iCs/>
          <w:noProof/>
          <w:sz w:val="20"/>
          <w:szCs w:val="24"/>
        </w:rPr>
        <w:t>Obesity Reviews</w:t>
      </w:r>
      <w:r w:rsidRPr="003F4710">
        <w:rPr>
          <w:rFonts w:ascii="Calibri" w:hAnsi="Calibri" w:cs="Calibri"/>
          <w:noProof/>
          <w:sz w:val="20"/>
          <w:szCs w:val="24"/>
        </w:rPr>
        <w:t>. 6 (3), 203–208. [online]. Available from: http://doi.wiley.com/10.1111/j.1467-789X.2005.00191.x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Lobstein, T. &amp; McPherson, K. (2016) Nothing new in UK’s strategy on childhood obesity. </w:t>
      </w:r>
      <w:r w:rsidRPr="003F4710">
        <w:rPr>
          <w:rFonts w:ascii="Calibri" w:hAnsi="Calibri" w:cs="Calibri"/>
          <w:i/>
          <w:iCs/>
          <w:noProof/>
          <w:sz w:val="20"/>
          <w:szCs w:val="24"/>
        </w:rPr>
        <w:t>The Lancet</w:t>
      </w:r>
      <w:r w:rsidRPr="003F4710">
        <w:rPr>
          <w:rFonts w:ascii="Calibri" w:hAnsi="Calibri" w:cs="Calibri"/>
          <w:noProof/>
          <w:sz w:val="20"/>
          <w:szCs w:val="24"/>
        </w:rPr>
        <w:t>. 388 (10047), 853–854. [online]. Available from: http://www.ncbi.nlm.nih.gov/pubmed/27597454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Logue, J. &amp; Sattar, N. (2011) Childhood Obesity: A Ticking Time Bomb for Cardiovascular Disease? </w:t>
      </w:r>
      <w:r w:rsidRPr="003F4710">
        <w:rPr>
          <w:rFonts w:ascii="Calibri" w:hAnsi="Calibri" w:cs="Calibri"/>
          <w:i/>
          <w:iCs/>
          <w:noProof/>
          <w:sz w:val="20"/>
          <w:szCs w:val="24"/>
        </w:rPr>
        <w:t>Clinical Pharmacology &amp; Therapeutics</w:t>
      </w:r>
      <w:r w:rsidRPr="003F4710">
        <w:rPr>
          <w:rFonts w:ascii="Calibri" w:hAnsi="Calibri" w:cs="Calibri"/>
          <w:noProof/>
          <w:sz w:val="20"/>
          <w:szCs w:val="24"/>
        </w:rPr>
        <w:t>. 90 (1), 174–178. [online]. Available from: http://doi.wiley.com/10.1038/clpt.2011.88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Lowden, K. &amp; Scottish Council for Research in Education. (2001) </w:t>
      </w:r>
      <w:r w:rsidRPr="003F4710">
        <w:rPr>
          <w:rFonts w:ascii="Calibri" w:hAnsi="Calibri" w:cs="Calibri"/>
          <w:i/>
          <w:iCs/>
          <w:noProof/>
          <w:sz w:val="20"/>
          <w:szCs w:val="24"/>
        </w:rPr>
        <w:t>The Class Moves! pilot in Scotland and Wales : an evaluation</w:t>
      </w:r>
      <w:r w:rsidRPr="003F4710">
        <w:rPr>
          <w:rFonts w:ascii="Calibri" w:hAnsi="Calibri" w:cs="Calibri"/>
          <w:noProof/>
          <w:sz w:val="20"/>
          <w:szCs w:val="24"/>
        </w:rPr>
        <w:t>. Scottish Council for Research in Education. [online]. Available from: https://eric.ed.gov/?id=ED450114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Lundahl, A. et al. (2014) Parental Underestimates of Child Weight: A Meta-analysis. </w:t>
      </w:r>
      <w:r w:rsidRPr="003F4710">
        <w:rPr>
          <w:rFonts w:ascii="Calibri" w:hAnsi="Calibri" w:cs="Calibri"/>
          <w:i/>
          <w:iCs/>
          <w:noProof/>
          <w:sz w:val="20"/>
          <w:szCs w:val="24"/>
        </w:rPr>
        <w:t>Pediatrics</w:t>
      </w:r>
      <w:r w:rsidRPr="003F4710">
        <w:rPr>
          <w:rFonts w:ascii="Calibri" w:hAnsi="Calibri" w:cs="Calibri"/>
          <w:noProof/>
          <w:sz w:val="20"/>
          <w:szCs w:val="24"/>
        </w:rPr>
        <w:t>. 133 (3), . [online]. Available from: http://pediatrics.aappublications.org/content/early/2014/01/28/peds.2013-2690 (Accessed 11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Lusk, J. L. &amp; Ellison, B. (2013) Who is to blame for the rise in obesity? </w:t>
      </w:r>
      <w:r w:rsidRPr="003F4710">
        <w:rPr>
          <w:rFonts w:ascii="Calibri" w:hAnsi="Calibri" w:cs="Calibri"/>
          <w:i/>
          <w:iCs/>
          <w:noProof/>
          <w:sz w:val="20"/>
          <w:szCs w:val="24"/>
        </w:rPr>
        <w:t>Appetite</w:t>
      </w:r>
      <w:r w:rsidRPr="003F4710">
        <w:rPr>
          <w:rFonts w:ascii="Calibri" w:hAnsi="Calibri" w:cs="Calibri"/>
          <w:noProof/>
          <w:sz w:val="20"/>
          <w:szCs w:val="24"/>
        </w:rPr>
        <w:t>. 68(14-20). [online]. Available from: http://www.ncbi.nlm.nih.gov/pubmed/23578943 (Accessed 15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Lytle, L. A. (2009) Examining the Etiology of Childhood Obesity: The IDEA Study. </w:t>
      </w:r>
      <w:r w:rsidRPr="003F4710">
        <w:rPr>
          <w:rFonts w:ascii="Calibri" w:hAnsi="Calibri" w:cs="Calibri"/>
          <w:i/>
          <w:iCs/>
          <w:noProof/>
          <w:sz w:val="20"/>
          <w:szCs w:val="24"/>
        </w:rPr>
        <w:t>American Journal of Community Psychology</w:t>
      </w:r>
      <w:r w:rsidRPr="003F4710">
        <w:rPr>
          <w:rFonts w:ascii="Calibri" w:hAnsi="Calibri" w:cs="Calibri"/>
          <w:noProof/>
          <w:sz w:val="20"/>
          <w:szCs w:val="24"/>
        </w:rPr>
        <w:t>. 44 (3–4), 338–349. [online]. Available from: http://doi.wiley.com/10.1007/s10464-009-9269-1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Machin, S. &amp; Silva, O. (2013) </w:t>
      </w:r>
      <w:r w:rsidRPr="003F4710">
        <w:rPr>
          <w:rFonts w:ascii="Calibri" w:hAnsi="Calibri" w:cs="Calibri"/>
          <w:i/>
          <w:iCs/>
          <w:noProof/>
          <w:sz w:val="20"/>
          <w:szCs w:val="24"/>
        </w:rPr>
        <w:t>School structure, school autonomy and the tail</w:t>
      </w:r>
      <w:r w:rsidRPr="003F4710">
        <w:rPr>
          <w:rFonts w:ascii="Calibri" w:hAnsi="Calibri" w:cs="Calibri"/>
          <w:noProof/>
          <w:sz w:val="20"/>
          <w:szCs w:val="24"/>
        </w:rPr>
        <w:t>. [online]. Available from: http://eprints.lse.ac.uk/58002/ (Accessed 17 October 2015). Special pa. [online]. Available from: http://eprints.lse.ac.uk/58002/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Mackenzie, N. &amp; Knipe, S. (2006) Research dilemmas: Paradigms, methods and methodology. </w:t>
      </w:r>
      <w:r w:rsidRPr="003F4710">
        <w:rPr>
          <w:rFonts w:ascii="Calibri" w:hAnsi="Calibri" w:cs="Calibri"/>
          <w:i/>
          <w:iCs/>
          <w:noProof/>
          <w:sz w:val="20"/>
          <w:szCs w:val="24"/>
        </w:rPr>
        <w:t>Issues in Educational Research</w:t>
      </w:r>
      <w:r w:rsidRPr="003F4710">
        <w:rPr>
          <w:rFonts w:ascii="Calibri" w:hAnsi="Calibri" w:cs="Calibri"/>
          <w:noProof/>
          <w:sz w:val="20"/>
          <w:szCs w:val="24"/>
        </w:rPr>
        <w:t>. 16 (2), p193-205.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MacLean, L. et al. (2008) Obesity, stigma and public health planning. </w:t>
      </w:r>
      <w:r w:rsidRPr="003F4710">
        <w:rPr>
          <w:rFonts w:ascii="Calibri" w:hAnsi="Calibri" w:cs="Calibri"/>
          <w:i/>
          <w:iCs/>
          <w:noProof/>
          <w:sz w:val="20"/>
          <w:szCs w:val="24"/>
        </w:rPr>
        <w:t>Health Promotion International</w:t>
      </w:r>
      <w:r w:rsidRPr="003F4710">
        <w:rPr>
          <w:rFonts w:ascii="Calibri" w:hAnsi="Calibri" w:cs="Calibri"/>
          <w:noProof/>
          <w:sz w:val="20"/>
          <w:szCs w:val="24"/>
        </w:rPr>
        <w:t>. 24 (1), 88–93. [online]. Available from: https://academic.oup.com/heapro/article-lookup/doi/10.1093/heapro/dan041 (Accessed 23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Maes, H. H. et al. (1997) Genetic and environmental factors in relative body weight and human adiposity. </w:t>
      </w:r>
      <w:r w:rsidRPr="003F4710">
        <w:rPr>
          <w:rFonts w:ascii="Calibri" w:hAnsi="Calibri" w:cs="Calibri"/>
          <w:i/>
          <w:iCs/>
          <w:noProof/>
          <w:sz w:val="20"/>
          <w:szCs w:val="24"/>
        </w:rPr>
        <w:t>Behavior genetics</w:t>
      </w:r>
      <w:r w:rsidRPr="003F4710">
        <w:rPr>
          <w:rFonts w:ascii="Calibri" w:hAnsi="Calibri" w:cs="Calibri"/>
          <w:noProof/>
          <w:sz w:val="20"/>
          <w:szCs w:val="24"/>
        </w:rPr>
        <w:t>. 27 (4), 325–351. [online]. Available from: http://www.ncbi.nlm.nih.gov/pubmed/9519560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Maffeis, C. (2000) Aetiology of overweight and obesity in children and adolescents. </w:t>
      </w:r>
      <w:r w:rsidRPr="003F4710">
        <w:rPr>
          <w:rFonts w:ascii="Calibri" w:hAnsi="Calibri" w:cs="Calibri"/>
          <w:i/>
          <w:iCs/>
          <w:noProof/>
          <w:sz w:val="20"/>
          <w:szCs w:val="24"/>
        </w:rPr>
        <w:t>European journal of pediatrics</w:t>
      </w:r>
      <w:r w:rsidRPr="003F4710">
        <w:rPr>
          <w:rFonts w:ascii="Calibri" w:hAnsi="Calibri" w:cs="Calibri"/>
          <w:noProof/>
          <w:sz w:val="20"/>
          <w:szCs w:val="24"/>
        </w:rPr>
        <w:t>. 159 (Suppl 1), S35-44. [online]. Available from: http://link.springer.com/article/10.1007/PL00014361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Mak, L. &amp; Marshall, S. K. (2004) Perceived Mattering in Young Adults? Romantic Relationships. </w:t>
      </w:r>
      <w:r w:rsidRPr="003F4710">
        <w:rPr>
          <w:rFonts w:ascii="Calibri" w:hAnsi="Calibri" w:cs="Calibri"/>
          <w:i/>
          <w:iCs/>
          <w:noProof/>
          <w:sz w:val="20"/>
          <w:szCs w:val="24"/>
        </w:rPr>
        <w:t>Journal of Social and Personal Relationships</w:t>
      </w:r>
      <w:r w:rsidRPr="003F4710">
        <w:rPr>
          <w:rFonts w:ascii="Calibri" w:hAnsi="Calibri" w:cs="Calibri"/>
          <w:noProof/>
          <w:sz w:val="20"/>
          <w:szCs w:val="24"/>
        </w:rPr>
        <w:t>. 21 (4), 469–486. [online]. Available from: http://journals.sagepub.com/doi/10.1177/0265407504044842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Malik, V. S. et al. (2006) Intake of sugar-sweetened beverages and weight gain: a systematic review. </w:t>
      </w:r>
      <w:r w:rsidRPr="003F4710">
        <w:rPr>
          <w:rFonts w:ascii="Calibri" w:hAnsi="Calibri" w:cs="Calibri"/>
          <w:i/>
          <w:iCs/>
          <w:noProof/>
          <w:sz w:val="20"/>
          <w:szCs w:val="24"/>
        </w:rPr>
        <w:t>The American journal of clinical nutrition</w:t>
      </w:r>
      <w:r w:rsidRPr="003F4710">
        <w:rPr>
          <w:rFonts w:ascii="Calibri" w:hAnsi="Calibri" w:cs="Calibri"/>
          <w:noProof/>
          <w:sz w:val="20"/>
          <w:szCs w:val="24"/>
        </w:rPr>
        <w:t>. 84 (2), 274–288. [online]. Available from: http://www.ncbi.nlm.nih.gov/pubmed/16895873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Malterud, K. (2001) Qualitative research: standards, challenges, and guidelines. </w:t>
      </w:r>
      <w:r w:rsidRPr="003F4710">
        <w:rPr>
          <w:rFonts w:ascii="Calibri" w:hAnsi="Calibri" w:cs="Calibri"/>
          <w:i/>
          <w:iCs/>
          <w:noProof/>
          <w:sz w:val="20"/>
          <w:szCs w:val="24"/>
        </w:rPr>
        <w:t>The Lancet</w:t>
      </w:r>
      <w:r w:rsidRPr="003F4710">
        <w:rPr>
          <w:rFonts w:ascii="Calibri" w:hAnsi="Calibri" w:cs="Calibri"/>
          <w:noProof/>
          <w:sz w:val="20"/>
          <w:szCs w:val="24"/>
        </w:rPr>
        <w:t>. 358 (9280), 483–488. [online]. Available from: http://www.ncbi.nlm.nih.gov/pubmed/11513933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Mantziki, K. et al. (2016) Inequalities in energy-balance related behaviours and family environmental determinants in European children: changes and sustainability within the EPHE evaluation study. </w:t>
      </w:r>
      <w:r w:rsidRPr="003F4710">
        <w:rPr>
          <w:rFonts w:ascii="Calibri" w:hAnsi="Calibri" w:cs="Calibri"/>
          <w:i/>
          <w:iCs/>
          <w:noProof/>
          <w:sz w:val="20"/>
          <w:szCs w:val="24"/>
        </w:rPr>
        <w:t>International journal for equity in health</w:t>
      </w:r>
      <w:r w:rsidRPr="003F4710">
        <w:rPr>
          <w:rFonts w:ascii="Calibri" w:hAnsi="Calibri" w:cs="Calibri"/>
          <w:noProof/>
          <w:sz w:val="20"/>
          <w:szCs w:val="24"/>
        </w:rPr>
        <w:t>. 15 (1), 160. [online]. Available from: http://www.ncbi.nlm.nih.gov/pubmed/27680964 (Accessed 2 August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Marks, R., Rowling, L., et al. (2011) Filling the black box of implementation for health-promoting schools. </w:t>
      </w:r>
      <w:r w:rsidRPr="003F4710">
        <w:rPr>
          <w:rFonts w:ascii="Calibri" w:hAnsi="Calibri" w:cs="Calibri"/>
          <w:i/>
          <w:iCs/>
          <w:noProof/>
          <w:sz w:val="20"/>
          <w:szCs w:val="24"/>
        </w:rPr>
        <w:t>Health Education</w:t>
      </w:r>
      <w:r w:rsidRPr="003F4710">
        <w:rPr>
          <w:rFonts w:ascii="Calibri" w:hAnsi="Calibri" w:cs="Calibri"/>
          <w:noProof/>
          <w:sz w:val="20"/>
          <w:szCs w:val="24"/>
        </w:rPr>
        <w:t>. 111 (5), 347–362. [online]. Available from: http://www.emeraldinsight.com/doi/pdf/10.1108/09654281111161202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Marks, R., Samdal, O., et al. (2011) Theoretical and empirical base for implementation components of health-</w:t>
      </w:r>
      <w:r w:rsidRPr="003F4710">
        <w:rPr>
          <w:rFonts w:ascii="Calibri" w:hAnsi="Calibri" w:cs="Calibri"/>
          <w:noProof/>
          <w:sz w:val="20"/>
          <w:szCs w:val="24"/>
        </w:rPr>
        <w:lastRenderedPageBreak/>
        <w:t xml:space="preserve">promoting schools. </w:t>
      </w:r>
      <w:r w:rsidRPr="003F4710">
        <w:rPr>
          <w:rFonts w:ascii="Calibri" w:hAnsi="Calibri" w:cs="Calibri"/>
          <w:i/>
          <w:iCs/>
          <w:noProof/>
          <w:sz w:val="20"/>
          <w:szCs w:val="24"/>
        </w:rPr>
        <w:t>Health Education</w:t>
      </w:r>
      <w:r w:rsidRPr="003F4710">
        <w:rPr>
          <w:rFonts w:ascii="Calibri" w:hAnsi="Calibri" w:cs="Calibri"/>
          <w:noProof/>
          <w:sz w:val="20"/>
          <w:szCs w:val="24"/>
        </w:rPr>
        <w:t>. 111 (5), 367–390. [online]. Available from: http://www.emeraldinsight.com/doi/abs/10.1108/09654281111161211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Marmot, M. (2010) </w:t>
      </w:r>
      <w:r w:rsidRPr="003F4710">
        <w:rPr>
          <w:rFonts w:ascii="Calibri" w:hAnsi="Calibri" w:cs="Calibri"/>
          <w:i/>
          <w:iCs/>
          <w:noProof/>
          <w:sz w:val="20"/>
          <w:szCs w:val="24"/>
        </w:rPr>
        <w:t>Fair society, healthy lives</w:t>
      </w:r>
      <w:r w:rsidRPr="003F4710">
        <w:rPr>
          <w:rFonts w:ascii="Calibri" w:hAnsi="Calibri" w:cs="Calibri"/>
          <w:noProof/>
          <w:sz w:val="20"/>
          <w:szCs w:val="24"/>
        </w:rPr>
        <w:t>. [online]. Available from: http://www.instituteofhealthequity.org/resources-reports/fair-society-healthy-lives-the-marmot-review (Accessed 16 October 2015). [online]. Available from: http://www.instituteofhealthequity.org/resources-reports/fair-society-healthy-lives-the-marmot-review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Marshall, M. (1996) Sampling for qualitative research. </w:t>
      </w:r>
      <w:r w:rsidRPr="003F4710">
        <w:rPr>
          <w:rFonts w:ascii="Calibri" w:hAnsi="Calibri" w:cs="Calibri"/>
          <w:i/>
          <w:iCs/>
          <w:noProof/>
          <w:sz w:val="20"/>
          <w:szCs w:val="24"/>
        </w:rPr>
        <w:t>Family practice</w:t>
      </w:r>
      <w:r w:rsidRPr="003F4710">
        <w:rPr>
          <w:rFonts w:ascii="Calibri" w:hAnsi="Calibri" w:cs="Calibri"/>
          <w:noProof/>
          <w:sz w:val="20"/>
          <w:szCs w:val="24"/>
        </w:rPr>
        <w:t>. 13 (6), 522–525. [online]. Available from: http://fampra.oxfordjournals.org/content/13/6/522.short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Mason, M. (2010) Sample Size and Saturation in PhD Studies Using Qualitative Interviews. </w:t>
      </w:r>
      <w:r w:rsidRPr="003F4710">
        <w:rPr>
          <w:rFonts w:ascii="Calibri" w:hAnsi="Calibri" w:cs="Calibri"/>
          <w:i/>
          <w:iCs/>
          <w:noProof/>
          <w:sz w:val="20"/>
          <w:szCs w:val="24"/>
        </w:rPr>
        <w:t>Forum qualitative Sozialforschung/Forum: qualitative social research</w:t>
      </w:r>
      <w:r w:rsidRPr="003F4710">
        <w:rPr>
          <w:rFonts w:ascii="Calibri" w:hAnsi="Calibri" w:cs="Calibri"/>
          <w:noProof/>
          <w:sz w:val="20"/>
          <w:szCs w:val="24"/>
        </w:rPr>
        <w:t>. 11 (3), . [online]. Available from: http://www.qualitative-research.net/index.php/fqs/article/view/1428/3027.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Maxwell, J. . &amp; Loomis, D. (2003) 'Mixed methods design: An alternative approach', in </w:t>
      </w:r>
      <w:r w:rsidRPr="003F4710">
        <w:rPr>
          <w:rFonts w:ascii="Calibri" w:hAnsi="Calibri" w:cs="Calibri"/>
          <w:i/>
          <w:iCs/>
          <w:noProof/>
          <w:sz w:val="20"/>
          <w:szCs w:val="24"/>
        </w:rPr>
        <w:t>Handbook of mixed methods in social &amp; behavioral research</w:t>
      </w:r>
      <w:r w:rsidRPr="003F4710">
        <w:rPr>
          <w:rFonts w:ascii="Calibri" w:hAnsi="Calibri" w:cs="Calibri"/>
          <w:noProof/>
          <w:sz w:val="20"/>
          <w:szCs w:val="24"/>
        </w:rPr>
        <w:t>. pp. 241–271.</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Maxwell, K. (2002) Friends: The role of peer influence across adolescent risk behaviors. </w:t>
      </w:r>
      <w:r w:rsidRPr="003F4710">
        <w:rPr>
          <w:rFonts w:ascii="Calibri" w:hAnsi="Calibri" w:cs="Calibri"/>
          <w:i/>
          <w:iCs/>
          <w:noProof/>
          <w:sz w:val="20"/>
          <w:szCs w:val="24"/>
        </w:rPr>
        <w:t>Journal of Youth and adolescence</w:t>
      </w:r>
      <w:r w:rsidRPr="003F4710">
        <w:rPr>
          <w:rFonts w:ascii="Calibri" w:hAnsi="Calibri" w:cs="Calibri"/>
          <w:noProof/>
          <w:sz w:val="20"/>
          <w:szCs w:val="24"/>
        </w:rPr>
        <w:t>. 31 (4), 267–277. [online]. Available from: http://link.springer.com/article/10.1023/A:1015493316865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Maxwell, S. &amp; Delaney, H. (2004) </w:t>
      </w:r>
      <w:r w:rsidRPr="003F4710">
        <w:rPr>
          <w:rFonts w:ascii="Calibri" w:hAnsi="Calibri" w:cs="Calibri"/>
          <w:i/>
          <w:iCs/>
          <w:noProof/>
          <w:sz w:val="20"/>
          <w:szCs w:val="24"/>
        </w:rPr>
        <w:t>Designing experiments and analyzing data: A model comparison perspective</w:t>
      </w:r>
      <w:r w:rsidRPr="003F4710">
        <w:rPr>
          <w:rFonts w:ascii="Calibri" w:hAnsi="Calibri" w:cs="Calibri"/>
          <w:noProof/>
          <w:sz w:val="20"/>
          <w:szCs w:val="24"/>
        </w:rPr>
        <w:t>. New York: Psychology Press.</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May, T. (2011) </w:t>
      </w:r>
      <w:r w:rsidRPr="003F4710">
        <w:rPr>
          <w:rFonts w:ascii="Calibri" w:hAnsi="Calibri" w:cs="Calibri"/>
          <w:i/>
          <w:iCs/>
          <w:noProof/>
          <w:sz w:val="20"/>
          <w:szCs w:val="24"/>
        </w:rPr>
        <w:t>Social research : issues, methods and process</w:t>
      </w:r>
      <w:r w:rsidRPr="003F4710">
        <w:rPr>
          <w:rFonts w:ascii="Calibri" w:hAnsi="Calibri" w:cs="Calibri"/>
          <w:noProof/>
          <w:sz w:val="20"/>
          <w:szCs w:val="24"/>
        </w:rPr>
        <w:t>. Maidenhead: McGraw Hill, Open University Press.</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Mayor, S. (2011) Specialists condemn government’s obesity plan as too simplistic. </w:t>
      </w:r>
      <w:r w:rsidRPr="003F4710">
        <w:rPr>
          <w:rFonts w:ascii="Calibri" w:hAnsi="Calibri" w:cs="Calibri"/>
          <w:i/>
          <w:iCs/>
          <w:noProof/>
          <w:sz w:val="20"/>
          <w:szCs w:val="24"/>
        </w:rPr>
        <w:t>BMJ</w:t>
      </w:r>
      <w:r w:rsidRPr="003F4710">
        <w:rPr>
          <w:rFonts w:ascii="Calibri" w:hAnsi="Calibri" w:cs="Calibri"/>
          <w:noProof/>
          <w:sz w:val="20"/>
          <w:szCs w:val="24"/>
        </w:rPr>
        <w:t>. 343 (:d6688), . [online]. Available from: http://www.bmj.com/content/343/bmj.d6688.full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Mays, N. &amp; Pope, C. (1995) Qualitative Research: Rigour and qualitative research. </w:t>
      </w:r>
      <w:r w:rsidRPr="003F4710">
        <w:rPr>
          <w:rFonts w:ascii="Calibri" w:hAnsi="Calibri" w:cs="Calibri"/>
          <w:i/>
          <w:iCs/>
          <w:noProof/>
          <w:sz w:val="20"/>
          <w:szCs w:val="24"/>
        </w:rPr>
        <w:t>BMJ</w:t>
      </w:r>
      <w:r w:rsidRPr="003F4710">
        <w:rPr>
          <w:rFonts w:ascii="Calibri" w:hAnsi="Calibri" w:cs="Calibri"/>
          <w:noProof/>
          <w:sz w:val="20"/>
          <w:szCs w:val="24"/>
        </w:rPr>
        <w:t>. 311 (6997), . [online]. Available from: http://www.bmj.com/content/311/6997/109 (Accessed 28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Mays, N. &amp; Pope, C. (2000) Qualitative research in health care. Assessing quality in qualitative research. </w:t>
      </w:r>
      <w:r w:rsidRPr="003F4710">
        <w:rPr>
          <w:rFonts w:ascii="Calibri" w:hAnsi="Calibri" w:cs="Calibri"/>
          <w:i/>
          <w:iCs/>
          <w:noProof/>
          <w:sz w:val="20"/>
          <w:szCs w:val="24"/>
        </w:rPr>
        <w:t>BMJ (Clinical research ed.)</w:t>
      </w:r>
      <w:r w:rsidRPr="003F4710">
        <w:rPr>
          <w:rFonts w:ascii="Calibri" w:hAnsi="Calibri" w:cs="Calibri"/>
          <w:noProof/>
          <w:sz w:val="20"/>
          <w:szCs w:val="24"/>
        </w:rPr>
        <w:t>. 320 (7226), 50–52. [online]. Available from: http://www.ncbi.nlm.nih.gov/pubmed/10617534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McCarthy, H. et al. (2003) Central overweight and obesity in British youth aged 11–16 years: cross sectional surveys of waist circumference. </w:t>
      </w:r>
      <w:r w:rsidRPr="003F4710">
        <w:rPr>
          <w:rFonts w:ascii="Calibri" w:hAnsi="Calibri" w:cs="Calibri"/>
          <w:i/>
          <w:iCs/>
          <w:noProof/>
          <w:sz w:val="20"/>
          <w:szCs w:val="24"/>
        </w:rPr>
        <w:t>Bmj</w:t>
      </w:r>
      <w:r w:rsidRPr="003F4710">
        <w:rPr>
          <w:rFonts w:ascii="Calibri" w:hAnsi="Calibri" w:cs="Calibri"/>
          <w:noProof/>
          <w:sz w:val="20"/>
          <w:szCs w:val="24"/>
        </w:rPr>
        <w:t>. 326 ((624)), . [online]. Available from: http://www.bmj.com/content/326/7390/624?variant=long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McCracken, G. (1988) </w:t>
      </w:r>
      <w:r w:rsidRPr="003F4710">
        <w:rPr>
          <w:rFonts w:ascii="Calibri" w:hAnsi="Calibri" w:cs="Calibri"/>
          <w:i/>
          <w:iCs/>
          <w:noProof/>
          <w:sz w:val="20"/>
          <w:szCs w:val="24"/>
        </w:rPr>
        <w:t>The Long Interview</w:t>
      </w:r>
      <w:r w:rsidRPr="003F4710">
        <w:rPr>
          <w:rFonts w:ascii="Calibri" w:hAnsi="Calibri" w:cs="Calibri"/>
          <w:noProof/>
          <w:sz w:val="20"/>
          <w:szCs w:val="24"/>
        </w:rPr>
        <w:t>. Thousand Oaks: SAGE Publications.</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McLeroy, K. R. et al. (1988) An Ecological Perspective on Health Promotion Programs. </w:t>
      </w:r>
      <w:r w:rsidRPr="003F4710">
        <w:rPr>
          <w:rFonts w:ascii="Calibri" w:hAnsi="Calibri" w:cs="Calibri"/>
          <w:i/>
          <w:iCs/>
          <w:noProof/>
          <w:sz w:val="20"/>
          <w:szCs w:val="24"/>
        </w:rPr>
        <w:t>Health Education &amp; Behavior</w:t>
      </w:r>
      <w:r w:rsidRPr="003F4710">
        <w:rPr>
          <w:rFonts w:ascii="Calibri" w:hAnsi="Calibri" w:cs="Calibri"/>
          <w:noProof/>
          <w:sz w:val="20"/>
          <w:szCs w:val="24"/>
        </w:rPr>
        <w:t>. 15 (4), 351–377. [online]. Available from: http://heb.sagepub.com/cgi/doi/10.1177/109019818801500401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McLeroy, K. R. et al. (1988) Ecological Perspective on Promotion Programs. </w:t>
      </w:r>
      <w:r w:rsidRPr="003F4710">
        <w:rPr>
          <w:rFonts w:ascii="Calibri" w:hAnsi="Calibri" w:cs="Calibri"/>
          <w:i/>
          <w:iCs/>
          <w:noProof/>
          <w:sz w:val="20"/>
          <w:szCs w:val="24"/>
        </w:rPr>
        <w:t>Health Education Quarterly</w:t>
      </w:r>
      <w:r w:rsidRPr="003F4710">
        <w:rPr>
          <w:rFonts w:ascii="Calibri" w:hAnsi="Calibri" w:cs="Calibri"/>
          <w:noProof/>
          <w:sz w:val="20"/>
          <w:szCs w:val="24"/>
        </w:rPr>
        <w:t>. 15 (4), 351–377.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Merikangas, K. R. et al. (2010) Lifetime Prevalence of Mental Disorders in U.S. Adolescents: Results from the National Comorbidity Survey Replication–Adolescent Supplement (NCS-A). </w:t>
      </w:r>
      <w:r w:rsidRPr="003F4710">
        <w:rPr>
          <w:rFonts w:ascii="Calibri" w:hAnsi="Calibri" w:cs="Calibri"/>
          <w:i/>
          <w:iCs/>
          <w:noProof/>
          <w:sz w:val="20"/>
          <w:szCs w:val="24"/>
        </w:rPr>
        <w:t>Journal of the American Academy of Child &amp; Adolescent Psychiatry</w:t>
      </w:r>
      <w:r w:rsidRPr="003F4710">
        <w:rPr>
          <w:rFonts w:ascii="Calibri" w:hAnsi="Calibri" w:cs="Calibri"/>
          <w:noProof/>
          <w:sz w:val="20"/>
          <w:szCs w:val="24"/>
        </w:rPr>
        <w:t>. 49 (10), 980–989. [online]. Available from: http://www.ncbi.nlm.nih.gov/pubmed/20855043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Merriam, S. B. &amp; Merriam, S. B. (1998) </w:t>
      </w:r>
      <w:r w:rsidRPr="003F4710">
        <w:rPr>
          <w:rFonts w:ascii="Calibri" w:hAnsi="Calibri" w:cs="Calibri"/>
          <w:i/>
          <w:iCs/>
          <w:noProof/>
          <w:sz w:val="20"/>
          <w:szCs w:val="24"/>
        </w:rPr>
        <w:t>Qualitative research and case study applications in education</w:t>
      </w:r>
      <w:r w:rsidRPr="003F4710">
        <w:rPr>
          <w:rFonts w:ascii="Calibri" w:hAnsi="Calibri" w:cs="Calibri"/>
          <w:noProof/>
          <w:sz w:val="20"/>
          <w:szCs w:val="24"/>
        </w:rPr>
        <w:t>. 2nd edition. San Francisco: John Wiley &amp; Sons, Inc. [online]. Available from: https://eric.ed.gov/?id=ED415771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Mertens, D. M. (2010) Transformative Mixed Methods Research. </w:t>
      </w:r>
      <w:r w:rsidRPr="003F4710">
        <w:rPr>
          <w:rFonts w:ascii="Calibri" w:hAnsi="Calibri" w:cs="Calibri"/>
          <w:i/>
          <w:iCs/>
          <w:noProof/>
          <w:sz w:val="20"/>
          <w:szCs w:val="24"/>
        </w:rPr>
        <w:t>Qualitative Inquiry</w:t>
      </w:r>
      <w:r w:rsidRPr="003F4710">
        <w:rPr>
          <w:rFonts w:ascii="Calibri" w:hAnsi="Calibri" w:cs="Calibri"/>
          <w:noProof/>
          <w:sz w:val="20"/>
          <w:szCs w:val="24"/>
        </w:rPr>
        <w:t>. 16 (6), 469–474. [online]. Available from: http://journals.sagepub.com/doi/10.1177/1077800410364612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Merton, R. K. (1975) Thematic Analysis in Science: Notes on Holton’s Concept. </w:t>
      </w:r>
      <w:r w:rsidRPr="003F4710">
        <w:rPr>
          <w:rFonts w:ascii="Calibri" w:hAnsi="Calibri" w:cs="Calibri"/>
          <w:i/>
          <w:iCs/>
          <w:noProof/>
          <w:sz w:val="20"/>
          <w:szCs w:val="24"/>
        </w:rPr>
        <w:t>Science</w:t>
      </w:r>
      <w:r w:rsidRPr="003F4710">
        <w:rPr>
          <w:rFonts w:ascii="Calibri" w:hAnsi="Calibri" w:cs="Calibri"/>
          <w:noProof/>
          <w:sz w:val="20"/>
          <w:szCs w:val="24"/>
        </w:rPr>
        <w:t>. 188 (4186), . [online]. Available from: http://science.sciencemag.org/content/188/4186/335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Mikhailovich, K. &amp; Morrison, P. (2007) Discussing childhood overweight and obesity with parents: a health communication dilemma. </w:t>
      </w:r>
      <w:r w:rsidRPr="003F4710">
        <w:rPr>
          <w:rFonts w:ascii="Calibri" w:hAnsi="Calibri" w:cs="Calibri"/>
          <w:i/>
          <w:iCs/>
          <w:noProof/>
          <w:sz w:val="20"/>
          <w:szCs w:val="24"/>
        </w:rPr>
        <w:t>Journal of Child Health Care</w:t>
      </w:r>
      <w:r w:rsidRPr="003F4710">
        <w:rPr>
          <w:rFonts w:ascii="Calibri" w:hAnsi="Calibri" w:cs="Calibri"/>
          <w:noProof/>
          <w:sz w:val="20"/>
          <w:szCs w:val="24"/>
        </w:rPr>
        <w:t>. 11 (4), 311–322. [online]. Available from: http://journals.sagepub.com/doi/10.1177/1367493507082757 (Accessed 5 February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Miles, M. B. et al. (2014) </w:t>
      </w:r>
      <w:r w:rsidRPr="003F4710">
        <w:rPr>
          <w:rFonts w:ascii="Calibri" w:hAnsi="Calibri" w:cs="Calibri"/>
          <w:i/>
          <w:iCs/>
          <w:noProof/>
          <w:sz w:val="20"/>
          <w:szCs w:val="24"/>
        </w:rPr>
        <w:t>Qualitative data analysis : a methods sourcebook</w:t>
      </w:r>
      <w:r w:rsidRPr="003F4710">
        <w:rPr>
          <w:rFonts w:ascii="Calibri" w:hAnsi="Calibri" w:cs="Calibri"/>
          <w:noProof/>
          <w:sz w:val="20"/>
          <w:szCs w:val="24"/>
        </w:rPr>
        <w:t>. 3rd edition. Thousand Oaks: SAGE Publications Inc.</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Mills, J. (Jane E. &amp; Birks, M. (2014) </w:t>
      </w:r>
      <w:r w:rsidRPr="003F4710">
        <w:rPr>
          <w:rFonts w:ascii="Calibri" w:hAnsi="Calibri" w:cs="Calibri"/>
          <w:i/>
          <w:iCs/>
          <w:noProof/>
          <w:sz w:val="20"/>
          <w:szCs w:val="24"/>
        </w:rPr>
        <w:t>Qualitative methodology : a practical guide</w:t>
      </w:r>
      <w:r w:rsidRPr="003F4710">
        <w:rPr>
          <w:rFonts w:ascii="Calibri" w:hAnsi="Calibri" w:cs="Calibri"/>
          <w:noProof/>
          <w:sz w:val="20"/>
          <w:szCs w:val="24"/>
        </w:rPr>
        <w:t>. London: SAGE Publications Ltd.</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Moffat, T. (2010) The ‘Childhood Obesity Epidemic’: </w:t>
      </w:r>
      <w:r w:rsidRPr="003F4710">
        <w:rPr>
          <w:rFonts w:ascii="Calibri" w:hAnsi="Calibri" w:cs="Calibri"/>
          <w:i/>
          <w:iCs/>
          <w:noProof/>
          <w:sz w:val="20"/>
          <w:szCs w:val="24"/>
        </w:rPr>
        <w:t>Medical Anthropology Quarterly</w:t>
      </w:r>
      <w:r w:rsidRPr="003F4710">
        <w:rPr>
          <w:rFonts w:ascii="Calibri" w:hAnsi="Calibri" w:cs="Calibri"/>
          <w:noProof/>
          <w:sz w:val="20"/>
          <w:szCs w:val="24"/>
        </w:rPr>
        <w:t>. 24 (1), 1–21. [online]. Available from: http://doi.wiley.com/10.1111/j.1548-1387.2010.01082.x (Accessed 11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Mohammadpour-Ahranjani, B. et al. (2014) Contributors to childhood obesity in Iran: the views of parents and school staff. </w:t>
      </w:r>
      <w:r w:rsidRPr="003F4710">
        <w:rPr>
          <w:rFonts w:ascii="Calibri" w:hAnsi="Calibri" w:cs="Calibri"/>
          <w:i/>
          <w:iCs/>
          <w:noProof/>
          <w:sz w:val="20"/>
          <w:szCs w:val="24"/>
        </w:rPr>
        <w:t>Public Health</w:t>
      </w:r>
      <w:r w:rsidRPr="003F4710">
        <w:rPr>
          <w:rFonts w:ascii="Calibri" w:hAnsi="Calibri" w:cs="Calibri"/>
          <w:noProof/>
          <w:sz w:val="20"/>
          <w:szCs w:val="24"/>
        </w:rPr>
        <w:t>. 128 (1), 83–90. [online]. Available from: http://www.ncbi.nlm.nih.gov/pubmed/24332408 (Accessed 5 March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lastRenderedPageBreak/>
        <w:t xml:space="preserve">Moher, D. et al. (2009) Preferred Reporting Items for Systematic Reviews and Meta-Analyses: The PRISMA Statement. </w:t>
      </w:r>
      <w:r w:rsidRPr="003F4710">
        <w:rPr>
          <w:rFonts w:ascii="Calibri" w:hAnsi="Calibri" w:cs="Calibri"/>
          <w:i/>
          <w:iCs/>
          <w:noProof/>
          <w:sz w:val="20"/>
          <w:szCs w:val="24"/>
        </w:rPr>
        <w:t>PLoS Medicine</w:t>
      </w:r>
      <w:r w:rsidRPr="003F4710">
        <w:rPr>
          <w:rFonts w:ascii="Calibri" w:hAnsi="Calibri" w:cs="Calibri"/>
          <w:noProof/>
          <w:sz w:val="20"/>
          <w:szCs w:val="24"/>
        </w:rPr>
        <w:t>. 6 (7), e1000097. [online]. Available from: http://www.ncbi.nlm.nih.gov/pubmed/19621072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Te Morenga, L. et al. (2012) Dietary sugars and body weight: systematic review and meta-analyses of randomised controlled trials and cohort studies. </w:t>
      </w:r>
      <w:r w:rsidRPr="003F4710">
        <w:rPr>
          <w:rFonts w:ascii="Calibri" w:hAnsi="Calibri" w:cs="Calibri"/>
          <w:i/>
          <w:iCs/>
          <w:noProof/>
          <w:sz w:val="20"/>
          <w:szCs w:val="24"/>
        </w:rPr>
        <w:t>BMJ (Clinical research ed.)</w:t>
      </w:r>
      <w:r w:rsidRPr="003F4710">
        <w:rPr>
          <w:rFonts w:ascii="Calibri" w:hAnsi="Calibri" w:cs="Calibri"/>
          <w:noProof/>
          <w:sz w:val="20"/>
          <w:szCs w:val="24"/>
        </w:rPr>
        <w:t>. 346e7492. [online]. Available from: http://www.ncbi.nlm.nih.gov/pubmed/23321486 (Accessed 3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Moreno, L. A. &amp; Rodriguez, G. (2007) Dietary risk factors for development of childhood obesity. </w:t>
      </w:r>
      <w:r w:rsidRPr="003F4710">
        <w:rPr>
          <w:rFonts w:ascii="Calibri" w:hAnsi="Calibri" w:cs="Calibri"/>
          <w:i/>
          <w:iCs/>
          <w:noProof/>
          <w:sz w:val="20"/>
          <w:szCs w:val="24"/>
        </w:rPr>
        <w:t>Current Opinion in Clinical Nutrition and Metabolic Care</w:t>
      </w:r>
      <w:r w:rsidRPr="003F4710">
        <w:rPr>
          <w:rFonts w:ascii="Calibri" w:hAnsi="Calibri" w:cs="Calibri"/>
          <w:noProof/>
          <w:sz w:val="20"/>
          <w:szCs w:val="24"/>
        </w:rPr>
        <w:t>. 10 (3), 336–341. [online]. Available from: http://www.ncbi.nlm.nih.gov/pubmed/17414504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Morgan, D. (2013) </w:t>
      </w:r>
      <w:r w:rsidRPr="003F4710">
        <w:rPr>
          <w:rFonts w:ascii="Calibri" w:hAnsi="Calibri" w:cs="Calibri"/>
          <w:i/>
          <w:iCs/>
          <w:noProof/>
          <w:sz w:val="20"/>
          <w:szCs w:val="24"/>
        </w:rPr>
        <w:t>Integrating qualitative and quantitative methods : a pragmatic approach</w:t>
      </w:r>
      <w:r w:rsidRPr="003F4710">
        <w:rPr>
          <w:rFonts w:ascii="Calibri" w:hAnsi="Calibri" w:cs="Calibri"/>
          <w:noProof/>
          <w:sz w:val="20"/>
          <w:szCs w:val="24"/>
        </w:rPr>
        <w:t>. Thousand Oaks: SAGE Publications Inc.</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Morgan, D. (2007) Paradigms lost and pragmatism regained methodological implications of combining qualitative and quantitative methods. </w:t>
      </w:r>
      <w:r w:rsidRPr="003F4710">
        <w:rPr>
          <w:rFonts w:ascii="Calibri" w:hAnsi="Calibri" w:cs="Calibri"/>
          <w:i/>
          <w:iCs/>
          <w:noProof/>
          <w:sz w:val="20"/>
          <w:szCs w:val="24"/>
        </w:rPr>
        <w:t>Journal of mixed methods research</w:t>
      </w:r>
      <w:r w:rsidRPr="003F4710">
        <w:rPr>
          <w:rFonts w:ascii="Calibri" w:hAnsi="Calibri" w:cs="Calibri"/>
          <w:noProof/>
          <w:sz w:val="20"/>
          <w:szCs w:val="24"/>
        </w:rPr>
        <w:t>. 1 (1), 48–76. [online]. Available from: http://mmr.sagepub.com/content/1/1/48.short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Morgan, D. (1998) Practical strategies for combining qualitative and quantitative methods: Applications to health research. </w:t>
      </w:r>
      <w:r w:rsidRPr="003F4710">
        <w:rPr>
          <w:rFonts w:ascii="Calibri" w:hAnsi="Calibri" w:cs="Calibri"/>
          <w:i/>
          <w:iCs/>
          <w:noProof/>
          <w:sz w:val="20"/>
          <w:szCs w:val="24"/>
        </w:rPr>
        <w:t>Qualitative health research</w:t>
      </w:r>
      <w:r w:rsidRPr="003F4710">
        <w:rPr>
          <w:rFonts w:ascii="Calibri" w:hAnsi="Calibri" w:cs="Calibri"/>
          <w:noProof/>
          <w:sz w:val="20"/>
          <w:szCs w:val="24"/>
        </w:rPr>
        <w:t>. 8 (3), 362–376. [online]. Available from: http://qhr.sagepub.com/content/8/3/362.short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Morgan, D. L. (1997) Focus Groups as Qualitative Research. </w:t>
      </w:r>
      <w:r w:rsidRPr="003F4710">
        <w:rPr>
          <w:rFonts w:ascii="Calibri" w:hAnsi="Calibri" w:cs="Calibri"/>
          <w:i/>
          <w:iCs/>
          <w:noProof/>
          <w:sz w:val="20"/>
          <w:szCs w:val="24"/>
        </w:rPr>
        <w:t>Sage Publications</w:t>
      </w:r>
      <w:r w:rsidRPr="003F4710">
        <w:rPr>
          <w:rFonts w:ascii="Calibri" w:hAnsi="Calibri" w:cs="Calibri"/>
          <w:noProof/>
          <w:sz w:val="20"/>
          <w:szCs w:val="24"/>
        </w:rPr>
        <w:t>. 32–46. [online]. Available from: http://srmo.sagepub.com/view/focus-groups-as-qualitative-research/SAGE.xml.</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Morgan, D. L. &amp; Krueger, R. A. (1993) 'When to use focus groups and why.', in </w:t>
      </w:r>
      <w:r w:rsidRPr="003F4710">
        <w:rPr>
          <w:rFonts w:ascii="Calibri" w:hAnsi="Calibri" w:cs="Calibri"/>
          <w:i/>
          <w:iCs/>
          <w:noProof/>
          <w:sz w:val="20"/>
          <w:szCs w:val="24"/>
        </w:rPr>
        <w:t>Successful focus groups: Advancing the state of the art.</w:t>
      </w:r>
      <w:r w:rsidRPr="003F4710">
        <w:rPr>
          <w:rFonts w:ascii="Calibri" w:hAnsi="Calibri" w:cs="Calibri"/>
          <w:noProof/>
          <w:sz w:val="20"/>
          <w:szCs w:val="24"/>
        </w:rPr>
        <w:t xml:space="preserve"> pp. 3–19.</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Morrow, S. (2005) Quality and trustworthiness in qualitative research in counseling psychology. </w:t>
      </w:r>
      <w:r w:rsidRPr="003F4710">
        <w:rPr>
          <w:rFonts w:ascii="Calibri" w:hAnsi="Calibri" w:cs="Calibri"/>
          <w:i/>
          <w:iCs/>
          <w:noProof/>
          <w:sz w:val="20"/>
          <w:szCs w:val="24"/>
        </w:rPr>
        <w:t>Journal of Counseling Psychology</w:t>
      </w:r>
      <w:r w:rsidRPr="003F4710">
        <w:rPr>
          <w:rFonts w:ascii="Calibri" w:hAnsi="Calibri" w:cs="Calibri"/>
          <w:noProof/>
          <w:sz w:val="20"/>
          <w:szCs w:val="24"/>
        </w:rPr>
        <w:t>. 52 (2), 250–260. [online]. Available from: http://doi.apa.org/getdoi.cfm?doi=10.1037/0022-0167.52.2.250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Morse, J. M. (1995) Approaches to qualitative-quantitative methodological triangulation. </w:t>
      </w:r>
      <w:r w:rsidRPr="003F4710">
        <w:rPr>
          <w:rFonts w:ascii="Calibri" w:hAnsi="Calibri" w:cs="Calibri"/>
          <w:i/>
          <w:iCs/>
          <w:noProof/>
          <w:sz w:val="20"/>
          <w:szCs w:val="24"/>
        </w:rPr>
        <w:t>Nursing research</w:t>
      </w:r>
      <w:r w:rsidRPr="003F4710">
        <w:rPr>
          <w:rFonts w:ascii="Calibri" w:hAnsi="Calibri" w:cs="Calibri"/>
          <w:noProof/>
          <w:sz w:val="20"/>
          <w:szCs w:val="24"/>
        </w:rPr>
        <w:t>. 40 (2), 120–123. [online]. Available from: http://www.ncbi.nlm.nih.gov/pubmed/2003072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Morse, J. M. (2000) Determining Sample Size. </w:t>
      </w:r>
      <w:r w:rsidRPr="003F4710">
        <w:rPr>
          <w:rFonts w:ascii="Calibri" w:hAnsi="Calibri" w:cs="Calibri"/>
          <w:i/>
          <w:iCs/>
          <w:noProof/>
          <w:sz w:val="20"/>
          <w:szCs w:val="24"/>
        </w:rPr>
        <w:t>Qualitative Health Research</w:t>
      </w:r>
      <w:r w:rsidRPr="003F4710">
        <w:rPr>
          <w:rFonts w:ascii="Calibri" w:hAnsi="Calibri" w:cs="Calibri"/>
          <w:noProof/>
          <w:sz w:val="20"/>
          <w:szCs w:val="24"/>
        </w:rPr>
        <w:t>. 10 (1), 3–5. [online]. Available from: http://qhr.sagepub.com/cgi/doi/10.1177/104973200129118183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Morse, J. M. (1995) The Significance of Saturation. </w:t>
      </w:r>
      <w:r w:rsidRPr="003F4710">
        <w:rPr>
          <w:rFonts w:ascii="Calibri" w:hAnsi="Calibri" w:cs="Calibri"/>
          <w:i/>
          <w:iCs/>
          <w:noProof/>
          <w:sz w:val="20"/>
          <w:szCs w:val="24"/>
        </w:rPr>
        <w:t>Qualitative Health Research</w:t>
      </w:r>
      <w:r w:rsidRPr="003F4710">
        <w:rPr>
          <w:rFonts w:ascii="Calibri" w:hAnsi="Calibri" w:cs="Calibri"/>
          <w:noProof/>
          <w:sz w:val="20"/>
          <w:szCs w:val="24"/>
        </w:rPr>
        <w:t>. 5 (2), 147–149. [online]. Available from: http://qhr.sagepub.com/cgi/doi/10.1177/104973239500500201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Morse, J. M. et al. (2002) Verification Strategies for Establishing Reliability and Validity in Qualitative Research. </w:t>
      </w:r>
      <w:r w:rsidRPr="003F4710">
        <w:rPr>
          <w:rFonts w:ascii="Calibri" w:hAnsi="Calibri" w:cs="Calibri"/>
          <w:i/>
          <w:iCs/>
          <w:noProof/>
          <w:sz w:val="20"/>
          <w:szCs w:val="24"/>
        </w:rPr>
        <w:t>International Journal of Qualitative Methods</w:t>
      </w:r>
      <w:r w:rsidRPr="003F4710">
        <w:rPr>
          <w:rFonts w:ascii="Calibri" w:hAnsi="Calibri" w:cs="Calibri"/>
          <w:noProof/>
          <w:sz w:val="20"/>
          <w:szCs w:val="24"/>
        </w:rPr>
        <w:t>. 1 (2), 13–22. [online]. Available from: http://journals.sagepub.com/doi/10.1177/160940690200100202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Morse, J. M. &amp; Niehaus, L. (2009) </w:t>
      </w:r>
      <w:r w:rsidRPr="003F4710">
        <w:rPr>
          <w:rFonts w:ascii="Calibri" w:hAnsi="Calibri" w:cs="Calibri"/>
          <w:i/>
          <w:iCs/>
          <w:noProof/>
          <w:sz w:val="20"/>
          <w:szCs w:val="24"/>
        </w:rPr>
        <w:t>Mixed method design : principles and procedures</w:t>
      </w:r>
      <w:r w:rsidRPr="003F4710">
        <w:rPr>
          <w:rFonts w:ascii="Calibri" w:hAnsi="Calibri" w:cs="Calibri"/>
          <w:noProof/>
          <w:sz w:val="20"/>
          <w:szCs w:val="24"/>
        </w:rPr>
        <w:t>. Abingdon: Routledge.</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Morton, K. L. et al. (2016) The school environment and adolescent physical activity and sedentary behaviour: a mixed-studies systematic review. </w:t>
      </w:r>
      <w:r w:rsidRPr="003F4710">
        <w:rPr>
          <w:rFonts w:ascii="Calibri" w:hAnsi="Calibri" w:cs="Calibri"/>
          <w:i/>
          <w:iCs/>
          <w:noProof/>
          <w:sz w:val="20"/>
          <w:szCs w:val="24"/>
        </w:rPr>
        <w:t>Obesity Reviews</w:t>
      </w:r>
      <w:r w:rsidRPr="003F4710">
        <w:rPr>
          <w:rFonts w:ascii="Calibri" w:hAnsi="Calibri" w:cs="Calibri"/>
          <w:noProof/>
          <w:sz w:val="20"/>
          <w:szCs w:val="24"/>
        </w:rPr>
        <w:t>. 17 (2), 142–158. [online]. Available from: http://doi.wiley.com/10.1111/obr.12352 (Accessed 18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Mũkoma, W. &amp; Flisher, A. (2004) Evaluations of health promoting schools: a review of nine studies. </w:t>
      </w:r>
      <w:r w:rsidRPr="003F4710">
        <w:rPr>
          <w:rFonts w:ascii="Calibri" w:hAnsi="Calibri" w:cs="Calibri"/>
          <w:i/>
          <w:iCs/>
          <w:noProof/>
          <w:sz w:val="20"/>
          <w:szCs w:val="24"/>
        </w:rPr>
        <w:t>Health promotion international</w:t>
      </w:r>
      <w:r w:rsidRPr="003F4710">
        <w:rPr>
          <w:rFonts w:ascii="Calibri" w:hAnsi="Calibri" w:cs="Calibri"/>
          <w:noProof/>
          <w:sz w:val="20"/>
          <w:szCs w:val="24"/>
        </w:rPr>
        <w:t>. 19 (3), 357–368. [online]. Available from: http://heapro.oxfordjournals.org/content/19/3/357.short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Murray, N. et al. (2007) Coordinated school health programs and academic achievement: A systematic review of the literature. </w:t>
      </w:r>
      <w:r w:rsidRPr="003F4710">
        <w:rPr>
          <w:rFonts w:ascii="Calibri" w:hAnsi="Calibri" w:cs="Calibri"/>
          <w:i/>
          <w:iCs/>
          <w:noProof/>
          <w:sz w:val="20"/>
          <w:szCs w:val="24"/>
        </w:rPr>
        <w:t>Journal of School …</w:t>
      </w:r>
      <w:r w:rsidRPr="003F4710">
        <w:rPr>
          <w:rFonts w:ascii="Calibri" w:hAnsi="Calibri" w:cs="Calibri"/>
          <w:noProof/>
          <w:sz w:val="20"/>
          <w:szCs w:val="24"/>
        </w:rPr>
        <w:t>. 77 (9), 589–600. [online]. Available from: http://onlinelibrary.wiley.com/doi/10.1111/j.1746-1561.2007.00238.x/pdf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Murray, R. &amp; Battista, M. (2009) Managing the risk of childhood overweight and obesity in primary care practice. </w:t>
      </w:r>
      <w:r w:rsidRPr="003F4710">
        <w:rPr>
          <w:rFonts w:ascii="Calibri" w:hAnsi="Calibri" w:cs="Calibri"/>
          <w:i/>
          <w:iCs/>
          <w:noProof/>
          <w:sz w:val="20"/>
          <w:szCs w:val="24"/>
        </w:rPr>
        <w:t>Current problems in pediatric and adolescent health care</w:t>
      </w:r>
      <w:r w:rsidRPr="003F4710">
        <w:rPr>
          <w:rFonts w:ascii="Calibri" w:hAnsi="Calibri" w:cs="Calibri"/>
          <w:noProof/>
          <w:sz w:val="20"/>
          <w:szCs w:val="24"/>
        </w:rPr>
        <w:t>. 39 (6), 146–165.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Myers, K. &amp; Oetzel, J. (2003) Exploring the dimensions of organizational assimilation: Creating and validating a measure. </w:t>
      </w:r>
      <w:r w:rsidRPr="003F4710">
        <w:rPr>
          <w:rFonts w:ascii="Calibri" w:hAnsi="Calibri" w:cs="Calibri"/>
          <w:i/>
          <w:iCs/>
          <w:noProof/>
          <w:sz w:val="20"/>
          <w:szCs w:val="24"/>
        </w:rPr>
        <w:t>Communication Quarterly</w:t>
      </w:r>
      <w:r w:rsidRPr="003F4710">
        <w:rPr>
          <w:rFonts w:ascii="Calibri" w:hAnsi="Calibri" w:cs="Calibri"/>
          <w:noProof/>
          <w:sz w:val="20"/>
          <w:szCs w:val="24"/>
        </w:rPr>
        <w:t>. 51 (4), 438–457. [online]. Available from: http://www.tandfonline.com/doi/abs/10.1080/01463370309370166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National Institute of Health and Care Excellence (2015a) </w:t>
      </w:r>
      <w:r w:rsidRPr="003F4710">
        <w:rPr>
          <w:rFonts w:ascii="Calibri" w:hAnsi="Calibri" w:cs="Calibri"/>
          <w:i/>
          <w:iCs/>
          <w:noProof/>
          <w:sz w:val="20"/>
          <w:szCs w:val="24"/>
        </w:rPr>
        <w:t>NICE Pathway - Preventing Obesity</w:t>
      </w:r>
      <w:r w:rsidRPr="003F4710">
        <w:rPr>
          <w:rFonts w:ascii="Calibri" w:hAnsi="Calibri" w:cs="Calibri"/>
          <w:noProof/>
          <w:sz w:val="20"/>
          <w:szCs w:val="24"/>
        </w:rPr>
        <w:t>. [online]. Available from: http://pathways.nice.org.uk/pathways/obesity#path=view%3A/pathways/obesity/preventing-obesity.xml&amp;content=view-index (Accessed 2 October 2015). [online]. Available from: http://pathways.nice.org.uk/pathways/obesity#path=view%3A/pathways/obesity/preventing-obesity.xml&amp;content=view-index (Accessed 2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National Institute of Health and Care Excellence (2012) </w:t>
      </w:r>
      <w:r w:rsidRPr="003F4710">
        <w:rPr>
          <w:rFonts w:ascii="Calibri" w:hAnsi="Calibri" w:cs="Calibri"/>
          <w:i/>
          <w:iCs/>
          <w:noProof/>
          <w:sz w:val="20"/>
          <w:szCs w:val="24"/>
        </w:rPr>
        <w:t>Obesity: working with local communities</w:t>
      </w:r>
      <w:r w:rsidRPr="003F4710">
        <w:rPr>
          <w:rFonts w:ascii="Calibri" w:hAnsi="Calibri" w:cs="Calibri"/>
          <w:noProof/>
          <w:sz w:val="20"/>
          <w:szCs w:val="24"/>
        </w:rPr>
        <w:t xml:space="preserve">. [online]. Available from: https://www.nice.org.uk/guidance/ph42 (Accessed 3 October 2015). [online]. Available </w:t>
      </w:r>
      <w:r w:rsidRPr="003F4710">
        <w:rPr>
          <w:rFonts w:ascii="Calibri" w:hAnsi="Calibri" w:cs="Calibri"/>
          <w:noProof/>
          <w:sz w:val="20"/>
          <w:szCs w:val="24"/>
        </w:rPr>
        <w:lastRenderedPageBreak/>
        <w:t>from: https://www.nice.org.uk/guidance/ph42 (Accessed 3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National Institute of Health and Care Excellence (2015b) </w:t>
      </w:r>
      <w:r w:rsidRPr="003F4710">
        <w:rPr>
          <w:rFonts w:ascii="Calibri" w:hAnsi="Calibri" w:cs="Calibri"/>
          <w:i/>
          <w:iCs/>
          <w:noProof/>
          <w:sz w:val="20"/>
          <w:szCs w:val="24"/>
        </w:rPr>
        <w:t>Obesity in children and young people: prevention and lifestyle weight management programmes</w:t>
      </w:r>
      <w:r w:rsidRPr="003F4710">
        <w:rPr>
          <w:rFonts w:ascii="Calibri" w:hAnsi="Calibri" w:cs="Calibri"/>
          <w:noProof/>
          <w:sz w:val="20"/>
          <w:szCs w:val="24"/>
        </w:rPr>
        <w:t>. [online]. Available from: https://www.nice.org.uk/guidance/qs94 (Accessed 8 August 2015). [online]. Available from: https://www.nice.org.uk/guidance/qs94 (Accessed 8 August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National Institute of Health and Care Excellence (2006) </w:t>
      </w:r>
      <w:r w:rsidRPr="003F4710">
        <w:rPr>
          <w:rFonts w:ascii="Calibri" w:hAnsi="Calibri" w:cs="Calibri"/>
          <w:i/>
          <w:iCs/>
          <w:noProof/>
          <w:sz w:val="20"/>
          <w:szCs w:val="24"/>
        </w:rPr>
        <w:t>Obesity Prevention</w:t>
      </w:r>
      <w:r w:rsidRPr="003F4710">
        <w:rPr>
          <w:rFonts w:ascii="Calibri" w:hAnsi="Calibri" w:cs="Calibri"/>
          <w:noProof/>
          <w:sz w:val="20"/>
          <w:szCs w:val="24"/>
        </w:rPr>
        <w:t>. [online]. Available from: https://www.nice.org.uk/guidance/cg43 (Accessed 2 June 2015). [online]. Available from: https://www.nice.org.uk/guidance/cg43 (Accessed 2 June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New School Network (2015) </w:t>
      </w:r>
      <w:r w:rsidRPr="003F4710">
        <w:rPr>
          <w:rFonts w:ascii="Calibri" w:hAnsi="Calibri" w:cs="Calibri"/>
          <w:i/>
          <w:iCs/>
          <w:noProof/>
          <w:sz w:val="20"/>
          <w:szCs w:val="24"/>
        </w:rPr>
        <w:t>Comparison of different types of school - A guide to schools in England</w:t>
      </w:r>
      <w:r w:rsidRPr="003F4710">
        <w:rPr>
          <w:rFonts w:ascii="Calibri" w:hAnsi="Calibri" w:cs="Calibri"/>
          <w:noProof/>
          <w:sz w:val="20"/>
          <w:szCs w:val="24"/>
        </w:rPr>
        <w:t>. [online]. Available from: http://www.newschoolsnetwork.org/sites/default/files/Comparison of school types.pdf (Accessed 12 October 2015). [online]. Available from: http://www.newschoolsnetwork.org/sites/default/files/Comparison of school types.pdf (Accessed 12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Newman, I. &amp; Benz, C. R. (1998) </w:t>
      </w:r>
      <w:r w:rsidRPr="003F4710">
        <w:rPr>
          <w:rFonts w:ascii="Calibri" w:hAnsi="Calibri" w:cs="Calibri"/>
          <w:i/>
          <w:iCs/>
          <w:noProof/>
          <w:sz w:val="20"/>
          <w:szCs w:val="24"/>
        </w:rPr>
        <w:t>Qualitative-quantitative research methodology : exploring the interactive continuum</w:t>
      </w:r>
      <w:r w:rsidRPr="003F4710">
        <w:rPr>
          <w:rFonts w:ascii="Calibri" w:hAnsi="Calibri" w:cs="Calibri"/>
          <w:noProof/>
          <w:sz w:val="20"/>
          <w:szCs w:val="24"/>
        </w:rPr>
        <w:t>. Southern Illinois University Press.</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Ng, M. et al. (2014) Global, regional, and national prevalence of overweight and obesity in children and adults during 1980–2013: a systematic analysis for the Global Burden of Disease. </w:t>
      </w:r>
      <w:r w:rsidRPr="003F4710">
        <w:rPr>
          <w:rFonts w:ascii="Calibri" w:hAnsi="Calibri" w:cs="Calibri"/>
          <w:i/>
          <w:iCs/>
          <w:noProof/>
          <w:sz w:val="20"/>
          <w:szCs w:val="24"/>
        </w:rPr>
        <w:t>The Lancet</w:t>
      </w:r>
      <w:r w:rsidRPr="003F4710">
        <w:rPr>
          <w:rFonts w:ascii="Calibri" w:hAnsi="Calibri" w:cs="Calibri"/>
          <w:noProof/>
          <w:sz w:val="20"/>
          <w:szCs w:val="24"/>
        </w:rPr>
        <w:t>. 384 (9945), 766–781. [online]. Available from: http://www.sciencedirect.com/science/article/pii/S0140673614604608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Nguyen, D. &amp; El-Serag, H. (2010) The epidemiology of obesity. </w:t>
      </w:r>
      <w:r w:rsidRPr="003F4710">
        <w:rPr>
          <w:rFonts w:ascii="Calibri" w:hAnsi="Calibri" w:cs="Calibri"/>
          <w:i/>
          <w:iCs/>
          <w:noProof/>
          <w:sz w:val="20"/>
          <w:szCs w:val="24"/>
        </w:rPr>
        <w:t>Gastroenterology Clinics of North America</w:t>
      </w:r>
      <w:r w:rsidRPr="003F4710">
        <w:rPr>
          <w:rFonts w:ascii="Calibri" w:hAnsi="Calibri" w:cs="Calibri"/>
          <w:noProof/>
          <w:sz w:val="20"/>
          <w:szCs w:val="24"/>
        </w:rPr>
        <w:t>. 39 (1), 1–7. [online]. Available from: http://www.sciencedirect.com/science/article/pii/S0889855309001289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NHS Digital (2016a) </w:t>
      </w:r>
      <w:r w:rsidRPr="003F4710">
        <w:rPr>
          <w:rFonts w:ascii="Calibri" w:hAnsi="Calibri" w:cs="Calibri"/>
          <w:i/>
          <w:iCs/>
          <w:noProof/>
          <w:sz w:val="20"/>
          <w:szCs w:val="24"/>
        </w:rPr>
        <w:t>Health Survey for England 2015 - Children’s body mass index, overweight and obesity</w:t>
      </w:r>
      <w:r w:rsidRPr="003F4710">
        <w:rPr>
          <w:rFonts w:ascii="Calibri" w:hAnsi="Calibri" w:cs="Calibri"/>
          <w:noProof/>
          <w:sz w:val="20"/>
          <w:szCs w:val="24"/>
        </w:rPr>
        <w:t>. [online]. Available from: http://www.content.digital.nhs.uk/catalogue/PUB22610/HSE2015-Child-obe.pdf. [online]. Available from: http://www.content.digital.nhs.uk/catalogue/PUB22610/HSE2015-Child-obe.pdf.</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NHS Digital (2016b) </w:t>
      </w:r>
      <w:r w:rsidRPr="003F4710">
        <w:rPr>
          <w:rFonts w:ascii="Calibri" w:hAnsi="Calibri" w:cs="Calibri"/>
          <w:i/>
          <w:iCs/>
          <w:noProof/>
          <w:sz w:val="20"/>
          <w:szCs w:val="24"/>
        </w:rPr>
        <w:t>National Child Measurement Programme - England, 2015/2016 school year</w:t>
      </w:r>
      <w:r w:rsidRPr="003F4710">
        <w:rPr>
          <w:rFonts w:ascii="Calibri" w:hAnsi="Calibri" w:cs="Calibri"/>
          <w:noProof/>
          <w:sz w:val="20"/>
          <w:szCs w:val="24"/>
        </w:rPr>
        <w:t>. [online]. Available from: http://www.content.digital.nhs.uk/catalogue/PUB22269/nati-chil-meas-prog-eng-2015-2016-rep.pdf. [online]. Available from: http://www.content.digital.nhs.uk/catalogue/PUB22269/nati-chil-meas-prog-eng-2015-2016-rep.pdf.</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NHS Digital (2017) </w:t>
      </w:r>
      <w:r w:rsidRPr="003F4710">
        <w:rPr>
          <w:rFonts w:ascii="Calibri" w:hAnsi="Calibri" w:cs="Calibri"/>
          <w:i/>
          <w:iCs/>
          <w:noProof/>
          <w:sz w:val="20"/>
          <w:szCs w:val="24"/>
        </w:rPr>
        <w:t>Statistics on Obesity, Physical Activity and Diet</w:t>
      </w:r>
      <w:r w:rsidRPr="003F4710">
        <w:rPr>
          <w:rFonts w:ascii="Calibri" w:hAnsi="Calibri" w:cs="Calibri"/>
          <w:noProof/>
          <w:sz w:val="20"/>
          <w:szCs w:val="24"/>
        </w:rPr>
        <w:t>. [online]. Available from: https://www.gov.uk/government/uploads/system/uploads/attachment_data/file/613532/obes-phys-acti-diet-eng-2017-rep.pdf. [online]. Available from: https://www.gov.uk/government/uploads/system/uploads/attachment_data/file/613532/obes-phys-acti-diet-eng-2017-rep.pdf.</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Niglas, K. (2009) How the novice researcher can make sense of mixed methods designs. </w:t>
      </w:r>
      <w:r w:rsidRPr="003F4710">
        <w:rPr>
          <w:rFonts w:ascii="Calibri" w:hAnsi="Calibri" w:cs="Calibri"/>
          <w:i/>
          <w:iCs/>
          <w:noProof/>
          <w:sz w:val="20"/>
          <w:szCs w:val="24"/>
        </w:rPr>
        <w:t>International Journal of Multiple Research Approaches</w:t>
      </w:r>
      <w:r w:rsidRPr="003F4710">
        <w:rPr>
          <w:rFonts w:ascii="Calibri" w:hAnsi="Calibri" w:cs="Calibri"/>
          <w:noProof/>
          <w:sz w:val="20"/>
          <w:szCs w:val="24"/>
        </w:rPr>
        <w:t>. 3 (1), 34–46. [online]. Available from: http://www.tandfonline.com/doi/abs/10.5172/mra.455.3.1.34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Nollen, N. et al. (2007) The school food environment and adolescent obesity: qualitative insights from high school principals and food service personnel. </w:t>
      </w:r>
      <w:r w:rsidRPr="003F4710">
        <w:rPr>
          <w:rFonts w:ascii="Calibri" w:hAnsi="Calibri" w:cs="Calibri"/>
          <w:i/>
          <w:iCs/>
          <w:noProof/>
          <w:sz w:val="20"/>
          <w:szCs w:val="24"/>
        </w:rPr>
        <w:t>… and Physical Activity</w:t>
      </w:r>
      <w:r w:rsidRPr="003F4710">
        <w:rPr>
          <w:rFonts w:ascii="Calibri" w:hAnsi="Calibri" w:cs="Calibri"/>
          <w:noProof/>
          <w:sz w:val="20"/>
          <w:szCs w:val="24"/>
        </w:rPr>
        <w:t>. 4 (1), 18. [online]. Available from: http://www.biomedcentral.com/1479-5868/4/18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Norton, L. (1999) The philosophical bases of grounded theory and their implications for research practice. </w:t>
      </w:r>
      <w:r w:rsidRPr="003F4710">
        <w:rPr>
          <w:rFonts w:ascii="Calibri" w:hAnsi="Calibri" w:cs="Calibri"/>
          <w:i/>
          <w:iCs/>
          <w:noProof/>
          <w:sz w:val="20"/>
          <w:szCs w:val="24"/>
        </w:rPr>
        <w:t>Nurse Researcher</w:t>
      </w:r>
      <w:r w:rsidRPr="003F4710">
        <w:rPr>
          <w:rFonts w:ascii="Calibri" w:hAnsi="Calibri" w:cs="Calibri"/>
          <w:noProof/>
          <w:sz w:val="20"/>
          <w:szCs w:val="24"/>
        </w:rPr>
        <w:t>. 7 (1), 31–43. [online]. Available from: http://rcnpublishing.com/doi/abs/10.7748/nr1999.10.7.1.31.c6102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Noy, C. (2008) Sampling Knowledge: The Hermeneutics of Snowball Sampling in Qualitative Research. </w:t>
      </w:r>
      <w:r w:rsidRPr="003F4710">
        <w:rPr>
          <w:rFonts w:ascii="Calibri" w:hAnsi="Calibri" w:cs="Calibri"/>
          <w:i/>
          <w:iCs/>
          <w:noProof/>
          <w:sz w:val="20"/>
          <w:szCs w:val="24"/>
        </w:rPr>
        <w:t>International Journal of Social Research Methodology</w:t>
      </w:r>
      <w:r w:rsidRPr="003F4710">
        <w:rPr>
          <w:rFonts w:ascii="Calibri" w:hAnsi="Calibri" w:cs="Calibri"/>
          <w:noProof/>
          <w:sz w:val="20"/>
          <w:szCs w:val="24"/>
        </w:rPr>
        <w:t>. 11 (4), 327–344.</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Nuffield Council on Bioethics (2007) </w:t>
      </w:r>
      <w:r w:rsidRPr="003F4710">
        <w:rPr>
          <w:rFonts w:ascii="Calibri" w:hAnsi="Calibri" w:cs="Calibri"/>
          <w:i/>
          <w:iCs/>
          <w:noProof/>
          <w:sz w:val="20"/>
          <w:szCs w:val="24"/>
        </w:rPr>
        <w:t>Public health: ethical issues</w:t>
      </w:r>
      <w:r w:rsidRPr="003F4710">
        <w:rPr>
          <w:rFonts w:ascii="Calibri" w:hAnsi="Calibri" w:cs="Calibri"/>
          <w:noProof/>
          <w:sz w:val="20"/>
          <w:szCs w:val="24"/>
        </w:rPr>
        <w:t>. [online]. Available from: http://nuffieldbioethics.org/wp-content/uploads/2014/07/Public-health-ethical-issues.pdf. [online]. Available from: http://nuffieldbioethics.org/wp-content/uploads/2014/07/Public-health-ethical-issues.pdf.</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Nunkoosing, K. (2005) The problems with interviews. </w:t>
      </w:r>
      <w:r w:rsidRPr="003F4710">
        <w:rPr>
          <w:rFonts w:ascii="Calibri" w:hAnsi="Calibri" w:cs="Calibri"/>
          <w:i/>
          <w:iCs/>
          <w:noProof/>
          <w:sz w:val="20"/>
          <w:szCs w:val="24"/>
        </w:rPr>
        <w:t>Qualitative health research</w:t>
      </w:r>
      <w:r w:rsidRPr="003F4710">
        <w:rPr>
          <w:rFonts w:ascii="Calibri" w:hAnsi="Calibri" w:cs="Calibri"/>
          <w:noProof/>
          <w:sz w:val="20"/>
          <w:szCs w:val="24"/>
        </w:rPr>
        <w:t>. 15 (15), 698–706. [online]. Available from: http://qhr.sagepub.com/content/15/5/698.short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O’Cathain, A. (2010) 'Assessing the quality of mixed methods research: Towards a comprehensive framework', in A Tashakkori &amp; C Teddlie (eds.) </w:t>
      </w:r>
      <w:r w:rsidRPr="003F4710">
        <w:rPr>
          <w:rFonts w:ascii="Calibri" w:hAnsi="Calibri" w:cs="Calibri"/>
          <w:i/>
          <w:iCs/>
          <w:noProof/>
          <w:sz w:val="20"/>
          <w:szCs w:val="24"/>
        </w:rPr>
        <w:t>SAGE Handbook of Mixed Methods in Social &amp; Behavioral Research</w:t>
      </w:r>
      <w:r w:rsidRPr="003F4710">
        <w:rPr>
          <w:rFonts w:ascii="Calibri" w:hAnsi="Calibri" w:cs="Calibri"/>
          <w:noProof/>
          <w:sz w:val="20"/>
          <w:szCs w:val="24"/>
        </w:rPr>
        <w:t>. Los Angeles: SAGE Publications Ltd. pp. 531–556.</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O’Cathain, A. et al. (2009) Structural issues affecting mixed methods studies in health research: a qualitative study. </w:t>
      </w:r>
      <w:r w:rsidRPr="003F4710">
        <w:rPr>
          <w:rFonts w:ascii="Calibri" w:hAnsi="Calibri" w:cs="Calibri"/>
          <w:i/>
          <w:iCs/>
          <w:noProof/>
          <w:sz w:val="20"/>
          <w:szCs w:val="24"/>
        </w:rPr>
        <w:t>BMC Medical Research Methodology</w:t>
      </w:r>
      <w:r w:rsidRPr="003F4710">
        <w:rPr>
          <w:rFonts w:ascii="Calibri" w:hAnsi="Calibri" w:cs="Calibri"/>
          <w:noProof/>
          <w:sz w:val="20"/>
          <w:szCs w:val="24"/>
        </w:rPr>
        <w:t xml:space="preserve">. 9 (1), 82. [online]. Available from: </w:t>
      </w:r>
      <w:r w:rsidRPr="003F4710">
        <w:rPr>
          <w:rFonts w:ascii="Calibri" w:hAnsi="Calibri" w:cs="Calibri"/>
          <w:noProof/>
          <w:sz w:val="20"/>
          <w:szCs w:val="24"/>
        </w:rPr>
        <w:lastRenderedPageBreak/>
        <w:t>http://bmcmedresmethodol.biomedcentral.com/articles/10.1186/1471-2288-9-82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O’Cathain, A. et al. (2008) The quality of mixed methods studies in health services research. </w:t>
      </w:r>
      <w:r w:rsidRPr="003F4710">
        <w:rPr>
          <w:rFonts w:ascii="Calibri" w:hAnsi="Calibri" w:cs="Calibri"/>
          <w:i/>
          <w:iCs/>
          <w:noProof/>
          <w:sz w:val="20"/>
          <w:szCs w:val="24"/>
        </w:rPr>
        <w:t>Journal of Health Services Research &amp; Policy</w:t>
      </w:r>
      <w:r w:rsidRPr="003F4710">
        <w:rPr>
          <w:rFonts w:ascii="Calibri" w:hAnsi="Calibri" w:cs="Calibri"/>
          <w:noProof/>
          <w:sz w:val="20"/>
          <w:szCs w:val="24"/>
        </w:rPr>
        <w:t>. 13 (2), 92–98. [online]. Available from: http://hsr.sagepub.com/content/13/2/92.short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O’Dowd, A. (2016) Clinicians underwhelmed by ‘watered down’ childhood obesity strategy. </w:t>
      </w:r>
      <w:r w:rsidRPr="003F4710">
        <w:rPr>
          <w:rFonts w:ascii="Calibri" w:hAnsi="Calibri" w:cs="Calibri"/>
          <w:i/>
          <w:iCs/>
          <w:noProof/>
          <w:sz w:val="20"/>
          <w:szCs w:val="24"/>
        </w:rPr>
        <w:t>BMJ</w:t>
      </w:r>
      <w:r w:rsidRPr="003F4710">
        <w:rPr>
          <w:rFonts w:ascii="Calibri" w:hAnsi="Calibri" w:cs="Calibri"/>
          <w:noProof/>
          <w:sz w:val="20"/>
          <w:szCs w:val="24"/>
        </w:rPr>
        <w:t>. 354 (i4576), . [online]. Available from: http://www.bmj.com/content/354/bmj.i4576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Odum, M. &amp; McKyer, E. (2013) Elementary school personnel’s perceptions on childhood obesity: pervasiveness and facilitating factors. </w:t>
      </w:r>
      <w:r w:rsidRPr="003F4710">
        <w:rPr>
          <w:rFonts w:ascii="Calibri" w:hAnsi="Calibri" w:cs="Calibri"/>
          <w:i/>
          <w:iCs/>
          <w:noProof/>
          <w:sz w:val="20"/>
          <w:szCs w:val="24"/>
        </w:rPr>
        <w:t>Journal of School …</w:t>
      </w:r>
      <w:r w:rsidRPr="003F4710">
        <w:rPr>
          <w:rFonts w:ascii="Calibri" w:hAnsi="Calibri" w:cs="Calibri"/>
          <w:noProof/>
          <w:sz w:val="20"/>
          <w:szCs w:val="24"/>
        </w:rPr>
        <w:t>. 83 (3), 206–12. [online]. Available from: http://onlinelibrary.wiley.com/doi/10.1111/josh.12016/full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Ofsted (2016) </w:t>
      </w:r>
      <w:r w:rsidRPr="003F4710">
        <w:rPr>
          <w:rFonts w:ascii="Calibri" w:hAnsi="Calibri" w:cs="Calibri"/>
          <w:i/>
          <w:iCs/>
          <w:noProof/>
          <w:sz w:val="20"/>
          <w:szCs w:val="24"/>
        </w:rPr>
        <w:t>Ofsted Handbook</w:t>
      </w:r>
      <w:r w:rsidRPr="003F4710">
        <w:rPr>
          <w:rFonts w:ascii="Calibri" w:hAnsi="Calibri" w:cs="Calibri"/>
          <w:noProof/>
          <w:sz w:val="20"/>
          <w:szCs w:val="24"/>
        </w:rPr>
        <w:t>. [online]. Available from: https://www.gov.uk/government/uploads/system/uploads/attachment_data/file/553942/School_inspection_handbook-section_5.pdf (Accessed 2 October 2015). [online]. Available from: https://www.gov.uk/government/uploads/system/uploads/attachment_data/file/553942/School_inspection_handbook-section_5.pdf (Accessed 2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Ogden, C. et al. (2007) The epidemiology of obesity. </w:t>
      </w:r>
      <w:r w:rsidRPr="003F4710">
        <w:rPr>
          <w:rFonts w:ascii="Calibri" w:hAnsi="Calibri" w:cs="Calibri"/>
          <w:i/>
          <w:iCs/>
          <w:noProof/>
          <w:sz w:val="20"/>
          <w:szCs w:val="24"/>
        </w:rPr>
        <w:t>Gastroenterology</w:t>
      </w:r>
      <w:r w:rsidRPr="003F4710">
        <w:rPr>
          <w:rFonts w:ascii="Calibri" w:hAnsi="Calibri" w:cs="Calibri"/>
          <w:noProof/>
          <w:sz w:val="20"/>
          <w:szCs w:val="24"/>
        </w:rPr>
        <w:t>. 132 (6), 2087–2102. [online]. Available from: http://www.sciencedirect.com/science/article/pii/S0016508507005793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Okoli, C. (2015) A Guide to Conducting a Standalone Systematic Literature Review. </w:t>
      </w:r>
      <w:r w:rsidRPr="003F4710">
        <w:rPr>
          <w:rFonts w:ascii="Calibri" w:hAnsi="Calibri" w:cs="Calibri"/>
          <w:i/>
          <w:iCs/>
          <w:noProof/>
          <w:sz w:val="20"/>
          <w:szCs w:val="24"/>
        </w:rPr>
        <w:t>Communications of the Association for Information Systems</w:t>
      </w:r>
      <w:r w:rsidRPr="003F4710">
        <w:rPr>
          <w:rFonts w:ascii="Calibri" w:hAnsi="Calibri" w:cs="Calibri"/>
          <w:noProof/>
          <w:sz w:val="20"/>
          <w:szCs w:val="24"/>
        </w:rPr>
        <w:t>. 37 (43), .</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Onwuegbuzie, A. J. et al. (2010) Mixed Research as a Tool for Developing Quantitative Instruments. </w:t>
      </w:r>
      <w:r w:rsidRPr="003F4710">
        <w:rPr>
          <w:rFonts w:ascii="Calibri" w:hAnsi="Calibri" w:cs="Calibri"/>
          <w:i/>
          <w:iCs/>
          <w:noProof/>
          <w:sz w:val="20"/>
          <w:szCs w:val="24"/>
        </w:rPr>
        <w:t>Journal of Mixed Methods Research</w:t>
      </w:r>
      <w:r w:rsidRPr="003F4710">
        <w:rPr>
          <w:rFonts w:ascii="Calibri" w:hAnsi="Calibri" w:cs="Calibri"/>
          <w:noProof/>
          <w:sz w:val="20"/>
          <w:szCs w:val="24"/>
        </w:rPr>
        <w:t>. 4 (1), 56–78. [online]. Available from: http://journals.sagepub.com/doi/10.1177/1558689809355805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Oppenheim, A. . (1992) </w:t>
      </w:r>
      <w:r w:rsidRPr="003F4710">
        <w:rPr>
          <w:rFonts w:ascii="Calibri" w:hAnsi="Calibri" w:cs="Calibri"/>
          <w:i/>
          <w:iCs/>
          <w:noProof/>
          <w:sz w:val="20"/>
          <w:szCs w:val="24"/>
        </w:rPr>
        <w:t>Questionnaire design, interviewing, and attitude measurement</w:t>
      </w:r>
      <w:r w:rsidRPr="003F4710">
        <w:rPr>
          <w:rFonts w:ascii="Calibri" w:hAnsi="Calibri" w:cs="Calibri"/>
          <w:noProof/>
          <w:sz w:val="20"/>
          <w:szCs w:val="24"/>
        </w:rPr>
        <w:t>. 2nd edition. London: Bloomsbury Publishing.</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Oppenheim, C. (1998) Copyright issues. </w:t>
      </w:r>
      <w:r w:rsidRPr="003F4710">
        <w:rPr>
          <w:rFonts w:ascii="Calibri" w:hAnsi="Calibri" w:cs="Calibri"/>
          <w:i/>
          <w:iCs/>
          <w:noProof/>
          <w:sz w:val="20"/>
          <w:szCs w:val="24"/>
        </w:rPr>
        <w:t>Learned Publishing</w:t>
      </w:r>
      <w:r w:rsidRPr="003F4710">
        <w:rPr>
          <w:rFonts w:ascii="Calibri" w:hAnsi="Calibri" w:cs="Calibri"/>
          <w:noProof/>
          <w:sz w:val="20"/>
          <w:szCs w:val="24"/>
        </w:rPr>
        <w:t>. 11 (1), 57–58. [online]. Available from: http://doi.wiley.com/10.1087/09531519850146698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Östlund, U. et al. (2011) Combining qualitative and quantitative research within mixed method research designs: a methodological review. </w:t>
      </w:r>
      <w:r w:rsidRPr="003F4710">
        <w:rPr>
          <w:rFonts w:ascii="Calibri" w:hAnsi="Calibri" w:cs="Calibri"/>
          <w:i/>
          <w:iCs/>
          <w:noProof/>
          <w:sz w:val="20"/>
          <w:szCs w:val="24"/>
        </w:rPr>
        <w:t>International journal of nursing studies</w:t>
      </w:r>
      <w:r w:rsidRPr="003F4710">
        <w:rPr>
          <w:rFonts w:ascii="Calibri" w:hAnsi="Calibri" w:cs="Calibri"/>
          <w:noProof/>
          <w:sz w:val="20"/>
          <w:szCs w:val="24"/>
        </w:rPr>
        <w:t>. 48 (3), 369–383. [online]. Available from: http://www.ncbi.nlm.nih.gov/pubmed/21084086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Pagnini, D. et al. (2009) The weight of opinion on childhood obesity: recognizing complexity and supporting collaborative action. </w:t>
      </w:r>
      <w:r w:rsidRPr="003F4710">
        <w:rPr>
          <w:rFonts w:ascii="Calibri" w:hAnsi="Calibri" w:cs="Calibri"/>
          <w:i/>
          <w:iCs/>
          <w:noProof/>
          <w:sz w:val="20"/>
          <w:szCs w:val="24"/>
        </w:rPr>
        <w:t>International Journal of Pediatric Obesity</w:t>
      </w:r>
      <w:r w:rsidRPr="003F4710">
        <w:rPr>
          <w:rFonts w:ascii="Calibri" w:hAnsi="Calibri" w:cs="Calibri"/>
          <w:noProof/>
          <w:sz w:val="20"/>
          <w:szCs w:val="24"/>
        </w:rPr>
        <w:t>. 4 (4), 233–241. [online]. Available from: http://informahealthcare.com/doi/abs/10.3109/17477160902763333 (Accessed 2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Palinkas, L. et al. (2013) Purposeful sampling for qualitative data collection and analysis in mixed method implementation research. </w:t>
      </w:r>
      <w:r w:rsidRPr="003F4710">
        <w:rPr>
          <w:rFonts w:ascii="Calibri" w:hAnsi="Calibri" w:cs="Calibri"/>
          <w:i/>
          <w:iCs/>
          <w:noProof/>
          <w:sz w:val="20"/>
          <w:szCs w:val="24"/>
        </w:rPr>
        <w:t>… and Policy in Mental …</w:t>
      </w:r>
      <w:r w:rsidRPr="003F4710">
        <w:rPr>
          <w:rFonts w:ascii="Calibri" w:hAnsi="Calibri" w:cs="Calibri"/>
          <w:noProof/>
          <w:sz w:val="20"/>
          <w:szCs w:val="24"/>
        </w:rPr>
        <w:t>. 42 (5), 533–544. [online]. Available from: http://link.springer.com/article/10.1007/s10488-013-0528-y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Pallant, J. (2010) </w:t>
      </w:r>
      <w:r w:rsidRPr="003F4710">
        <w:rPr>
          <w:rFonts w:ascii="Calibri" w:hAnsi="Calibri" w:cs="Calibri"/>
          <w:i/>
          <w:iCs/>
          <w:noProof/>
          <w:sz w:val="20"/>
          <w:szCs w:val="24"/>
        </w:rPr>
        <w:t>SPSS survival manual : a step by step guide to data analysis using SPSS</w:t>
      </w:r>
      <w:r w:rsidRPr="003F4710">
        <w:rPr>
          <w:rFonts w:ascii="Calibri" w:hAnsi="Calibri" w:cs="Calibri"/>
          <w:noProof/>
          <w:sz w:val="20"/>
          <w:szCs w:val="24"/>
        </w:rPr>
        <w:t>. 4th edition. Maidenhead: Open University Press/McGraw-Hill.</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Patel, S. R. &amp; Hu, F. B. (2008) Short Sleep Duration and Weight Gain: A Systematic Review. </w:t>
      </w:r>
      <w:r w:rsidRPr="003F4710">
        <w:rPr>
          <w:rFonts w:ascii="Calibri" w:hAnsi="Calibri" w:cs="Calibri"/>
          <w:i/>
          <w:iCs/>
          <w:noProof/>
          <w:sz w:val="20"/>
          <w:szCs w:val="24"/>
        </w:rPr>
        <w:t>Obesity</w:t>
      </w:r>
      <w:r w:rsidRPr="003F4710">
        <w:rPr>
          <w:rFonts w:ascii="Calibri" w:hAnsi="Calibri" w:cs="Calibri"/>
          <w:noProof/>
          <w:sz w:val="20"/>
          <w:szCs w:val="24"/>
        </w:rPr>
        <w:t>. 16 (3), 643–653. [online]. Available from: http://www.ncbi.nlm.nih.gov/pubmed/18239586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Patterson, M. C. (2013) Normalisation and Stigmatisation of Obesity in UK Newspapers: a Visual Content Analysis. </w:t>
      </w:r>
      <w:r w:rsidRPr="003F4710">
        <w:rPr>
          <w:rFonts w:ascii="Calibri" w:hAnsi="Calibri" w:cs="Calibri"/>
          <w:i/>
          <w:iCs/>
          <w:noProof/>
          <w:sz w:val="20"/>
          <w:szCs w:val="24"/>
        </w:rPr>
        <w:t>The Open Obesity Journal</w:t>
      </w:r>
      <w:r w:rsidRPr="003F4710">
        <w:rPr>
          <w:rFonts w:ascii="Calibri" w:hAnsi="Calibri" w:cs="Calibri"/>
          <w:noProof/>
          <w:sz w:val="20"/>
          <w:szCs w:val="24"/>
        </w:rPr>
        <w:t>. 5 (1), 82–91. [online]. Available from: http://benthamopen.com/ABSTRACT/TOOBESJ-5-82 (Accessed 11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Patton, G. C. et al. (2011) Overweight and obesity between adolescence and young adulthood: a 10-year prospective cohort study. </w:t>
      </w:r>
      <w:r w:rsidRPr="003F4710">
        <w:rPr>
          <w:rFonts w:ascii="Calibri" w:hAnsi="Calibri" w:cs="Calibri"/>
          <w:i/>
          <w:iCs/>
          <w:noProof/>
          <w:sz w:val="20"/>
          <w:szCs w:val="24"/>
        </w:rPr>
        <w:t>The Journal of adolescent health : official publication of the Society for Adolescent Medicine</w:t>
      </w:r>
      <w:r w:rsidRPr="003F4710">
        <w:rPr>
          <w:rFonts w:ascii="Calibri" w:hAnsi="Calibri" w:cs="Calibri"/>
          <w:noProof/>
          <w:sz w:val="20"/>
          <w:szCs w:val="24"/>
        </w:rPr>
        <w:t>. 48 (3), 275–280. [online]. Available from: http://www.jahonline.org/article/S1054139X10003113/fulltext (Accessed 14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Patton, G. C. et al. (2014) The prognosis of common mental disorders in adolescents: a 14-year prospective cohort study. </w:t>
      </w:r>
      <w:r w:rsidRPr="003F4710">
        <w:rPr>
          <w:rFonts w:ascii="Calibri" w:hAnsi="Calibri" w:cs="Calibri"/>
          <w:i/>
          <w:iCs/>
          <w:noProof/>
          <w:sz w:val="20"/>
          <w:szCs w:val="24"/>
        </w:rPr>
        <w:t>The Lancet</w:t>
      </w:r>
      <w:r w:rsidRPr="003F4710">
        <w:rPr>
          <w:rFonts w:ascii="Calibri" w:hAnsi="Calibri" w:cs="Calibri"/>
          <w:noProof/>
          <w:sz w:val="20"/>
          <w:szCs w:val="24"/>
        </w:rPr>
        <w:t>. 383 (9926), 1404–1411. [online]. Available from: http://linkinghub.elsevier.com/retrieve/pii/S0140673613621169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Patton, M. (1990) </w:t>
      </w:r>
      <w:r w:rsidRPr="003F4710">
        <w:rPr>
          <w:rFonts w:ascii="Calibri" w:hAnsi="Calibri" w:cs="Calibri"/>
          <w:i/>
          <w:iCs/>
          <w:noProof/>
          <w:sz w:val="20"/>
          <w:szCs w:val="24"/>
        </w:rPr>
        <w:t>Qualitative evaluation and research methods .</w:t>
      </w:r>
      <w:r w:rsidRPr="003F4710">
        <w:rPr>
          <w:rFonts w:ascii="Calibri" w:hAnsi="Calibri" w:cs="Calibri"/>
          <w:noProof/>
          <w:sz w:val="20"/>
          <w:szCs w:val="24"/>
        </w:rPr>
        <w:t xml:space="preserve"> Thousand Oaks: SAGE Publications Inc. [online]. Available from: http://psycnet.apa.org/psycinfo/1990-97369-000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Patton, M. Q. (2002a) </w:t>
      </w:r>
      <w:r w:rsidRPr="003F4710">
        <w:rPr>
          <w:rFonts w:ascii="Calibri" w:hAnsi="Calibri" w:cs="Calibri"/>
          <w:i/>
          <w:iCs/>
          <w:noProof/>
          <w:sz w:val="20"/>
          <w:szCs w:val="24"/>
        </w:rPr>
        <w:t>Qualitative research and evaluation methods</w:t>
      </w:r>
      <w:r w:rsidRPr="003F4710">
        <w:rPr>
          <w:rFonts w:ascii="Calibri" w:hAnsi="Calibri" w:cs="Calibri"/>
          <w:noProof/>
          <w:sz w:val="20"/>
          <w:szCs w:val="24"/>
        </w:rPr>
        <w:t>. 3rd edition. Thousand Oaks: SAGE Publications Ltd.</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Patton, M. Q. (2002b) </w:t>
      </w:r>
      <w:r w:rsidRPr="003F4710">
        <w:rPr>
          <w:rFonts w:ascii="Calibri" w:hAnsi="Calibri" w:cs="Calibri"/>
          <w:i/>
          <w:iCs/>
          <w:noProof/>
          <w:sz w:val="20"/>
          <w:szCs w:val="24"/>
        </w:rPr>
        <w:t>Qualitative research and evaluation methods</w:t>
      </w:r>
      <w:r w:rsidRPr="003F4710">
        <w:rPr>
          <w:rFonts w:ascii="Calibri" w:hAnsi="Calibri" w:cs="Calibri"/>
          <w:noProof/>
          <w:sz w:val="20"/>
          <w:szCs w:val="24"/>
        </w:rPr>
        <w:t>. 3rd edition. Thousand Oaks: SAGE Publications Inc.</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Pearl, R. L. &amp; Lebowitz, M. S. (2014) Beyond personal responsibility: Effects of causal attributions for </w:t>
      </w:r>
      <w:r w:rsidRPr="003F4710">
        <w:rPr>
          <w:rFonts w:ascii="Calibri" w:hAnsi="Calibri" w:cs="Calibri"/>
          <w:noProof/>
          <w:sz w:val="20"/>
          <w:szCs w:val="24"/>
        </w:rPr>
        <w:lastRenderedPageBreak/>
        <w:t xml:space="preserve">overweight and obesity on weight-related beliefs, stigma, and policy support. </w:t>
      </w:r>
      <w:r w:rsidRPr="003F4710">
        <w:rPr>
          <w:rFonts w:ascii="Calibri" w:hAnsi="Calibri" w:cs="Calibri"/>
          <w:i/>
          <w:iCs/>
          <w:noProof/>
          <w:sz w:val="20"/>
          <w:szCs w:val="24"/>
        </w:rPr>
        <w:t>Psychology &amp; Health</w:t>
      </w:r>
      <w:r w:rsidRPr="003F4710">
        <w:rPr>
          <w:rFonts w:ascii="Calibri" w:hAnsi="Calibri" w:cs="Calibri"/>
          <w:noProof/>
          <w:sz w:val="20"/>
          <w:szCs w:val="24"/>
        </w:rPr>
        <w:t>. 29 (10), 1176–1191. [online]. Available from: http://www.ncbi.nlm.nih.gov/pubmed/24754230 (Accessed 28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Pearson, N. et al. (2009) Patterns of adolescent physical activity and dietary behaviours. </w:t>
      </w:r>
      <w:r w:rsidRPr="003F4710">
        <w:rPr>
          <w:rFonts w:ascii="Calibri" w:hAnsi="Calibri" w:cs="Calibri"/>
          <w:i/>
          <w:iCs/>
          <w:noProof/>
          <w:sz w:val="20"/>
          <w:szCs w:val="24"/>
        </w:rPr>
        <w:t>The international journal of behavioral nutrition and physical activity</w:t>
      </w:r>
      <w:r w:rsidRPr="003F4710">
        <w:rPr>
          <w:rFonts w:ascii="Calibri" w:hAnsi="Calibri" w:cs="Calibri"/>
          <w:noProof/>
          <w:sz w:val="20"/>
          <w:szCs w:val="24"/>
        </w:rPr>
        <w:t>. 6(45). [online]. Available from: http://www.ncbi.nlm.nih.gov/pubmed/19624822 (Accessed 17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Peat, J. K. et al. (2002) </w:t>
      </w:r>
      <w:r w:rsidRPr="003F4710">
        <w:rPr>
          <w:rFonts w:ascii="Calibri" w:hAnsi="Calibri" w:cs="Calibri"/>
          <w:i/>
          <w:iCs/>
          <w:noProof/>
          <w:sz w:val="20"/>
          <w:szCs w:val="24"/>
        </w:rPr>
        <w:t>Health science research : a handbook of quantitative methods</w:t>
      </w:r>
      <w:r w:rsidRPr="003F4710">
        <w:rPr>
          <w:rFonts w:ascii="Calibri" w:hAnsi="Calibri" w:cs="Calibri"/>
          <w:noProof/>
          <w:sz w:val="20"/>
          <w:szCs w:val="24"/>
        </w:rPr>
        <w:t>. London: SAGE Publications Ltd.</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Pelone, F. &amp; Specchia, M. (2012) Economic impact of childhood obesity on health systems: a systematic review. </w:t>
      </w:r>
      <w:r w:rsidRPr="003F4710">
        <w:rPr>
          <w:rFonts w:ascii="Calibri" w:hAnsi="Calibri" w:cs="Calibri"/>
          <w:i/>
          <w:iCs/>
          <w:noProof/>
          <w:sz w:val="20"/>
          <w:szCs w:val="24"/>
        </w:rPr>
        <w:t>Obesity reviews</w:t>
      </w:r>
      <w:r w:rsidRPr="003F4710">
        <w:rPr>
          <w:rFonts w:ascii="Calibri" w:hAnsi="Calibri" w:cs="Calibri"/>
          <w:noProof/>
          <w:sz w:val="20"/>
          <w:szCs w:val="24"/>
        </w:rPr>
        <w:t>. 13 (5), 431–440. [online]. Available from: http://onlinelibrary.wiley.com/doi/10.1111/j.1467-789X.2011.00968.x/full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Penn, H. (2008) </w:t>
      </w:r>
      <w:r w:rsidRPr="003F4710">
        <w:rPr>
          <w:rFonts w:ascii="Calibri" w:hAnsi="Calibri" w:cs="Calibri"/>
          <w:i/>
          <w:iCs/>
          <w:noProof/>
          <w:sz w:val="20"/>
          <w:szCs w:val="24"/>
        </w:rPr>
        <w:t>Understanding early childhood : issues and controversies</w:t>
      </w:r>
      <w:r w:rsidRPr="003F4710">
        <w:rPr>
          <w:rFonts w:ascii="Calibri" w:hAnsi="Calibri" w:cs="Calibri"/>
          <w:noProof/>
          <w:sz w:val="20"/>
          <w:szCs w:val="24"/>
        </w:rPr>
        <w:t>. 2nd edition. Maidenhead: McGraw Hill/Open University Press.</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Peterson, R. A. (Robert A. (1999) </w:t>
      </w:r>
      <w:r w:rsidRPr="003F4710">
        <w:rPr>
          <w:rFonts w:ascii="Calibri" w:hAnsi="Calibri" w:cs="Calibri"/>
          <w:i/>
          <w:iCs/>
          <w:noProof/>
          <w:sz w:val="20"/>
          <w:szCs w:val="24"/>
        </w:rPr>
        <w:t>Constructing effective questionnaires</w:t>
      </w:r>
      <w:r w:rsidRPr="003F4710">
        <w:rPr>
          <w:rFonts w:ascii="Calibri" w:hAnsi="Calibri" w:cs="Calibri"/>
          <w:noProof/>
          <w:sz w:val="20"/>
          <w:szCs w:val="24"/>
        </w:rPr>
        <w:t>. Thousand Oaks: SAGE Publications Inc.</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Polit, D. &amp; Beck, C. (2013) </w:t>
      </w:r>
      <w:r w:rsidRPr="003F4710">
        <w:rPr>
          <w:rFonts w:ascii="Calibri" w:hAnsi="Calibri" w:cs="Calibri"/>
          <w:i/>
          <w:iCs/>
          <w:noProof/>
          <w:sz w:val="20"/>
          <w:szCs w:val="24"/>
        </w:rPr>
        <w:t>Essentials of nursing research</w:t>
      </w:r>
      <w:r w:rsidRPr="003F4710">
        <w:rPr>
          <w:rFonts w:ascii="Calibri" w:hAnsi="Calibri" w:cs="Calibri"/>
          <w:noProof/>
          <w:sz w:val="20"/>
          <w:szCs w:val="24"/>
        </w:rPr>
        <w:t>. Philadelphia: Lippincott Williams &amp; Wilkins.</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Popay, J. et al. (1998) Rationale and Standards for the Systematic Review of Qualitative Literature in Health Services Research. </w:t>
      </w:r>
      <w:r w:rsidRPr="003F4710">
        <w:rPr>
          <w:rFonts w:ascii="Calibri" w:hAnsi="Calibri" w:cs="Calibri"/>
          <w:i/>
          <w:iCs/>
          <w:noProof/>
          <w:sz w:val="20"/>
          <w:szCs w:val="24"/>
        </w:rPr>
        <w:t>Qualitative Health Research</w:t>
      </w:r>
      <w:r w:rsidRPr="003F4710">
        <w:rPr>
          <w:rFonts w:ascii="Calibri" w:hAnsi="Calibri" w:cs="Calibri"/>
          <w:noProof/>
          <w:sz w:val="20"/>
          <w:szCs w:val="24"/>
        </w:rPr>
        <w:t>. 8 (3), 341–351. [online]. Available from: http://qhr.sagepub.com/cgi/doi/10.1177/104973239800800305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Pope, C. &amp; Mays, N. (2006) 'Qualitative Methods in Health Research', in C Pope &amp; N Mays (eds.) </w:t>
      </w:r>
      <w:r w:rsidRPr="003F4710">
        <w:rPr>
          <w:rFonts w:ascii="Calibri" w:hAnsi="Calibri" w:cs="Calibri"/>
          <w:i/>
          <w:iCs/>
          <w:noProof/>
          <w:sz w:val="20"/>
          <w:szCs w:val="24"/>
        </w:rPr>
        <w:t>Qualitative Research in Health Care</w:t>
      </w:r>
      <w:r w:rsidRPr="003F4710">
        <w:rPr>
          <w:rFonts w:ascii="Calibri" w:hAnsi="Calibri" w:cs="Calibri"/>
          <w:noProof/>
          <w:sz w:val="20"/>
          <w:szCs w:val="24"/>
        </w:rPr>
        <w:t>. 3rd edition Malden: . pp. 1–11. [online]. Available from: https://www.blackwellpublishing.co.uk/content/BPL_Images/Content_store/Sample_chapter/9781405135122/9781405135122_4_001.pdf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Power, C. et al. (1997) Measurement and long-term health risks of child and adolescent fatness. </w:t>
      </w:r>
      <w:r w:rsidRPr="003F4710">
        <w:rPr>
          <w:rFonts w:ascii="Calibri" w:hAnsi="Calibri" w:cs="Calibri"/>
          <w:i/>
          <w:iCs/>
          <w:noProof/>
          <w:sz w:val="20"/>
          <w:szCs w:val="24"/>
        </w:rPr>
        <w:t>International journal of obesity and related metabolic disorders : journal of the International Association for the Study of Obesity</w:t>
      </w:r>
      <w:r w:rsidRPr="003F4710">
        <w:rPr>
          <w:rFonts w:ascii="Calibri" w:hAnsi="Calibri" w:cs="Calibri"/>
          <w:noProof/>
          <w:sz w:val="20"/>
          <w:szCs w:val="24"/>
        </w:rPr>
        <w:t>. 21 (7), 507–526. [online]. Available from: http://www.ncbi.nlm.nih.gov/pubmed/9226480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Power, M. L. &amp; Schulkin, J. (2009) </w:t>
      </w:r>
      <w:r w:rsidRPr="003F4710">
        <w:rPr>
          <w:rFonts w:ascii="Calibri" w:hAnsi="Calibri" w:cs="Calibri"/>
          <w:i/>
          <w:iCs/>
          <w:noProof/>
          <w:sz w:val="20"/>
          <w:szCs w:val="24"/>
        </w:rPr>
        <w:t>The evolution of obesity</w:t>
      </w:r>
      <w:r w:rsidRPr="003F4710">
        <w:rPr>
          <w:rFonts w:ascii="Calibri" w:hAnsi="Calibri" w:cs="Calibri"/>
          <w:noProof/>
          <w:sz w:val="20"/>
          <w:szCs w:val="24"/>
        </w:rPr>
        <w:t>. Baltimore: Johns Hopkins University Press.</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Power, T. G. et al. (2010) Obesity Prevention in Early Adolescence: Student, Parent, and Teacher Views. </w:t>
      </w:r>
      <w:r w:rsidRPr="003F4710">
        <w:rPr>
          <w:rFonts w:ascii="Calibri" w:hAnsi="Calibri" w:cs="Calibri"/>
          <w:i/>
          <w:iCs/>
          <w:noProof/>
          <w:sz w:val="20"/>
          <w:szCs w:val="24"/>
        </w:rPr>
        <w:t>Journal of School Health</w:t>
      </w:r>
      <w:r w:rsidRPr="003F4710">
        <w:rPr>
          <w:rFonts w:ascii="Calibri" w:hAnsi="Calibri" w:cs="Calibri"/>
          <w:noProof/>
          <w:sz w:val="20"/>
          <w:szCs w:val="24"/>
        </w:rPr>
        <w:t>. 80 (1), 13–19. [online]. Available from: http://www.ncbi.nlm.nih.gov/pubmed/20051086 (Accessed 13 February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Procter, K. et al. (2008) Measuring the school impact on child obesity. </w:t>
      </w:r>
      <w:r w:rsidRPr="003F4710">
        <w:rPr>
          <w:rFonts w:ascii="Calibri" w:hAnsi="Calibri" w:cs="Calibri"/>
          <w:i/>
          <w:iCs/>
          <w:noProof/>
          <w:sz w:val="20"/>
          <w:szCs w:val="24"/>
        </w:rPr>
        <w:t>Social Science &amp; …</w:t>
      </w:r>
      <w:r w:rsidRPr="003F4710">
        <w:rPr>
          <w:rFonts w:ascii="Calibri" w:hAnsi="Calibri" w:cs="Calibri"/>
          <w:noProof/>
          <w:sz w:val="20"/>
          <w:szCs w:val="24"/>
        </w:rPr>
        <w:t>. 67 (2), 341–349. [online]. Available from: http://www.sciencedirect.com/science/article/pii/S0277953608001226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Prospective Studies Collaboration (2009) Body-mass index and cause-specific mortality in 900?000 adults: collaborative analyses of 57 prospective studies. </w:t>
      </w:r>
      <w:r w:rsidRPr="003F4710">
        <w:rPr>
          <w:rFonts w:ascii="Calibri" w:hAnsi="Calibri" w:cs="Calibri"/>
          <w:i/>
          <w:iCs/>
          <w:noProof/>
          <w:sz w:val="20"/>
          <w:szCs w:val="24"/>
        </w:rPr>
        <w:t>The Lancet</w:t>
      </w:r>
      <w:r w:rsidRPr="003F4710">
        <w:rPr>
          <w:rFonts w:ascii="Calibri" w:hAnsi="Calibri" w:cs="Calibri"/>
          <w:noProof/>
          <w:sz w:val="20"/>
          <w:szCs w:val="24"/>
        </w:rPr>
        <w:t>. 373 (9669), 1083–1096. [online]. Available from: http://linkinghub.elsevier.com/retrieve/pii/S0140673609603184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PROSPERO (2017) </w:t>
      </w:r>
      <w:r w:rsidRPr="003F4710">
        <w:rPr>
          <w:rFonts w:ascii="Calibri" w:hAnsi="Calibri" w:cs="Calibri"/>
          <w:i/>
          <w:iCs/>
          <w:noProof/>
          <w:sz w:val="20"/>
          <w:szCs w:val="24"/>
        </w:rPr>
        <w:t>PROSPERO</w:t>
      </w:r>
      <w:r w:rsidRPr="003F4710">
        <w:rPr>
          <w:rFonts w:ascii="Calibri" w:hAnsi="Calibri" w:cs="Calibri"/>
          <w:noProof/>
          <w:sz w:val="20"/>
          <w:szCs w:val="24"/>
        </w:rPr>
        <w:t xml:space="preserve"> [online]. Available from: https://www.crd.york.ac.uk/PROSPERO/#index.php.</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Public Health England (2011a) </w:t>
      </w:r>
      <w:r w:rsidRPr="003F4710">
        <w:rPr>
          <w:rFonts w:ascii="Calibri" w:hAnsi="Calibri" w:cs="Calibri"/>
          <w:i/>
          <w:iCs/>
          <w:noProof/>
          <w:sz w:val="20"/>
          <w:szCs w:val="24"/>
        </w:rPr>
        <w:t>A simple guide to classifying body mass index in children</w:t>
      </w:r>
      <w:r w:rsidRPr="003F4710">
        <w:rPr>
          <w:rFonts w:ascii="Calibri" w:hAnsi="Calibri" w:cs="Calibri"/>
          <w:noProof/>
          <w:sz w:val="20"/>
          <w:szCs w:val="24"/>
        </w:rPr>
        <w:t>. [online]. Available from: http://www.noo.org.uk/uploads/doc/vid_11601_A_simple_guide_to_classifying_BMI_in_children.pdf (Accessed 10 July 2015). [online]. Available from: http://www.noo.org.uk/uploads/doc/vid_11601_A_simple_guide_to_classifying_BMI_in_children.pdf (Accessed 10 July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Public Health England (2014a) </w:t>
      </w:r>
      <w:r w:rsidRPr="003F4710">
        <w:rPr>
          <w:rFonts w:ascii="Calibri" w:hAnsi="Calibri" w:cs="Calibri"/>
          <w:i/>
          <w:iCs/>
          <w:noProof/>
          <w:sz w:val="20"/>
          <w:szCs w:val="24"/>
        </w:rPr>
        <w:t>Child obesity and socioeconomic status data factsheet</w:t>
      </w:r>
      <w:r w:rsidRPr="003F4710">
        <w:rPr>
          <w:rFonts w:ascii="Calibri" w:hAnsi="Calibri" w:cs="Calibri"/>
          <w:noProof/>
          <w:sz w:val="20"/>
          <w:szCs w:val="24"/>
        </w:rPr>
        <w:t>. [online]. Available from: http://www.noo.org.uk/securefiles/160805_1340//ChildSocioeconomic_Aug2014_v2.pdf. [online]. Available from: http://www.noo.org.uk/securefiles/160805_1340//ChildSocioeconomic_Aug2014_v2.pdf.</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Public Health England (2016a) </w:t>
      </w:r>
      <w:r w:rsidRPr="003F4710">
        <w:rPr>
          <w:rFonts w:ascii="Calibri" w:hAnsi="Calibri" w:cs="Calibri"/>
          <w:i/>
          <w:iCs/>
          <w:noProof/>
          <w:sz w:val="20"/>
          <w:szCs w:val="24"/>
        </w:rPr>
        <w:t>National Diet and Nutrition Survey Results from Years 5 and 6 (combined) of the Rolling Programme (2012/2013 – 2013/2014)</w:t>
      </w:r>
      <w:r w:rsidRPr="003F4710">
        <w:rPr>
          <w:rFonts w:ascii="Calibri" w:hAnsi="Calibri" w:cs="Calibri"/>
          <w:noProof/>
          <w:sz w:val="20"/>
          <w:szCs w:val="24"/>
        </w:rPr>
        <w:t>. [online]. Available from: https://www.gov.uk/government/uploads/system/uploads/attachment_data/file/551352/NDNS_Y5_6_UK_Main_Text.pdf. [online]. Available from: https://www.gov.uk/government/uploads/system/uploads/attachment_data/file/551352/NDNS_Y5_6_UK_Main_Text.pdf.</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Public Health England (2011b) </w:t>
      </w:r>
      <w:r w:rsidRPr="003F4710">
        <w:rPr>
          <w:rFonts w:ascii="Calibri" w:hAnsi="Calibri" w:cs="Calibri"/>
          <w:i/>
          <w:iCs/>
          <w:noProof/>
          <w:sz w:val="20"/>
          <w:szCs w:val="24"/>
        </w:rPr>
        <w:t>Obesity and Ethnicity</w:t>
      </w:r>
      <w:r w:rsidRPr="003F4710">
        <w:rPr>
          <w:rFonts w:ascii="Calibri" w:hAnsi="Calibri" w:cs="Calibri"/>
          <w:noProof/>
          <w:sz w:val="20"/>
          <w:szCs w:val="24"/>
        </w:rPr>
        <w:t>. [online]. Available from: papers2://publication/uuid/A913AD00-8504-4ED1-B71C-5CDB4478400A. (January). [online]. Available from: papers2://publication/uuid/A913AD00-8504-4ED1-B71C-5CDB4478400A.</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Public Health England (2014b) </w:t>
      </w:r>
      <w:r w:rsidRPr="003F4710">
        <w:rPr>
          <w:rFonts w:ascii="Calibri" w:hAnsi="Calibri" w:cs="Calibri"/>
          <w:i/>
          <w:iCs/>
          <w:noProof/>
          <w:sz w:val="20"/>
          <w:szCs w:val="24"/>
        </w:rPr>
        <w:t>Obesity and the environment: Regulating the growth of fast food outlets</w:t>
      </w:r>
      <w:r w:rsidRPr="003F4710">
        <w:rPr>
          <w:rFonts w:ascii="Calibri" w:hAnsi="Calibri" w:cs="Calibri"/>
          <w:noProof/>
          <w:sz w:val="20"/>
          <w:szCs w:val="24"/>
        </w:rPr>
        <w:t xml:space="preserve">. </w:t>
      </w:r>
      <w:r w:rsidRPr="003F4710">
        <w:rPr>
          <w:rFonts w:ascii="Calibri" w:hAnsi="Calibri" w:cs="Calibri"/>
          <w:noProof/>
          <w:sz w:val="20"/>
          <w:szCs w:val="24"/>
        </w:rPr>
        <w:lastRenderedPageBreak/>
        <w:t>[online]. Available from: https://www.gov.uk/government/uploads/system/uploads/attachment_data/file/296248/Obesity_and_environment_March2014.pdf. [online]. Available from: https://www.gov.uk/government/uploads/system/uploads/attachment_data/file/296248/Obesity_and_environment_March2014.pdf.</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Public Health England (2016b) </w:t>
      </w:r>
      <w:r w:rsidRPr="003F4710">
        <w:rPr>
          <w:rFonts w:ascii="Calibri" w:hAnsi="Calibri" w:cs="Calibri"/>
          <w:i/>
          <w:iCs/>
          <w:noProof/>
          <w:sz w:val="20"/>
          <w:szCs w:val="24"/>
        </w:rPr>
        <w:t>Patterns and trends in child obesity</w:t>
      </w:r>
      <w:r w:rsidRPr="003F4710">
        <w:rPr>
          <w:rFonts w:ascii="Calibri" w:hAnsi="Calibri" w:cs="Calibri"/>
          <w:noProof/>
          <w:sz w:val="20"/>
          <w:szCs w:val="24"/>
        </w:rPr>
        <w:t>. [online]. Available from: http://www.noo.org.uk/slide_sets. [online]. Available from: http://www.noo.org.uk/slide_sets.</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Public Health England (2014c) </w:t>
      </w:r>
      <w:r w:rsidRPr="003F4710">
        <w:rPr>
          <w:rFonts w:ascii="Calibri" w:hAnsi="Calibri" w:cs="Calibri"/>
          <w:i/>
          <w:iCs/>
          <w:noProof/>
          <w:sz w:val="20"/>
          <w:szCs w:val="24"/>
        </w:rPr>
        <w:t>The link between pupil health and wellbeing and attainment</w:t>
      </w:r>
      <w:r w:rsidRPr="003F4710">
        <w:rPr>
          <w:rFonts w:ascii="Calibri" w:hAnsi="Calibri" w:cs="Calibri"/>
          <w:noProof/>
          <w:sz w:val="20"/>
          <w:szCs w:val="24"/>
        </w:rPr>
        <w:t>. [online]. Available from: https://www.gov.uk/government/uploads/system/uploads/attachment_data/file/370686/HT_briefing_layoutvFINALvii.pdf. [online]. Available from: https://www.gov.uk/government/uploads/system/uploads/attachment_data/file/370686/HT_briefing_layoutvFINALvii.pdf.</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Puder, J. &amp; Munsch, S. (2010) Psychological correlates of childhood obesity. </w:t>
      </w:r>
      <w:r w:rsidRPr="003F4710">
        <w:rPr>
          <w:rFonts w:ascii="Calibri" w:hAnsi="Calibri" w:cs="Calibri"/>
          <w:i/>
          <w:iCs/>
          <w:noProof/>
          <w:sz w:val="20"/>
          <w:szCs w:val="24"/>
        </w:rPr>
        <w:t>International Journal of Obesity</w:t>
      </w:r>
      <w:r w:rsidRPr="003F4710">
        <w:rPr>
          <w:rFonts w:ascii="Calibri" w:hAnsi="Calibri" w:cs="Calibri"/>
          <w:noProof/>
          <w:sz w:val="20"/>
          <w:szCs w:val="24"/>
        </w:rPr>
        <w:t>. 34 (Suppl 2), S37-43. [online]. Available from: http://www.nature.com/ijo/journal/v34/n2s/full/ijo2010238a.html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Puhl, R. &amp; Latner, J. (2007) Stigma, obesity, and the health of the nation’s children. </w:t>
      </w:r>
      <w:r w:rsidRPr="003F4710">
        <w:rPr>
          <w:rFonts w:ascii="Calibri" w:hAnsi="Calibri" w:cs="Calibri"/>
          <w:i/>
          <w:iCs/>
          <w:noProof/>
          <w:sz w:val="20"/>
          <w:szCs w:val="24"/>
        </w:rPr>
        <w:t>Psychological bulletin</w:t>
      </w:r>
      <w:r w:rsidRPr="003F4710">
        <w:rPr>
          <w:rFonts w:ascii="Calibri" w:hAnsi="Calibri" w:cs="Calibri"/>
          <w:noProof/>
          <w:sz w:val="20"/>
          <w:szCs w:val="24"/>
        </w:rPr>
        <w:t>. 133 (4), 557–80. [online]. Available from: http://psycnet.apa.org/journals/bul/133/4/557/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Puhl, R. M. &amp; Heuer, C. A. (2010) Obesity stigma: important considerations for public health. </w:t>
      </w:r>
      <w:r w:rsidRPr="003F4710">
        <w:rPr>
          <w:rFonts w:ascii="Calibri" w:hAnsi="Calibri" w:cs="Calibri"/>
          <w:i/>
          <w:iCs/>
          <w:noProof/>
          <w:sz w:val="20"/>
          <w:szCs w:val="24"/>
        </w:rPr>
        <w:t>American journal of public health</w:t>
      </w:r>
      <w:r w:rsidRPr="003F4710">
        <w:rPr>
          <w:rFonts w:ascii="Calibri" w:hAnsi="Calibri" w:cs="Calibri"/>
          <w:noProof/>
          <w:sz w:val="20"/>
          <w:szCs w:val="24"/>
        </w:rPr>
        <w:t>. 100 (6), 1019–1028. [online]. Available from: http://ajph.aphapublications.org/doi/10.2105/AJPH.2009.159491 (Accessed 14 May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Punch, K. (2009) </w:t>
      </w:r>
      <w:r w:rsidRPr="003F4710">
        <w:rPr>
          <w:rFonts w:ascii="Calibri" w:hAnsi="Calibri" w:cs="Calibri"/>
          <w:i/>
          <w:iCs/>
          <w:noProof/>
          <w:sz w:val="20"/>
          <w:szCs w:val="24"/>
        </w:rPr>
        <w:t>Introduction to research methods in education</w:t>
      </w:r>
      <w:r w:rsidRPr="003F4710">
        <w:rPr>
          <w:rFonts w:ascii="Calibri" w:hAnsi="Calibri" w:cs="Calibri"/>
          <w:noProof/>
          <w:sz w:val="20"/>
          <w:szCs w:val="24"/>
        </w:rPr>
        <w:t>. London: SAGE Publications Ltd.</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Punch, K. (2014) </w:t>
      </w:r>
      <w:r w:rsidRPr="003F4710">
        <w:rPr>
          <w:rFonts w:ascii="Calibri" w:hAnsi="Calibri" w:cs="Calibri"/>
          <w:i/>
          <w:iCs/>
          <w:noProof/>
          <w:sz w:val="20"/>
          <w:szCs w:val="24"/>
        </w:rPr>
        <w:t>Introduction to social research : Quantitative and qualitative approaches</w:t>
      </w:r>
      <w:r w:rsidRPr="003F4710">
        <w:rPr>
          <w:rFonts w:ascii="Calibri" w:hAnsi="Calibri" w:cs="Calibri"/>
          <w:noProof/>
          <w:sz w:val="20"/>
          <w:szCs w:val="24"/>
        </w:rPr>
        <w:t>. 3rd edition. London: SAGE Publications Ltd.</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Purcell, M. (2010) Raising healthy children: Moral and political responsibility for childhood obesity. </w:t>
      </w:r>
      <w:r w:rsidRPr="003F4710">
        <w:rPr>
          <w:rFonts w:ascii="Calibri" w:hAnsi="Calibri" w:cs="Calibri"/>
          <w:i/>
          <w:iCs/>
          <w:noProof/>
          <w:sz w:val="20"/>
          <w:szCs w:val="24"/>
        </w:rPr>
        <w:t>Journal of Public Health Policy</w:t>
      </w:r>
      <w:r w:rsidRPr="003F4710">
        <w:rPr>
          <w:rFonts w:ascii="Calibri" w:hAnsi="Calibri" w:cs="Calibri"/>
          <w:noProof/>
          <w:sz w:val="20"/>
          <w:szCs w:val="24"/>
        </w:rPr>
        <w:t>. 31 (4), 433–446. [online]. Available from: http://www.ncbi.nlm.nih.gov/pubmed/21119650 (Accessed 22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QSR International (2015) </w:t>
      </w:r>
      <w:r w:rsidRPr="003F4710">
        <w:rPr>
          <w:rFonts w:ascii="Calibri" w:hAnsi="Calibri" w:cs="Calibri"/>
          <w:i/>
          <w:iCs/>
          <w:noProof/>
          <w:sz w:val="20"/>
          <w:szCs w:val="24"/>
        </w:rPr>
        <w:t>NVivo 11 for Windows</w:t>
      </w:r>
      <w:r w:rsidRPr="003F4710">
        <w:rPr>
          <w:rFonts w:ascii="Calibri" w:hAnsi="Calibri" w:cs="Calibri"/>
          <w:noProof/>
          <w:sz w:val="20"/>
          <w:szCs w:val="24"/>
        </w:rPr>
        <w:t>. [online]. Available from: http://www.qsrinternational.com/nvivo-support/downloads. [online]. Available from: http://www.qsrinternational.com/nvivo-support/downloads.</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Rayner, G. &amp; Lang, T. (2011) Is nudge an effective public health strategy to tackle obesity? No. </w:t>
      </w:r>
      <w:r w:rsidRPr="003F4710">
        <w:rPr>
          <w:rFonts w:ascii="Calibri" w:hAnsi="Calibri" w:cs="Calibri"/>
          <w:i/>
          <w:iCs/>
          <w:noProof/>
          <w:sz w:val="20"/>
          <w:szCs w:val="24"/>
        </w:rPr>
        <w:t>BMJ</w:t>
      </w:r>
      <w:r w:rsidRPr="003F4710">
        <w:rPr>
          <w:rFonts w:ascii="Calibri" w:hAnsi="Calibri" w:cs="Calibri"/>
          <w:noProof/>
          <w:sz w:val="20"/>
          <w:szCs w:val="24"/>
        </w:rPr>
        <w:t>. [online]. Available from: http://www.bmj.com/content/342/bmj.d2177.full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Redline, S. &amp; Tishler, P. (1999) Risk factors for sleep-disordered breathing in children: associations with obesity, race, and respiratory problems. </w:t>
      </w:r>
      <w:r w:rsidRPr="003F4710">
        <w:rPr>
          <w:rFonts w:ascii="Calibri" w:hAnsi="Calibri" w:cs="Calibri"/>
          <w:i/>
          <w:iCs/>
          <w:noProof/>
          <w:sz w:val="20"/>
          <w:szCs w:val="24"/>
        </w:rPr>
        <w:t>American Journal of  …</w:t>
      </w:r>
      <w:r w:rsidRPr="003F4710">
        <w:rPr>
          <w:rFonts w:ascii="Calibri" w:hAnsi="Calibri" w:cs="Calibri"/>
          <w:noProof/>
          <w:sz w:val="20"/>
          <w:szCs w:val="24"/>
        </w:rPr>
        <w:t>. [online]. Available from: http://www.atsjournals.org/doi/abs/10.1164/ajrccm.159.5.9809079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Rees, R. et al. (2011) The views of young children in the UK about obesity, body size, shape and weight: a systematic review. </w:t>
      </w:r>
      <w:r w:rsidRPr="003F4710">
        <w:rPr>
          <w:rFonts w:ascii="Calibri" w:hAnsi="Calibri" w:cs="Calibri"/>
          <w:i/>
          <w:iCs/>
          <w:noProof/>
          <w:sz w:val="20"/>
          <w:szCs w:val="24"/>
        </w:rPr>
        <w:t>BMC public health</w:t>
      </w:r>
      <w:r w:rsidRPr="003F4710">
        <w:rPr>
          <w:rFonts w:ascii="Calibri" w:hAnsi="Calibri" w:cs="Calibri"/>
          <w:noProof/>
          <w:sz w:val="20"/>
          <w:szCs w:val="24"/>
        </w:rPr>
        <w:t>. 11 (1), 118. [online]. Available from: http://www.biomedcentral.com/1471-2458/11/188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Reilly, J. (2002) Assessment of childhood obesity: national reference data or international approach? </w:t>
      </w:r>
      <w:r w:rsidRPr="003F4710">
        <w:rPr>
          <w:rFonts w:ascii="Calibri" w:hAnsi="Calibri" w:cs="Calibri"/>
          <w:i/>
          <w:iCs/>
          <w:noProof/>
          <w:sz w:val="20"/>
          <w:szCs w:val="24"/>
        </w:rPr>
        <w:t>Obesity research</w:t>
      </w:r>
      <w:r w:rsidRPr="003F4710">
        <w:rPr>
          <w:rFonts w:ascii="Calibri" w:hAnsi="Calibri" w:cs="Calibri"/>
          <w:noProof/>
          <w:sz w:val="20"/>
          <w:szCs w:val="24"/>
        </w:rPr>
        <w:t>. 10 (8), 838–840. [online]. Available from: http://onlinelibrary.wiley.com/doi/10.1038/oby.2002.113/full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Reilly, J. (2005) Descriptive epidemiology and health consequences of childhood obesity. </w:t>
      </w:r>
      <w:r w:rsidRPr="003F4710">
        <w:rPr>
          <w:rFonts w:ascii="Calibri" w:hAnsi="Calibri" w:cs="Calibri"/>
          <w:i/>
          <w:iCs/>
          <w:noProof/>
          <w:sz w:val="20"/>
          <w:szCs w:val="24"/>
        </w:rPr>
        <w:t>Best Practice &amp; Research Clinical Endocrinology &amp; …</w:t>
      </w:r>
      <w:r w:rsidRPr="003F4710">
        <w:rPr>
          <w:rFonts w:ascii="Calibri" w:hAnsi="Calibri" w:cs="Calibri"/>
          <w:noProof/>
          <w:sz w:val="20"/>
          <w:szCs w:val="24"/>
        </w:rPr>
        <w:t>. 19 (3), 327–341. [online]. Available from: http://www.sciencedirect.com/science/article/pii/S1521690X05000345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Reilly, J. et al. (2005) Early life risk factors for obesity in childhood: cohort study. </w:t>
      </w:r>
      <w:r w:rsidRPr="003F4710">
        <w:rPr>
          <w:rFonts w:ascii="Calibri" w:hAnsi="Calibri" w:cs="Calibri"/>
          <w:i/>
          <w:iCs/>
          <w:noProof/>
          <w:sz w:val="20"/>
          <w:szCs w:val="24"/>
        </w:rPr>
        <w:t>BMJ</w:t>
      </w:r>
      <w:r w:rsidRPr="003F4710">
        <w:rPr>
          <w:rFonts w:ascii="Calibri" w:hAnsi="Calibri" w:cs="Calibri"/>
          <w:noProof/>
          <w:sz w:val="20"/>
          <w:szCs w:val="24"/>
        </w:rPr>
        <w:t>. 330 (1357), . [online]. Available from: http://www.bmj.com/content/bmj/early/2004/12/31/bmj.38470.670903.E0.full.pdf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Reilly, J. J. et al. (2003) Health consequences of obesity. </w:t>
      </w:r>
      <w:r w:rsidRPr="003F4710">
        <w:rPr>
          <w:rFonts w:ascii="Calibri" w:hAnsi="Calibri" w:cs="Calibri"/>
          <w:i/>
          <w:iCs/>
          <w:noProof/>
          <w:sz w:val="20"/>
          <w:szCs w:val="24"/>
        </w:rPr>
        <w:t>Archives of disease in childhood</w:t>
      </w:r>
      <w:r w:rsidRPr="003F4710">
        <w:rPr>
          <w:rFonts w:ascii="Calibri" w:hAnsi="Calibri" w:cs="Calibri"/>
          <w:noProof/>
          <w:sz w:val="20"/>
          <w:szCs w:val="24"/>
        </w:rPr>
        <w:t>. 88 (9), 748–752. [online]. Available from: http://www.ncbi.nlm.nih.gov/pubmed/12937090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Reilly, J. &amp; Kelly, J. (2011) Long-term impact of overweight and obesity in childhood and adolescence on morbidity and premature mortality in adulthood: systematic review. </w:t>
      </w:r>
      <w:r w:rsidRPr="003F4710">
        <w:rPr>
          <w:rFonts w:ascii="Calibri" w:hAnsi="Calibri" w:cs="Calibri"/>
          <w:i/>
          <w:iCs/>
          <w:noProof/>
          <w:sz w:val="20"/>
          <w:szCs w:val="24"/>
        </w:rPr>
        <w:t>International journal of obesity</w:t>
      </w:r>
      <w:r w:rsidRPr="003F4710">
        <w:rPr>
          <w:rFonts w:ascii="Calibri" w:hAnsi="Calibri" w:cs="Calibri"/>
          <w:noProof/>
          <w:sz w:val="20"/>
          <w:szCs w:val="24"/>
        </w:rPr>
        <w:t>. 35 (7), 891–898. [online]. Available from: http://www.nature.com/ijo/journal/v35/n7/abs/ijo2010222a.html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Reilly, J. &amp; Wilson, M. (2002) Obesity: diagnosis, prevention, and treatment; evidence based answers to common questions. </w:t>
      </w:r>
      <w:r w:rsidRPr="003F4710">
        <w:rPr>
          <w:rFonts w:ascii="Calibri" w:hAnsi="Calibri" w:cs="Calibri"/>
          <w:i/>
          <w:iCs/>
          <w:noProof/>
          <w:sz w:val="20"/>
          <w:szCs w:val="24"/>
        </w:rPr>
        <w:t>Archives of Disease in …</w:t>
      </w:r>
      <w:r w:rsidRPr="003F4710">
        <w:rPr>
          <w:rFonts w:ascii="Calibri" w:hAnsi="Calibri" w:cs="Calibri"/>
          <w:noProof/>
          <w:sz w:val="20"/>
          <w:szCs w:val="24"/>
        </w:rPr>
        <w:t>. 86(392–395). [online]. Available from: http://adc.bmj.com/content/86/6/392.short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lastRenderedPageBreak/>
        <w:t xml:space="preserve">Reinehr, T. (2013) Lifestyle intervention in childhood obesity: changes and challenges. </w:t>
      </w:r>
      <w:r w:rsidRPr="003F4710">
        <w:rPr>
          <w:rFonts w:ascii="Calibri" w:hAnsi="Calibri" w:cs="Calibri"/>
          <w:i/>
          <w:iCs/>
          <w:noProof/>
          <w:sz w:val="20"/>
          <w:szCs w:val="24"/>
        </w:rPr>
        <w:t>Nature Reviews Endocrinology</w:t>
      </w:r>
      <w:r w:rsidRPr="003F4710">
        <w:rPr>
          <w:rFonts w:ascii="Calibri" w:hAnsi="Calibri" w:cs="Calibri"/>
          <w:noProof/>
          <w:sz w:val="20"/>
          <w:szCs w:val="24"/>
        </w:rPr>
        <w:t>. 9 (10), 607–614. [online]. Available from: http://www.nature.com/nrendo/journal/v9/n10/abs/nrendo.2013.149.html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Reinharz, S. &amp; Davidman, L. (1992) </w:t>
      </w:r>
      <w:r w:rsidRPr="003F4710">
        <w:rPr>
          <w:rFonts w:ascii="Calibri" w:hAnsi="Calibri" w:cs="Calibri"/>
          <w:i/>
          <w:iCs/>
          <w:noProof/>
          <w:sz w:val="20"/>
          <w:szCs w:val="24"/>
        </w:rPr>
        <w:t>Feminist methods in social research.</w:t>
      </w:r>
      <w:r w:rsidRPr="003F4710">
        <w:rPr>
          <w:rFonts w:ascii="Calibri" w:hAnsi="Calibri" w:cs="Calibri"/>
          <w:noProof/>
          <w:sz w:val="20"/>
          <w:szCs w:val="24"/>
        </w:rPr>
        <w:t xml:space="preserve"> New York: Oxford University Press. [online]. Available from: http://psycnet.apa.org/psycinfo/1992-97684-000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Research Excellence Framework (2014) </w:t>
      </w:r>
      <w:r w:rsidRPr="003F4710">
        <w:rPr>
          <w:rFonts w:ascii="Calibri" w:hAnsi="Calibri" w:cs="Calibri"/>
          <w:i/>
          <w:iCs/>
          <w:noProof/>
          <w:sz w:val="20"/>
          <w:szCs w:val="24"/>
        </w:rPr>
        <w:t>About the REF</w:t>
      </w:r>
      <w:r w:rsidRPr="003F4710">
        <w:rPr>
          <w:rFonts w:ascii="Calibri" w:hAnsi="Calibri" w:cs="Calibri"/>
          <w:noProof/>
          <w:sz w:val="20"/>
          <w:szCs w:val="24"/>
        </w:rPr>
        <w:t xml:space="preserve"> [online]. Available from: http://www.ref.ac.uk/.</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Rietmeijer-Mentink, M. et al. (2013) Difference between parental perception and actual weight status of children: a systematic review. </w:t>
      </w:r>
      <w:r w:rsidRPr="003F4710">
        <w:rPr>
          <w:rFonts w:ascii="Calibri" w:hAnsi="Calibri" w:cs="Calibri"/>
          <w:i/>
          <w:iCs/>
          <w:noProof/>
          <w:sz w:val="20"/>
          <w:szCs w:val="24"/>
        </w:rPr>
        <w:t>Maternal &amp; Child Nutrition</w:t>
      </w:r>
      <w:r w:rsidRPr="003F4710">
        <w:rPr>
          <w:rFonts w:ascii="Calibri" w:hAnsi="Calibri" w:cs="Calibri"/>
          <w:noProof/>
          <w:sz w:val="20"/>
          <w:szCs w:val="24"/>
        </w:rPr>
        <w:t>. 9 (1), 3–22. [online]. Available from: http://www.ncbi.nlm.nih.gov/pubmed/23020552 (Accessed 11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Ritchie, J. et al. (2014) </w:t>
      </w:r>
      <w:r w:rsidRPr="003F4710">
        <w:rPr>
          <w:rFonts w:ascii="Calibri" w:hAnsi="Calibri" w:cs="Calibri"/>
          <w:i/>
          <w:iCs/>
          <w:noProof/>
          <w:sz w:val="20"/>
          <w:szCs w:val="24"/>
        </w:rPr>
        <w:t>Qualitative research practice : a guide for social science students and researchers</w:t>
      </w:r>
      <w:r w:rsidRPr="003F4710">
        <w:rPr>
          <w:rFonts w:ascii="Calibri" w:hAnsi="Calibri" w:cs="Calibri"/>
          <w:noProof/>
          <w:sz w:val="20"/>
          <w:szCs w:val="24"/>
        </w:rPr>
        <w:t>. 2nd edition. London: SAGE Publications Ltd.</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Ritchie, J. et al. (2013) </w:t>
      </w:r>
      <w:r w:rsidRPr="003F4710">
        <w:rPr>
          <w:rFonts w:ascii="Calibri" w:hAnsi="Calibri" w:cs="Calibri"/>
          <w:i/>
          <w:iCs/>
          <w:noProof/>
          <w:sz w:val="20"/>
          <w:szCs w:val="24"/>
        </w:rPr>
        <w:t>Qualitative research practice: A guide for social science students and researchers</w:t>
      </w:r>
      <w:r w:rsidRPr="003F4710">
        <w:rPr>
          <w:rFonts w:ascii="Calibri" w:hAnsi="Calibri" w:cs="Calibri"/>
          <w:noProof/>
          <w:sz w:val="20"/>
          <w:szCs w:val="24"/>
        </w:rPr>
        <w:t>. London: SAGE Publications Ltd.</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Ritchie, J. et al. (2003) </w:t>
      </w:r>
      <w:r w:rsidRPr="003F4710">
        <w:rPr>
          <w:rFonts w:ascii="Calibri" w:hAnsi="Calibri" w:cs="Calibri"/>
          <w:i/>
          <w:iCs/>
          <w:noProof/>
          <w:sz w:val="20"/>
          <w:szCs w:val="24"/>
        </w:rPr>
        <w:t>Qualitative Research Practice: A Guide for Social Science Students and Researchers</w:t>
      </w:r>
      <w:r w:rsidRPr="003F4710">
        <w:rPr>
          <w:rFonts w:ascii="Calibri" w:hAnsi="Calibri" w:cs="Calibri"/>
          <w:noProof/>
          <w:sz w:val="20"/>
          <w:szCs w:val="24"/>
        </w:rPr>
        <w:t>. London: SAGE Publications Ltd.</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Roberto, C. et al. (2015) Patchy progress on obesity prevention: emerging examples, entrenched barriers, and new thinking. </w:t>
      </w:r>
      <w:r w:rsidRPr="003F4710">
        <w:rPr>
          <w:rFonts w:ascii="Calibri" w:hAnsi="Calibri" w:cs="Calibri"/>
          <w:i/>
          <w:iCs/>
          <w:noProof/>
          <w:sz w:val="20"/>
          <w:szCs w:val="24"/>
        </w:rPr>
        <w:t>The Lancet</w:t>
      </w:r>
      <w:r w:rsidRPr="003F4710">
        <w:rPr>
          <w:rFonts w:ascii="Calibri" w:hAnsi="Calibri" w:cs="Calibri"/>
          <w:noProof/>
          <w:sz w:val="20"/>
          <w:szCs w:val="24"/>
        </w:rPr>
        <w:t>. 385 (9985), 2400–2409. [online]. Available from: http://www.sciencedirect.com/science/article/pii/S014067361461744X (Accessed 29 March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Roberts, N. &amp; Bolton, P. (2016) </w:t>
      </w:r>
      <w:r w:rsidRPr="003F4710">
        <w:rPr>
          <w:rFonts w:ascii="Calibri" w:hAnsi="Calibri" w:cs="Calibri"/>
          <w:i/>
          <w:iCs/>
          <w:noProof/>
          <w:sz w:val="20"/>
          <w:szCs w:val="24"/>
        </w:rPr>
        <w:t>Changes to school accountability and ‘league tables’ in England in 2016</w:t>
      </w:r>
      <w:r w:rsidRPr="003F4710">
        <w:rPr>
          <w:rFonts w:ascii="Calibri" w:hAnsi="Calibri" w:cs="Calibri"/>
          <w:noProof/>
          <w:sz w:val="20"/>
          <w:szCs w:val="24"/>
        </w:rPr>
        <w:t>. [online]. Available from: http://researchbriefings.files.parliament.uk/documents/CBP-7846/CBP-7846.pdf. [online]. Available from: http://researchbriefings.files.parliament.uk/documents/CBP-7846/CBP-7846.pdf.</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Robinson, E. et al. (2014) Visual identification of obesity by healthcare professionals: an experimental study of trainee and qualified GPs. </w:t>
      </w:r>
      <w:r w:rsidRPr="003F4710">
        <w:rPr>
          <w:rFonts w:ascii="Calibri" w:hAnsi="Calibri" w:cs="Calibri"/>
          <w:i/>
          <w:iCs/>
          <w:noProof/>
          <w:sz w:val="20"/>
          <w:szCs w:val="24"/>
        </w:rPr>
        <w:t>British Journal of General Practice</w:t>
      </w:r>
      <w:r w:rsidRPr="003F4710">
        <w:rPr>
          <w:rFonts w:ascii="Calibri" w:hAnsi="Calibri" w:cs="Calibri"/>
          <w:noProof/>
          <w:sz w:val="20"/>
          <w:szCs w:val="24"/>
        </w:rPr>
        <w:t>. 64 (628), e703–e708. [online]. Available from: http://www.ncbi.nlm.nih.gov/pubmed/25348994 (Accessed 11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Robinson, E. &amp; Christiansen, P. (2014) The changing face of obesity: Exposure to and acceptance of obesity. </w:t>
      </w:r>
      <w:r w:rsidRPr="003F4710">
        <w:rPr>
          <w:rFonts w:ascii="Calibri" w:hAnsi="Calibri" w:cs="Calibri"/>
          <w:i/>
          <w:iCs/>
          <w:noProof/>
          <w:sz w:val="20"/>
          <w:szCs w:val="24"/>
        </w:rPr>
        <w:t>Obesity</w:t>
      </w:r>
      <w:r w:rsidRPr="003F4710">
        <w:rPr>
          <w:rFonts w:ascii="Calibri" w:hAnsi="Calibri" w:cs="Calibri"/>
          <w:noProof/>
          <w:sz w:val="20"/>
          <w:szCs w:val="24"/>
        </w:rPr>
        <w:t>. 22 (5), 1380–1386. [online]. Available from: http://doi.wiley.com/10.1002/oby.20699 (Accessed 18 March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Robinson, E. &amp; Hogenkamp, P. S. (2015) Visual perceptions of male obesity: a cross-cultural study examining male and female lay perceptions of obesity in Caucasian males. </w:t>
      </w:r>
      <w:r w:rsidRPr="003F4710">
        <w:rPr>
          <w:rFonts w:ascii="Calibri" w:hAnsi="Calibri" w:cs="Calibri"/>
          <w:i/>
          <w:iCs/>
          <w:noProof/>
          <w:sz w:val="20"/>
          <w:szCs w:val="24"/>
        </w:rPr>
        <w:t>BMC Public Health</w:t>
      </w:r>
      <w:r w:rsidRPr="003F4710">
        <w:rPr>
          <w:rFonts w:ascii="Calibri" w:hAnsi="Calibri" w:cs="Calibri"/>
          <w:noProof/>
          <w:sz w:val="20"/>
          <w:szCs w:val="24"/>
        </w:rPr>
        <w:t>. 15 (1), 492. [online]. Available from: http://bmcpublichealth.biomedcentral.com/articles/10.1186/s12889-015-1821-3 (Accessed 18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Robson, C. (1993) </w:t>
      </w:r>
      <w:r w:rsidRPr="003F4710">
        <w:rPr>
          <w:rFonts w:ascii="Calibri" w:hAnsi="Calibri" w:cs="Calibri"/>
          <w:i/>
          <w:iCs/>
          <w:noProof/>
          <w:sz w:val="20"/>
          <w:szCs w:val="24"/>
        </w:rPr>
        <w:t>Real world research : a resource for social scientists and practitioner-researchers</w:t>
      </w:r>
      <w:r w:rsidRPr="003F4710">
        <w:rPr>
          <w:rFonts w:ascii="Calibri" w:hAnsi="Calibri" w:cs="Calibri"/>
          <w:noProof/>
          <w:sz w:val="20"/>
          <w:szCs w:val="24"/>
        </w:rPr>
        <w:t>. Oxford: Blackwell Publishers.</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Rodríguez-Rodríguez, E. (2011) Preliminary data on the association between waist circumference and insulin resistance in children without a previous diagnosis. </w:t>
      </w:r>
      <w:r w:rsidRPr="003F4710">
        <w:rPr>
          <w:rFonts w:ascii="Calibri" w:hAnsi="Calibri" w:cs="Calibri"/>
          <w:i/>
          <w:iCs/>
          <w:noProof/>
          <w:sz w:val="20"/>
          <w:szCs w:val="24"/>
        </w:rPr>
        <w:t>European journal of …</w:t>
      </w:r>
      <w:r w:rsidRPr="003F4710">
        <w:rPr>
          <w:rFonts w:ascii="Calibri" w:hAnsi="Calibri" w:cs="Calibri"/>
          <w:noProof/>
          <w:sz w:val="20"/>
          <w:szCs w:val="24"/>
        </w:rPr>
        <w:t>. 170 (1), 35–43. [online]. Available from: http://link.springer.com/article/10.1007/s00431-010-1260-1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Rolland-Cachera, M. &amp; Cole, T. (1991) Body Mass Index variations: centiles from birth to 87 years. </w:t>
      </w:r>
      <w:r w:rsidRPr="003F4710">
        <w:rPr>
          <w:rFonts w:ascii="Calibri" w:hAnsi="Calibri" w:cs="Calibri"/>
          <w:i/>
          <w:iCs/>
          <w:noProof/>
          <w:sz w:val="20"/>
          <w:szCs w:val="24"/>
        </w:rPr>
        <w:t>European journal of …</w:t>
      </w:r>
      <w:r w:rsidRPr="003F4710">
        <w:rPr>
          <w:rFonts w:ascii="Calibri" w:hAnsi="Calibri" w:cs="Calibri"/>
          <w:noProof/>
          <w:sz w:val="20"/>
          <w:szCs w:val="24"/>
        </w:rPr>
        <w:t>. 45 (1), 13–21. [online]. Available from: http://europepmc.org/abstract/med/1855495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Romero-Corral, A. et al. (2006) Association of bodyweight with total mortality and with cardiovascular events in coronary artery disease: a systematic review of cohort studies. </w:t>
      </w:r>
      <w:r w:rsidRPr="003F4710">
        <w:rPr>
          <w:rFonts w:ascii="Calibri" w:hAnsi="Calibri" w:cs="Calibri"/>
          <w:i/>
          <w:iCs/>
          <w:noProof/>
          <w:sz w:val="20"/>
          <w:szCs w:val="24"/>
        </w:rPr>
        <w:t>The Lancet</w:t>
      </w:r>
      <w:r w:rsidRPr="003F4710">
        <w:rPr>
          <w:rFonts w:ascii="Calibri" w:hAnsi="Calibri" w:cs="Calibri"/>
          <w:noProof/>
          <w:sz w:val="20"/>
          <w:szCs w:val="24"/>
        </w:rPr>
        <w:t>. 368 (9536), 666–678. [online]. Available from: http://www.sciencedirect.com/science/article/pii/S0140673606692519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Rousseau, D. M. et al. (2008) 11?Evidence in Management and Organizational Science: Assembling the Field?s Full Weight of Scientific Knowledge Through Syntheses. </w:t>
      </w:r>
      <w:r w:rsidRPr="003F4710">
        <w:rPr>
          <w:rFonts w:ascii="Calibri" w:hAnsi="Calibri" w:cs="Calibri"/>
          <w:i/>
          <w:iCs/>
          <w:noProof/>
          <w:sz w:val="20"/>
          <w:szCs w:val="24"/>
        </w:rPr>
        <w:t>The Academy of Management Annals</w:t>
      </w:r>
      <w:r w:rsidRPr="003F4710">
        <w:rPr>
          <w:rFonts w:ascii="Calibri" w:hAnsi="Calibri" w:cs="Calibri"/>
          <w:noProof/>
          <w:sz w:val="20"/>
          <w:szCs w:val="24"/>
        </w:rPr>
        <w:t>. 2 (1), 475–515. [online]. Available from: http://annals.aom.org/lookup/doi/10.1080/19416520802211651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Saguy, A. C. &amp; Almeling, R. (2008) Fat in the Fire? Science, the News Media, and the ‘Obesity Epidemic’ 2. </w:t>
      </w:r>
      <w:r w:rsidRPr="003F4710">
        <w:rPr>
          <w:rFonts w:ascii="Calibri" w:hAnsi="Calibri" w:cs="Calibri"/>
          <w:i/>
          <w:iCs/>
          <w:noProof/>
          <w:sz w:val="20"/>
          <w:szCs w:val="24"/>
        </w:rPr>
        <w:t>Sociological Forum</w:t>
      </w:r>
      <w:r w:rsidRPr="003F4710">
        <w:rPr>
          <w:rFonts w:ascii="Calibri" w:hAnsi="Calibri" w:cs="Calibri"/>
          <w:noProof/>
          <w:sz w:val="20"/>
          <w:szCs w:val="24"/>
        </w:rPr>
        <w:t>. 23 (1), 53–83. [online]. Available from: http://doi.wiley.com/10.1111/j.1600-0838.2004.00399.x-i1 (Accessed 14 January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Sale, J. et al. (2002) Revisiting the quantitative-qualitative debate: Implications for mixed-methods research. </w:t>
      </w:r>
      <w:r w:rsidRPr="003F4710">
        <w:rPr>
          <w:rFonts w:ascii="Calibri" w:hAnsi="Calibri" w:cs="Calibri"/>
          <w:i/>
          <w:iCs/>
          <w:noProof/>
          <w:sz w:val="20"/>
          <w:szCs w:val="24"/>
        </w:rPr>
        <w:t>Quality and quantity</w:t>
      </w:r>
      <w:r w:rsidRPr="003F4710">
        <w:rPr>
          <w:rFonts w:ascii="Calibri" w:hAnsi="Calibri" w:cs="Calibri"/>
          <w:noProof/>
          <w:sz w:val="20"/>
          <w:szCs w:val="24"/>
        </w:rPr>
        <w:t>. 36 (1), 43–53. [online]. Available from: http://link.springer.com/article/10.1023/A:1014301607592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Sallis, J. F. &amp; Glanz, K. (2009) Physical Activity and Food Environments: Solutions to the Obesity Epidemic. </w:t>
      </w:r>
      <w:r w:rsidRPr="003F4710">
        <w:rPr>
          <w:rFonts w:ascii="Calibri" w:hAnsi="Calibri" w:cs="Calibri"/>
          <w:i/>
          <w:iCs/>
          <w:noProof/>
          <w:sz w:val="20"/>
          <w:szCs w:val="24"/>
        </w:rPr>
        <w:lastRenderedPageBreak/>
        <w:t>Milbank Quarterly</w:t>
      </w:r>
      <w:r w:rsidRPr="003F4710">
        <w:rPr>
          <w:rFonts w:ascii="Calibri" w:hAnsi="Calibri" w:cs="Calibri"/>
          <w:noProof/>
          <w:sz w:val="20"/>
          <w:szCs w:val="24"/>
        </w:rPr>
        <w:t>. 87 (1), 123–154. [online]. Available from: http://www.ncbi.nlm.nih.gov/pubmed/19298418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Sammons, P. et al. (2011) Exploring the impact of school leadership on pupil outcomes: Results from a study of academically improved and effective schools in England. </w:t>
      </w:r>
      <w:r w:rsidRPr="003F4710">
        <w:rPr>
          <w:rFonts w:ascii="Calibri" w:hAnsi="Calibri" w:cs="Calibri"/>
          <w:i/>
          <w:iCs/>
          <w:noProof/>
          <w:sz w:val="20"/>
          <w:szCs w:val="24"/>
        </w:rPr>
        <w:t>International Journal of Educational Management</w:t>
      </w:r>
      <w:r w:rsidRPr="003F4710">
        <w:rPr>
          <w:rFonts w:ascii="Calibri" w:hAnsi="Calibri" w:cs="Calibri"/>
          <w:noProof/>
          <w:sz w:val="20"/>
          <w:szCs w:val="24"/>
        </w:rPr>
        <w:t>. 25 (1), 83–101. [online]. Available from: http://www.emeraldinsight.com/doi/abs/10.1108/09513541111100134 (Accessed 29 March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Sandals, L. &amp; Bryant, B. (2014) </w:t>
      </w:r>
      <w:r w:rsidRPr="003F4710">
        <w:rPr>
          <w:rFonts w:ascii="Calibri" w:hAnsi="Calibri" w:cs="Calibri"/>
          <w:i/>
          <w:iCs/>
          <w:noProof/>
          <w:sz w:val="20"/>
          <w:szCs w:val="24"/>
        </w:rPr>
        <w:t>The evolving education system in England: a ‘temperature check’</w:t>
      </w:r>
      <w:r w:rsidRPr="003F4710">
        <w:rPr>
          <w:rFonts w:ascii="Calibri" w:hAnsi="Calibri" w:cs="Calibri"/>
          <w:noProof/>
          <w:sz w:val="20"/>
          <w:szCs w:val="24"/>
        </w:rPr>
        <w:t>. [online]. Available from: https://www.gov.uk/government/uploads/system/uploads/attachment_data/file/325816/DFE-RR359.pdf (Accessed 16 October 2015). [online]. Available from: https://www.gov.uk/government/uploads/system/uploads/attachment_data/file/325816/DFE-RR359.pdf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Sandelowski, M. (2001) Real qualitative researchers do not count: The use of numbers in qualitative research. </w:t>
      </w:r>
      <w:r w:rsidRPr="003F4710">
        <w:rPr>
          <w:rFonts w:ascii="Calibri" w:hAnsi="Calibri" w:cs="Calibri"/>
          <w:i/>
          <w:iCs/>
          <w:noProof/>
          <w:sz w:val="20"/>
          <w:szCs w:val="24"/>
        </w:rPr>
        <w:t>Research in Nursing &amp; Health</w:t>
      </w:r>
      <w:r w:rsidRPr="003F4710">
        <w:rPr>
          <w:rFonts w:ascii="Calibri" w:hAnsi="Calibri" w:cs="Calibri"/>
          <w:noProof/>
          <w:sz w:val="20"/>
          <w:szCs w:val="24"/>
        </w:rPr>
        <w:t>. 24 (3), 230–240. [online]. Available from: http://doi.wiley.com/10.1002/nur.1025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Sandelowski, M. (1995) Sample size in qualitative research. </w:t>
      </w:r>
      <w:r w:rsidRPr="003F4710">
        <w:rPr>
          <w:rFonts w:ascii="Calibri" w:hAnsi="Calibri" w:cs="Calibri"/>
          <w:i/>
          <w:iCs/>
          <w:noProof/>
          <w:sz w:val="20"/>
          <w:szCs w:val="24"/>
        </w:rPr>
        <w:t>Research in Nursing &amp; Health</w:t>
      </w:r>
      <w:r w:rsidRPr="003F4710">
        <w:rPr>
          <w:rFonts w:ascii="Calibri" w:hAnsi="Calibri" w:cs="Calibri"/>
          <w:noProof/>
          <w:sz w:val="20"/>
          <w:szCs w:val="24"/>
        </w:rPr>
        <w:t>. 18 (2), 179–183. [online]. Available from: http://doi.wiley.com/10.1002/nur.4770180211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Sangster, R. (2016) 'Tackling Childhood Obesity', in </w:t>
      </w:r>
      <w:r w:rsidRPr="003F4710">
        <w:rPr>
          <w:rFonts w:ascii="Calibri" w:hAnsi="Calibri" w:cs="Calibri"/>
          <w:i/>
          <w:iCs/>
          <w:noProof/>
          <w:sz w:val="20"/>
          <w:szCs w:val="24"/>
        </w:rPr>
        <w:t>Tackling and Reducing Obesity in the UK</w:t>
      </w:r>
      <w:r w:rsidRPr="003F4710">
        <w:rPr>
          <w:rFonts w:ascii="Calibri" w:hAnsi="Calibri" w:cs="Calibri"/>
          <w:noProof/>
          <w:sz w:val="20"/>
          <w:szCs w:val="24"/>
        </w:rPr>
        <w:t>. 2016 Inside Government. p. [online]. Available from: http://www.insidegovernment.co.uk/uploads/2016/09/Obesityslides1.pdf.</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Sawyer, S. M. et al. (2012) Adolescence: a foundation for future health. </w:t>
      </w:r>
      <w:r w:rsidRPr="003F4710">
        <w:rPr>
          <w:rFonts w:ascii="Calibri" w:hAnsi="Calibri" w:cs="Calibri"/>
          <w:i/>
          <w:iCs/>
          <w:noProof/>
          <w:sz w:val="20"/>
          <w:szCs w:val="24"/>
        </w:rPr>
        <w:t>The Lancet</w:t>
      </w:r>
      <w:r w:rsidRPr="003F4710">
        <w:rPr>
          <w:rFonts w:ascii="Calibri" w:hAnsi="Calibri" w:cs="Calibri"/>
          <w:noProof/>
          <w:sz w:val="20"/>
          <w:szCs w:val="24"/>
        </w:rPr>
        <w:t>. 379 (9826), 1630–1640. [online]. Available from: http://www.ncbi.nlm.nih.gov/pubmed/22538178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Saxena, S. et al. (2004) Ethnic group differences in overweight and obese children and young people in England: cross sectional survey. </w:t>
      </w:r>
      <w:r w:rsidRPr="003F4710">
        <w:rPr>
          <w:rFonts w:ascii="Calibri" w:hAnsi="Calibri" w:cs="Calibri"/>
          <w:i/>
          <w:iCs/>
          <w:noProof/>
          <w:sz w:val="20"/>
          <w:szCs w:val="24"/>
        </w:rPr>
        <w:t>Archives of Disease in …</w:t>
      </w:r>
      <w:r w:rsidRPr="003F4710">
        <w:rPr>
          <w:rFonts w:ascii="Calibri" w:hAnsi="Calibri" w:cs="Calibri"/>
          <w:noProof/>
          <w:sz w:val="20"/>
          <w:szCs w:val="24"/>
        </w:rPr>
        <w:t>. 89 (1), 30–36. [online]. Available from: http://adc.bmj.com/content/89/1/30.abstract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Scientific Advisory Committee on Nutrition (2015) </w:t>
      </w:r>
      <w:r w:rsidRPr="003F4710">
        <w:rPr>
          <w:rFonts w:ascii="Calibri" w:hAnsi="Calibri" w:cs="Calibri"/>
          <w:i/>
          <w:iCs/>
          <w:noProof/>
          <w:sz w:val="20"/>
          <w:szCs w:val="24"/>
        </w:rPr>
        <w:t>Carbohydrates and Health</w:t>
      </w:r>
      <w:r w:rsidRPr="003F4710">
        <w:rPr>
          <w:rFonts w:ascii="Calibri" w:hAnsi="Calibri" w:cs="Calibri"/>
          <w:noProof/>
          <w:sz w:val="20"/>
          <w:szCs w:val="24"/>
        </w:rPr>
        <w:t>. [online]. Available from: https://www.gov.uk/government/uploads/system/uploads/attachment_data/file/445503/SACN_Carbohydrates_and_Health.pdf. [online]. Available from: https://www.gov.uk/government/uploads/system/uploads/attachment_data/file/445503/SACN_Carbohydrates_and_Health.pdf.</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Seale, C. &amp; Silverman, D. (1997) Ensuring rigour in qualitative research. </w:t>
      </w:r>
      <w:r w:rsidRPr="003F4710">
        <w:rPr>
          <w:rFonts w:ascii="Calibri" w:hAnsi="Calibri" w:cs="Calibri"/>
          <w:i/>
          <w:iCs/>
          <w:noProof/>
          <w:sz w:val="20"/>
          <w:szCs w:val="24"/>
        </w:rPr>
        <w:t>The European Journal of Public Health</w:t>
      </w:r>
      <w:r w:rsidRPr="003F4710">
        <w:rPr>
          <w:rFonts w:ascii="Calibri" w:hAnsi="Calibri" w:cs="Calibri"/>
          <w:noProof/>
          <w:sz w:val="20"/>
          <w:szCs w:val="24"/>
        </w:rPr>
        <w:t>. 7 (4), 379–384. [online]. Available from: http://eurpub.oxfordjournals.org/content/7/4/379.short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Shaibu, S. et al. (2012) Adolescent Obesity Prevention in Botswana. </w:t>
      </w:r>
      <w:r w:rsidRPr="003F4710">
        <w:rPr>
          <w:rFonts w:ascii="Calibri" w:hAnsi="Calibri" w:cs="Calibri"/>
          <w:i/>
          <w:iCs/>
          <w:noProof/>
          <w:sz w:val="20"/>
          <w:szCs w:val="24"/>
        </w:rPr>
        <w:t>The Journal of School Nursing</w:t>
      </w:r>
      <w:r w:rsidRPr="003F4710">
        <w:rPr>
          <w:rFonts w:ascii="Calibri" w:hAnsi="Calibri" w:cs="Calibri"/>
          <w:noProof/>
          <w:sz w:val="20"/>
          <w:szCs w:val="24"/>
        </w:rPr>
        <w:t>. 28 (3), 220–229. [online]. Available from: http://journals.sagepub.com/doi/10.1177/1059840511429003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Sharma, M. (2007) International school‐based interventions for preventing obesity in children. </w:t>
      </w:r>
      <w:r w:rsidRPr="003F4710">
        <w:rPr>
          <w:rFonts w:ascii="Calibri" w:hAnsi="Calibri" w:cs="Calibri"/>
          <w:i/>
          <w:iCs/>
          <w:noProof/>
          <w:sz w:val="20"/>
          <w:szCs w:val="24"/>
        </w:rPr>
        <w:t>Obesity Reviews</w:t>
      </w:r>
      <w:r w:rsidRPr="003F4710">
        <w:rPr>
          <w:rFonts w:ascii="Calibri" w:hAnsi="Calibri" w:cs="Calibri"/>
          <w:noProof/>
          <w:sz w:val="20"/>
          <w:szCs w:val="24"/>
        </w:rPr>
        <w:t>. 8 (2), 155–167. [online]. Available from: http://onlinelibrary.wiley.com/doi/10.1111/j.1467-789X.2006.00268.x/full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Sharma, M. (2006) School‐based interventions for childhood and adolescent obesity. </w:t>
      </w:r>
      <w:r w:rsidRPr="003F4710">
        <w:rPr>
          <w:rFonts w:ascii="Calibri" w:hAnsi="Calibri" w:cs="Calibri"/>
          <w:i/>
          <w:iCs/>
          <w:noProof/>
          <w:sz w:val="20"/>
          <w:szCs w:val="24"/>
        </w:rPr>
        <w:t>Obesity reviews</w:t>
      </w:r>
      <w:r w:rsidRPr="003F4710">
        <w:rPr>
          <w:rFonts w:ascii="Calibri" w:hAnsi="Calibri" w:cs="Calibri"/>
          <w:noProof/>
          <w:sz w:val="20"/>
          <w:szCs w:val="24"/>
        </w:rPr>
        <w:t>. 7 (3), 261–269. [online]. Available from: http://onlinelibrary.wiley.com/doi/10.1111/j.1467-789X.2006.00227.x/full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Shenton, A. K. (2004) Strategies for ensuring trustworthiness in qualitative research projects. </w:t>
      </w:r>
      <w:r w:rsidRPr="003F4710">
        <w:rPr>
          <w:rFonts w:ascii="Calibri" w:hAnsi="Calibri" w:cs="Calibri"/>
          <w:i/>
          <w:iCs/>
          <w:noProof/>
          <w:sz w:val="20"/>
          <w:szCs w:val="24"/>
        </w:rPr>
        <w:t>Education for Information</w:t>
      </w:r>
      <w:r w:rsidRPr="003F4710">
        <w:rPr>
          <w:rFonts w:ascii="Calibri" w:hAnsi="Calibri" w:cs="Calibri"/>
          <w:noProof/>
          <w:sz w:val="20"/>
          <w:szCs w:val="24"/>
        </w:rPr>
        <w:t>. 22 (2), 63–75. [online]. Available from: http://www.medra.org/servlet/aliasResolver?alias=iospress&amp;doi=10.3233/EFI-2004-22201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Shepherd, J. &amp; Dewhirst, S. (2013) Shepherd J, Dewhirst S, Pickett K, et al. Factors facilitating and constraining the delivery of effective teacher training to promote health and well-being in schools: a survey of current practice and systematic review. </w:t>
      </w:r>
      <w:r w:rsidRPr="003F4710">
        <w:rPr>
          <w:rFonts w:ascii="Calibri" w:hAnsi="Calibri" w:cs="Calibri"/>
          <w:i/>
          <w:iCs/>
          <w:noProof/>
          <w:sz w:val="20"/>
          <w:szCs w:val="24"/>
        </w:rPr>
        <w:t>Public Health Research</w:t>
      </w:r>
      <w:r w:rsidRPr="003F4710">
        <w:rPr>
          <w:rFonts w:ascii="Calibri" w:hAnsi="Calibri" w:cs="Calibri"/>
          <w:noProof/>
          <w:sz w:val="20"/>
          <w:szCs w:val="24"/>
        </w:rPr>
        <w:t>. 1. (2), . [online]. Available from: https://www.ncbi.nlm.nih.gov/books/NBK262793/pdf/Bookshelf_NBK262793.pdf (Accessed 29 March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de Silva-Sanigorski, A. M. &amp; Economos, C. (2010) 'Evidence of Multi-Setting Approaches for Obesity Prevention: Translation to Best Practice', in E Waters et al. (eds.) </w:t>
      </w:r>
      <w:r w:rsidRPr="003F4710">
        <w:rPr>
          <w:rFonts w:ascii="Calibri" w:hAnsi="Calibri" w:cs="Calibri"/>
          <w:i/>
          <w:iCs/>
          <w:noProof/>
          <w:sz w:val="20"/>
          <w:szCs w:val="24"/>
        </w:rPr>
        <w:t>Preventing Childhood Obesity: Evidence Policy and Practice</w:t>
      </w:r>
      <w:r w:rsidRPr="003F4710">
        <w:rPr>
          <w:rFonts w:ascii="Calibri" w:hAnsi="Calibri" w:cs="Calibri"/>
          <w:noProof/>
          <w:sz w:val="20"/>
          <w:szCs w:val="24"/>
        </w:rPr>
        <w:t>. Oxford, UK: Wiley-Blackwell. pp. 57–63. [online]. Available from: http://doi.wiley.com/10.1002/9781444318517.ch7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Silver, C. &amp; Lewins, A. (2014) </w:t>
      </w:r>
      <w:r w:rsidRPr="003F4710">
        <w:rPr>
          <w:rFonts w:ascii="Calibri" w:hAnsi="Calibri" w:cs="Calibri"/>
          <w:i/>
          <w:iCs/>
          <w:noProof/>
          <w:sz w:val="20"/>
          <w:szCs w:val="24"/>
        </w:rPr>
        <w:t>Using software in qualitative research : a step-by-step guide</w:t>
      </w:r>
      <w:r w:rsidRPr="003F4710">
        <w:rPr>
          <w:rFonts w:ascii="Calibri" w:hAnsi="Calibri" w:cs="Calibri"/>
          <w:noProof/>
          <w:sz w:val="20"/>
          <w:szCs w:val="24"/>
        </w:rPr>
        <w:t>. London: SAGE Publications Ltd.</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lastRenderedPageBreak/>
        <w:t xml:space="preserve">Silverman, D. (2013) </w:t>
      </w:r>
      <w:r w:rsidRPr="003F4710">
        <w:rPr>
          <w:rFonts w:ascii="Calibri" w:hAnsi="Calibri" w:cs="Calibri"/>
          <w:i/>
          <w:iCs/>
          <w:noProof/>
          <w:sz w:val="20"/>
          <w:szCs w:val="24"/>
        </w:rPr>
        <w:t>Doing qualitative research: A practical handbook</w:t>
      </w:r>
      <w:r w:rsidRPr="003F4710">
        <w:rPr>
          <w:rFonts w:ascii="Calibri" w:hAnsi="Calibri" w:cs="Calibri"/>
          <w:noProof/>
          <w:sz w:val="20"/>
          <w:szCs w:val="24"/>
        </w:rPr>
        <w:t>. 4th edition. London: SAGE Publications Ltd.</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Simkins, T. (2014) School restructuring in England: New school configurations and new challenges. </w:t>
      </w:r>
      <w:r w:rsidRPr="003F4710">
        <w:rPr>
          <w:rFonts w:ascii="Calibri" w:hAnsi="Calibri" w:cs="Calibri"/>
          <w:i/>
          <w:iCs/>
          <w:noProof/>
          <w:sz w:val="20"/>
          <w:szCs w:val="24"/>
        </w:rPr>
        <w:t>Management in Education</w:t>
      </w:r>
      <w:r w:rsidRPr="003F4710">
        <w:rPr>
          <w:rFonts w:ascii="Calibri" w:hAnsi="Calibri" w:cs="Calibri"/>
          <w:noProof/>
          <w:sz w:val="20"/>
          <w:szCs w:val="24"/>
        </w:rPr>
        <w:t>. 29 (1), 4–8. [online]. Available from: http://mie.sagepub.com/content/29/1/4.short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Singh, A. &amp; Mulder, C. (2008) Tracking of childhood overweight into adulthood: a systematic review of the literature. </w:t>
      </w:r>
      <w:r w:rsidRPr="003F4710">
        <w:rPr>
          <w:rFonts w:ascii="Calibri" w:hAnsi="Calibri" w:cs="Calibri"/>
          <w:i/>
          <w:iCs/>
          <w:noProof/>
          <w:sz w:val="20"/>
          <w:szCs w:val="24"/>
        </w:rPr>
        <w:t>Obesity …</w:t>
      </w:r>
      <w:r w:rsidRPr="003F4710">
        <w:rPr>
          <w:rFonts w:ascii="Calibri" w:hAnsi="Calibri" w:cs="Calibri"/>
          <w:noProof/>
          <w:sz w:val="20"/>
          <w:szCs w:val="24"/>
        </w:rPr>
        <w:t>. 9 (5), 474–488. [online]. Available from: http://onlinelibrary.wiley.com/doi/10.1111/j.1467-789X.2008.00475.x/pdf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Slife, B. &amp; Williams, R. (1995) </w:t>
      </w:r>
      <w:r w:rsidRPr="003F4710">
        <w:rPr>
          <w:rFonts w:ascii="Calibri" w:hAnsi="Calibri" w:cs="Calibri"/>
          <w:i/>
          <w:iCs/>
          <w:noProof/>
          <w:sz w:val="20"/>
          <w:szCs w:val="24"/>
        </w:rPr>
        <w:t>What’s behind the research?: Discovering hidden assumptions in the behavioral sciences</w:t>
      </w:r>
      <w:r w:rsidRPr="003F4710">
        <w:rPr>
          <w:rFonts w:ascii="Calibri" w:hAnsi="Calibri" w:cs="Calibri"/>
          <w:noProof/>
          <w:sz w:val="20"/>
          <w:szCs w:val="24"/>
        </w:rPr>
        <w:t>. Thousand Oaks: SAGE Publications Inc.</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Smith, J. A. &amp; Osborn, M. (2015) Interpretative phenomenological analysis as a useful methodology for research on the lived experience of pain. </w:t>
      </w:r>
      <w:r w:rsidRPr="003F4710">
        <w:rPr>
          <w:rFonts w:ascii="Calibri" w:hAnsi="Calibri" w:cs="Calibri"/>
          <w:i/>
          <w:iCs/>
          <w:noProof/>
          <w:sz w:val="20"/>
          <w:szCs w:val="24"/>
        </w:rPr>
        <w:t>British Journal of Pain</w:t>
      </w:r>
      <w:r w:rsidRPr="003F4710">
        <w:rPr>
          <w:rFonts w:ascii="Calibri" w:hAnsi="Calibri" w:cs="Calibri"/>
          <w:noProof/>
          <w:sz w:val="20"/>
          <w:szCs w:val="24"/>
        </w:rPr>
        <w:t>. 9 (1), 41–42. [online]. Available from: http://journals.sagepub.com/doi/10.1177/2049463714541642 (Accessed 14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Smith, J. &amp; Firth, J. (2011) Qualitative data analysis: the framework approach. </w:t>
      </w:r>
      <w:r w:rsidRPr="003F4710">
        <w:rPr>
          <w:rFonts w:ascii="Calibri" w:hAnsi="Calibri" w:cs="Calibri"/>
          <w:i/>
          <w:iCs/>
          <w:noProof/>
          <w:sz w:val="20"/>
          <w:szCs w:val="24"/>
        </w:rPr>
        <w:t>Nurse researcher</w:t>
      </w:r>
      <w:r w:rsidRPr="003F4710">
        <w:rPr>
          <w:rFonts w:ascii="Calibri" w:hAnsi="Calibri" w:cs="Calibri"/>
          <w:noProof/>
          <w:sz w:val="20"/>
          <w:szCs w:val="24"/>
        </w:rPr>
        <w:t>. 18 (2), 52–62. [online]. Available from: http://www.ncbi.nlm.nih.gov/pubmed/21319484.</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Smith, P. H. et al. (1995) Measuring battering: development of the Women’s Experience with Battering (WEB) Scale. </w:t>
      </w:r>
      <w:r w:rsidRPr="003F4710">
        <w:rPr>
          <w:rFonts w:ascii="Calibri" w:hAnsi="Calibri" w:cs="Calibri"/>
          <w:i/>
          <w:iCs/>
          <w:noProof/>
          <w:sz w:val="20"/>
          <w:szCs w:val="24"/>
        </w:rPr>
        <w:t>Women’s health (Hillsdale, N.J.)</w:t>
      </w:r>
      <w:r w:rsidRPr="003F4710">
        <w:rPr>
          <w:rFonts w:ascii="Calibri" w:hAnsi="Calibri" w:cs="Calibri"/>
          <w:noProof/>
          <w:sz w:val="20"/>
          <w:szCs w:val="24"/>
        </w:rPr>
        <w:t>. 1 (4), 273–288. [online]. Available from: http://www.ncbi.nlm.nih.gov/pubmed/9373384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Snape, D. &amp; Spencer, L. (2003) 'The Foundations of Qualitative Research', in </w:t>
      </w:r>
      <w:r w:rsidRPr="003F4710">
        <w:rPr>
          <w:rFonts w:ascii="Calibri" w:hAnsi="Calibri" w:cs="Calibri"/>
          <w:i/>
          <w:iCs/>
          <w:noProof/>
          <w:sz w:val="20"/>
          <w:szCs w:val="24"/>
        </w:rPr>
        <w:t>Qualitative Research Practice: A Guide for Social Science Students and Researchers</w:t>
      </w:r>
      <w:r w:rsidRPr="003F4710">
        <w:rPr>
          <w:rFonts w:ascii="Calibri" w:hAnsi="Calibri" w:cs="Calibri"/>
          <w:noProof/>
          <w:sz w:val="20"/>
          <w:szCs w:val="24"/>
        </w:rPr>
        <w:t>. Thousand Oaks: SAGE Publications Inc. pp. 1–23.</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Stamatakis, E. et al. (2010) Childhood obesity and overweight prevalence trends in England: evidence for growing socioeconomic disparities. </w:t>
      </w:r>
      <w:r w:rsidRPr="003F4710">
        <w:rPr>
          <w:rFonts w:ascii="Calibri" w:hAnsi="Calibri" w:cs="Calibri"/>
          <w:i/>
          <w:iCs/>
          <w:noProof/>
          <w:sz w:val="20"/>
          <w:szCs w:val="24"/>
        </w:rPr>
        <w:t>International journal of obesity</w:t>
      </w:r>
      <w:r w:rsidRPr="003F4710">
        <w:rPr>
          <w:rFonts w:ascii="Calibri" w:hAnsi="Calibri" w:cs="Calibri"/>
          <w:noProof/>
          <w:sz w:val="20"/>
          <w:szCs w:val="24"/>
        </w:rPr>
        <w:t>. [online]. Available from: http://www.nature.com/ijo/journal/v34/n1/abs/ijo2009217a.html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Stamatakis, E. et al. (2005) Overweight and obesity trends from 1974 to 2003 in English children: what is the role of socioeconomic factors? </w:t>
      </w:r>
      <w:r w:rsidRPr="003F4710">
        <w:rPr>
          <w:rFonts w:ascii="Calibri" w:hAnsi="Calibri" w:cs="Calibri"/>
          <w:i/>
          <w:iCs/>
          <w:noProof/>
          <w:sz w:val="20"/>
          <w:szCs w:val="24"/>
        </w:rPr>
        <w:t>Archives of Disease in Childhood</w:t>
      </w:r>
      <w:r w:rsidRPr="003F4710">
        <w:rPr>
          <w:rFonts w:ascii="Calibri" w:hAnsi="Calibri" w:cs="Calibri"/>
          <w:noProof/>
          <w:sz w:val="20"/>
          <w:szCs w:val="24"/>
        </w:rPr>
        <w:t>. 90 (10), 999–1004. [online]. Available from: http://adc.bmj.com/cgi/doi/10.1136/adc.2004.068932 (Accessed 2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Standley, R. et al. (2009) Self-perceived weight in adolescents: Over-estimation or under-estimation? </w:t>
      </w:r>
      <w:r w:rsidRPr="003F4710">
        <w:rPr>
          <w:rFonts w:ascii="Calibri" w:hAnsi="Calibri" w:cs="Calibri"/>
          <w:i/>
          <w:iCs/>
          <w:noProof/>
          <w:sz w:val="20"/>
          <w:szCs w:val="24"/>
        </w:rPr>
        <w:t>Body Image</w:t>
      </w:r>
      <w:r w:rsidRPr="003F4710">
        <w:rPr>
          <w:rFonts w:ascii="Calibri" w:hAnsi="Calibri" w:cs="Calibri"/>
          <w:noProof/>
          <w:sz w:val="20"/>
          <w:szCs w:val="24"/>
        </w:rPr>
        <w:t>. 6 (1), 56–59. [online]. Available from: http://linkinghub.elsevier.com/retrieve/pii/S1740144508001010 (Accessed 11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Starks, H. &amp; Trinidad, S. (2007) Choose your method: A comparison of phenomenology, discourse analysis, and grounded theory. </w:t>
      </w:r>
      <w:r w:rsidRPr="003F4710">
        <w:rPr>
          <w:rFonts w:ascii="Calibri" w:hAnsi="Calibri" w:cs="Calibri"/>
          <w:i/>
          <w:iCs/>
          <w:noProof/>
          <w:sz w:val="20"/>
          <w:szCs w:val="24"/>
        </w:rPr>
        <w:t>Qualitative health research</w:t>
      </w:r>
      <w:r w:rsidRPr="003F4710">
        <w:rPr>
          <w:rFonts w:ascii="Calibri" w:hAnsi="Calibri" w:cs="Calibri"/>
          <w:noProof/>
          <w:sz w:val="20"/>
          <w:szCs w:val="24"/>
        </w:rPr>
        <w:t>. 17 (10), 1372–1380. [online]. Available from: http://qhr.sagepub.com/content/17/10/1372.short (Accessed 18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Stead, R. &amp; Neville, M. (2010) The impact of physical education and sport on education outcomes: a review of literature. Loughborough: Institute of Youth Sport</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Steinberg, L. &amp; Monahan, K. (2007) Age differences in resistance to peer influence. </w:t>
      </w:r>
      <w:r w:rsidRPr="003F4710">
        <w:rPr>
          <w:rFonts w:ascii="Calibri" w:hAnsi="Calibri" w:cs="Calibri"/>
          <w:i/>
          <w:iCs/>
          <w:noProof/>
          <w:sz w:val="20"/>
          <w:szCs w:val="24"/>
        </w:rPr>
        <w:t>Developmental psychology</w:t>
      </w:r>
      <w:r w:rsidRPr="003F4710">
        <w:rPr>
          <w:rFonts w:ascii="Calibri" w:hAnsi="Calibri" w:cs="Calibri"/>
          <w:noProof/>
          <w:sz w:val="20"/>
          <w:szCs w:val="24"/>
        </w:rPr>
        <w:t>. 43 (6), 1531–1543. [online]. Available from: http://psycnet.apa.org/journals/dev/43/6/1531/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Stewart, D. et al. (2007) Promoting school connectedness through whole school approaches. </w:t>
      </w:r>
      <w:r w:rsidRPr="003F4710">
        <w:rPr>
          <w:rFonts w:ascii="Calibri" w:hAnsi="Calibri" w:cs="Calibri"/>
          <w:i/>
          <w:iCs/>
          <w:noProof/>
          <w:sz w:val="20"/>
          <w:szCs w:val="24"/>
        </w:rPr>
        <w:t>Health Education</w:t>
      </w:r>
      <w:r w:rsidRPr="003F4710">
        <w:rPr>
          <w:rFonts w:ascii="Calibri" w:hAnsi="Calibri" w:cs="Calibri"/>
          <w:noProof/>
          <w:sz w:val="20"/>
          <w:szCs w:val="24"/>
        </w:rPr>
        <w:t>. 107 (6), 524–542. [online]. Available from: http://www.emeraldinsight.com/doi/abs/10.1108/09654280710827920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Stewart, J. A. et al. (2004) Exercise level and energy expenditure in the TAKE 10! in-class physical activity program. </w:t>
      </w:r>
      <w:r w:rsidRPr="003F4710">
        <w:rPr>
          <w:rFonts w:ascii="Calibri" w:hAnsi="Calibri" w:cs="Calibri"/>
          <w:i/>
          <w:iCs/>
          <w:noProof/>
          <w:sz w:val="20"/>
          <w:szCs w:val="24"/>
        </w:rPr>
        <w:t>The Journal of school health</w:t>
      </w:r>
      <w:r w:rsidRPr="003F4710">
        <w:rPr>
          <w:rFonts w:ascii="Calibri" w:hAnsi="Calibri" w:cs="Calibri"/>
          <w:noProof/>
          <w:sz w:val="20"/>
          <w:szCs w:val="24"/>
        </w:rPr>
        <w:t>. 74 (10), 397–400. [online]. Available from: http://www.ncbi.nlm.nih.gov/pubmed/15724566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Story, M. (1999) School-based approaches for preventing and treating obesity. </w:t>
      </w:r>
      <w:r w:rsidRPr="003F4710">
        <w:rPr>
          <w:rFonts w:ascii="Calibri" w:hAnsi="Calibri" w:cs="Calibri"/>
          <w:i/>
          <w:iCs/>
          <w:noProof/>
          <w:sz w:val="20"/>
          <w:szCs w:val="24"/>
        </w:rPr>
        <w:t>International journal of obesity and related metabolic disorders : journal of the International Association for the Study of Obesity</w:t>
      </w:r>
      <w:r w:rsidRPr="003F4710">
        <w:rPr>
          <w:rFonts w:ascii="Calibri" w:hAnsi="Calibri" w:cs="Calibri"/>
          <w:noProof/>
          <w:sz w:val="20"/>
          <w:szCs w:val="24"/>
        </w:rPr>
        <w:t>. 23 Suppl 2S43-51. [online]. Available from: http://www.ncbi.nlm.nih.gov/pubmed/10340805 (Accessed 23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Story, M. et al. (2009) Schools and obesity prevention: creating school environments and policies to promote healthy eating and physical activity. </w:t>
      </w:r>
      <w:r w:rsidRPr="003F4710">
        <w:rPr>
          <w:rFonts w:ascii="Calibri" w:hAnsi="Calibri" w:cs="Calibri"/>
          <w:i/>
          <w:iCs/>
          <w:noProof/>
          <w:sz w:val="20"/>
          <w:szCs w:val="24"/>
        </w:rPr>
        <w:t>Milbank Quarterly</w:t>
      </w:r>
      <w:r w:rsidRPr="003F4710">
        <w:rPr>
          <w:rFonts w:ascii="Calibri" w:hAnsi="Calibri" w:cs="Calibri"/>
          <w:noProof/>
          <w:sz w:val="20"/>
          <w:szCs w:val="24"/>
        </w:rPr>
        <w:t>. 87 (1), 71–100. [online]. Available from: http://onlinelibrary.wiley.com/doi/10.1111/j.1468-0009.2009.00548.x/pdf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Story, M. &amp; Neumark-Stzainer, D. (2002) Management of child and adolescent obesity: attitudes, barriers, skills, and training needs among health care professionals. </w:t>
      </w:r>
      <w:r w:rsidRPr="003F4710">
        <w:rPr>
          <w:rFonts w:ascii="Calibri" w:hAnsi="Calibri" w:cs="Calibri"/>
          <w:i/>
          <w:iCs/>
          <w:noProof/>
          <w:sz w:val="20"/>
          <w:szCs w:val="24"/>
        </w:rPr>
        <w:t>Pediatrics</w:t>
      </w:r>
      <w:r w:rsidRPr="003F4710">
        <w:rPr>
          <w:rFonts w:ascii="Calibri" w:hAnsi="Calibri" w:cs="Calibri"/>
          <w:noProof/>
          <w:sz w:val="20"/>
          <w:szCs w:val="24"/>
        </w:rPr>
        <w:t>. 110 (Suppl 1), 210–214. [online]. Available from: http://pediatrics.aappublications.org/content/110/Supplement_1/210.short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Strauss, R. &amp; Pollack, H. (2003) Social marginalization of overweight children. </w:t>
      </w:r>
      <w:r w:rsidRPr="003F4710">
        <w:rPr>
          <w:rFonts w:ascii="Calibri" w:hAnsi="Calibri" w:cs="Calibri"/>
          <w:i/>
          <w:iCs/>
          <w:noProof/>
          <w:sz w:val="20"/>
          <w:szCs w:val="24"/>
        </w:rPr>
        <w:t>Archives of pediatrics &amp; adolescent medicine</w:t>
      </w:r>
      <w:r w:rsidRPr="003F4710">
        <w:rPr>
          <w:rFonts w:ascii="Calibri" w:hAnsi="Calibri" w:cs="Calibri"/>
          <w:noProof/>
          <w:sz w:val="20"/>
          <w:szCs w:val="24"/>
        </w:rPr>
        <w:t>. 157 (8), 746–752. [online]. Available from: http://archpedi.jamanetwork.com/article.aspx?articleid=481398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lastRenderedPageBreak/>
        <w:t xml:space="preserve">Sturges, J. E. &amp; Hanrahan, K. J. (2004) Comparing Telephone and Face-to-Face Qualitative Interviewing: a Research Note. </w:t>
      </w:r>
      <w:r w:rsidRPr="003F4710">
        <w:rPr>
          <w:rFonts w:ascii="Calibri" w:hAnsi="Calibri" w:cs="Calibri"/>
          <w:i/>
          <w:iCs/>
          <w:noProof/>
          <w:sz w:val="20"/>
          <w:szCs w:val="24"/>
        </w:rPr>
        <w:t>Qualitative Research</w:t>
      </w:r>
      <w:r w:rsidRPr="003F4710">
        <w:rPr>
          <w:rFonts w:ascii="Calibri" w:hAnsi="Calibri" w:cs="Calibri"/>
          <w:noProof/>
          <w:sz w:val="20"/>
          <w:szCs w:val="24"/>
        </w:rPr>
        <w:t>. 4 (1), 107–118. [online]. Available from: http://qrj.sagepub.com/content/4/1/107.abstract (Accessed 4 April 2016).</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Sue, V. M. &amp; Ritter, L. A. (2007) </w:t>
      </w:r>
      <w:r w:rsidRPr="003F4710">
        <w:rPr>
          <w:rFonts w:ascii="Calibri" w:hAnsi="Calibri" w:cs="Calibri"/>
          <w:i/>
          <w:iCs/>
          <w:noProof/>
          <w:sz w:val="20"/>
          <w:szCs w:val="24"/>
        </w:rPr>
        <w:t>Conducting online surveys</w:t>
      </w:r>
      <w:r w:rsidRPr="003F4710">
        <w:rPr>
          <w:rFonts w:ascii="Calibri" w:hAnsi="Calibri" w:cs="Calibri"/>
          <w:noProof/>
          <w:sz w:val="20"/>
          <w:szCs w:val="24"/>
        </w:rPr>
        <w:t>. SAGE Publications Inc.</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Sue, V. M. &amp; Ritter, L. A. (2012) </w:t>
      </w:r>
      <w:r w:rsidRPr="003F4710">
        <w:rPr>
          <w:rFonts w:ascii="Calibri" w:hAnsi="Calibri" w:cs="Calibri"/>
          <w:i/>
          <w:iCs/>
          <w:noProof/>
          <w:sz w:val="20"/>
          <w:szCs w:val="24"/>
        </w:rPr>
        <w:t>Conducting Online Surveys</w:t>
      </w:r>
      <w:r w:rsidRPr="003F4710">
        <w:rPr>
          <w:rFonts w:ascii="Calibri" w:hAnsi="Calibri" w:cs="Calibri"/>
          <w:noProof/>
          <w:sz w:val="20"/>
          <w:szCs w:val="24"/>
        </w:rPr>
        <w:t>. 2nd edition. Thousand Oaks: SAGE Publications, Inc.</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Suhrcke, M. &amp; Nieves, C. de P. (2011) </w:t>
      </w:r>
      <w:r w:rsidRPr="003F4710">
        <w:rPr>
          <w:rFonts w:ascii="Calibri" w:hAnsi="Calibri" w:cs="Calibri"/>
          <w:i/>
          <w:iCs/>
          <w:noProof/>
          <w:sz w:val="20"/>
          <w:szCs w:val="24"/>
        </w:rPr>
        <w:t>The impact of health and health behaviours on educational outcomes in high-income countries: a review of the evidence</w:t>
      </w:r>
      <w:r w:rsidRPr="003F4710">
        <w:rPr>
          <w:rFonts w:ascii="Calibri" w:hAnsi="Calibri" w:cs="Calibri"/>
          <w:noProof/>
          <w:sz w:val="20"/>
          <w:szCs w:val="24"/>
        </w:rPr>
        <w:t>.</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Swanton, K. (2008) Healthy Weight, Healthy Lives: A toolkit for developing local strategies. National Health Forum</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Swinburn, B. et al. (1999) Dissecting Obesogenic Environments: The Development and Application of a Framework for Identifying and Prioritizing Environmental Interventions for Obesity. </w:t>
      </w:r>
      <w:r w:rsidRPr="003F4710">
        <w:rPr>
          <w:rFonts w:ascii="Calibri" w:hAnsi="Calibri" w:cs="Calibri"/>
          <w:i/>
          <w:iCs/>
          <w:noProof/>
          <w:sz w:val="20"/>
          <w:szCs w:val="24"/>
        </w:rPr>
        <w:t>Preventive Medicine</w:t>
      </w:r>
      <w:r w:rsidRPr="003F4710">
        <w:rPr>
          <w:rFonts w:ascii="Calibri" w:hAnsi="Calibri" w:cs="Calibri"/>
          <w:noProof/>
          <w:sz w:val="20"/>
          <w:szCs w:val="24"/>
        </w:rPr>
        <w:t>. 29 (6), 563–570. [online]. Available from: http://www.ncbi.nlm.nih.gov/pubmed/10600438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Swinburn, B. et al. (2005) Obesity prevention: a proposed framework for translating evidence into action. </w:t>
      </w:r>
      <w:r w:rsidRPr="003F4710">
        <w:rPr>
          <w:rFonts w:ascii="Calibri" w:hAnsi="Calibri" w:cs="Calibri"/>
          <w:i/>
          <w:iCs/>
          <w:noProof/>
          <w:sz w:val="20"/>
          <w:szCs w:val="24"/>
        </w:rPr>
        <w:t>Obesity reviews</w:t>
      </w:r>
      <w:r w:rsidRPr="003F4710">
        <w:rPr>
          <w:rFonts w:ascii="Calibri" w:hAnsi="Calibri" w:cs="Calibri"/>
          <w:noProof/>
          <w:sz w:val="20"/>
          <w:szCs w:val="24"/>
        </w:rPr>
        <w:t>. 6 (1), 23–33. [online]. Available from: http://onlinelibrary.wiley.com/doi/10.1111/j.1467-789X.2005.00184.x/full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Swinburn, B. et al. (2015) Strengthening of accountability systems to create healthy food environments and reduce global obesity. </w:t>
      </w:r>
      <w:r w:rsidRPr="003F4710">
        <w:rPr>
          <w:rFonts w:ascii="Calibri" w:hAnsi="Calibri" w:cs="Calibri"/>
          <w:i/>
          <w:iCs/>
          <w:noProof/>
          <w:sz w:val="20"/>
          <w:szCs w:val="24"/>
        </w:rPr>
        <w:t>The Lancet</w:t>
      </w:r>
      <w:r w:rsidRPr="003F4710">
        <w:rPr>
          <w:rFonts w:ascii="Calibri" w:hAnsi="Calibri" w:cs="Calibri"/>
          <w:noProof/>
          <w:sz w:val="20"/>
          <w:szCs w:val="24"/>
        </w:rPr>
        <w:t>. 385 (9986), 2534–2545,. [online]. Available from: http://www.sciencedirect.com/science/article/pii/S0140673614617475 (Accessed 29 March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Swinburn, B. et al. (2011) The global obesity pandemic: shaped by global drivers and local environments. </w:t>
      </w:r>
      <w:r w:rsidRPr="003F4710">
        <w:rPr>
          <w:rFonts w:ascii="Calibri" w:hAnsi="Calibri" w:cs="Calibri"/>
          <w:i/>
          <w:iCs/>
          <w:noProof/>
          <w:sz w:val="20"/>
          <w:szCs w:val="24"/>
        </w:rPr>
        <w:t>The Lancet</w:t>
      </w:r>
      <w:r w:rsidRPr="003F4710">
        <w:rPr>
          <w:rFonts w:ascii="Calibri" w:hAnsi="Calibri" w:cs="Calibri"/>
          <w:noProof/>
          <w:sz w:val="20"/>
          <w:szCs w:val="24"/>
        </w:rPr>
        <w:t>. 378 (9793), 804–814. [online]. Available from: http://www.sciencedirect.com/science/article/pii/S0140673611608131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Szajewska, H. &amp; Ruszczyński, M. (2010) Systematic Review Demonstrating that Breakfast Consumption Influences Body Weight Outcomes in Children and Adolescents in Europe. </w:t>
      </w:r>
      <w:r w:rsidRPr="003F4710">
        <w:rPr>
          <w:rFonts w:ascii="Calibri" w:hAnsi="Calibri" w:cs="Calibri"/>
          <w:i/>
          <w:iCs/>
          <w:noProof/>
          <w:sz w:val="20"/>
          <w:szCs w:val="24"/>
        </w:rPr>
        <w:t>Critical Reviews in Food Science and Nutrition</w:t>
      </w:r>
      <w:r w:rsidRPr="003F4710">
        <w:rPr>
          <w:rFonts w:ascii="Calibri" w:hAnsi="Calibri" w:cs="Calibri"/>
          <w:noProof/>
          <w:sz w:val="20"/>
          <w:szCs w:val="24"/>
        </w:rPr>
        <w:t>. 50 (2), 113–119. [online]. Available from: http://www.ncbi.nlm.nih.gov/pubmed/20112153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Tang‐Péronard, J. &amp; Heitmann, B. (2008) Stigmatization of obese children and adolescents, the importance of gender. </w:t>
      </w:r>
      <w:r w:rsidRPr="003F4710">
        <w:rPr>
          <w:rFonts w:ascii="Calibri" w:hAnsi="Calibri" w:cs="Calibri"/>
          <w:i/>
          <w:iCs/>
          <w:noProof/>
          <w:sz w:val="20"/>
          <w:szCs w:val="24"/>
        </w:rPr>
        <w:t>Obesity Reviews</w:t>
      </w:r>
      <w:r w:rsidRPr="003F4710">
        <w:rPr>
          <w:rFonts w:ascii="Calibri" w:hAnsi="Calibri" w:cs="Calibri"/>
          <w:noProof/>
          <w:sz w:val="20"/>
          <w:szCs w:val="24"/>
        </w:rPr>
        <w:t>. 9 (6), 522–534. [online]. Available from: http://onlinelibrary.wiley.com/doi/10.1111/j.1467-789X.2008.00509.x/full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Tanumihardjo, S. A. et al. (2007) Poverty, Obesity, and Malnutrition: An International Perspective Recognizing the Paradox. </w:t>
      </w:r>
      <w:r w:rsidRPr="003F4710">
        <w:rPr>
          <w:rFonts w:ascii="Calibri" w:hAnsi="Calibri" w:cs="Calibri"/>
          <w:i/>
          <w:iCs/>
          <w:noProof/>
          <w:sz w:val="20"/>
          <w:szCs w:val="24"/>
        </w:rPr>
        <w:t>Journal of the American Dietetic Association</w:t>
      </w:r>
      <w:r w:rsidRPr="003F4710">
        <w:rPr>
          <w:rFonts w:ascii="Calibri" w:hAnsi="Calibri" w:cs="Calibri"/>
          <w:noProof/>
          <w:sz w:val="20"/>
          <w:szCs w:val="24"/>
        </w:rPr>
        <w:t>. 107 (11), 1966–1972. [online]. Available from: http://www.ncbi.nlm.nih.gov/pubmed/17964317 (Accessed 21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Taras, H. &amp; Potts-Datema, W. (2005) Obesity and student performance at school. </w:t>
      </w:r>
      <w:r w:rsidRPr="003F4710">
        <w:rPr>
          <w:rFonts w:ascii="Calibri" w:hAnsi="Calibri" w:cs="Calibri"/>
          <w:i/>
          <w:iCs/>
          <w:noProof/>
          <w:sz w:val="20"/>
          <w:szCs w:val="24"/>
        </w:rPr>
        <w:t>The Journal of school health</w:t>
      </w:r>
      <w:r w:rsidRPr="003F4710">
        <w:rPr>
          <w:rFonts w:ascii="Calibri" w:hAnsi="Calibri" w:cs="Calibri"/>
          <w:noProof/>
          <w:sz w:val="20"/>
          <w:szCs w:val="24"/>
        </w:rPr>
        <w:t>. 75 (8), 291–295. [online]. Available from: http://www.ncbi.nlm.nih.gov/pubmed/16179079 (Accessed 26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Tashakkori, A. &amp; Teddlie, C. (2003) Handbook of Mixed Methods in Social &amp; Behavioral Research. </w:t>
      </w:r>
      <w:r w:rsidRPr="003F4710">
        <w:rPr>
          <w:rFonts w:ascii="Calibri" w:hAnsi="Calibri" w:cs="Calibri"/>
          <w:i/>
          <w:iCs/>
          <w:noProof/>
          <w:sz w:val="20"/>
          <w:szCs w:val="24"/>
        </w:rPr>
        <w:t>Sage Publication</w:t>
      </w:r>
      <w:r w:rsidRPr="003F4710">
        <w:rPr>
          <w:rFonts w:ascii="Calibri" w:hAnsi="Calibri" w:cs="Calibri"/>
          <w:noProof/>
          <w:sz w:val="20"/>
          <w:szCs w:val="24"/>
        </w:rPr>
        <w:t>. 14 (1), 893.</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Tashakkori, A. &amp; Teddlie, C. (2003) </w:t>
      </w:r>
      <w:r w:rsidRPr="003F4710">
        <w:rPr>
          <w:rFonts w:ascii="Calibri" w:hAnsi="Calibri" w:cs="Calibri"/>
          <w:i/>
          <w:iCs/>
          <w:noProof/>
          <w:sz w:val="20"/>
          <w:szCs w:val="24"/>
        </w:rPr>
        <w:t>Handbook of mixed methods in social &amp;amp; behavioral research</w:t>
      </w:r>
      <w:r w:rsidRPr="003F4710">
        <w:rPr>
          <w:rFonts w:ascii="Calibri" w:hAnsi="Calibri" w:cs="Calibri"/>
          <w:noProof/>
          <w:sz w:val="20"/>
          <w:szCs w:val="24"/>
        </w:rPr>
        <w:t>. Thousand Oaks: SAGE Publications Inc.</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Tashakkori, A. &amp; Teddlie, C. (1998) </w:t>
      </w:r>
      <w:r w:rsidRPr="003F4710">
        <w:rPr>
          <w:rFonts w:ascii="Calibri" w:hAnsi="Calibri" w:cs="Calibri"/>
          <w:i/>
          <w:iCs/>
          <w:noProof/>
          <w:sz w:val="20"/>
          <w:szCs w:val="24"/>
        </w:rPr>
        <w:t>Mixed methodology: Combining qualitative and quantitative approaches</w:t>
      </w:r>
      <w:r w:rsidRPr="003F4710">
        <w:rPr>
          <w:rFonts w:ascii="Calibri" w:hAnsi="Calibri" w:cs="Calibri"/>
          <w:noProof/>
          <w:sz w:val="20"/>
          <w:szCs w:val="24"/>
        </w:rPr>
        <w:t>. Thousand Oaks: SAGE Publications Inc.</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Tashakkori, A. &amp; Teddlie, C. (2010) </w:t>
      </w:r>
      <w:r w:rsidRPr="003F4710">
        <w:rPr>
          <w:rFonts w:ascii="Calibri" w:hAnsi="Calibri" w:cs="Calibri"/>
          <w:i/>
          <w:iCs/>
          <w:noProof/>
          <w:sz w:val="20"/>
          <w:szCs w:val="24"/>
        </w:rPr>
        <w:t>Sage handbook of mixed methods in social &amp; behavioral research</w:t>
      </w:r>
      <w:r w:rsidRPr="003F4710">
        <w:rPr>
          <w:rFonts w:ascii="Calibri" w:hAnsi="Calibri" w:cs="Calibri"/>
          <w:noProof/>
          <w:sz w:val="20"/>
          <w:szCs w:val="24"/>
        </w:rPr>
        <w:t>. 2nd edition. SAGE Publications Inc.</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Tashiro, J. (2002) Exploring Health Promoting Lifestyle Behaviors Of Japanese College Women: Perceptions, Practices, And Issues. </w:t>
      </w:r>
      <w:r w:rsidRPr="003F4710">
        <w:rPr>
          <w:rFonts w:ascii="Calibri" w:hAnsi="Calibri" w:cs="Calibri"/>
          <w:i/>
          <w:iCs/>
          <w:noProof/>
          <w:sz w:val="20"/>
          <w:szCs w:val="24"/>
        </w:rPr>
        <w:t>Health Care for Women International</w:t>
      </w:r>
      <w:r w:rsidRPr="003F4710">
        <w:rPr>
          <w:rFonts w:ascii="Calibri" w:hAnsi="Calibri" w:cs="Calibri"/>
          <w:noProof/>
          <w:sz w:val="20"/>
          <w:szCs w:val="24"/>
        </w:rPr>
        <w:t>. 23 (1), 59–70. [online]. Available from: http://www.ncbi.nlm.nih.gov/pubmed/11822559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Teddlie, C. &amp; Tashakkori, A. (2009) </w:t>
      </w:r>
      <w:r w:rsidRPr="003F4710">
        <w:rPr>
          <w:rFonts w:ascii="Calibri" w:hAnsi="Calibri" w:cs="Calibri"/>
          <w:i/>
          <w:iCs/>
          <w:noProof/>
          <w:sz w:val="20"/>
          <w:szCs w:val="24"/>
        </w:rPr>
        <w:t>Foundations of mixed methods research: Integrating quantitative and qualitative approaches in the social and behavioral sciences</w:t>
      </w:r>
      <w:r w:rsidRPr="003F4710">
        <w:rPr>
          <w:rFonts w:ascii="Calibri" w:hAnsi="Calibri" w:cs="Calibri"/>
          <w:noProof/>
          <w:sz w:val="20"/>
          <w:szCs w:val="24"/>
        </w:rPr>
        <w:t>. Thousand Oaks: SAGE Publications Inc.</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Teddlie, C. &amp; Tashakkori, A. (2010) </w:t>
      </w:r>
      <w:r w:rsidRPr="003F4710">
        <w:rPr>
          <w:rFonts w:ascii="Calibri" w:hAnsi="Calibri" w:cs="Calibri"/>
          <w:i/>
          <w:iCs/>
          <w:noProof/>
          <w:sz w:val="20"/>
          <w:szCs w:val="24"/>
        </w:rPr>
        <w:t>Overview of contemporary issues in mixed methods research</w:t>
      </w:r>
      <w:r w:rsidRPr="003F4710">
        <w:rPr>
          <w:rFonts w:ascii="Calibri" w:hAnsi="Calibri" w:cs="Calibri"/>
          <w:noProof/>
          <w:sz w:val="20"/>
          <w:szCs w:val="24"/>
        </w:rPr>
        <w:t>. 2nd edition. A. Tashakkori &amp; C. Teddlie (eds.). Thousand Oaks: SAGE Publications Inc. [online]. Available from: http://www.sagepub.in/upm-data/34743_Chapter1.pdf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Teddlie, C. &amp; Yu, F. (2007) Mixed methods sampling a typology with examples. </w:t>
      </w:r>
      <w:r w:rsidRPr="003F4710">
        <w:rPr>
          <w:rFonts w:ascii="Calibri" w:hAnsi="Calibri" w:cs="Calibri"/>
          <w:i/>
          <w:iCs/>
          <w:noProof/>
          <w:sz w:val="20"/>
          <w:szCs w:val="24"/>
        </w:rPr>
        <w:t>Journal of mixed methods research</w:t>
      </w:r>
      <w:r w:rsidRPr="003F4710">
        <w:rPr>
          <w:rFonts w:ascii="Calibri" w:hAnsi="Calibri" w:cs="Calibri"/>
          <w:noProof/>
          <w:sz w:val="20"/>
          <w:szCs w:val="24"/>
        </w:rPr>
        <w:t>. 1 (1), 77–100. [online]. Available from: http://mmr.sagepub.com/content/1/1/77.short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The Food Foundation (2017) </w:t>
      </w:r>
      <w:r w:rsidRPr="003F4710">
        <w:rPr>
          <w:rFonts w:ascii="Calibri" w:hAnsi="Calibri" w:cs="Calibri"/>
          <w:i/>
          <w:iCs/>
          <w:noProof/>
          <w:sz w:val="20"/>
          <w:szCs w:val="24"/>
        </w:rPr>
        <w:t>UK’S Restrictions on Junk Food Advertising to Children</w:t>
      </w:r>
      <w:r w:rsidRPr="003F4710">
        <w:rPr>
          <w:rFonts w:ascii="Calibri" w:hAnsi="Calibri" w:cs="Calibri"/>
          <w:noProof/>
          <w:sz w:val="20"/>
          <w:szCs w:val="24"/>
        </w:rPr>
        <w:t>. [online]. Available from: http://foodfoundation.org.uk/wp-content/uploads/2017/07/3-Briefing-UK-Junk-Food_vF.pdf. [online]. Available from: http://foodfoundation.org.uk/wp-content/uploads/2017/07/3-Briefing-UK-Junk-</w:t>
      </w:r>
      <w:r w:rsidRPr="003F4710">
        <w:rPr>
          <w:rFonts w:ascii="Calibri" w:hAnsi="Calibri" w:cs="Calibri"/>
          <w:noProof/>
          <w:sz w:val="20"/>
          <w:szCs w:val="24"/>
        </w:rPr>
        <w:lastRenderedPageBreak/>
        <w:t>Food_vF.pdf.</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The Joanna Briggs Institute (2011) Joanna Briggs Institute Reviewers Manual: 2011 edition. Joanna Briggs Institute</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The King’s Fund (2017) </w:t>
      </w:r>
      <w:r w:rsidRPr="003F4710">
        <w:rPr>
          <w:rFonts w:ascii="Calibri" w:hAnsi="Calibri" w:cs="Calibri"/>
          <w:i/>
          <w:iCs/>
          <w:noProof/>
          <w:sz w:val="20"/>
          <w:szCs w:val="24"/>
        </w:rPr>
        <w:t>Chickens coming home to roost: local government public health budgets for 2017/18</w:t>
      </w:r>
      <w:r w:rsidRPr="003F4710">
        <w:rPr>
          <w:rFonts w:ascii="Calibri" w:hAnsi="Calibri" w:cs="Calibri"/>
          <w:noProof/>
          <w:sz w:val="20"/>
          <w:szCs w:val="24"/>
        </w:rPr>
        <w:t xml:space="preserve"> [online]. Available from: https://www.kingsfund.org.uk/blog/2017/07/local-government-public-health-budgets-2017-18 (Accessed 11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The King’s Fund (2016) </w:t>
      </w:r>
      <w:r w:rsidRPr="003F4710">
        <w:rPr>
          <w:rFonts w:ascii="Calibri" w:hAnsi="Calibri" w:cs="Calibri"/>
          <w:i/>
          <w:iCs/>
          <w:noProof/>
          <w:sz w:val="20"/>
          <w:szCs w:val="24"/>
        </w:rPr>
        <w:t>Local government public health budgets: a time for turning?</w:t>
      </w:r>
      <w:r w:rsidRPr="003F4710">
        <w:rPr>
          <w:rFonts w:ascii="Calibri" w:hAnsi="Calibri" w:cs="Calibri"/>
          <w:noProof/>
          <w:sz w:val="20"/>
          <w:szCs w:val="24"/>
        </w:rPr>
        <w:t xml:space="preserve"> [online]. Available from: https://www.kingsfund.org.uk/blog/2016/08/local-government-public-health-budgets (Accessed 11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The Lancet (2013) Child and adolescent wellbeing in the UK. </w:t>
      </w:r>
      <w:r w:rsidRPr="003F4710">
        <w:rPr>
          <w:rFonts w:ascii="Calibri" w:hAnsi="Calibri" w:cs="Calibri"/>
          <w:i/>
          <w:iCs/>
          <w:noProof/>
          <w:sz w:val="20"/>
          <w:szCs w:val="24"/>
        </w:rPr>
        <w:t>The Lancet</w:t>
      </w:r>
      <w:r w:rsidRPr="003F4710">
        <w:rPr>
          <w:rFonts w:ascii="Calibri" w:hAnsi="Calibri" w:cs="Calibri"/>
          <w:noProof/>
          <w:sz w:val="20"/>
          <w:szCs w:val="24"/>
        </w:rPr>
        <w:t>. 381 (9875), 1334. [online]. Available from: http://linkinghub.elsevier.com/retrieve/pii/S0140673613608673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The Rt Hon Nick Gibb MP (2015) 'The purpose of education', in </w:t>
      </w:r>
      <w:r w:rsidRPr="003F4710">
        <w:rPr>
          <w:rFonts w:ascii="Calibri" w:hAnsi="Calibri" w:cs="Calibri"/>
          <w:i/>
          <w:iCs/>
          <w:noProof/>
          <w:sz w:val="20"/>
          <w:szCs w:val="24"/>
        </w:rPr>
        <w:t>Education Reform Summit</w:t>
      </w:r>
      <w:r w:rsidRPr="003F4710">
        <w:rPr>
          <w:rFonts w:ascii="Calibri" w:hAnsi="Calibri" w:cs="Calibri"/>
          <w:noProof/>
          <w:sz w:val="20"/>
          <w:szCs w:val="24"/>
        </w:rPr>
        <w:t>. 2015 London: The Education Foundation. p. [online]. Available from: https://www.gov.uk/government/speeches/the-purpose-of-education.</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The University of Sheffield (2017) </w:t>
      </w:r>
      <w:r w:rsidRPr="003F4710">
        <w:rPr>
          <w:rFonts w:ascii="Calibri" w:hAnsi="Calibri" w:cs="Calibri"/>
          <w:i/>
          <w:iCs/>
          <w:noProof/>
          <w:sz w:val="20"/>
          <w:szCs w:val="24"/>
        </w:rPr>
        <w:t>Impact planning toolkit</w:t>
      </w:r>
      <w:r w:rsidRPr="003F4710">
        <w:rPr>
          <w:rFonts w:ascii="Calibri" w:hAnsi="Calibri" w:cs="Calibri"/>
          <w:noProof/>
          <w:sz w:val="20"/>
          <w:szCs w:val="24"/>
        </w:rPr>
        <w:t xml:space="preserve"> [online]. Available from: https://www.sheffield.ac.uk/ris/impact/planning_toolkit (Accessed 7 February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Thomas, J. &amp; Harden, A. (2008) Methods for the thematic synthesis of qualitative research in systematic reviews. </w:t>
      </w:r>
      <w:r w:rsidRPr="003F4710">
        <w:rPr>
          <w:rFonts w:ascii="Calibri" w:hAnsi="Calibri" w:cs="Calibri"/>
          <w:i/>
          <w:iCs/>
          <w:noProof/>
          <w:sz w:val="20"/>
          <w:szCs w:val="24"/>
        </w:rPr>
        <w:t>BMC Medical Research Methodology</w:t>
      </w:r>
      <w:r w:rsidRPr="003F4710">
        <w:rPr>
          <w:rFonts w:ascii="Calibri" w:hAnsi="Calibri" w:cs="Calibri"/>
          <w:noProof/>
          <w:sz w:val="20"/>
          <w:szCs w:val="24"/>
        </w:rPr>
        <w:t>. 8 (1), 45. [online]. Available from: http://bmcmedresmethodol.biomedcentral.com/articles/10.1186/1471-2288-8-45.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Thorne, S. et al. (2004) Qualitative Metasynthesis: Reflections on Methodological Orientation and Ideological Agenda. </w:t>
      </w:r>
      <w:r w:rsidRPr="003F4710">
        <w:rPr>
          <w:rFonts w:ascii="Calibri" w:hAnsi="Calibri" w:cs="Calibri"/>
          <w:i/>
          <w:iCs/>
          <w:noProof/>
          <w:sz w:val="20"/>
          <w:szCs w:val="24"/>
        </w:rPr>
        <w:t>Qualitative Health Research</w:t>
      </w:r>
      <w:r w:rsidRPr="003F4710">
        <w:rPr>
          <w:rFonts w:ascii="Calibri" w:hAnsi="Calibri" w:cs="Calibri"/>
          <w:noProof/>
          <w:sz w:val="20"/>
          <w:szCs w:val="24"/>
        </w:rPr>
        <w:t>. 14 (10), 1342–1365. [online]. Available from: http://www.ncbi.nlm.nih.gov/pubmed/15538004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Thorp, A. A. et al. (2011) Sedentary Behaviors and Subsequent Health Outcomes in Adults. </w:t>
      </w:r>
      <w:r w:rsidRPr="003F4710">
        <w:rPr>
          <w:rFonts w:ascii="Calibri" w:hAnsi="Calibri" w:cs="Calibri"/>
          <w:i/>
          <w:iCs/>
          <w:noProof/>
          <w:sz w:val="20"/>
          <w:szCs w:val="24"/>
        </w:rPr>
        <w:t>American Journal of Preventive Medicine</w:t>
      </w:r>
      <w:r w:rsidRPr="003F4710">
        <w:rPr>
          <w:rFonts w:ascii="Calibri" w:hAnsi="Calibri" w:cs="Calibri"/>
          <w:noProof/>
          <w:sz w:val="20"/>
          <w:szCs w:val="24"/>
        </w:rPr>
        <w:t>. 41 (2), 207–215. [online]. Available from: http://www.ncbi.nlm.nih.gov/pubmed/21767729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Times Educational Supplement (2017) </w:t>
      </w:r>
      <w:r w:rsidRPr="003F4710">
        <w:rPr>
          <w:rFonts w:ascii="Calibri" w:hAnsi="Calibri" w:cs="Calibri"/>
          <w:i/>
          <w:iCs/>
          <w:noProof/>
          <w:sz w:val="20"/>
          <w:szCs w:val="24"/>
        </w:rPr>
        <w:t>We don’t have the funds to provide legally required school services, councils warn</w:t>
      </w:r>
      <w:r w:rsidRPr="003F4710">
        <w:rPr>
          <w:rFonts w:ascii="Calibri" w:hAnsi="Calibri" w:cs="Calibri"/>
          <w:noProof/>
          <w:sz w:val="20"/>
          <w:szCs w:val="24"/>
        </w:rPr>
        <w:t xml:space="preserve"> [online]. Available from: https://www.tes.com/news/school-news/breaking-news/we-dont-have-funds-provide-legally-required-school-services-councils (Accessed 1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Tittle, C. R. &amp; Hill, R. J. (1967) Attitude Measurement and Prediction of Behavior: An Evaluation of Conditions and Measurement Techniques. </w:t>
      </w:r>
      <w:r w:rsidRPr="003F4710">
        <w:rPr>
          <w:rFonts w:ascii="Calibri" w:hAnsi="Calibri" w:cs="Calibri"/>
          <w:i/>
          <w:iCs/>
          <w:noProof/>
          <w:sz w:val="20"/>
          <w:szCs w:val="24"/>
        </w:rPr>
        <w:t>Sociometry</w:t>
      </w:r>
      <w:r w:rsidRPr="003F4710">
        <w:rPr>
          <w:rFonts w:ascii="Calibri" w:hAnsi="Calibri" w:cs="Calibri"/>
          <w:noProof/>
          <w:sz w:val="20"/>
          <w:szCs w:val="24"/>
        </w:rPr>
        <w:t>. 30 (2), 199. [online]. Available from: http://www.jstor.org/stable/2786227?origin=crossref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Tobin, G. A. &amp; Begley, C. M. (2004) Methodological rigour within a qualitative framework. </w:t>
      </w:r>
      <w:r w:rsidRPr="003F4710">
        <w:rPr>
          <w:rFonts w:ascii="Calibri" w:hAnsi="Calibri" w:cs="Calibri"/>
          <w:i/>
          <w:iCs/>
          <w:noProof/>
          <w:sz w:val="20"/>
          <w:szCs w:val="24"/>
        </w:rPr>
        <w:t>Journal of Advanced Nursing</w:t>
      </w:r>
      <w:r w:rsidRPr="003F4710">
        <w:rPr>
          <w:rFonts w:ascii="Calibri" w:hAnsi="Calibri" w:cs="Calibri"/>
          <w:noProof/>
          <w:sz w:val="20"/>
          <w:szCs w:val="24"/>
        </w:rPr>
        <w:t>. 48 (4), 388–396. [online]. Available from: http://www.ncbi.nlm.nih.gov/pubmed/15500533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Todd, C. et al. (2015) Headteachers’ prior beliefs on child health and their engagement in school based health interventions: a qualitative study. </w:t>
      </w:r>
      <w:r w:rsidRPr="003F4710">
        <w:rPr>
          <w:rFonts w:ascii="Calibri" w:hAnsi="Calibri" w:cs="Calibri"/>
          <w:i/>
          <w:iCs/>
          <w:noProof/>
          <w:sz w:val="20"/>
          <w:szCs w:val="24"/>
        </w:rPr>
        <w:t>BMC research …</w:t>
      </w:r>
      <w:r w:rsidRPr="003F4710">
        <w:rPr>
          <w:rFonts w:ascii="Calibri" w:hAnsi="Calibri" w:cs="Calibri"/>
          <w:noProof/>
          <w:sz w:val="20"/>
          <w:szCs w:val="24"/>
        </w:rPr>
        <w:t>. 8 (1), 161. [online]. Available from: http://www.biomedcentral.com/1756-0500/8/161/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Tompkins, C. L. et al. (2015) Parental Perception of Child’s Body Weight: A Systematic Review. </w:t>
      </w:r>
      <w:r w:rsidRPr="003F4710">
        <w:rPr>
          <w:rFonts w:ascii="Calibri" w:hAnsi="Calibri" w:cs="Calibri"/>
          <w:i/>
          <w:iCs/>
          <w:noProof/>
          <w:sz w:val="20"/>
          <w:szCs w:val="24"/>
        </w:rPr>
        <w:t>Journal of Child and Family Studies</w:t>
      </w:r>
      <w:r w:rsidRPr="003F4710">
        <w:rPr>
          <w:rFonts w:ascii="Calibri" w:hAnsi="Calibri" w:cs="Calibri"/>
          <w:noProof/>
          <w:sz w:val="20"/>
          <w:szCs w:val="24"/>
        </w:rPr>
        <w:t>. 24 (5), 1384–1391. [online]. Available from: http://link.springer.com/10.1007/s10826-014-9945-0 (Accessed 11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Tremblay, M. S. et al. (2011) Systematic review of sedentary behaviour and health indicators in school-aged children and youth. </w:t>
      </w:r>
      <w:r w:rsidRPr="003F4710">
        <w:rPr>
          <w:rFonts w:ascii="Calibri" w:hAnsi="Calibri" w:cs="Calibri"/>
          <w:i/>
          <w:iCs/>
          <w:noProof/>
          <w:sz w:val="20"/>
          <w:szCs w:val="24"/>
        </w:rPr>
        <w:t>The international journal of behavioral nutrition and physical activity</w:t>
      </w:r>
      <w:r w:rsidRPr="003F4710">
        <w:rPr>
          <w:rFonts w:ascii="Calibri" w:hAnsi="Calibri" w:cs="Calibri"/>
          <w:noProof/>
          <w:sz w:val="20"/>
          <w:szCs w:val="24"/>
        </w:rPr>
        <w:t>. 8 (1), 98. [online]. Available from: http://www.ncbi.nlm.nih.gov/pubmed/21936895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Tripp, P. &amp; Choi, J. (2014) Perceptions of Childhood Obesity Among Rural Parents, Teachers, and School Administrators. </w:t>
      </w:r>
      <w:r w:rsidRPr="003F4710">
        <w:rPr>
          <w:rFonts w:ascii="Calibri" w:hAnsi="Calibri" w:cs="Calibri"/>
          <w:i/>
          <w:iCs/>
          <w:noProof/>
          <w:sz w:val="20"/>
          <w:szCs w:val="24"/>
        </w:rPr>
        <w:t>Journal of Family &amp; Consumer Sciences</w:t>
      </w:r>
      <w:r w:rsidRPr="003F4710">
        <w:rPr>
          <w:rFonts w:ascii="Calibri" w:hAnsi="Calibri" w:cs="Calibri"/>
          <w:noProof/>
          <w:sz w:val="20"/>
          <w:szCs w:val="24"/>
        </w:rPr>
        <w:t>. 106 (4), 33–39. [online]. Available from: http://www.ingentaconnect.com/content/aafcs/jfcs/2014/00000106/00000004/art00008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Tsiros, M. et al. (2008) Treatment of adolescent overweight and obesity. </w:t>
      </w:r>
      <w:r w:rsidRPr="003F4710">
        <w:rPr>
          <w:rFonts w:ascii="Calibri" w:hAnsi="Calibri" w:cs="Calibri"/>
          <w:i/>
          <w:iCs/>
          <w:noProof/>
          <w:sz w:val="20"/>
          <w:szCs w:val="24"/>
        </w:rPr>
        <w:t>European journal of …</w:t>
      </w:r>
      <w:r w:rsidRPr="003F4710">
        <w:rPr>
          <w:rFonts w:ascii="Calibri" w:hAnsi="Calibri" w:cs="Calibri"/>
          <w:noProof/>
          <w:sz w:val="20"/>
          <w:szCs w:val="24"/>
        </w:rPr>
        <w:t>. 167 (1), 9–16. [online]. Available from: http://link.springer.com/article/10.1007/s00431-007-0575-z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Uauy, R. et al. (2010) 'Childhood Obesity Prevention Overview', in E Waters et al. (eds.) </w:t>
      </w:r>
      <w:r w:rsidRPr="003F4710">
        <w:rPr>
          <w:rFonts w:ascii="Calibri" w:hAnsi="Calibri" w:cs="Calibri"/>
          <w:i/>
          <w:iCs/>
          <w:noProof/>
          <w:sz w:val="20"/>
          <w:szCs w:val="24"/>
        </w:rPr>
        <w:t>Preventing Childhood Obesity: Evidence Policy and Practice</w:t>
      </w:r>
      <w:r w:rsidRPr="003F4710">
        <w:rPr>
          <w:rFonts w:ascii="Calibri" w:hAnsi="Calibri" w:cs="Calibri"/>
          <w:noProof/>
          <w:sz w:val="20"/>
          <w:szCs w:val="24"/>
        </w:rPr>
        <w:t>. Oxford, UK: Wiley-Blackwell. pp. 22–30. [online]. Available from: http://doi.wiley.com/10.1002/9781444318517.ch3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Uli, N. et al. (2008) Treatment of childhood obesity. </w:t>
      </w:r>
      <w:r w:rsidRPr="003F4710">
        <w:rPr>
          <w:rFonts w:ascii="Calibri" w:hAnsi="Calibri" w:cs="Calibri"/>
          <w:i/>
          <w:iCs/>
          <w:noProof/>
          <w:sz w:val="20"/>
          <w:szCs w:val="24"/>
        </w:rPr>
        <w:t>Current Opinion in Endocrinology, Diabetes &amp; Obesity</w:t>
      </w:r>
      <w:r w:rsidRPr="003F4710">
        <w:rPr>
          <w:rFonts w:ascii="Calibri" w:hAnsi="Calibri" w:cs="Calibri"/>
          <w:noProof/>
          <w:sz w:val="20"/>
          <w:szCs w:val="24"/>
        </w:rPr>
        <w:t>. 15 (1), 37–47. [online]. Available from: http://journals.lww.com/co-endocrinology/Abstract/2008/02000/Treatment_of_childhood_obesity.6.aspx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lastRenderedPageBreak/>
        <w:t xml:space="preserve">Ulijaszek, S. (2015) With the benefit of Foresight: Obesity, complexity and joined-up government. </w:t>
      </w:r>
      <w:r w:rsidRPr="003F4710">
        <w:rPr>
          <w:rFonts w:ascii="Calibri" w:hAnsi="Calibri" w:cs="Calibri"/>
          <w:i/>
          <w:iCs/>
          <w:noProof/>
          <w:sz w:val="20"/>
          <w:szCs w:val="24"/>
        </w:rPr>
        <w:t>BioSocieties</w:t>
      </w:r>
      <w:r w:rsidRPr="003F4710">
        <w:rPr>
          <w:rFonts w:ascii="Calibri" w:hAnsi="Calibri" w:cs="Calibri"/>
          <w:noProof/>
          <w:sz w:val="20"/>
          <w:szCs w:val="24"/>
        </w:rPr>
        <w:t>. 10 (2), 213–228. [online]. Available from: http://link.springer.com/10.1057/biosoc.2015.16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Utter, J. et al. (2011) Socio-economic differences in eating-related attitudes, behaviours and environments of adolescents. </w:t>
      </w:r>
      <w:r w:rsidRPr="003F4710">
        <w:rPr>
          <w:rFonts w:ascii="Calibri" w:hAnsi="Calibri" w:cs="Calibri"/>
          <w:i/>
          <w:iCs/>
          <w:noProof/>
          <w:sz w:val="20"/>
          <w:szCs w:val="24"/>
        </w:rPr>
        <w:t>Public Health Nutrition</w:t>
      </w:r>
      <w:r w:rsidRPr="003F4710">
        <w:rPr>
          <w:rFonts w:ascii="Calibri" w:hAnsi="Calibri" w:cs="Calibri"/>
          <w:noProof/>
          <w:sz w:val="20"/>
          <w:szCs w:val="24"/>
        </w:rPr>
        <w:t>. 14 (4), 629–634. [online]. Available from: http://www.ncbi.nlm.nih.gov/pubmed/20576201 (Accessed 11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Vallgårda, S. &amp; Nielsen, M. (2015) Backward-and forward-looking responsibility for obesity: policies from WHO, the EU and England. </w:t>
      </w:r>
      <w:r w:rsidRPr="003F4710">
        <w:rPr>
          <w:rFonts w:ascii="Calibri" w:hAnsi="Calibri" w:cs="Calibri"/>
          <w:i/>
          <w:iCs/>
          <w:noProof/>
          <w:sz w:val="20"/>
          <w:szCs w:val="24"/>
        </w:rPr>
        <w:t>European journal of Public Health</w:t>
      </w:r>
      <w:r w:rsidRPr="003F4710">
        <w:rPr>
          <w:rFonts w:ascii="Calibri" w:hAnsi="Calibri" w:cs="Calibri"/>
          <w:noProof/>
          <w:sz w:val="20"/>
          <w:szCs w:val="24"/>
        </w:rPr>
        <w:t>. 25 (5), 845–848. [online]. Available from: http://eurpub.oxfordjournals.org/content/early/2015/04/29/eurpub.ckv076.abstract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Vandenbroek, P. et al. (2007) </w:t>
      </w:r>
      <w:r w:rsidRPr="003F4710">
        <w:rPr>
          <w:rFonts w:ascii="Calibri" w:hAnsi="Calibri" w:cs="Calibri"/>
          <w:i/>
          <w:iCs/>
          <w:noProof/>
          <w:sz w:val="20"/>
          <w:szCs w:val="24"/>
        </w:rPr>
        <w:t>Foresight tackling obesities: future choices - building the obesity system map</w:t>
      </w:r>
      <w:r w:rsidRPr="003F4710">
        <w:rPr>
          <w:rFonts w:ascii="Calibri" w:hAnsi="Calibri" w:cs="Calibri"/>
          <w:noProof/>
          <w:sz w:val="20"/>
          <w:szCs w:val="24"/>
        </w:rPr>
        <w:t>. [online]. Available from: http://webarchive.nationalarchives.gov.uk/20120306064054/http://www.bis.gov.uk/assets/bispartners/foresight/docs/obesity/12.pdf. [online]. Available from: http://webarchive.nationalarchives.gov.uk/20120306064054/http://www.bis.gov.uk/assets/bispartners/foresight/docs/obesity/12.pdf.</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de Vaus, D. . (2001) </w:t>
      </w:r>
      <w:r w:rsidRPr="003F4710">
        <w:rPr>
          <w:rFonts w:ascii="Calibri" w:hAnsi="Calibri" w:cs="Calibri"/>
          <w:i/>
          <w:iCs/>
          <w:noProof/>
          <w:sz w:val="20"/>
          <w:szCs w:val="24"/>
        </w:rPr>
        <w:t>Research design in social research</w:t>
      </w:r>
      <w:r w:rsidRPr="003F4710">
        <w:rPr>
          <w:rFonts w:ascii="Calibri" w:hAnsi="Calibri" w:cs="Calibri"/>
          <w:noProof/>
          <w:sz w:val="20"/>
          <w:szCs w:val="24"/>
        </w:rPr>
        <w:t>. London: SAGE Publications Ltd.</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de Vaus, D. . (2002) </w:t>
      </w:r>
      <w:r w:rsidRPr="003F4710">
        <w:rPr>
          <w:rFonts w:ascii="Calibri" w:hAnsi="Calibri" w:cs="Calibri"/>
          <w:i/>
          <w:iCs/>
          <w:noProof/>
          <w:sz w:val="20"/>
          <w:szCs w:val="24"/>
        </w:rPr>
        <w:t>Surveys in social research</w:t>
      </w:r>
      <w:r w:rsidRPr="003F4710">
        <w:rPr>
          <w:rFonts w:ascii="Calibri" w:hAnsi="Calibri" w:cs="Calibri"/>
          <w:noProof/>
          <w:sz w:val="20"/>
          <w:szCs w:val="24"/>
        </w:rPr>
        <w:t>. 5th edition. Sydney: Allen &amp; Unwin.</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Verbeeten, K. C. et al. (2011) Association between childhood obesity and subsequent Type 1 diabetes: a systematic review and meta-analysis. </w:t>
      </w:r>
      <w:r w:rsidRPr="003F4710">
        <w:rPr>
          <w:rFonts w:ascii="Calibri" w:hAnsi="Calibri" w:cs="Calibri"/>
          <w:i/>
          <w:iCs/>
          <w:noProof/>
          <w:sz w:val="20"/>
          <w:szCs w:val="24"/>
        </w:rPr>
        <w:t>Diabetic Medicine</w:t>
      </w:r>
      <w:r w:rsidRPr="003F4710">
        <w:rPr>
          <w:rFonts w:ascii="Calibri" w:hAnsi="Calibri" w:cs="Calibri"/>
          <w:noProof/>
          <w:sz w:val="20"/>
          <w:szCs w:val="24"/>
        </w:rPr>
        <w:t>. 28 (1), 10–18. [online]. Available from: http://www.ncbi.nlm.nih.gov/pubmed/21166841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Viña, J. et al. (2013) Overweight, obesity, and all-cause mortality. </w:t>
      </w:r>
      <w:r w:rsidRPr="003F4710">
        <w:rPr>
          <w:rFonts w:ascii="Calibri" w:hAnsi="Calibri" w:cs="Calibri"/>
          <w:i/>
          <w:iCs/>
          <w:noProof/>
          <w:sz w:val="20"/>
          <w:szCs w:val="24"/>
        </w:rPr>
        <w:t>JAMA</w:t>
      </w:r>
      <w:r w:rsidRPr="003F4710">
        <w:rPr>
          <w:rFonts w:ascii="Calibri" w:hAnsi="Calibri" w:cs="Calibri"/>
          <w:noProof/>
          <w:sz w:val="20"/>
          <w:szCs w:val="24"/>
        </w:rPr>
        <w:t>. 309 (16), 1679. [online]. Available from: http://jama.jamanetwork.com/article.aspx?articleid=1681392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de Vries, J. (2007) The obesity epidemic: medical and ethical considerations. </w:t>
      </w:r>
      <w:r w:rsidRPr="003F4710">
        <w:rPr>
          <w:rFonts w:ascii="Calibri" w:hAnsi="Calibri" w:cs="Calibri"/>
          <w:i/>
          <w:iCs/>
          <w:noProof/>
          <w:sz w:val="20"/>
          <w:szCs w:val="24"/>
        </w:rPr>
        <w:t>Science and engineering ethics</w:t>
      </w:r>
      <w:r w:rsidRPr="003F4710">
        <w:rPr>
          <w:rFonts w:ascii="Calibri" w:hAnsi="Calibri" w:cs="Calibri"/>
          <w:noProof/>
          <w:sz w:val="20"/>
          <w:szCs w:val="24"/>
        </w:rPr>
        <w:t>. 13 (1), 55–67. [online]. Available from: http://www.ncbi.nlm.nih.gov/pubmed/17703609 (Accessed 11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Wabitsch, M. et al. (2014) Unexpected plateauing of childhood obesity rates in developed countries. </w:t>
      </w:r>
      <w:r w:rsidRPr="003F4710">
        <w:rPr>
          <w:rFonts w:ascii="Calibri" w:hAnsi="Calibri" w:cs="Calibri"/>
          <w:i/>
          <w:iCs/>
          <w:noProof/>
          <w:sz w:val="20"/>
          <w:szCs w:val="24"/>
        </w:rPr>
        <w:t>BMC Medicine</w:t>
      </w:r>
      <w:r w:rsidRPr="003F4710">
        <w:rPr>
          <w:rFonts w:ascii="Calibri" w:hAnsi="Calibri" w:cs="Calibri"/>
          <w:noProof/>
          <w:sz w:val="20"/>
          <w:szCs w:val="24"/>
        </w:rPr>
        <w:t>. 12 (1), 17. [online]. Available from: http://www.biomedcentral.com/1741-7015/12/17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Wadsworth, M. &amp; Kuh, D. (1997) Childhood influences on adult health: a review of recent work from the British 1946 national birth cohort study, the MRC National Survey of Health and Development. </w:t>
      </w:r>
      <w:r w:rsidRPr="003F4710">
        <w:rPr>
          <w:rFonts w:ascii="Calibri" w:hAnsi="Calibri" w:cs="Calibri"/>
          <w:i/>
          <w:iCs/>
          <w:noProof/>
          <w:sz w:val="20"/>
          <w:szCs w:val="24"/>
        </w:rPr>
        <w:t>Paediatric and perinatal …</w:t>
      </w:r>
      <w:r w:rsidRPr="003F4710">
        <w:rPr>
          <w:rFonts w:ascii="Calibri" w:hAnsi="Calibri" w:cs="Calibri"/>
          <w:noProof/>
          <w:sz w:val="20"/>
          <w:szCs w:val="24"/>
        </w:rPr>
        <w:t>. 11 (1), 2–20. [online]. Available from: http://onlinelibrary.wiley.com/doi/10.1046/j.1365-3016.1997.d01-7.x/pdf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Wang, Y. et al. (2013) Childhood obesity prevention programs: comparative effectiveness review and meta-analysis. </w:t>
      </w:r>
      <w:r w:rsidRPr="003F4710">
        <w:rPr>
          <w:rFonts w:ascii="Calibri" w:hAnsi="Calibri" w:cs="Calibri"/>
          <w:i/>
          <w:iCs/>
          <w:noProof/>
          <w:sz w:val="20"/>
          <w:szCs w:val="24"/>
        </w:rPr>
        <w:t>Comparative Effectiveness Reviews</w:t>
      </w:r>
      <w:r w:rsidRPr="003F4710">
        <w:rPr>
          <w:rFonts w:ascii="Calibri" w:hAnsi="Calibri" w:cs="Calibri"/>
          <w:noProof/>
          <w:sz w:val="20"/>
          <w:szCs w:val="24"/>
        </w:rPr>
        <w:t>. 115. [online]. Available from: http://www.ncbi.nlm.nih.gov/books/NBK148737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Wang, Y. et al. (2015) What childhood obesity prevention programmes work? A systematic review and meta-analysis. </w:t>
      </w:r>
      <w:r w:rsidRPr="003F4710">
        <w:rPr>
          <w:rFonts w:ascii="Calibri" w:hAnsi="Calibri" w:cs="Calibri"/>
          <w:i/>
          <w:iCs/>
          <w:noProof/>
          <w:sz w:val="20"/>
          <w:szCs w:val="24"/>
        </w:rPr>
        <w:t>Obesity Reviews</w:t>
      </w:r>
      <w:r w:rsidRPr="003F4710">
        <w:rPr>
          <w:rFonts w:ascii="Calibri" w:hAnsi="Calibri" w:cs="Calibri"/>
          <w:noProof/>
          <w:sz w:val="20"/>
          <w:szCs w:val="24"/>
        </w:rPr>
        <w:t>. 16 (7), 547–565. [online]. Available from: http://www.pubmedcentral.nih.gov/articlerender.fcgi?artid=4561621&amp;tool=pmcentrez&amp;rendertype=abstract (Accessed 23 July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Wang, Y. &amp; Beydoun, M. (2007) The obesity epidemic in the United States—gender, age, socioeconomic, racial/ethnic, and geographic characteristics: a systematic review and meta-regression. </w:t>
      </w:r>
      <w:r w:rsidRPr="003F4710">
        <w:rPr>
          <w:rFonts w:ascii="Calibri" w:hAnsi="Calibri" w:cs="Calibri"/>
          <w:i/>
          <w:iCs/>
          <w:noProof/>
          <w:sz w:val="20"/>
          <w:szCs w:val="24"/>
        </w:rPr>
        <w:t>Epidemiologic reviews</w:t>
      </w:r>
      <w:r w:rsidRPr="003F4710">
        <w:rPr>
          <w:rFonts w:ascii="Calibri" w:hAnsi="Calibri" w:cs="Calibri"/>
          <w:noProof/>
          <w:sz w:val="20"/>
          <w:szCs w:val="24"/>
        </w:rPr>
        <w:t>. 29 (1), 6–28. [online]. Available from: http://epirev.oxfordjournals.org/content/29/1/6.short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Wang, Y. C. et al. (2011) Health and economic burden of the projected obesity trends in the USA and the UK. </w:t>
      </w:r>
      <w:r w:rsidRPr="003F4710">
        <w:rPr>
          <w:rFonts w:ascii="Calibri" w:hAnsi="Calibri" w:cs="Calibri"/>
          <w:i/>
          <w:iCs/>
          <w:noProof/>
          <w:sz w:val="20"/>
          <w:szCs w:val="24"/>
        </w:rPr>
        <w:t>The Lancet</w:t>
      </w:r>
      <w:r w:rsidRPr="003F4710">
        <w:rPr>
          <w:rFonts w:ascii="Calibri" w:hAnsi="Calibri" w:cs="Calibri"/>
          <w:noProof/>
          <w:sz w:val="20"/>
          <w:szCs w:val="24"/>
        </w:rPr>
        <w:t>. 378 (9793), 815–825. [online]. Available from: http://dx.doi.org/10.1016/S0140-6736(11)60814-3.</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Wang, Y. &amp; Lobstein, T. (2006) Worldwide trends in childhood overweight and obesity. </w:t>
      </w:r>
      <w:r w:rsidRPr="003F4710">
        <w:rPr>
          <w:rFonts w:ascii="Calibri" w:hAnsi="Calibri" w:cs="Calibri"/>
          <w:i/>
          <w:iCs/>
          <w:noProof/>
          <w:sz w:val="20"/>
          <w:szCs w:val="24"/>
        </w:rPr>
        <w:t>International Journal of Pediatric Obesity</w:t>
      </w:r>
      <w:r w:rsidRPr="003F4710">
        <w:rPr>
          <w:rFonts w:ascii="Calibri" w:hAnsi="Calibri" w:cs="Calibri"/>
          <w:noProof/>
          <w:sz w:val="20"/>
          <w:szCs w:val="24"/>
        </w:rPr>
        <w:t>. 1 (1), 11–25. [online]. Available from: http://www.tandfonline.com/doi/abs/10.1080/17477160600586747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Wardle, J. et al. (2006) Development of adiposity in adolescence: five year longitudinal study of an ethnically and socioeconomically diverse sample of young people in Britain. </w:t>
      </w:r>
      <w:r w:rsidRPr="003F4710">
        <w:rPr>
          <w:rFonts w:ascii="Calibri" w:hAnsi="Calibri" w:cs="Calibri"/>
          <w:i/>
          <w:iCs/>
          <w:noProof/>
          <w:sz w:val="20"/>
          <w:szCs w:val="24"/>
        </w:rPr>
        <w:t>BMJ</w:t>
      </w:r>
      <w:r w:rsidRPr="003F4710">
        <w:rPr>
          <w:rFonts w:ascii="Calibri" w:hAnsi="Calibri" w:cs="Calibri"/>
          <w:noProof/>
          <w:sz w:val="20"/>
          <w:szCs w:val="24"/>
        </w:rPr>
        <w:t>. 332 (7550), 1130–1135. [online]. Available from: http://www.bmj.com/content/332/7550/1130?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Warren, C. &amp; Karner, T. (2005) </w:t>
      </w:r>
      <w:r w:rsidRPr="003F4710">
        <w:rPr>
          <w:rFonts w:ascii="Calibri" w:hAnsi="Calibri" w:cs="Calibri"/>
          <w:i/>
          <w:iCs/>
          <w:noProof/>
          <w:sz w:val="20"/>
          <w:szCs w:val="24"/>
        </w:rPr>
        <w:t>The interview</w:t>
      </w:r>
      <w:r w:rsidRPr="003F4710">
        <w:rPr>
          <w:rFonts w:ascii="Calibri" w:hAnsi="Calibri" w:cs="Calibri"/>
          <w:noProof/>
          <w:sz w:val="20"/>
          <w:szCs w:val="24"/>
        </w:rPr>
        <w:t>. Los Angeles: Roxbury Publishing Company.</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Waters, E. &amp; Silva-Sanigorski, A. de (2011) Interventions for preventing obesity in children. </w:t>
      </w:r>
      <w:r w:rsidRPr="003F4710">
        <w:rPr>
          <w:rFonts w:ascii="Calibri" w:hAnsi="Calibri" w:cs="Calibri"/>
          <w:i/>
          <w:iCs/>
          <w:noProof/>
          <w:sz w:val="20"/>
          <w:szCs w:val="24"/>
        </w:rPr>
        <w:t>Cochrane Database of Systematic Reviews</w:t>
      </w:r>
      <w:r w:rsidRPr="003F4710">
        <w:rPr>
          <w:rFonts w:ascii="Calibri" w:hAnsi="Calibri" w:cs="Calibri"/>
          <w:noProof/>
          <w:sz w:val="20"/>
          <w:szCs w:val="24"/>
        </w:rPr>
        <w:t xml:space="preserve">. (12), . [online]. Available from: http://onlinelibrary.wiley.com/doi/10.1002/14651858.CD001871.pub3/pdf/ (Accessed 16 October </w:t>
      </w:r>
      <w:r w:rsidRPr="003F4710">
        <w:rPr>
          <w:rFonts w:ascii="Calibri" w:hAnsi="Calibri" w:cs="Calibri"/>
          <w:noProof/>
          <w:sz w:val="20"/>
          <w:szCs w:val="24"/>
        </w:rPr>
        <w:lastRenderedPageBreak/>
        <w:t>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Weigley, E. (2000) Adolphe Quetelet. </w:t>
      </w:r>
      <w:r w:rsidRPr="003F4710">
        <w:rPr>
          <w:rFonts w:ascii="Calibri" w:hAnsi="Calibri" w:cs="Calibri"/>
          <w:i/>
          <w:iCs/>
          <w:noProof/>
          <w:sz w:val="20"/>
          <w:szCs w:val="24"/>
        </w:rPr>
        <w:t>The American journal of clinical nutrition</w:t>
      </w:r>
      <w:r w:rsidRPr="003F4710">
        <w:rPr>
          <w:rFonts w:ascii="Calibri" w:hAnsi="Calibri" w:cs="Calibri"/>
          <w:noProof/>
          <w:sz w:val="20"/>
          <w:szCs w:val="24"/>
        </w:rPr>
        <w:t>. [online]. Available from: http://ajcn.nutrition.org/content/71/3/853.short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Weiss, R. &amp; Caprio, S. (2005) The metabolic consequences of childhood obesity. </w:t>
      </w:r>
      <w:r w:rsidRPr="003F4710">
        <w:rPr>
          <w:rFonts w:ascii="Calibri" w:hAnsi="Calibri" w:cs="Calibri"/>
          <w:i/>
          <w:iCs/>
          <w:noProof/>
          <w:sz w:val="20"/>
          <w:szCs w:val="24"/>
        </w:rPr>
        <w:t>Best practice &amp; research Clinical endocrinology &amp;  …</w:t>
      </w:r>
      <w:r w:rsidRPr="003F4710">
        <w:rPr>
          <w:rFonts w:ascii="Calibri" w:hAnsi="Calibri" w:cs="Calibri"/>
          <w:noProof/>
          <w:sz w:val="20"/>
          <w:szCs w:val="24"/>
        </w:rPr>
        <w:t>. [online]. Available from: http://www.sciencedirect.com/science/article/pii/S1521690X05000412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Wells, J. &amp; Cole, T. (2002) Adjustment of fat-free mass and fat mass for height in children aged 8 y. </w:t>
      </w:r>
      <w:r w:rsidRPr="003F4710">
        <w:rPr>
          <w:rFonts w:ascii="Calibri" w:hAnsi="Calibri" w:cs="Calibri"/>
          <w:i/>
          <w:iCs/>
          <w:noProof/>
          <w:sz w:val="20"/>
          <w:szCs w:val="24"/>
        </w:rPr>
        <w:t>International Journal of Obesity and Metabolic disorders</w:t>
      </w:r>
      <w:r w:rsidRPr="003F4710">
        <w:rPr>
          <w:rFonts w:ascii="Calibri" w:hAnsi="Calibri" w:cs="Calibri"/>
          <w:noProof/>
          <w:sz w:val="20"/>
          <w:szCs w:val="24"/>
        </w:rPr>
        <w:t>. 26 (7), 947–952. [online]. Available from: http://europepmc.org/abstract/med/12080448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Wells, J. &amp; Coward, W. (2002) The contribution of fat and fat-free tissue to body mass index in contemporary children and the reference child. </w:t>
      </w:r>
      <w:r w:rsidRPr="003F4710">
        <w:rPr>
          <w:rFonts w:ascii="Calibri" w:hAnsi="Calibri" w:cs="Calibri"/>
          <w:i/>
          <w:iCs/>
          <w:noProof/>
          <w:sz w:val="20"/>
          <w:szCs w:val="24"/>
        </w:rPr>
        <w:t>International Journal of Obesity and Metabolic disorders</w:t>
      </w:r>
      <w:r w:rsidRPr="003F4710">
        <w:rPr>
          <w:rFonts w:ascii="Calibri" w:hAnsi="Calibri" w:cs="Calibri"/>
          <w:noProof/>
          <w:sz w:val="20"/>
          <w:szCs w:val="24"/>
        </w:rPr>
        <w:t>. 26 (10), 1323–1328. [online]. Available from: http://europepmc.org/abstract/med/12355328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WHO (2016) Report of the Commission on Ending Childhood Obesity. WHO</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Wikler, D. (2002) Personal and Social Responsibility for Health. </w:t>
      </w:r>
      <w:r w:rsidRPr="003F4710">
        <w:rPr>
          <w:rFonts w:ascii="Calibri" w:hAnsi="Calibri" w:cs="Calibri"/>
          <w:i/>
          <w:iCs/>
          <w:noProof/>
          <w:sz w:val="20"/>
          <w:szCs w:val="24"/>
        </w:rPr>
        <w:t>Ethics &amp; International Affairs</w:t>
      </w:r>
      <w:r w:rsidRPr="003F4710">
        <w:rPr>
          <w:rFonts w:ascii="Calibri" w:hAnsi="Calibri" w:cs="Calibri"/>
          <w:noProof/>
          <w:sz w:val="20"/>
          <w:szCs w:val="24"/>
        </w:rPr>
        <w:t>. 16 (2), 47–55. [online]. Available from: http://www.journals.cambridge.org/abstract_S0892679400002690 (Accessed 22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Wilkins, A. (2015) Professionalizing school governance: the disciplinary effects of school autonomy and inspection on the changing role of school governors. </w:t>
      </w:r>
      <w:r w:rsidRPr="003F4710">
        <w:rPr>
          <w:rFonts w:ascii="Calibri" w:hAnsi="Calibri" w:cs="Calibri"/>
          <w:i/>
          <w:iCs/>
          <w:noProof/>
          <w:sz w:val="20"/>
          <w:szCs w:val="24"/>
        </w:rPr>
        <w:t>Journal of education policy</w:t>
      </w:r>
      <w:r w:rsidRPr="003F4710">
        <w:rPr>
          <w:rFonts w:ascii="Calibri" w:hAnsi="Calibri" w:cs="Calibri"/>
          <w:noProof/>
          <w:sz w:val="20"/>
          <w:szCs w:val="24"/>
        </w:rPr>
        <w:t>. 30 (2), 182–200. [online]. Available from: http://www.tandfonline.com/doi/abs/10.1080/02680939.2014.941414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Williams, A. &amp; Henley, W. (2013) Systematic review and meta-analysis of the association between childhood overweight and obesity and primary school diet and physical activity policies. </w:t>
      </w:r>
      <w:r w:rsidRPr="003F4710">
        <w:rPr>
          <w:rFonts w:ascii="Calibri" w:hAnsi="Calibri" w:cs="Calibri"/>
          <w:i/>
          <w:iCs/>
          <w:noProof/>
          <w:sz w:val="20"/>
          <w:szCs w:val="24"/>
        </w:rPr>
        <w:t>International Journal of Behavioral nutrition and Physical activity</w:t>
      </w:r>
      <w:r w:rsidRPr="003F4710">
        <w:rPr>
          <w:rFonts w:ascii="Calibri" w:hAnsi="Calibri" w:cs="Calibri"/>
          <w:noProof/>
          <w:sz w:val="20"/>
          <w:szCs w:val="24"/>
        </w:rPr>
        <w:t>. 10 (1), 101. [online]. Available from: http://www.biomedcentral.com/content/pdf/1479-5868-10-101.pdf (Accessed 29 March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Williden, M. et al. (2006) The APPLE project: An investigation of the barriers and promoters of healthy eating and physical activity in New Zealand children aged 5-12 years. </w:t>
      </w:r>
      <w:r w:rsidRPr="003F4710">
        <w:rPr>
          <w:rFonts w:ascii="Calibri" w:hAnsi="Calibri" w:cs="Calibri"/>
          <w:i/>
          <w:iCs/>
          <w:noProof/>
          <w:sz w:val="20"/>
          <w:szCs w:val="24"/>
        </w:rPr>
        <w:t>Health Education Journal</w:t>
      </w:r>
      <w:r w:rsidRPr="003F4710">
        <w:rPr>
          <w:rFonts w:ascii="Calibri" w:hAnsi="Calibri" w:cs="Calibri"/>
          <w:noProof/>
          <w:sz w:val="20"/>
          <w:szCs w:val="24"/>
        </w:rPr>
        <w:t>. 65 (2), 135–148. [online]. Available from: http://hej.sagepub.com/cgi/doi/10.1177/001789690606500204 (Accessed 29 June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Wilson, N. et al. (1994) </w:t>
      </w:r>
      <w:r w:rsidRPr="003F4710">
        <w:rPr>
          <w:rFonts w:ascii="Calibri" w:hAnsi="Calibri" w:cs="Calibri"/>
          <w:i/>
          <w:iCs/>
          <w:noProof/>
          <w:sz w:val="20"/>
          <w:szCs w:val="24"/>
        </w:rPr>
        <w:t>Questionnaire design : a practical introduction</w:t>
      </w:r>
      <w:r w:rsidRPr="003F4710">
        <w:rPr>
          <w:rFonts w:ascii="Calibri" w:hAnsi="Calibri" w:cs="Calibri"/>
          <w:noProof/>
          <w:sz w:val="20"/>
          <w:szCs w:val="24"/>
        </w:rPr>
        <w:t>. Newtown Abbey: University of Ulster.</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De Winter, J. &amp; Dodou, D. (2010) Five-Point Likert Items: t Test versus Mann-Whitney-Wilcoxon. </w:t>
      </w:r>
      <w:r w:rsidRPr="003F4710">
        <w:rPr>
          <w:rFonts w:ascii="Calibri" w:hAnsi="Calibri" w:cs="Calibri"/>
          <w:i/>
          <w:iCs/>
          <w:noProof/>
          <w:sz w:val="20"/>
          <w:szCs w:val="24"/>
        </w:rPr>
        <w:t>Practical Assessment Research &amp; Evaluation</w:t>
      </w:r>
      <w:r w:rsidRPr="003F4710">
        <w:rPr>
          <w:rFonts w:ascii="Calibri" w:hAnsi="Calibri" w:cs="Calibri"/>
          <w:noProof/>
          <w:sz w:val="20"/>
          <w:szCs w:val="24"/>
        </w:rPr>
        <w:t>. 15 (11), 1–12.</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Wisdom, J. (2012) Methodological reporting in qualitative, quantitative, and mixed methods health services research articles. </w:t>
      </w:r>
      <w:r w:rsidRPr="003F4710">
        <w:rPr>
          <w:rFonts w:ascii="Calibri" w:hAnsi="Calibri" w:cs="Calibri"/>
          <w:i/>
          <w:iCs/>
          <w:noProof/>
          <w:sz w:val="20"/>
          <w:szCs w:val="24"/>
        </w:rPr>
        <w:t>Health services  …</w:t>
      </w:r>
      <w:r w:rsidRPr="003F4710">
        <w:rPr>
          <w:rFonts w:ascii="Calibri" w:hAnsi="Calibri" w:cs="Calibri"/>
          <w:noProof/>
          <w:sz w:val="20"/>
          <w:szCs w:val="24"/>
        </w:rPr>
        <w:t>. [online]. Available from: http://onlinelibrary.wiley.com/doi/10.1111/j.1475-6773.2011.01344.x/full (Accessed 17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Wong, C. et al. (2016) Assessing patients’ and GPs’ ability to recognise overweight and obesity. </w:t>
      </w:r>
      <w:r w:rsidRPr="003F4710">
        <w:rPr>
          <w:rFonts w:ascii="Calibri" w:hAnsi="Calibri" w:cs="Calibri"/>
          <w:i/>
          <w:iCs/>
          <w:noProof/>
          <w:sz w:val="20"/>
          <w:szCs w:val="24"/>
        </w:rPr>
        <w:t>Australian and New Zealand Journal of Public Health</w:t>
      </w:r>
      <w:r w:rsidRPr="003F4710">
        <w:rPr>
          <w:rFonts w:ascii="Calibri" w:hAnsi="Calibri" w:cs="Calibri"/>
          <w:noProof/>
          <w:sz w:val="20"/>
          <w:szCs w:val="24"/>
        </w:rPr>
        <w:t>. 40 (6), 513–517. [online]. Available from: http://doi.wiley.com/10.1111/1753-6405.12536 (Accessed 11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World Health Organization (2014) </w:t>
      </w:r>
      <w:r w:rsidRPr="003F4710">
        <w:rPr>
          <w:rFonts w:ascii="Calibri" w:hAnsi="Calibri" w:cs="Calibri"/>
          <w:i/>
          <w:iCs/>
          <w:noProof/>
          <w:sz w:val="20"/>
          <w:szCs w:val="24"/>
        </w:rPr>
        <w:t>Adolescence: psychological and social changes</w:t>
      </w:r>
      <w:r w:rsidRPr="003F4710">
        <w:rPr>
          <w:rFonts w:ascii="Calibri" w:hAnsi="Calibri" w:cs="Calibri"/>
          <w:noProof/>
          <w:sz w:val="20"/>
          <w:szCs w:val="24"/>
        </w:rPr>
        <w:t xml:space="preserve"> [online]. Available from: http://apps.who.int/adolescent/second-decade/section2/page5/adolescence-psychological-and-social-changes.html.</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World Health Organization (2016a) </w:t>
      </w:r>
      <w:r w:rsidRPr="003F4710">
        <w:rPr>
          <w:rFonts w:ascii="Calibri" w:hAnsi="Calibri" w:cs="Calibri"/>
          <w:i/>
          <w:iCs/>
          <w:noProof/>
          <w:sz w:val="20"/>
          <w:szCs w:val="24"/>
        </w:rPr>
        <w:t>Adolescents: health risks and solutions (Fact sheet)</w:t>
      </w:r>
      <w:r w:rsidRPr="003F4710">
        <w:rPr>
          <w:rFonts w:ascii="Calibri" w:hAnsi="Calibri" w:cs="Calibri"/>
          <w:noProof/>
          <w:sz w:val="20"/>
          <w:szCs w:val="24"/>
        </w:rPr>
        <w:t xml:space="preserve"> [online]. Available from: http://www.who.int/mediacentre/factsheets/fs345/en/.</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World Health Organization (2017) </w:t>
      </w:r>
      <w:r w:rsidRPr="003F4710">
        <w:rPr>
          <w:rFonts w:ascii="Calibri" w:hAnsi="Calibri" w:cs="Calibri"/>
          <w:i/>
          <w:iCs/>
          <w:noProof/>
          <w:sz w:val="20"/>
          <w:szCs w:val="24"/>
        </w:rPr>
        <w:t>BMI Classification</w:t>
      </w:r>
      <w:r w:rsidRPr="003F4710">
        <w:rPr>
          <w:rFonts w:ascii="Calibri" w:hAnsi="Calibri" w:cs="Calibri"/>
          <w:noProof/>
          <w:sz w:val="20"/>
          <w:szCs w:val="24"/>
        </w:rPr>
        <w:t xml:space="preserve"> [online]. Available from: http://apps.who.int/bmi/index.jsp?introPage=intro_3.html.</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World Health Organization (2003) </w:t>
      </w:r>
      <w:r w:rsidRPr="003F4710">
        <w:rPr>
          <w:rFonts w:ascii="Calibri" w:hAnsi="Calibri" w:cs="Calibri"/>
          <w:i/>
          <w:iCs/>
          <w:noProof/>
          <w:sz w:val="20"/>
          <w:szCs w:val="24"/>
        </w:rPr>
        <w:t>Controlling the global obesity epidemic</w:t>
      </w:r>
      <w:r w:rsidRPr="003F4710">
        <w:rPr>
          <w:rFonts w:ascii="Calibri" w:hAnsi="Calibri" w:cs="Calibri"/>
          <w:noProof/>
          <w:sz w:val="20"/>
          <w:szCs w:val="24"/>
        </w:rPr>
        <w:t xml:space="preserve"> [online]. Available from: http://www.who.int/nutrition/topics/obesity/en/ (Accessed 12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World Health Organization (2013) Global action plan for the prevention and control of noncommunicable diseases 2013-2020. World Health Organization [online]. Available from: http://apps.who.int/iris/bitstream/10665/94384/1/9789241506236_eng.pdf. [online]. Available from: http://apps.who.int/iris/bitstream/10665/94384/1/9789241506236_eng.pdf.</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World Health Organization (2016b) </w:t>
      </w:r>
      <w:r w:rsidRPr="003F4710">
        <w:rPr>
          <w:rFonts w:ascii="Calibri" w:hAnsi="Calibri" w:cs="Calibri"/>
          <w:i/>
          <w:iCs/>
          <w:noProof/>
          <w:sz w:val="20"/>
          <w:szCs w:val="24"/>
        </w:rPr>
        <w:t>Obesity and Overweight (Fact sheet)</w:t>
      </w:r>
      <w:r w:rsidRPr="003F4710">
        <w:rPr>
          <w:rFonts w:ascii="Calibri" w:hAnsi="Calibri" w:cs="Calibri"/>
          <w:noProof/>
          <w:sz w:val="20"/>
          <w:szCs w:val="24"/>
        </w:rPr>
        <w:t xml:space="preserve"> [online]. Available from: http://www.who.int/mediacentre/factsheets/fs311/en/.</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World Health Organization (1986a) 'Ottawa charter for health promotion', in </w:t>
      </w:r>
      <w:r w:rsidRPr="003F4710">
        <w:rPr>
          <w:rFonts w:ascii="Calibri" w:hAnsi="Calibri" w:cs="Calibri"/>
          <w:i/>
          <w:iCs/>
          <w:noProof/>
          <w:sz w:val="20"/>
          <w:szCs w:val="24"/>
        </w:rPr>
        <w:t>First international conference on health promotion</w:t>
      </w:r>
      <w:r w:rsidRPr="003F4710">
        <w:rPr>
          <w:rFonts w:ascii="Calibri" w:hAnsi="Calibri" w:cs="Calibri"/>
          <w:noProof/>
          <w:sz w:val="20"/>
          <w:szCs w:val="24"/>
        </w:rPr>
        <w:t>. 1986 Ottawa: . p.</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World Health Organization (2012) </w:t>
      </w:r>
      <w:r w:rsidRPr="003F4710">
        <w:rPr>
          <w:rFonts w:ascii="Calibri" w:hAnsi="Calibri" w:cs="Calibri"/>
          <w:i/>
          <w:iCs/>
          <w:noProof/>
          <w:sz w:val="20"/>
          <w:szCs w:val="24"/>
        </w:rPr>
        <w:t>Population-based approaches to childhood obesity prevention</w:t>
      </w:r>
      <w:r w:rsidRPr="003F4710">
        <w:rPr>
          <w:rFonts w:ascii="Calibri" w:hAnsi="Calibri" w:cs="Calibri"/>
          <w:noProof/>
          <w:sz w:val="20"/>
          <w:szCs w:val="24"/>
        </w:rPr>
        <w:t xml:space="preserve">. [online]. Available from: http://apps.who.int/iris/bitstream/10665/80149/1/9789241504782_eng.pdf?ua=1 </w:t>
      </w:r>
      <w:r w:rsidRPr="003F4710">
        <w:rPr>
          <w:rFonts w:ascii="Calibri" w:hAnsi="Calibri" w:cs="Calibri"/>
          <w:noProof/>
          <w:sz w:val="20"/>
          <w:szCs w:val="24"/>
        </w:rPr>
        <w:lastRenderedPageBreak/>
        <w:t>(Accessed 9 July 2015). [online]. Available from: http://apps.who.int/iris/bitstream/10665/80149/1/9789241504782_eng.pdf?ua=1 (Accessed 9 July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World Health Organization (2016c) </w:t>
      </w:r>
      <w:r w:rsidRPr="003F4710">
        <w:rPr>
          <w:rFonts w:ascii="Calibri" w:hAnsi="Calibri" w:cs="Calibri"/>
          <w:i/>
          <w:iCs/>
          <w:noProof/>
          <w:sz w:val="20"/>
          <w:szCs w:val="24"/>
        </w:rPr>
        <w:t>Report of the Commission on Ending Childhood Obesity</w:t>
      </w:r>
      <w:r w:rsidRPr="003F4710">
        <w:rPr>
          <w:rFonts w:ascii="Calibri" w:hAnsi="Calibri" w:cs="Calibri"/>
          <w:noProof/>
          <w:sz w:val="20"/>
          <w:szCs w:val="24"/>
        </w:rPr>
        <w:t>. [online]. Available from: http://apps.who.int/iris/bitstream/10665/204176/1/9789241510066_eng.pdf?ua=1&amp;ua=1. [online]. Available from: http://apps.who.int/iris/bitstream/10665/204176/1/9789241510066_eng.pdf?ua=1&amp;ua=1.</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World Health Organization (1986b) 'The Ottawa charter for health promotion', in </w:t>
      </w:r>
      <w:r w:rsidRPr="003F4710">
        <w:rPr>
          <w:rFonts w:ascii="Calibri" w:hAnsi="Calibri" w:cs="Calibri"/>
          <w:i/>
          <w:iCs/>
          <w:noProof/>
          <w:sz w:val="20"/>
          <w:szCs w:val="24"/>
        </w:rPr>
        <w:t>First international conference on health promotion</w:t>
      </w:r>
      <w:r w:rsidRPr="003F4710">
        <w:rPr>
          <w:rFonts w:ascii="Calibri" w:hAnsi="Calibri" w:cs="Calibri"/>
          <w:noProof/>
          <w:sz w:val="20"/>
          <w:szCs w:val="24"/>
        </w:rPr>
        <w:t>. 1986 Ottawa: . p.</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World Health Organization Regional Office for Europe (2014) </w:t>
      </w:r>
      <w:r w:rsidRPr="003F4710">
        <w:rPr>
          <w:rFonts w:ascii="Calibri" w:hAnsi="Calibri" w:cs="Calibri"/>
          <w:i/>
          <w:iCs/>
          <w:noProof/>
          <w:sz w:val="20"/>
          <w:szCs w:val="24"/>
        </w:rPr>
        <w:t>Obesity and inequities - Guidance for addressing inequities in overweight and obesity</w:t>
      </w:r>
      <w:r w:rsidRPr="003F4710">
        <w:rPr>
          <w:rFonts w:ascii="Calibri" w:hAnsi="Calibri" w:cs="Calibri"/>
          <w:noProof/>
          <w:sz w:val="20"/>
          <w:szCs w:val="24"/>
        </w:rPr>
        <w:t>. [online]. Available from: http://www.euro.who.int/__data/assets/pdf_file/0003/247638/obesity-090514.pdf. [online]. Available from: http://www.euro.who.int/__data/assets/pdf_file/0003/247638/obesity-090514.pdf.</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Yager, Z. &amp; Dea, J. O. (2005) The role of teachers and other educators in the prevention of eating disorders and child obesity: what are the issues? </w:t>
      </w:r>
      <w:r w:rsidRPr="003F4710">
        <w:rPr>
          <w:rFonts w:ascii="Calibri" w:hAnsi="Calibri" w:cs="Calibri"/>
          <w:i/>
          <w:iCs/>
          <w:noProof/>
          <w:sz w:val="20"/>
          <w:szCs w:val="24"/>
        </w:rPr>
        <w:t>Eating Disorders</w:t>
      </w:r>
      <w:r w:rsidRPr="003F4710">
        <w:rPr>
          <w:rFonts w:ascii="Calibri" w:hAnsi="Calibri" w:cs="Calibri"/>
          <w:noProof/>
          <w:sz w:val="20"/>
          <w:szCs w:val="24"/>
        </w:rPr>
        <w:t>. 13 (3), 261–278. [online]. Available from: http://www.tandfonline.com/doi/abs/10.1080/10640260590932878 (Accessed 24 April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Yager, Z. &amp; O’Dea, J. (2010) A controlled intervention to promote a healthy body image, reduce eating disorder risk and prevent excessive exercise among trainee health education and physical education teachers. </w:t>
      </w:r>
      <w:r w:rsidRPr="003F4710">
        <w:rPr>
          <w:rFonts w:ascii="Calibri" w:hAnsi="Calibri" w:cs="Calibri"/>
          <w:i/>
          <w:iCs/>
          <w:noProof/>
          <w:sz w:val="20"/>
          <w:szCs w:val="24"/>
        </w:rPr>
        <w:t>Health Education Research</w:t>
      </w:r>
      <w:r w:rsidRPr="003F4710">
        <w:rPr>
          <w:rFonts w:ascii="Calibri" w:hAnsi="Calibri" w:cs="Calibri"/>
          <w:noProof/>
          <w:sz w:val="20"/>
          <w:szCs w:val="24"/>
        </w:rPr>
        <w:t>. 25 (5), 841–852. [online]. Available from: https://academic.oup.com/her/article-lookup/doi/10.1093/her/cyq036 (Accessed 23 July 2017).</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Yajnik, C. &amp; Yudkin, J. (2004) The YY paradox. </w:t>
      </w:r>
      <w:r w:rsidRPr="003F4710">
        <w:rPr>
          <w:rFonts w:ascii="Calibri" w:hAnsi="Calibri" w:cs="Calibri"/>
          <w:i/>
          <w:iCs/>
          <w:noProof/>
          <w:sz w:val="20"/>
          <w:szCs w:val="24"/>
        </w:rPr>
        <w:t>The Lancet</w:t>
      </w:r>
      <w:r w:rsidRPr="003F4710">
        <w:rPr>
          <w:rFonts w:ascii="Calibri" w:hAnsi="Calibri" w:cs="Calibri"/>
          <w:noProof/>
          <w:sz w:val="20"/>
          <w:szCs w:val="24"/>
        </w:rPr>
        <w:t>. 363 (9403), 163. [online]. Available from: http://www.thelancet.com/journals/lancet/article/PIIS0140673603152695/abstract (Accessed 16 October 2015).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szCs w:val="24"/>
        </w:rPr>
      </w:pPr>
      <w:r w:rsidRPr="003F4710">
        <w:rPr>
          <w:rFonts w:ascii="Calibri" w:hAnsi="Calibri" w:cs="Calibri"/>
          <w:noProof/>
          <w:sz w:val="20"/>
          <w:szCs w:val="24"/>
        </w:rPr>
        <w:t xml:space="preserve">Young, M. E. et al. (2008) The role of medical language in changing public perceptions of illness. </w:t>
      </w:r>
      <w:r w:rsidRPr="003F4710">
        <w:rPr>
          <w:rFonts w:ascii="Calibri" w:hAnsi="Calibri" w:cs="Calibri"/>
          <w:i/>
          <w:iCs/>
          <w:noProof/>
          <w:sz w:val="20"/>
          <w:szCs w:val="24"/>
        </w:rPr>
        <w:t>PLoS ONE</w:t>
      </w:r>
      <w:r w:rsidRPr="003F4710">
        <w:rPr>
          <w:rFonts w:ascii="Calibri" w:hAnsi="Calibri" w:cs="Calibri"/>
          <w:noProof/>
          <w:sz w:val="20"/>
          <w:szCs w:val="24"/>
        </w:rPr>
        <w:t>. 3 (12), e3875.</w:t>
      </w:r>
    </w:p>
    <w:p w:rsidR="003F4710" w:rsidRPr="003F4710" w:rsidRDefault="003F4710" w:rsidP="003F4710">
      <w:pPr>
        <w:widowControl w:val="0"/>
        <w:autoSpaceDE w:val="0"/>
        <w:autoSpaceDN w:val="0"/>
        <w:adjustRightInd w:val="0"/>
        <w:spacing w:line="240" w:lineRule="auto"/>
        <w:ind w:left="480" w:hanging="480"/>
        <w:rPr>
          <w:rFonts w:ascii="Calibri" w:hAnsi="Calibri" w:cs="Calibri"/>
          <w:noProof/>
          <w:sz w:val="20"/>
        </w:rPr>
      </w:pPr>
      <w:r w:rsidRPr="003F4710">
        <w:rPr>
          <w:rFonts w:ascii="Calibri" w:hAnsi="Calibri" w:cs="Calibri"/>
          <w:noProof/>
          <w:sz w:val="20"/>
          <w:szCs w:val="24"/>
        </w:rPr>
        <w:t xml:space="preserve">Zahra, J. et al. (2014) Cross-sectional survey of daily junk food consumption, irregular eating, mental and physical health and parenting style of British secondary school children. </w:t>
      </w:r>
      <w:r w:rsidRPr="003F4710">
        <w:rPr>
          <w:rFonts w:ascii="Calibri" w:hAnsi="Calibri" w:cs="Calibri"/>
          <w:i/>
          <w:iCs/>
          <w:noProof/>
          <w:sz w:val="20"/>
          <w:szCs w:val="24"/>
        </w:rPr>
        <w:t>Child: care, health and development</w:t>
      </w:r>
      <w:r w:rsidRPr="003F4710">
        <w:rPr>
          <w:rFonts w:ascii="Calibri" w:hAnsi="Calibri" w:cs="Calibri"/>
          <w:noProof/>
          <w:sz w:val="20"/>
          <w:szCs w:val="24"/>
        </w:rPr>
        <w:t>. 40 (4), 481–491. [online]. Available from: http://www.ncbi.nlm.nih.gov/pubmed/23594136 (Accessed 8 September 2015).</w:t>
      </w:r>
    </w:p>
    <w:p w:rsidR="0005387D" w:rsidRPr="009B3747" w:rsidRDefault="0005387D" w:rsidP="0005387D">
      <w:pPr>
        <w:spacing w:line="240" w:lineRule="auto"/>
        <w:rPr>
          <w:rFonts w:cstheme="minorHAnsi"/>
          <w:sz w:val="20"/>
          <w:szCs w:val="20"/>
        </w:rPr>
      </w:pPr>
      <w:r w:rsidRPr="009B3747">
        <w:rPr>
          <w:rFonts w:cstheme="minorHAnsi"/>
          <w:sz w:val="20"/>
          <w:szCs w:val="20"/>
        </w:rPr>
        <w:fldChar w:fldCharType="end"/>
      </w:r>
    </w:p>
    <w:p w:rsidR="0005387D" w:rsidRPr="009B3747" w:rsidRDefault="0005387D" w:rsidP="0005387D">
      <w:pPr>
        <w:spacing w:line="240" w:lineRule="auto"/>
        <w:jc w:val="center"/>
        <w:rPr>
          <w:rFonts w:cstheme="minorHAnsi"/>
          <w:b/>
          <w:sz w:val="20"/>
          <w:szCs w:val="20"/>
          <w:u w:val="single"/>
        </w:rPr>
      </w:pPr>
    </w:p>
    <w:p w:rsidR="0005387D" w:rsidRPr="009B3747" w:rsidRDefault="0005387D" w:rsidP="0005387D">
      <w:pPr>
        <w:spacing w:line="240" w:lineRule="auto"/>
        <w:jc w:val="center"/>
        <w:rPr>
          <w:rFonts w:cstheme="minorHAnsi"/>
          <w:b/>
          <w:sz w:val="20"/>
          <w:szCs w:val="20"/>
          <w:u w:val="single"/>
        </w:rPr>
      </w:pPr>
    </w:p>
    <w:p w:rsidR="0005387D" w:rsidRPr="009B3747" w:rsidRDefault="0005387D" w:rsidP="0005387D">
      <w:pPr>
        <w:spacing w:line="240" w:lineRule="auto"/>
        <w:jc w:val="center"/>
        <w:rPr>
          <w:rFonts w:cstheme="minorHAnsi"/>
          <w:b/>
          <w:sz w:val="20"/>
          <w:szCs w:val="20"/>
          <w:u w:val="single"/>
        </w:rPr>
      </w:pPr>
    </w:p>
    <w:p w:rsidR="0005387D" w:rsidRPr="009B3747" w:rsidRDefault="0005387D" w:rsidP="0005387D">
      <w:pPr>
        <w:spacing w:line="240" w:lineRule="auto"/>
        <w:jc w:val="center"/>
        <w:rPr>
          <w:rFonts w:cstheme="minorHAnsi"/>
          <w:b/>
          <w:sz w:val="20"/>
          <w:szCs w:val="20"/>
          <w:u w:val="single"/>
        </w:rPr>
      </w:pPr>
    </w:p>
    <w:p w:rsidR="0005387D" w:rsidRPr="009B3747" w:rsidRDefault="0005387D" w:rsidP="000A3628">
      <w:pPr>
        <w:jc w:val="center"/>
        <w:rPr>
          <w:rFonts w:cstheme="minorHAnsi"/>
          <w:b/>
          <w:sz w:val="36"/>
          <w:szCs w:val="36"/>
          <w:u w:val="single"/>
        </w:rPr>
      </w:pPr>
    </w:p>
    <w:p w:rsidR="0005387D" w:rsidRPr="009B3747" w:rsidRDefault="0005387D" w:rsidP="000A3628">
      <w:pPr>
        <w:jc w:val="center"/>
        <w:rPr>
          <w:rFonts w:cstheme="minorHAnsi"/>
          <w:b/>
          <w:sz w:val="36"/>
          <w:szCs w:val="36"/>
          <w:u w:val="single"/>
        </w:rPr>
      </w:pPr>
    </w:p>
    <w:p w:rsidR="0005387D" w:rsidRPr="009B3747" w:rsidRDefault="0005387D" w:rsidP="000A3628">
      <w:pPr>
        <w:jc w:val="center"/>
        <w:rPr>
          <w:rFonts w:cstheme="minorHAnsi"/>
          <w:b/>
          <w:sz w:val="36"/>
          <w:szCs w:val="36"/>
          <w:u w:val="single"/>
        </w:rPr>
      </w:pPr>
    </w:p>
    <w:p w:rsidR="0005387D" w:rsidRPr="009B3747" w:rsidRDefault="0005387D" w:rsidP="000A3628">
      <w:pPr>
        <w:jc w:val="center"/>
        <w:rPr>
          <w:rFonts w:cstheme="minorHAnsi"/>
          <w:b/>
          <w:sz w:val="36"/>
          <w:szCs w:val="36"/>
          <w:u w:val="single"/>
        </w:rPr>
      </w:pPr>
    </w:p>
    <w:p w:rsidR="0005387D" w:rsidRPr="009B3747" w:rsidRDefault="0005387D" w:rsidP="000A3628">
      <w:pPr>
        <w:jc w:val="center"/>
        <w:rPr>
          <w:rFonts w:cstheme="minorHAnsi"/>
          <w:b/>
          <w:sz w:val="36"/>
          <w:szCs w:val="36"/>
          <w:u w:val="single"/>
        </w:rPr>
      </w:pPr>
    </w:p>
    <w:p w:rsidR="0005387D" w:rsidRPr="009B3747" w:rsidRDefault="0005387D" w:rsidP="000A3628">
      <w:pPr>
        <w:jc w:val="center"/>
        <w:rPr>
          <w:rFonts w:cstheme="minorHAnsi"/>
          <w:b/>
          <w:sz w:val="36"/>
          <w:szCs w:val="36"/>
          <w:u w:val="single"/>
        </w:rPr>
      </w:pPr>
    </w:p>
    <w:p w:rsidR="002E65A4" w:rsidRPr="009B3747" w:rsidRDefault="002E65A4" w:rsidP="0025486F">
      <w:pPr>
        <w:jc w:val="center"/>
        <w:rPr>
          <w:rFonts w:cstheme="minorHAnsi"/>
          <w:b/>
          <w:sz w:val="36"/>
          <w:szCs w:val="36"/>
          <w:u w:val="single"/>
        </w:rPr>
      </w:pPr>
    </w:p>
    <w:p w:rsidR="002E65A4" w:rsidRPr="009B3747" w:rsidRDefault="002E65A4" w:rsidP="0025486F">
      <w:pPr>
        <w:jc w:val="center"/>
        <w:rPr>
          <w:rFonts w:cstheme="minorHAnsi"/>
          <w:b/>
          <w:sz w:val="36"/>
          <w:szCs w:val="36"/>
          <w:u w:val="single"/>
        </w:rPr>
      </w:pPr>
    </w:p>
    <w:p w:rsidR="004A397C" w:rsidRPr="009B3747" w:rsidRDefault="004A397C" w:rsidP="0025486F">
      <w:pPr>
        <w:jc w:val="center"/>
        <w:rPr>
          <w:rFonts w:cstheme="minorHAnsi"/>
          <w:b/>
          <w:sz w:val="36"/>
          <w:szCs w:val="36"/>
          <w:u w:val="single"/>
        </w:rPr>
      </w:pPr>
      <w:r w:rsidRPr="009B3747">
        <w:rPr>
          <w:rFonts w:cstheme="minorHAnsi"/>
          <w:b/>
          <w:sz w:val="36"/>
          <w:szCs w:val="36"/>
          <w:u w:val="single"/>
        </w:rPr>
        <w:lastRenderedPageBreak/>
        <w:t>APPENDICES</w:t>
      </w:r>
    </w:p>
    <w:p w:rsidR="000A3628" w:rsidRPr="009B3747" w:rsidRDefault="000A3628" w:rsidP="004A397C">
      <w:pPr>
        <w:spacing w:line="240" w:lineRule="auto"/>
        <w:rPr>
          <w:rFonts w:eastAsia="Times New Roman" w:cstheme="minorHAnsi"/>
          <w:b/>
          <w:bCs/>
          <w:color w:val="000000"/>
          <w:sz w:val="28"/>
          <w:szCs w:val="28"/>
          <w:u w:val="single"/>
          <w:lang w:eastAsia="en-GB"/>
        </w:rPr>
      </w:pPr>
    </w:p>
    <w:p w:rsidR="004A397C" w:rsidRPr="009B3747" w:rsidRDefault="004A397C" w:rsidP="004A397C">
      <w:pPr>
        <w:spacing w:line="240" w:lineRule="auto"/>
        <w:rPr>
          <w:rFonts w:eastAsia="Times New Roman" w:cstheme="minorHAnsi"/>
          <w:bCs/>
          <w:color w:val="000000"/>
          <w:sz w:val="28"/>
          <w:szCs w:val="28"/>
          <w:lang w:eastAsia="en-GB"/>
        </w:rPr>
      </w:pPr>
      <w:r w:rsidRPr="009B3747">
        <w:rPr>
          <w:rFonts w:eastAsia="Times New Roman" w:cstheme="minorHAnsi"/>
          <w:b/>
          <w:bCs/>
          <w:color w:val="000000"/>
          <w:sz w:val="28"/>
          <w:szCs w:val="28"/>
          <w:u w:val="single"/>
          <w:lang w:eastAsia="en-GB"/>
        </w:rPr>
        <w:t>Appendix A</w:t>
      </w:r>
      <w:r w:rsidRPr="009B3747">
        <w:rPr>
          <w:rFonts w:eastAsia="Times New Roman" w:cstheme="minorHAnsi"/>
          <w:bCs/>
          <w:color w:val="000000"/>
          <w:sz w:val="28"/>
          <w:szCs w:val="28"/>
          <w:lang w:eastAsia="en-GB"/>
        </w:rPr>
        <w:t xml:space="preserve"> - Review protocol (Systematic review and qualitative synthesis)</w:t>
      </w:r>
    </w:p>
    <w:p w:rsidR="004A397C" w:rsidRPr="009B3747" w:rsidRDefault="004A397C" w:rsidP="004A397C">
      <w:pPr>
        <w:spacing w:line="240" w:lineRule="auto"/>
        <w:rPr>
          <w:rFonts w:eastAsia="Times New Roman" w:cstheme="minorHAnsi"/>
          <w:sz w:val="24"/>
          <w:szCs w:val="24"/>
          <w:lang w:eastAsia="en-GB"/>
        </w:rPr>
      </w:pP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4A397C" w:rsidRPr="009B3747" w:rsidTr="00846B2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u w:val="single"/>
                <w:lang w:eastAsia="en-GB"/>
              </w:rPr>
              <w:t>Background</w:t>
            </w:r>
          </w:p>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Chapter 2 (within thesis) provides a comprehensive background to the review topic under study, both in relation to the scale and severity of adol</w:t>
            </w:r>
            <w:r w:rsidR="00EB44DD">
              <w:rPr>
                <w:rFonts w:eastAsia="Times New Roman" w:cstheme="minorHAnsi"/>
                <w:color w:val="000000"/>
                <w:sz w:val="20"/>
                <w:szCs w:val="20"/>
                <w:lang w:eastAsia="en-GB"/>
              </w:rPr>
              <w:t xml:space="preserve">escent obesity, </w:t>
            </w:r>
            <w:r w:rsidRPr="009B3747">
              <w:rPr>
                <w:rFonts w:eastAsia="Times New Roman" w:cstheme="minorHAnsi"/>
                <w:color w:val="000000"/>
                <w:sz w:val="20"/>
                <w:szCs w:val="20"/>
                <w:lang w:eastAsia="en-GB"/>
              </w:rPr>
              <w:t xml:space="preserve">but also the role and importance of secondary school settings and key school stakeholders in its prevention.  Furthermore, Chapter 2 explicitly justifies that as given their leadership and governance responsibilities, headteachers and chairs of governors play a crucial role in determining whether and how a secondary school engages in preventing obesity in adolescence.  Consequently exploring their views on this topic was deemed of significant importance and forms therefore the central focus of this doctoral research study. </w:t>
            </w:r>
          </w:p>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The review question is - </w:t>
            </w:r>
          </w:p>
          <w:p w:rsidR="004A397C" w:rsidRPr="009B3747" w:rsidRDefault="004A397C" w:rsidP="00846B21">
            <w:pPr>
              <w:spacing w:line="240" w:lineRule="auto"/>
              <w:rPr>
                <w:rFonts w:eastAsia="Times New Roman" w:cstheme="minorHAnsi"/>
                <w:sz w:val="24"/>
                <w:szCs w:val="24"/>
                <w:lang w:eastAsia="en-GB"/>
              </w:rPr>
            </w:pPr>
          </w:p>
          <w:p w:rsidR="004A397C" w:rsidRPr="009B3747" w:rsidRDefault="0083682E" w:rsidP="00846B21">
            <w:pPr>
              <w:spacing w:line="240" w:lineRule="auto"/>
              <w:rPr>
                <w:rFonts w:eastAsia="Times New Roman" w:cstheme="minorHAnsi"/>
                <w:sz w:val="24"/>
                <w:szCs w:val="24"/>
                <w:lang w:eastAsia="en-GB"/>
              </w:rPr>
            </w:pPr>
            <w:r w:rsidRPr="009B3747">
              <w:rPr>
                <w:rFonts w:eastAsia="Times New Roman" w:cstheme="minorHAnsi"/>
                <w:i/>
                <w:iCs/>
                <w:color w:val="000000"/>
                <w:sz w:val="20"/>
                <w:szCs w:val="20"/>
                <w:lang w:eastAsia="en-GB"/>
              </w:rPr>
              <w:t>‘</w:t>
            </w:r>
            <w:r w:rsidR="004A397C" w:rsidRPr="009B3747">
              <w:rPr>
                <w:rFonts w:eastAsia="Times New Roman" w:cstheme="minorHAnsi"/>
                <w:i/>
                <w:iCs/>
                <w:color w:val="000000"/>
                <w:sz w:val="20"/>
                <w:szCs w:val="20"/>
                <w:lang w:eastAsia="en-GB"/>
              </w:rPr>
              <w:t>What are headteachers</w:t>
            </w:r>
            <w:r w:rsidR="002B6EFF" w:rsidRPr="009B3747">
              <w:rPr>
                <w:rFonts w:eastAsia="Times New Roman" w:cstheme="minorHAnsi"/>
                <w:i/>
                <w:iCs/>
                <w:color w:val="000000"/>
                <w:sz w:val="20"/>
                <w:szCs w:val="20"/>
                <w:lang w:eastAsia="en-GB"/>
              </w:rPr>
              <w:t>’</w:t>
            </w:r>
            <w:r w:rsidR="004A397C" w:rsidRPr="009B3747">
              <w:rPr>
                <w:rFonts w:eastAsia="Times New Roman" w:cstheme="minorHAnsi"/>
                <w:i/>
                <w:iCs/>
                <w:color w:val="000000"/>
                <w:sz w:val="20"/>
                <w:szCs w:val="20"/>
                <w:lang w:eastAsia="en-GB"/>
              </w:rPr>
              <w:t xml:space="preserve"> and chairs of governors</w:t>
            </w:r>
            <w:r w:rsidR="002B6EFF" w:rsidRPr="009B3747">
              <w:rPr>
                <w:rFonts w:eastAsia="Times New Roman" w:cstheme="minorHAnsi"/>
                <w:i/>
                <w:iCs/>
                <w:color w:val="000000"/>
                <w:sz w:val="20"/>
                <w:szCs w:val="20"/>
                <w:lang w:eastAsia="en-GB"/>
              </w:rPr>
              <w:t>’</w:t>
            </w:r>
            <w:r w:rsidR="004A397C" w:rsidRPr="009B3747">
              <w:rPr>
                <w:rFonts w:eastAsia="Times New Roman" w:cstheme="minorHAnsi"/>
                <w:i/>
                <w:iCs/>
                <w:color w:val="000000"/>
                <w:sz w:val="20"/>
                <w:szCs w:val="20"/>
                <w:lang w:eastAsia="en-GB"/>
              </w:rPr>
              <w:t xml:space="preserve"> perspectives on childhood or adolescent obesity and its preventio</w:t>
            </w:r>
            <w:r w:rsidRPr="009B3747">
              <w:rPr>
                <w:rFonts w:eastAsia="Times New Roman" w:cstheme="minorHAnsi"/>
                <w:i/>
                <w:iCs/>
                <w:color w:val="000000"/>
                <w:sz w:val="20"/>
                <w:szCs w:val="20"/>
                <w:lang w:eastAsia="en-GB"/>
              </w:rPr>
              <w:t>n in secondary school settings?’</w:t>
            </w:r>
          </w:p>
          <w:p w:rsidR="004A397C" w:rsidRPr="009B3747" w:rsidRDefault="004A397C" w:rsidP="00846B21">
            <w:pPr>
              <w:spacing w:line="240" w:lineRule="auto"/>
              <w:rPr>
                <w:rFonts w:eastAsia="Times New Roman" w:cstheme="minorHAnsi"/>
                <w:sz w:val="24"/>
                <w:szCs w:val="24"/>
                <w:lang w:eastAsia="en-GB"/>
              </w:rPr>
            </w:pPr>
          </w:p>
        </w:tc>
      </w:tr>
      <w:tr w:rsidR="004A397C" w:rsidRPr="009B3747" w:rsidTr="00846B2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u w:val="single"/>
                <w:lang w:eastAsia="en-GB"/>
              </w:rPr>
              <w:t>Aim and Objectives</w:t>
            </w:r>
          </w:p>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Systematically identify and synthesise the research literature concerning the perspectives of headteachers</w:t>
            </w:r>
            <w:r w:rsidR="002B6EFF" w:rsidRPr="009B3747">
              <w:rPr>
                <w:rFonts w:eastAsia="Times New Roman" w:cstheme="minorHAnsi"/>
                <w:color w:val="000000"/>
                <w:sz w:val="20"/>
                <w:szCs w:val="20"/>
                <w:lang w:eastAsia="en-GB"/>
              </w:rPr>
              <w:t>’</w:t>
            </w:r>
            <w:r w:rsidRPr="009B3747">
              <w:rPr>
                <w:rFonts w:eastAsia="Times New Roman" w:cstheme="minorHAnsi"/>
                <w:color w:val="000000"/>
                <w:sz w:val="20"/>
                <w:szCs w:val="20"/>
                <w:lang w:eastAsia="en-GB"/>
              </w:rPr>
              <w:t xml:space="preserve"> and chairs of governors</w:t>
            </w:r>
            <w:r w:rsidR="002B6EFF" w:rsidRPr="009B3747">
              <w:rPr>
                <w:rFonts w:eastAsia="Times New Roman" w:cstheme="minorHAnsi"/>
                <w:color w:val="000000"/>
                <w:sz w:val="20"/>
                <w:szCs w:val="20"/>
                <w:lang w:eastAsia="en-GB"/>
              </w:rPr>
              <w:t>’</w:t>
            </w:r>
            <w:r w:rsidRPr="009B3747">
              <w:rPr>
                <w:rFonts w:eastAsia="Times New Roman" w:cstheme="minorHAnsi"/>
                <w:color w:val="000000"/>
                <w:sz w:val="20"/>
                <w:szCs w:val="20"/>
                <w:lang w:eastAsia="en-GB"/>
              </w:rPr>
              <w:t xml:space="preserve"> on childhood or adolescent obesity and its prevention in school settings.  </w:t>
            </w:r>
          </w:p>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In order to achieve the overarching aim, the follow objectives are established for this review - </w:t>
            </w:r>
          </w:p>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C27072">
            <w:pPr>
              <w:numPr>
                <w:ilvl w:val="0"/>
                <w:numId w:val="125"/>
              </w:numPr>
              <w:spacing w:line="240"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 xml:space="preserve">Define the review scope and develop a review protocol </w:t>
            </w:r>
          </w:p>
          <w:p w:rsidR="004A397C" w:rsidRPr="009B3747" w:rsidRDefault="004A397C" w:rsidP="00C27072">
            <w:pPr>
              <w:numPr>
                <w:ilvl w:val="0"/>
                <w:numId w:val="125"/>
              </w:numPr>
              <w:spacing w:line="240"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Undertake a systematic literature search, employing a robust search strategy and searching techniques</w:t>
            </w:r>
          </w:p>
          <w:p w:rsidR="004A397C" w:rsidRPr="009B3747" w:rsidRDefault="004A397C" w:rsidP="00C27072">
            <w:pPr>
              <w:numPr>
                <w:ilvl w:val="0"/>
                <w:numId w:val="125"/>
              </w:numPr>
              <w:spacing w:line="240"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Perform screening on the obtained results, ensuring study eligibility against set inclusion and exclusion criteria</w:t>
            </w:r>
          </w:p>
          <w:p w:rsidR="004A397C" w:rsidRPr="009B3747" w:rsidRDefault="004A397C" w:rsidP="00C27072">
            <w:pPr>
              <w:numPr>
                <w:ilvl w:val="0"/>
                <w:numId w:val="125"/>
              </w:numPr>
              <w:spacing w:line="240"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Complete a quality assessment of each included study using the CASP tool (Critical Appraisal Skills Programme) for qualitative studies</w:t>
            </w:r>
          </w:p>
          <w:p w:rsidR="004A397C" w:rsidRPr="009B3747" w:rsidRDefault="004A397C" w:rsidP="00C27072">
            <w:pPr>
              <w:numPr>
                <w:ilvl w:val="0"/>
                <w:numId w:val="125"/>
              </w:numPr>
              <w:spacing w:line="240"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Undertake data extraction and perform thematic synthesis in order to integrate the findings of multiple qualitative studies</w:t>
            </w:r>
          </w:p>
          <w:p w:rsidR="004A397C" w:rsidRPr="009B3747" w:rsidRDefault="004A397C" w:rsidP="00846B21">
            <w:pPr>
              <w:spacing w:line="240" w:lineRule="auto"/>
              <w:rPr>
                <w:rFonts w:eastAsia="Times New Roman" w:cstheme="minorHAnsi"/>
                <w:sz w:val="24"/>
                <w:szCs w:val="24"/>
                <w:lang w:eastAsia="en-GB"/>
              </w:rPr>
            </w:pPr>
          </w:p>
        </w:tc>
      </w:tr>
      <w:tr w:rsidR="004A397C" w:rsidRPr="009B3747" w:rsidTr="00846B2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u w:val="single"/>
                <w:lang w:eastAsia="en-GB"/>
              </w:rPr>
              <w:t>Criteria for inclusion and exclusion of studies</w:t>
            </w:r>
          </w:p>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i/>
                <w:iCs/>
                <w:color w:val="000000"/>
                <w:u w:val="single"/>
                <w:lang w:eastAsia="en-GB"/>
              </w:rPr>
              <w:t xml:space="preserve">Inclusion - </w:t>
            </w:r>
          </w:p>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Setting</w:t>
            </w:r>
          </w:p>
          <w:p w:rsidR="004A397C" w:rsidRPr="009B3747" w:rsidRDefault="004A397C" w:rsidP="00C27072">
            <w:pPr>
              <w:numPr>
                <w:ilvl w:val="0"/>
                <w:numId w:val="126"/>
              </w:numPr>
              <w:spacing w:line="240"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Primary or secondary level schools (i.e. education provision for ages 5-16yrs)</w:t>
            </w:r>
          </w:p>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Perspective</w:t>
            </w:r>
          </w:p>
          <w:p w:rsidR="004A397C" w:rsidRPr="009B3747" w:rsidRDefault="004A397C" w:rsidP="00C27072">
            <w:pPr>
              <w:numPr>
                <w:ilvl w:val="0"/>
                <w:numId w:val="127"/>
              </w:numPr>
              <w:spacing w:line="240"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Explicit reference to and inclusion of headteachers</w:t>
            </w:r>
            <w:r w:rsidR="002B6EFF" w:rsidRPr="009B3747">
              <w:rPr>
                <w:rFonts w:eastAsia="Times New Roman" w:cstheme="minorHAnsi"/>
                <w:color w:val="000000"/>
                <w:sz w:val="20"/>
                <w:szCs w:val="20"/>
                <w:lang w:eastAsia="en-GB"/>
              </w:rPr>
              <w:t>’</w:t>
            </w:r>
            <w:r w:rsidRPr="009B3747">
              <w:rPr>
                <w:rFonts w:eastAsia="Times New Roman" w:cstheme="minorHAnsi"/>
                <w:color w:val="000000"/>
                <w:sz w:val="20"/>
                <w:szCs w:val="20"/>
                <w:lang w:eastAsia="en-GB"/>
              </w:rPr>
              <w:t xml:space="preserve"> or chairs of governors perspectives</w:t>
            </w:r>
            <w:r w:rsidR="002B6EFF" w:rsidRPr="009B3747">
              <w:rPr>
                <w:rFonts w:eastAsia="Times New Roman" w:cstheme="minorHAnsi"/>
                <w:color w:val="000000"/>
                <w:sz w:val="20"/>
                <w:szCs w:val="20"/>
                <w:lang w:eastAsia="en-GB"/>
              </w:rPr>
              <w:t>’</w:t>
            </w:r>
            <w:r w:rsidRPr="009B3747">
              <w:rPr>
                <w:rFonts w:eastAsia="Times New Roman" w:cstheme="minorHAnsi"/>
                <w:color w:val="000000"/>
                <w:sz w:val="20"/>
                <w:szCs w:val="20"/>
                <w:lang w:eastAsia="en-GB"/>
              </w:rPr>
              <w:t xml:space="preserve"> (identifiable in both study methods and extractable from findings)</w:t>
            </w:r>
          </w:p>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Phenomenon of interest</w:t>
            </w:r>
          </w:p>
          <w:p w:rsidR="004A397C" w:rsidRPr="009B3747" w:rsidRDefault="004A397C" w:rsidP="00C27072">
            <w:pPr>
              <w:numPr>
                <w:ilvl w:val="0"/>
                <w:numId w:val="128"/>
              </w:numPr>
              <w:spacing w:line="240"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lastRenderedPageBreak/>
              <w:t>Explicit reference to childhood or adolescent obesity (including overweight)</w:t>
            </w:r>
          </w:p>
          <w:p w:rsidR="004A397C" w:rsidRPr="009B3747" w:rsidRDefault="004A397C" w:rsidP="00C27072">
            <w:pPr>
              <w:numPr>
                <w:ilvl w:val="0"/>
                <w:numId w:val="128"/>
              </w:numPr>
              <w:spacing w:line="240"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Prevention of obesity</w:t>
            </w:r>
          </w:p>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Study types</w:t>
            </w:r>
          </w:p>
          <w:p w:rsidR="004A397C" w:rsidRPr="009B3747" w:rsidRDefault="004A397C" w:rsidP="00C27072">
            <w:pPr>
              <w:numPr>
                <w:ilvl w:val="0"/>
                <w:numId w:val="129"/>
              </w:numPr>
              <w:spacing w:line="240"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 xml:space="preserve">Empirical qualitative studies and mixed-methods studies (inclusive of qualitative findings that can be extracted). </w:t>
            </w:r>
          </w:p>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Language</w:t>
            </w:r>
          </w:p>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C27072">
            <w:pPr>
              <w:numPr>
                <w:ilvl w:val="0"/>
                <w:numId w:val="130"/>
              </w:numPr>
              <w:spacing w:line="240"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English language studies</w:t>
            </w:r>
          </w:p>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i/>
                <w:iCs/>
                <w:color w:val="000000"/>
                <w:u w:val="single"/>
                <w:lang w:eastAsia="en-GB"/>
              </w:rPr>
              <w:t xml:space="preserve">Exclusion - </w:t>
            </w:r>
          </w:p>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Setting</w:t>
            </w:r>
          </w:p>
          <w:p w:rsidR="004A397C" w:rsidRPr="009B3747" w:rsidRDefault="004A397C" w:rsidP="00C27072">
            <w:pPr>
              <w:numPr>
                <w:ilvl w:val="0"/>
                <w:numId w:val="131"/>
              </w:numPr>
              <w:spacing w:line="240"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Pre-school, further or higher education contexts (i.e. education provision for ages &lt;5yrs or &gt;16yrs)</w:t>
            </w:r>
          </w:p>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Perspective</w:t>
            </w:r>
          </w:p>
          <w:p w:rsidR="004A397C" w:rsidRPr="009B3747" w:rsidRDefault="004A397C" w:rsidP="00C27072">
            <w:pPr>
              <w:numPr>
                <w:ilvl w:val="0"/>
                <w:numId w:val="132"/>
              </w:numPr>
              <w:spacing w:line="240"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Other school stakeholders</w:t>
            </w:r>
            <w:r w:rsidR="00C33161" w:rsidRPr="009B3747">
              <w:rPr>
                <w:rFonts w:eastAsia="Times New Roman" w:cstheme="minorHAnsi"/>
                <w:color w:val="000000"/>
                <w:sz w:val="20"/>
                <w:szCs w:val="20"/>
                <w:lang w:eastAsia="en-GB"/>
              </w:rPr>
              <w:t>’</w:t>
            </w:r>
            <w:r w:rsidRPr="009B3747">
              <w:rPr>
                <w:rFonts w:eastAsia="Times New Roman" w:cstheme="minorHAnsi"/>
                <w:color w:val="000000"/>
                <w:sz w:val="20"/>
                <w:szCs w:val="20"/>
                <w:lang w:eastAsia="en-GB"/>
              </w:rPr>
              <w:t xml:space="preserve"> perspectives without reference to headteachers or chairs of governors</w:t>
            </w:r>
            <w:r w:rsidR="004862DC">
              <w:rPr>
                <w:rFonts w:eastAsia="Times New Roman" w:cstheme="minorHAnsi"/>
                <w:color w:val="000000"/>
                <w:sz w:val="20"/>
                <w:szCs w:val="20"/>
                <w:lang w:eastAsia="en-GB"/>
              </w:rPr>
              <w:t xml:space="preserve">, </w:t>
            </w:r>
            <w:r w:rsidRPr="009B3747">
              <w:rPr>
                <w:rFonts w:eastAsia="Times New Roman" w:cstheme="minorHAnsi"/>
                <w:color w:val="000000"/>
                <w:sz w:val="20"/>
                <w:szCs w:val="20"/>
                <w:lang w:eastAsia="en-GB"/>
              </w:rPr>
              <w:t>i.e. school nurses, teachers, parents, pupils</w:t>
            </w:r>
          </w:p>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Phenomenon of interest</w:t>
            </w:r>
          </w:p>
          <w:p w:rsidR="004A397C" w:rsidRPr="009B3747" w:rsidRDefault="004A397C" w:rsidP="00C27072">
            <w:pPr>
              <w:numPr>
                <w:ilvl w:val="0"/>
                <w:numId w:val="133"/>
              </w:numPr>
              <w:spacing w:line="240"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Dietary or physical activity behaviours only (without explicit reference to obesity or obesity prevention)</w:t>
            </w:r>
          </w:p>
          <w:p w:rsidR="004A397C" w:rsidRPr="009B3747" w:rsidRDefault="004A397C" w:rsidP="00C27072">
            <w:pPr>
              <w:numPr>
                <w:ilvl w:val="0"/>
                <w:numId w:val="133"/>
              </w:numPr>
              <w:spacing w:line="240"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Setting specific obesity prevention policies, strategies or interventions</w:t>
            </w:r>
          </w:p>
          <w:p w:rsidR="004A397C" w:rsidRPr="009B3747" w:rsidRDefault="004A397C" w:rsidP="00C27072">
            <w:pPr>
              <w:numPr>
                <w:ilvl w:val="0"/>
                <w:numId w:val="133"/>
              </w:numPr>
              <w:spacing w:line="240"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Treatment of obesity</w:t>
            </w:r>
          </w:p>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Study types</w:t>
            </w:r>
          </w:p>
          <w:p w:rsidR="004A397C" w:rsidRPr="009B3747" w:rsidRDefault="004A397C" w:rsidP="00C27072">
            <w:pPr>
              <w:numPr>
                <w:ilvl w:val="0"/>
                <w:numId w:val="134"/>
              </w:numPr>
              <w:spacing w:line="240"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Quantitative studies, non-empirical studies</w:t>
            </w:r>
            <w:r w:rsidR="004862DC">
              <w:rPr>
                <w:rFonts w:eastAsia="Times New Roman" w:cstheme="minorHAnsi"/>
                <w:color w:val="000000"/>
                <w:sz w:val="20"/>
                <w:szCs w:val="20"/>
                <w:lang w:eastAsia="en-GB"/>
              </w:rPr>
              <w:t>,</w:t>
            </w:r>
            <w:r w:rsidRPr="009B3747">
              <w:rPr>
                <w:rFonts w:eastAsia="Times New Roman" w:cstheme="minorHAnsi"/>
                <w:color w:val="000000"/>
                <w:sz w:val="20"/>
                <w:szCs w:val="20"/>
                <w:lang w:eastAsia="en-GB"/>
              </w:rPr>
              <w:t xml:space="preserve"> i.e.</w:t>
            </w:r>
            <w:r w:rsidR="004862DC">
              <w:rPr>
                <w:rFonts w:eastAsia="Times New Roman" w:cstheme="minorHAnsi"/>
                <w:color w:val="000000"/>
                <w:sz w:val="20"/>
                <w:szCs w:val="20"/>
                <w:lang w:eastAsia="en-GB"/>
              </w:rPr>
              <w:t xml:space="preserve"> </w:t>
            </w:r>
            <w:r w:rsidRPr="009B3747">
              <w:rPr>
                <w:rFonts w:eastAsia="Times New Roman" w:cstheme="minorHAnsi"/>
                <w:color w:val="000000"/>
                <w:sz w:val="20"/>
                <w:szCs w:val="20"/>
                <w:lang w:eastAsia="en-GB"/>
              </w:rPr>
              <w:t xml:space="preserve">editorials, non-peer reviewed literature i.e. theses </w:t>
            </w:r>
          </w:p>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Language</w:t>
            </w:r>
          </w:p>
          <w:p w:rsidR="004A397C" w:rsidRPr="009B3747" w:rsidRDefault="004A397C" w:rsidP="00C27072">
            <w:pPr>
              <w:numPr>
                <w:ilvl w:val="0"/>
                <w:numId w:val="135"/>
              </w:numPr>
              <w:spacing w:line="240"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Non-English language studies</w:t>
            </w:r>
          </w:p>
          <w:p w:rsidR="004A397C" w:rsidRPr="009B3747" w:rsidRDefault="004A397C" w:rsidP="00846B21">
            <w:pPr>
              <w:spacing w:line="240" w:lineRule="auto"/>
              <w:rPr>
                <w:rFonts w:eastAsia="Times New Roman" w:cstheme="minorHAnsi"/>
                <w:sz w:val="24"/>
                <w:szCs w:val="24"/>
                <w:lang w:eastAsia="en-GB"/>
              </w:rPr>
            </w:pPr>
          </w:p>
        </w:tc>
      </w:tr>
      <w:tr w:rsidR="004A397C" w:rsidRPr="009B3747" w:rsidTr="00846B2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u w:val="single"/>
                <w:lang w:eastAsia="en-GB"/>
              </w:rPr>
              <w:lastRenderedPageBreak/>
              <w:t>Types of studies</w:t>
            </w:r>
          </w:p>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As detailed in above inclusion and exclusion criteria </w:t>
            </w:r>
          </w:p>
        </w:tc>
      </w:tr>
      <w:tr w:rsidR="004A397C" w:rsidRPr="009B3747" w:rsidTr="00846B2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u w:val="single"/>
                <w:lang w:eastAsia="en-GB"/>
              </w:rPr>
              <w:t>Types of populations</w:t>
            </w:r>
          </w:p>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Perspectives of headteachers</w:t>
            </w:r>
            <w:r w:rsidR="002B6EFF" w:rsidRPr="009B3747">
              <w:rPr>
                <w:rFonts w:eastAsia="Times New Roman" w:cstheme="minorHAnsi"/>
                <w:color w:val="000000"/>
                <w:sz w:val="20"/>
                <w:szCs w:val="20"/>
                <w:lang w:eastAsia="en-GB"/>
              </w:rPr>
              <w:t>’</w:t>
            </w:r>
            <w:r w:rsidRPr="009B3747">
              <w:rPr>
                <w:rFonts w:eastAsia="Times New Roman" w:cstheme="minorHAnsi"/>
                <w:color w:val="000000"/>
                <w:sz w:val="20"/>
                <w:szCs w:val="20"/>
                <w:lang w:eastAsia="en-GB"/>
              </w:rPr>
              <w:t xml:space="preserve"> or chairs of governors</w:t>
            </w:r>
            <w:r w:rsidR="002B6EFF" w:rsidRPr="009B3747">
              <w:rPr>
                <w:rFonts w:eastAsia="Times New Roman" w:cstheme="minorHAnsi"/>
                <w:color w:val="000000"/>
                <w:sz w:val="20"/>
                <w:szCs w:val="20"/>
                <w:lang w:eastAsia="en-GB"/>
              </w:rPr>
              <w:t>’</w:t>
            </w:r>
            <w:r w:rsidRPr="009B3747">
              <w:rPr>
                <w:rFonts w:eastAsia="Times New Roman" w:cstheme="minorHAnsi"/>
                <w:color w:val="000000"/>
                <w:sz w:val="20"/>
                <w:szCs w:val="20"/>
                <w:lang w:eastAsia="en-GB"/>
              </w:rPr>
              <w:t xml:space="preserve"> employed or elected within school settings </w:t>
            </w:r>
          </w:p>
        </w:tc>
      </w:tr>
      <w:tr w:rsidR="004A397C" w:rsidRPr="009B3747" w:rsidTr="00846B2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u w:val="single"/>
                <w:lang w:eastAsia="en-GB"/>
              </w:rPr>
              <w:t>Types of interventions or exposure</w:t>
            </w:r>
          </w:p>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N/A</w:t>
            </w:r>
          </w:p>
        </w:tc>
      </w:tr>
      <w:tr w:rsidR="004A397C" w:rsidRPr="009B3747" w:rsidTr="00846B2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u w:val="single"/>
                <w:lang w:eastAsia="en-GB"/>
              </w:rPr>
              <w:t>Types of outcome measures</w:t>
            </w:r>
          </w:p>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N/A</w:t>
            </w:r>
          </w:p>
        </w:tc>
      </w:tr>
      <w:tr w:rsidR="004A397C" w:rsidRPr="009B3747" w:rsidTr="00846B2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u w:val="single"/>
                <w:lang w:eastAsia="en-GB"/>
              </w:rPr>
              <w:t>Setting/Context</w:t>
            </w:r>
          </w:p>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Primary and secondary schools both within a UK and non UK setting</w:t>
            </w:r>
          </w:p>
        </w:tc>
      </w:tr>
      <w:tr w:rsidR="004A397C" w:rsidRPr="009B3747" w:rsidTr="00846B2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u w:val="single"/>
                <w:lang w:eastAsia="en-GB"/>
              </w:rPr>
              <w:lastRenderedPageBreak/>
              <w:t>Search strategy for identification of studies</w:t>
            </w:r>
          </w:p>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Develop a search strategy from the developed SPICE framework.  Employ extensive use of medical/education electronic databases including those utilised for identifying grey literature. Undertake hand searching of citations and references of potentially eligible studies. </w:t>
            </w:r>
          </w:p>
        </w:tc>
      </w:tr>
      <w:tr w:rsidR="004A397C" w:rsidRPr="009B3747" w:rsidTr="00846B2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u w:val="single"/>
                <w:lang w:eastAsia="en-GB"/>
              </w:rPr>
              <w:t>Study selection</w:t>
            </w:r>
          </w:p>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Select studies based on explicit inclusion and exclusion criteria.  Present within a PRISMA flow diagram.  </w:t>
            </w:r>
          </w:p>
        </w:tc>
      </w:tr>
      <w:tr w:rsidR="004A397C" w:rsidRPr="009B3747" w:rsidTr="00846B2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u w:val="single"/>
                <w:lang w:eastAsia="en-GB"/>
              </w:rPr>
              <w:t>Assessment of methodological quality</w:t>
            </w:r>
          </w:p>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CASP checklist of qualitative studies (10 question checklist)</w:t>
            </w:r>
          </w:p>
        </w:tc>
      </w:tr>
      <w:tr w:rsidR="004A397C" w:rsidRPr="009B3747" w:rsidTr="00846B2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u w:val="single"/>
                <w:lang w:eastAsia="en-GB"/>
              </w:rPr>
              <w:t>Data extraction</w:t>
            </w:r>
          </w:p>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Utilise data extraction form to guide the capture of relevant data from the included studies and ensure the task was completed in a robust manner, inclusive of  - </w:t>
            </w:r>
          </w:p>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C27072">
            <w:pPr>
              <w:numPr>
                <w:ilvl w:val="0"/>
                <w:numId w:val="136"/>
              </w:numPr>
              <w:spacing w:line="240"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Study details - Author(s), year of publication, study aims/objectives</w:t>
            </w:r>
          </w:p>
          <w:p w:rsidR="004A397C" w:rsidRPr="009B3747" w:rsidRDefault="004A397C" w:rsidP="00C27072">
            <w:pPr>
              <w:numPr>
                <w:ilvl w:val="0"/>
                <w:numId w:val="136"/>
              </w:numPr>
              <w:spacing w:line="240"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 xml:space="preserve">Study context - Location and setting of study </w:t>
            </w:r>
          </w:p>
          <w:p w:rsidR="004A397C" w:rsidRPr="009B3747" w:rsidRDefault="004A397C" w:rsidP="00C27072">
            <w:pPr>
              <w:numPr>
                <w:ilvl w:val="0"/>
                <w:numId w:val="136"/>
              </w:numPr>
              <w:spacing w:line="240"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Study population - Participant information</w:t>
            </w:r>
          </w:p>
          <w:p w:rsidR="004A397C" w:rsidRPr="009B3747" w:rsidRDefault="004A397C" w:rsidP="00C27072">
            <w:pPr>
              <w:numPr>
                <w:ilvl w:val="0"/>
                <w:numId w:val="136"/>
              </w:numPr>
              <w:spacing w:line="240"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Study phenomena of interest - Topic of interest</w:t>
            </w:r>
          </w:p>
          <w:p w:rsidR="004A397C" w:rsidRPr="009B3747" w:rsidRDefault="004A397C" w:rsidP="00C27072">
            <w:pPr>
              <w:numPr>
                <w:ilvl w:val="0"/>
                <w:numId w:val="136"/>
              </w:numPr>
              <w:spacing w:line="240"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Study methodology - Approaches to data collection and analysis</w:t>
            </w:r>
          </w:p>
          <w:p w:rsidR="004A397C" w:rsidRPr="009B3747" w:rsidRDefault="004A397C" w:rsidP="00C27072">
            <w:pPr>
              <w:numPr>
                <w:ilvl w:val="0"/>
                <w:numId w:val="136"/>
              </w:numPr>
              <w:spacing w:line="240" w:lineRule="auto"/>
              <w:textAlignment w:val="baseline"/>
              <w:rPr>
                <w:rFonts w:eastAsia="Times New Roman" w:cstheme="minorHAnsi"/>
                <w:color w:val="000000"/>
                <w:sz w:val="20"/>
                <w:szCs w:val="20"/>
                <w:lang w:eastAsia="en-GB"/>
              </w:rPr>
            </w:pPr>
            <w:r w:rsidRPr="009B3747">
              <w:rPr>
                <w:rFonts w:eastAsia="Times New Roman" w:cstheme="minorHAnsi"/>
                <w:color w:val="000000"/>
                <w:sz w:val="20"/>
                <w:szCs w:val="20"/>
                <w:lang w:eastAsia="en-GB"/>
              </w:rPr>
              <w:t>Study findings - Author interpretations and/or participant verbatim quotes within results section of papers</w:t>
            </w:r>
          </w:p>
        </w:tc>
      </w:tr>
      <w:tr w:rsidR="004A397C" w:rsidRPr="009B3747" w:rsidTr="00846B2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u w:val="single"/>
                <w:lang w:eastAsia="en-GB"/>
              </w:rPr>
              <w:t>Data synthesis</w:t>
            </w:r>
          </w:p>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Undertake thematic synthesis based on guidance from Booth et al, 2016 and Thomas and Harden, 2008</w:t>
            </w:r>
          </w:p>
        </w:tc>
      </w:tr>
      <w:tr w:rsidR="004A397C" w:rsidRPr="009B3747" w:rsidTr="00846B2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u w:val="single"/>
                <w:lang w:eastAsia="en-GB"/>
              </w:rPr>
              <w:t>Timeframe</w:t>
            </w:r>
          </w:p>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6 month period - February 2017 to July 2017</w:t>
            </w:r>
          </w:p>
        </w:tc>
      </w:tr>
    </w:tbl>
    <w:p w:rsidR="004A397C" w:rsidRPr="009B3747" w:rsidRDefault="004A397C" w:rsidP="004A397C">
      <w:pPr>
        <w:rPr>
          <w:rFonts w:cstheme="minorHAnsi"/>
        </w:rPr>
      </w:pPr>
    </w:p>
    <w:p w:rsidR="004A397C" w:rsidRPr="009B3747" w:rsidRDefault="004A397C" w:rsidP="004A397C">
      <w:pPr>
        <w:rPr>
          <w:rFonts w:cstheme="minorHAnsi"/>
        </w:rPr>
      </w:pPr>
    </w:p>
    <w:p w:rsidR="004A397C" w:rsidRPr="009B3747" w:rsidRDefault="004A397C" w:rsidP="004A397C">
      <w:pPr>
        <w:rPr>
          <w:rFonts w:cstheme="minorHAnsi"/>
        </w:rPr>
      </w:pPr>
    </w:p>
    <w:p w:rsidR="004A397C" w:rsidRPr="009B3747" w:rsidRDefault="004A397C" w:rsidP="004A397C">
      <w:pPr>
        <w:rPr>
          <w:rFonts w:cstheme="minorHAnsi"/>
        </w:rPr>
      </w:pPr>
    </w:p>
    <w:p w:rsidR="004A397C" w:rsidRPr="009B3747" w:rsidRDefault="004A397C" w:rsidP="004A397C">
      <w:pPr>
        <w:rPr>
          <w:rFonts w:cstheme="minorHAnsi"/>
        </w:rPr>
      </w:pPr>
    </w:p>
    <w:p w:rsidR="004A397C" w:rsidRPr="009B3747" w:rsidRDefault="004A397C" w:rsidP="004A397C">
      <w:pPr>
        <w:rPr>
          <w:rFonts w:cstheme="minorHAnsi"/>
        </w:rPr>
      </w:pPr>
    </w:p>
    <w:p w:rsidR="004A397C" w:rsidRPr="009B3747" w:rsidRDefault="004A397C" w:rsidP="004A397C">
      <w:pPr>
        <w:rPr>
          <w:rFonts w:cstheme="minorHAnsi"/>
        </w:rPr>
      </w:pPr>
    </w:p>
    <w:p w:rsidR="004A397C" w:rsidRPr="009B3747" w:rsidRDefault="004A397C" w:rsidP="004A397C">
      <w:pPr>
        <w:rPr>
          <w:rFonts w:cstheme="minorHAnsi"/>
        </w:rPr>
      </w:pPr>
    </w:p>
    <w:p w:rsidR="004A397C" w:rsidRPr="009B3747" w:rsidRDefault="004A397C" w:rsidP="004A397C">
      <w:pPr>
        <w:rPr>
          <w:rFonts w:cstheme="minorHAnsi"/>
        </w:rPr>
      </w:pPr>
    </w:p>
    <w:p w:rsidR="004A397C" w:rsidRPr="009B3747" w:rsidRDefault="004A397C" w:rsidP="004A397C">
      <w:pPr>
        <w:rPr>
          <w:rFonts w:cstheme="minorHAnsi"/>
        </w:rPr>
      </w:pPr>
    </w:p>
    <w:p w:rsidR="004A397C" w:rsidRPr="009B3747" w:rsidRDefault="004A397C" w:rsidP="004A397C">
      <w:pPr>
        <w:rPr>
          <w:rFonts w:cstheme="minorHAnsi"/>
        </w:rPr>
      </w:pPr>
    </w:p>
    <w:p w:rsidR="004A397C" w:rsidRPr="009B3747" w:rsidRDefault="004A397C" w:rsidP="004A397C">
      <w:pPr>
        <w:rPr>
          <w:rFonts w:cstheme="minorHAnsi"/>
        </w:rPr>
        <w:sectPr w:rsidR="004A397C" w:rsidRPr="009B3747">
          <w:pgSz w:w="11906" w:h="16838"/>
          <w:pgMar w:top="1440" w:right="1440" w:bottom="1440" w:left="1440" w:header="708" w:footer="708" w:gutter="0"/>
          <w:cols w:space="708"/>
          <w:docGrid w:linePitch="360"/>
        </w:sectPr>
      </w:pPr>
    </w:p>
    <w:p w:rsidR="004A397C" w:rsidRPr="009B3747" w:rsidRDefault="004A397C" w:rsidP="004A397C">
      <w:pPr>
        <w:rPr>
          <w:rFonts w:cstheme="minorHAnsi"/>
          <w:sz w:val="28"/>
          <w:szCs w:val="28"/>
        </w:rPr>
      </w:pPr>
      <w:r w:rsidRPr="009B3747">
        <w:rPr>
          <w:rFonts w:eastAsia="Times New Roman" w:cstheme="minorHAnsi"/>
          <w:b/>
          <w:bCs/>
          <w:color w:val="000000"/>
          <w:sz w:val="28"/>
          <w:szCs w:val="28"/>
          <w:u w:val="single"/>
          <w:lang w:eastAsia="en-GB"/>
        </w:rPr>
        <w:lastRenderedPageBreak/>
        <w:t>Appendix B - Search terms derived from the developed SPICE framework (Booth, 2004)</w:t>
      </w:r>
    </w:p>
    <w:p w:rsidR="004A397C" w:rsidRPr="009B3747" w:rsidRDefault="004A397C" w:rsidP="004A397C">
      <w:pPr>
        <w:spacing w:line="240" w:lineRule="auto"/>
        <w:rPr>
          <w:rFonts w:eastAsia="Times New Roman" w:cstheme="minorHAnsi"/>
          <w:sz w:val="24"/>
          <w:szCs w:val="24"/>
          <w:lang w:eastAsia="en-GB"/>
        </w:rPr>
      </w:pPr>
    </w:p>
    <w:tbl>
      <w:tblPr>
        <w:tblW w:w="14885" w:type="dxa"/>
        <w:tblInd w:w="-436" w:type="dxa"/>
        <w:tblLayout w:type="fixed"/>
        <w:tblCellMar>
          <w:top w:w="15" w:type="dxa"/>
          <w:left w:w="15" w:type="dxa"/>
          <w:bottom w:w="15" w:type="dxa"/>
          <w:right w:w="15" w:type="dxa"/>
        </w:tblCellMar>
        <w:tblLook w:val="04A0" w:firstRow="1" w:lastRow="0" w:firstColumn="1" w:lastColumn="0" w:noHBand="0" w:noVBand="1"/>
      </w:tblPr>
      <w:tblGrid>
        <w:gridCol w:w="2694"/>
        <w:gridCol w:w="851"/>
        <w:gridCol w:w="3118"/>
        <w:gridCol w:w="851"/>
        <w:gridCol w:w="2268"/>
        <w:gridCol w:w="709"/>
        <w:gridCol w:w="2551"/>
        <w:gridCol w:w="1843"/>
      </w:tblGrid>
      <w:tr w:rsidR="004A397C" w:rsidRPr="009B3747" w:rsidTr="00846B21">
        <w:trPr>
          <w:trHeight w:val="400"/>
        </w:trPr>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color w:val="000000"/>
                <w:sz w:val="21"/>
                <w:szCs w:val="21"/>
                <w:lang w:eastAsia="en-GB"/>
              </w:rPr>
              <w:t>Setting (S)</w:t>
            </w:r>
          </w:p>
        </w:tc>
        <w:tc>
          <w:tcPr>
            <w:tcW w:w="85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jc w:val="center"/>
              <w:rPr>
                <w:rFonts w:eastAsia="Times New Roman" w:cstheme="minorHAnsi"/>
                <w:sz w:val="21"/>
                <w:szCs w:val="21"/>
                <w:lang w:eastAsia="en-GB"/>
              </w:rPr>
            </w:pPr>
            <w:r w:rsidRPr="009B3747">
              <w:rPr>
                <w:rFonts w:eastAsia="Times New Roman" w:cstheme="minorHAnsi"/>
                <w:b/>
                <w:bCs/>
                <w:color w:val="000000"/>
                <w:sz w:val="21"/>
                <w:szCs w:val="21"/>
                <w:lang w:eastAsia="en-GB"/>
              </w:rPr>
              <w:t>AND</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color w:val="000000"/>
                <w:sz w:val="21"/>
                <w:szCs w:val="21"/>
                <w:lang w:eastAsia="en-GB"/>
              </w:rPr>
              <w:t>Perspectives (P)</w:t>
            </w:r>
          </w:p>
        </w:tc>
        <w:tc>
          <w:tcPr>
            <w:tcW w:w="85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jc w:val="center"/>
              <w:rPr>
                <w:rFonts w:eastAsia="Times New Roman" w:cstheme="minorHAnsi"/>
                <w:sz w:val="21"/>
                <w:szCs w:val="21"/>
                <w:lang w:eastAsia="en-GB"/>
              </w:rPr>
            </w:pPr>
            <w:r w:rsidRPr="009B3747">
              <w:rPr>
                <w:rFonts w:eastAsia="Times New Roman" w:cstheme="minorHAnsi"/>
                <w:b/>
                <w:bCs/>
                <w:color w:val="000000"/>
                <w:sz w:val="21"/>
                <w:szCs w:val="21"/>
                <w:lang w:eastAsia="en-GB"/>
              </w:rPr>
              <w:t>AND</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color w:val="000000"/>
                <w:sz w:val="21"/>
                <w:szCs w:val="21"/>
                <w:lang w:eastAsia="en-GB"/>
              </w:rPr>
              <w:t>Interest, Phenomenon of (I)</w:t>
            </w:r>
          </w:p>
        </w:tc>
        <w:tc>
          <w:tcPr>
            <w:tcW w:w="70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jc w:val="center"/>
              <w:rPr>
                <w:rFonts w:eastAsia="Times New Roman" w:cstheme="minorHAnsi"/>
                <w:sz w:val="21"/>
                <w:szCs w:val="21"/>
                <w:lang w:eastAsia="en-GB"/>
              </w:rPr>
            </w:pPr>
            <w:r w:rsidRPr="009B3747">
              <w:rPr>
                <w:rFonts w:eastAsia="Times New Roman" w:cstheme="minorHAnsi"/>
                <w:b/>
                <w:bCs/>
                <w:color w:val="000000"/>
                <w:sz w:val="21"/>
                <w:szCs w:val="21"/>
                <w:lang w:eastAsia="en-GB"/>
              </w:rPr>
              <w:t>AND</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color w:val="000000"/>
                <w:sz w:val="21"/>
                <w:szCs w:val="21"/>
                <w:lang w:eastAsia="en-GB"/>
              </w:rPr>
              <w:t>Evaluation (E)</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color w:val="000000"/>
                <w:sz w:val="21"/>
                <w:szCs w:val="21"/>
                <w:lang w:eastAsia="en-GB"/>
              </w:rPr>
              <w:t>Comparisons (C)</w:t>
            </w:r>
          </w:p>
        </w:tc>
      </w:tr>
      <w:tr w:rsidR="004A397C" w:rsidRPr="009B3747" w:rsidTr="00846B21">
        <w:trPr>
          <w:trHeight w:val="5061"/>
        </w:trPr>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color w:val="000000"/>
                <w:sz w:val="21"/>
                <w:szCs w:val="21"/>
                <w:lang w:eastAsia="en-GB"/>
              </w:rPr>
              <w:t>School*                           OR</w:t>
            </w:r>
          </w:p>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color w:val="000000"/>
                <w:sz w:val="21"/>
                <w:szCs w:val="21"/>
                <w:lang w:eastAsia="en-GB"/>
              </w:rPr>
              <w:t>“Secondary school*”    OR</w:t>
            </w:r>
          </w:p>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color w:val="000000"/>
                <w:sz w:val="21"/>
                <w:szCs w:val="21"/>
                <w:lang w:eastAsia="en-GB"/>
              </w:rPr>
              <w:t>“High school*”              OR</w:t>
            </w:r>
          </w:p>
          <w:p w:rsidR="004A397C" w:rsidRPr="009B3747" w:rsidRDefault="004A397C" w:rsidP="00846B21">
            <w:pPr>
              <w:spacing w:after="240" w:line="240" w:lineRule="auto"/>
              <w:rPr>
                <w:rFonts w:eastAsia="Times New Roman" w:cstheme="minorHAnsi"/>
                <w:sz w:val="21"/>
                <w:szCs w:val="21"/>
                <w:lang w:eastAsia="en-GB"/>
              </w:rPr>
            </w:pPr>
            <w:r w:rsidRPr="009B3747">
              <w:rPr>
                <w:rFonts w:eastAsia="Times New Roman" w:cstheme="minorHAnsi"/>
                <w:sz w:val="21"/>
                <w:szCs w:val="21"/>
                <w:lang w:eastAsia="en-GB"/>
              </w:rPr>
              <w:br/>
            </w:r>
            <w:r w:rsidRPr="009B3747">
              <w:rPr>
                <w:rFonts w:eastAsia="Times New Roman" w:cstheme="minorHAnsi"/>
                <w:sz w:val="21"/>
                <w:szCs w:val="21"/>
                <w:lang w:eastAsia="en-GB"/>
              </w:rPr>
              <w:br/>
            </w: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1"/>
                <w:szCs w:val="21"/>
                <w:lang w:eastAsia="en-GB"/>
              </w:rPr>
            </w:pP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color w:val="000000"/>
                <w:sz w:val="21"/>
                <w:szCs w:val="21"/>
                <w:lang w:eastAsia="en-GB"/>
              </w:rPr>
              <w:t>Headteacher*                           OR</w:t>
            </w:r>
          </w:p>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color w:val="000000"/>
                <w:sz w:val="21"/>
                <w:szCs w:val="21"/>
                <w:lang w:eastAsia="en-GB"/>
              </w:rPr>
              <w:t>“Head teacher*”                      OR</w:t>
            </w:r>
          </w:p>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color w:val="000000"/>
                <w:sz w:val="21"/>
                <w:szCs w:val="21"/>
                <w:lang w:eastAsia="en-GB"/>
              </w:rPr>
              <w:t>Head*                                         OR</w:t>
            </w:r>
          </w:p>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color w:val="000000"/>
                <w:sz w:val="21"/>
                <w:szCs w:val="21"/>
                <w:lang w:eastAsia="en-GB"/>
              </w:rPr>
              <w:t>Headmistress*                          OR</w:t>
            </w:r>
          </w:p>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color w:val="000000"/>
                <w:sz w:val="21"/>
                <w:szCs w:val="21"/>
                <w:lang w:eastAsia="en-GB"/>
              </w:rPr>
              <w:t>Headmaster*                            OR</w:t>
            </w:r>
          </w:p>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color w:val="000000"/>
                <w:sz w:val="21"/>
                <w:szCs w:val="21"/>
                <w:lang w:eastAsia="en-GB"/>
              </w:rPr>
              <w:t>School ADJ Head*                    OR</w:t>
            </w:r>
          </w:p>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color w:val="000000"/>
                <w:sz w:val="21"/>
                <w:szCs w:val="21"/>
                <w:lang w:eastAsia="en-GB"/>
              </w:rPr>
              <w:t>School ADJ Principal*              OR</w:t>
            </w:r>
          </w:p>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color w:val="000000"/>
                <w:sz w:val="21"/>
                <w:szCs w:val="21"/>
                <w:lang w:eastAsia="en-GB"/>
              </w:rPr>
              <w:t>School ADJ Lead*                     OR</w:t>
            </w:r>
          </w:p>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color w:val="000000"/>
                <w:sz w:val="21"/>
                <w:szCs w:val="21"/>
                <w:lang w:eastAsia="en-GB"/>
              </w:rPr>
              <w:t>School ADJ Administrator*     OR</w:t>
            </w:r>
          </w:p>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color w:val="000000"/>
                <w:sz w:val="21"/>
                <w:szCs w:val="21"/>
                <w:lang w:eastAsia="en-GB"/>
              </w:rPr>
              <w:t>School ADJ Director*               OR</w:t>
            </w:r>
          </w:p>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color w:val="000000"/>
                <w:sz w:val="21"/>
                <w:szCs w:val="21"/>
                <w:lang w:eastAsia="en-GB"/>
              </w:rPr>
              <w:t>Governor*                                 OR</w:t>
            </w:r>
          </w:p>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color w:val="000000"/>
                <w:sz w:val="21"/>
                <w:szCs w:val="21"/>
                <w:lang w:eastAsia="en-GB"/>
              </w:rPr>
              <w:t>Governance                              OR</w:t>
            </w:r>
          </w:p>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color w:val="000000"/>
                <w:sz w:val="21"/>
                <w:szCs w:val="21"/>
                <w:lang w:eastAsia="en-GB"/>
              </w:rPr>
              <w:t>“School governor*”                 OR</w:t>
            </w:r>
          </w:p>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color w:val="000000"/>
                <w:sz w:val="21"/>
                <w:szCs w:val="21"/>
                <w:lang w:eastAsia="en-GB"/>
              </w:rPr>
              <w:t>School ADJ govern*                 OR</w:t>
            </w:r>
          </w:p>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color w:val="000000"/>
                <w:sz w:val="21"/>
                <w:szCs w:val="21"/>
                <w:lang w:eastAsia="en-GB"/>
              </w:rPr>
              <w:t>“Board of govern*”                  OR</w:t>
            </w:r>
          </w:p>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color w:val="000000"/>
                <w:sz w:val="21"/>
                <w:szCs w:val="21"/>
                <w:lang w:eastAsia="en-GB"/>
              </w:rPr>
              <w:t>“Chair* of govern*”                 OR</w:t>
            </w:r>
          </w:p>
          <w:p w:rsidR="004A397C" w:rsidRPr="009B3747" w:rsidRDefault="004A397C" w:rsidP="00846B21">
            <w:pPr>
              <w:spacing w:line="240" w:lineRule="auto"/>
              <w:rPr>
                <w:rFonts w:eastAsia="Times New Roman" w:cstheme="minorHAnsi"/>
                <w:sz w:val="21"/>
                <w:szCs w:val="21"/>
                <w:lang w:eastAsia="en-GB"/>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1"/>
                <w:szCs w:val="21"/>
                <w:lang w:eastAsia="en-GB"/>
              </w:rPr>
            </w:pP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color w:val="000000"/>
                <w:sz w:val="21"/>
                <w:szCs w:val="21"/>
                <w:lang w:eastAsia="en-GB"/>
              </w:rPr>
              <w:t>Obesity                        OR</w:t>
            </w:r>
          </w:p>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color w:val="000000"/>
                <w:sz w:val="21"/>
                <w:szCs w:val="21"/>
                <w:lang w:eastAsia="en-GB"/>
              </w:rPr>
              <w:t>Overweight                 OR</w:t>
            </w:r>
          </w:p>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color w:val="000000"/>
                <w:sz w:val="21"/>
                <w:szCs w:val="21"/>
                <w:lang w:eastAsia="en-GB"/>
              </w:rPr>
              <w:t>Obese                          OR</w:t>
            </w:r>
          </w:p>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color w:val="000000"/>
                <w:sz w:val="21"/>
                <w:szCs w:val="21"/>
                <w:lang w:eastAsia="en-GB"/>
              </w:rPr>
              <w:t>“Excess weight”         OR</w:t>
            </w:r>
          </w:p>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color w:val="000000"/>
                <w:sz w:val="21"/>
                <w:szCs w:val="21"/>
                <w:lang w:eastAsia="en-GB"/>
              </w:rPr>
              <w:t>“Obesity prevent*”   OR</w:t>
            </w:r>
          </w:p>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b/>
                <w:bCs/>
                <w:color w:val="000000"/>
                <w:sz w:val="21"/>
                <w:szCs w:val="21"/>
                <w:lang w:eastAsia="en-GB"/>
              </w:rPr>
              <w:t>“</w:t>
            </w:r>
            <w:r w:rsidRPr="009B3747">
              <w:rPr>
                <w:rFonts w:eastAsia="Times New Roman" w:cstheme="minorHAnsi"/>
                <w:color w:val="000000"/>
                <w:sz w:val="21"/>
                <w:szCs w:val="21"/>
                <w:lang w:eastAsia="en-GB"/>
              </w:rPr>
              <w:t>Body weight”            OR</w:t>
            </w:r>
          </w:p>
          <w:p w:rsidR="004A397C" w:rsidRPr="009B3747" w:rsidRDefault="004A397C" w:rsidP="00846B21">
            <w:pPr>
              <w:spacing w:line="240" w:lineRule="auto"/>
              <w:rPr>
                <w:rFonts w:eastAsia="Times New Roman" w:cstheme="minorHAnsi"/>
                <w:sz w:val="21"/>
                <w:szCs w:val="21"/>
                <w:lang w:eastAsia="en-GB"/>
              </w:rPr>
            </w:pPr>
          </w:p>
        </w:tc>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1"/>
                <w:szCs w:val="21"/>
                <w:lang w:eastAsia="en-GB"/>
              </w:rPr>
            </w:pP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color w:val="000000"/>
                <w:sz w:val="21"/>
                <w:szCs w:val="21"/>
                <w:lang w:eastAsia="en-GB"/>
              </w:rPr>
              <w:t>Perspective*                     OR</w:t>
            </w:r>
          </w:p>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color w:val="000000"/>
                <w:sz w:val="21"/>
                <w:szCs w:val="21"/>
                <w:lang w:eastAsia="en-GB"/>
              </w:rPr>
              <w:t>View*                                 OR</w:t>
            </w:r>
          </w:p>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color w:val="000000"/>
                <w:sz w:val="21"/>
                <w:szCs w:val="21"/>
                <w:lang w:eastAsia="en-GB"/>
              </w:rPr>
              <w:t>Attitude*                           OR</w:t>
            </w:r>
          </w:p>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color w:val="000000"/>
                <w:sz w:val="21"/>
                <w:szCs w:val="21"/>
                <w:lang w:eastAsia="en-GB"/>
              </w:rPr>
              <w:t>Opinion*                           OR</w:t>
            </w:r>
          </w:p>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color w:val="000000"/>
                <w:sz w:val="21"/>
                <w:szCs w:val="21"/>
                <w:lang w:eastAsia="en-GB"/>
              </w:rPr>
              <w:t>Belief*                               OR</w:t>
            </w:r>
          </w:p>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color w:val="000000"/>
                <w:sz w:val="21"/>
                <w:szCs w:val="21"/>
                <w:lang w:eastAsia="en-GB"/>
              </w:rPr>
              <w:t>Feeling*                             OR</w:t>
            </w:r>
          </w:p>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color w:val="000000"/>
                <w:sz w:val="21"/>
                <w:szCs w:val="21"/>
                <w:lang w:eastAsia="en-GB"/>
              </w:rPr>
              <w:t>Understanding                 OR</w:t>
            </w:r>
          </w:p>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color w:val="000000"/>
                <w:sz w:val="21"/>
                <w:szCs w:val="21"/>
                <w:lang w:eastAsia="en-GB"/>
              </w:rPr>
              <w:t>Experience*                      OR</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1"/>
                <w:szCs w:val="21"/>
                <w:lang w:eastAsia="en-GB"/>
              </w:rPr>
            </w:pPr>
            <w:r w:rsidRPr="009B3747">
              <w:rPr>
                <w:rFonts w:eastAsia="Times New Roman" w:cstheme="minorHAnsi"/>
                <w:color w:val="000000"/>
                <w:sz w:val="21"/>
                <w:szCs w:val="21"/>
                <w:lang w:eastAsia="en-GB"/>
              </w:rPr>
              <w:t>N/A</w:t>
            </w:r>
          </w:p>
        </w:tc>
      </w:tr>
    </w:tbl>
    <w:p w:rsidR="004A397C" w:rsidRPr="009B3747" w:rsidRDefault="004A397C" w:rsidP="004A397C">
      <w:pPr>
        <w:rPr>
          <w:rFonts w:cstheme="minorHAnsi"/>
        </w:rPr>
      </w:pPr>
    </w:p>
    <w:p w:rsidR="004A397C" w:rsidRPr="009B3747" w:rsidRDefault="004A397C" w:rsidP="004A397C">
      <w:pPr>
        <w:rPr>
          <w:rFonts w:cstheme="minorHAnsi"/>
        </w:rPr>
      </w:pPr>
    </w:p>
    <w:p w:rsidR="004A397C" w:rsidRPr="009B3747" w:rsidRDefault="004A397C" w:rsidP="004A397C">
      <w:pPr>
        <w:rPr>
          <w:rFonts w:cstheme="minorHAnsi"/>
        </w:rPr>
      </w:pPr>
    </w:p>
    <w:p w:rsidR="004A397C" w:rsidRPr="009B3747" w:rsidRDefault="004A397C" w:rsidP="004A397C">
      <w:pPr>
        <w:rPr>
          <w:rFonts w:cstheme="minorHAnsi"/>
        </w:rPr>
      </w:pPr>
    </w:p>
    <w:p w:rsidR="004A397C" w:rsidRPr="009B3747" w:rsidRDefault="004A397C" w:rsidP="004A397C">
      <w:pPr>
        <w:rPr>
          <w:rFonts w:cstheme="minorHAnsi"/>
        </w:rPr>
      </w:pPr>
    </w:p>
    <w:p w:rsidR="004A397C" w:rsidRPr="009B3747" w:rsidRDefault="004A397C" w:rsidP="004A397C">
      <w:pPr>
        <w:rPr>
          <w:rFonts w:cstheme="minorHAnsi"/>
        </w:rPr>
        <w:sectPr w:rsidR="004A397C" w:rsidRPr="009B3747" w:rsidSect="00846B21">
          <w:pgSz w:w="16838" w:h="11906" w:orient="landscape"/>
          <w:pgMar w:top="1440" w:right="1440" w:bottom="1440" w:left="1440" w:header="709" w:footer="709" w:gutter="0"/>
          <w:cols w:space="708"/>
          <w:docGrid w:linePitch="360"/>
        </w:sectPr>
      </w:pPr>
    </w:p>
    <w:p w:rsidR="004A397C" w:rsidRPr="009B3747" w:rsidRDefault="004A397C" w:rsidP="004A397C">
      <w:pPr>
        <w:spacing w:line="276" w:lineRule="auto"/>
        <w:rPr>
          <w:rFonts w:cstheme="minorHAnsi"/>
          <w:b/>
          <w:sz w:val="28"/>
          <w:szCs w:val="28"/>
          <w:u w:val="single"/>
        </w:rPr>
      </w:pPr>
      <w:r w:rsidRPr="009B3747">
        <w:rPr>
          <w:rFonts w:cstheme="minorHAnsi"/>
          <w:b/>
          <w:sz w:val="28"/>
          <w:szCs w:val="28"/>
          <w:u w:val="single"/>
        </w:rPr>
        <w:lastRenderedPageBreak/>
        <w:t xml:space="preserve">Appendix C – Example of search strategy </w:t>
      </w:r>
    </w:p>
    <w:p w:rsidR="004A397C" w:rsidRPr="009B3747" w:rsidRDefault="00071EBF" w:rsidP="004A397C">
      <w:pPr>
        <w:spacing w:line="276" w:lineRule="auto"/>
        <w:rPr>
          <w:rFonts w:cstheme="minorHAnsi"/>
          <w:sz w:val="20"/>
          <w:szCs w:val="20"/>
        </w:rPr>
      </w:pPr>
      <w:r>
        <w:rPr>
          <w:rFonts w:cstheme="minorHAnsi"/>
          <w:sz w:val="20"/>
          <w:szCs w:val="20"/>
        </w:rPr>
        <w:pict>
          <v:rect id="_x0000_i1025" style="width:0;height:1.5pt" o:hralign="center" o:hrstd="t" o:hr="t" fillcolor="#a0a0a0" stroked="f"/>
        </w:pict>
      </w:r>
    </w:p>
    <w:p w:rsidR="004A397C" w:rsidRPr="009B3747" w:rsidRDefault="004A397C" w:rsidP="004A397C">
      <w:pPr>
        <w:spacing w:line="276" w:lineRule="auto"/>
        <w:rPr>
          <w:rFonts w:cstheme="minorHAnsi"/>
          <w:sz w:val="20"/>
          <w:szCs w:val="20"/>
        </w:rPr>
      </w:pPr>
      <w:r w:rsidRPr="009B3747">
        <w:rPr>
          <w:rFonts w:eastAsia="Times New Roman" w:cstheme="minorHAnsi"/>
          <w:sz w:val="20"/>
          <w:szCs w:val="20"/>
        </w:rPr>
        <w:t>Strategy 223993/121</w:t>
      </w:r>
    </w:p>
    <w:tbl>
      <w:tblPr>
        <w:tblW w:w="9315" w:type="dxa"/>
        <w:tblInd w:w="10" w:type="dxa"/>
        <w:tblCellMar>
          <w:left w:w="10" w:type="dxa"/>
          <w:right w:w="10" w:type="dxa"/>
        </w:tblCellMar>
        <w:tblLook w:val="04A0" w:firstRow="1" w:lastRow="0" w:firstColumn="1" w:lastColumn="0" w:noHBand="0" w:noVBand="1"/>
      </w:tblPr>
      <w:tblGrid>
        <w:gridCol w:w="538"/>
        <w:gridCol w:w="3286"/>
        <w:gridCol w:w="3429"/>
        <w:gridCol w:w="2062"/>
      </w:tblGrid>
      <w:tr w:rsidR="004A397C" w:rsidRPr="009B3747" w:rsidTr="00846B21">
        <w:trPr>
          <w:trHeight w:val="591"/>
        </w:trPr>
        <w:tc>
          <w:tcPr>
            <w:tcW w:w="538" w:type="dxa"/>
          </w:tcPr>
          <w:p w:rsidR="004A397C" w:rsidRPr="009B3747" w:rsidRDefault="004A397C" w:rsidP="00846B21">
            <w:pPr>
              <w:spacing w:line="276" w:lineRule="auto"/>
              <w:rPr>
                <w:rFonts w:eastAsia="Times New Roman" w:cstheme="minorHAnsi"/>
                <w:b/>
                <w:sz w:val="20"/>
                <w:szCs w:val="20"/>
              </w:rPr>
            </w:pPr>
            <w:r w:rsidRPr="009B3747">
              <w:rPr>
                <w:rFonts w:eastAsia="Times New Roman" w:cstheme="minorHAnsi"/>
                <w:b/>
                <w:sz w:val="20"/>
                <w:szCs w:val="20"/>
              </w:rPr>
              <w:t>#</w:t>
            </w:r>
          </w:p>
        </w:tc>
        <w:tc>
          <w:tcPr>
            <w:tcW w:w="3286" w:type="dxa"/>
          </w:tcPr>
          <w:p w:rsidR="004A397C" w:rsidRPr="009B3747" w:rsidRDefault="004A397C" w:rsidP="00846B21">
            <w:pPr>
              <w:spacing w:line="276" w:lineRule="auto"/>
              <w:rPr>
                <w:rFonts w:eastAsia="Times New Roman" w:cstheme="minorHAnsi"/>
                <w:b/>
                <w:sz w:val="20"/>
                <w:szCs w:val="20"/>
              </w:rPr>
            </w:pPr>
            <w:r w:rsidRPr="009B3747">
              <w:rPr>
                <w:rFonts w:eastAsia="Times New Roman" w:cstheme="minorHAnsi"/>
                <w:b/>
                <w:sz w:val="20"/>
                <w:szCs w:val="20"/>
              </w:rPr>
              <w:t>Database</w:t>
            </w:r>
          </w:p>
        </w:tc>
        <w:tc>
          <w:tcPr>
            <w:tcW w:w="3429" w:type="dxa"/>
          </w:tcPr>
          <w:p w:rsidR="004A397C" w:rsidRPr="009B3747" w:rsidRDefault="004A397C" w:rsidP="00846B21">
            <w:pPr>
              <w:spacing w:line="276" w:lineRule="auto"/>
              <w:rPr>
                <w:rFonts w:eastAsia="Times New Roman" w:cstheme="minorHAnsi"/>
                <w:b/>
                <w:sz w:val="20"/>
                <w:szCs w:val="20"/>
              </w:rPr>
            </w:pPr>
            <w:r w:rsidRPr="009B3747">
              <w:rPr>
                <w:rFonts w:eastAsia="Times New Roman" w:cstheme="minorHAnsi"/>
                <w:b/>
                <w:sz w:val="20"/>
                <w:szCs w:val="20"/>
              </w:rPr>
              <w:t>Search term</w:t>
            </w:r>
          </w:p>
        </w:tc>
        <w:tc>
          <w:tcPr>
            <w:tcW w:w="2062" w:type="dxa"/>
          </w:tcPr>
          <w:p w:rsidR="004A397C" w:rsidRPr="009B3747" w:rsidRDefault="004A397C" w:rsidP="00846B21">
            <w:pPr>
              <w:spacing w:line="276" w:lineRule="auto"/>
              <w:rPr>
                <w:rFonts w:eastAsia="Times New Roman" w:cstheme="minorHAnsi"/>
                <w:b/>
                <w:sz w:val="20"/>
                <w:szCs w:val="20"/>
              </w:rPr>
            </w:pPr>
            <w:r w:rsidRPr="009B3747">
              <w:rPr>
                <w:rFonts w:eastAsia="Times New Roman" w:cstheme="minorHAnsi"/>
                <w:b/>
                <w:sz w:val="20"/>
                <w:szCs w:val="20"/>
              </w:rPr>
              <w:t>Results</w:t>
            </w:r>
          </w:p>
        </w:tc>
      </w:tr>
      <w:tr w:rsidR="004A397C" w:rsidRPr="009B3747" w:rsidTr="00846B21">
        <w:trPr>
          <w:trHeight w:val="624"/>
        </w:trPr>
        <w:tc>
          <w:tcPr>
            <w:tcW w:w="538" w:type="dxa"/>
          </w:tcPr>
          <w:p w:rsidR="004A397C" w:rsidRPr="009B3747" w:rsidRDefault="004A397C" w:rsidP="00846B21">
            <w:pPr>
              <w:spacing w:line="276" w:lineRule="auto"/>
              <w:rPr>
                <w:rFonts w:eastAsia="Times New Roman" w:cstheme="minorHAnsi"/>
                <w:sz w:val="20"/>
                <w:szCs w:val="20"/>
              </w:rPr>
            </w:pPr>
            <w:r w:rsidRPr="009B3747">
              <w:rPr>
                <w:rFonts w:eastAsia="Times New Roman" w:cstheme="minorHAnsi"/>
                <w:sz w:val="20"/>
                <w:szCs w:val="20"/>
              </w:rPr>
              <w:t>121</w:t>
            </w:r>
          </w:p>
        </w:tc>
        <w:tc>
          <w:tcPr>
            <w:tcW w:w="3286" w:type="dxa"/>
          </w:tcPr>
          <w:p w:rsidR="004A397C" w:rsidRPr="009B3747" w:rsidRDefault="004A397C" w:rsidP="00846B21">
            <w:pPr>
              <w:spacing w:line="276" w:lineRule="auto"/>
              <w:rPr>
                <w:rFonts w:eastAsia="Times New Roman" w:cstheme="minorHAnsi"/>
                <w:sz w:val="20"/>
                <w:szCs w:val="20"/>
              </w:rPr>
            </w:pPr>
            <w:r w:rsidRPr="009B3747">
              <w:rPr>
                <w:rFonts w:eastAsia="Times New Roman" w:cstheme="minorHAnsi"/>
                <w:sz w:val="20"/>
                <w:szCs w:val="20"/>
              </w:rPr>
              <w:t>CINAHL</w:t>
            </w:r>
          </w:p>
        </w:tc>
        <w:tc>
          <w:tcPr>
            <w:tcW w:w="3429" w:type="dxa"/>
          </w:tcPr>
          <w:p w:rsidR="004A397C" w:rsidRPr="009B3747" w:rsidRDefault="004A397C" w:rsidP="00846B21">
            <w:pPr>
              <w:spacing w:line="276" w:lineRule="auto"/>
              <w:rPr>
                <w:rFonts w:eastAsia="Times New Roman" w:cstheme="minorHAnsi"/>
                <w:sz w:val="20"/>
                <w:szCs w:val="20"/>
              </w:rPr>
            </w:pPr>
            <w:r w:rsidRPr="009B3747">
              <w:rPr>
                <w:rFonts w:eastAsia="Times New Roman" w:cstheme="minorHAnsi"/>
                <w:sz w:val="20"/>
                <w:szCs w:val="20"/>
              </w:rPr>
              <w:t>((("STUDENTS, HIGH SCHOOL"/ OR STUDENTS/ OR (School*).ti,ab OR ("Secondary school*").ti,ab OR ("High school*").ti,ab) AND ((Headteacher*).ti,ab OR ("Head teacher*").ti,ab OR (Head*).ti,ab OR (Headmistress*).ti,ab OR (Headmaster*).ti,ab OR (School ADJ Head*).ti,ab OR (School ADJ Principal*).ti,ab OR (School ADJ Lead*).ti,ab OR (School ADJ Administrator*).ti,ab OR (School ADJ Director*).ti,ab OR (Governor*).ti,ab OR (Governance).ti,ab OR ("School governor*").ti,ab OR (School ADJ govern*).ti,ab OR ("Board of govern*").ti,ab OR ("Chair* of govern*").ti,ab)) AND (OBESITY/ OR "OBESITY, MORBID"/ OR "PEDIATRIC OBESITY"/ OR (Obesity).ti,ab OR (Overweight).ti,ab OR (Obese).ti,ab OR ("Excess weight").ti,ab OR ("Obesity prevent*").ti,ab OR ("Body weight").ti,ab)) AND ((Perspective*).ti,ab OR (View*).ti,ab OR (Attitude*).ti,ab OR (Opinion*).ti,ab OR (Belief*).ti,ab OR (Feeling*).ti,ab OR (Understanding).ti,ab OR (Experience*).ti,ab)</w:t>
            </w:r>
          </w:p>
        </w:tc>
        <w:tc>
          <w:tcPr>
            <w:tcW w:w="2062" w:type="dxa"/>
          </w:tcPr>
          <w:p w:rsidR="004A397C" w:rsidRPr="009B3747" w:rsidRDefault="004A397C" w:rsidP="00846B21">
            <w:pPr>
              <w:spacing w:line="276" w:lineRule="auto"/>
              <w:rPr>
                <w:rFonts w:eastAsia="Times New Roman" w:cstheme="minorHAnsi"/>
                <w:sz w:val="20"/>
                <w:szCs w:val="20"/>
              </w:rPr>
            </w:pPr>
            <w:r w:rsidRPr="009B3747">
              <w:rPr>
                <w:rFonts w:eastAsia="Times New Roman" w:cstheme="minorHAnsi"/>
                <w:sz w:val="20"/>
                <w:szCs w:val="20"/>
              </w:rPr>
              <w:t>30</w:t>
            </w:r>
          </w:p>
        </w:tc>
      </w:tr>
    </w:tbl>
    <w:p w:rsidR="004A397C" w:rsidRPr="009B3747" w:rsidRDefault="004A397C" w:rsidP="004A397C">
      <w:pPr>
        <w:spacing w:line="276" w:lineRule="auto"/>
        <w:rPr>
          <w:rFonts w:cstheme="minorHAnsi"/>
          <w:sz w:val="20"/>
          <w:szCs w:val="20"/>
        </w:rPr>
      </w:pPr>
    </w:p>
    <w:p w:rsidR="004A397C" w:rsidRPr="009B3747" w:rsidRDefault="004A397C" w:rsidP="004A397C">
      <w:pPr>
        <w:spacing w:line="276" w:lineRule="auto"/>
        <w:rPr>
          <w:rFonts w:cstheme="minorHAnsi"/>
          <w:b/>
          <w:sz w:val="20"/>
          <w:szCs w:val="20"/>
        </w:rPr>
      </w:pPr>
      <w:r w:rsidRPr="009B3747">
        <w:rPr>
          <w:rFonts w:eastAsia="Times New Roman" w:cstheme="minorHAnsi"/>
          <w:b/>
          <w:sz w:val="20"/>
          <w:szCs w:val="20"/>
        </w:rPr>
        <w:t xml:space="preserve">CINAHL Database Results (Title form only) - </w:t>
      </w:r>
    </w:p>
    <w:p w:rsidR="004A397C" w:rsidRPr="009B3747" w:rsidRDefault="00071EBF" w:rsidP="004A397C">
      <w:pPr>
        <w:spacing w:line="276" w:lineRule="auto"/>
        <w:rPr>
          <w:rFonts w:cstheme="minorHAnsi"/>
          <w:sz w:val="20"/>
          <w:szCs w:val="20"/>
        </w:rPr>
      </w:pPr>
      <w:hyperlink w:anchor="1b194b93-bf23-d10f-33ed-6d1143da20e8-1" w:history="1">
        <w:r w:rsidR="004A397C" w:rsidRPr="009B3747">
          <w:rPr>
            <w:rFonts w:cstheme="minorHAnsi"/>
            <w:noProof/>
            <w:sz w:val="20"/>
            <w:szCs w:val="20"/>
          </w:rPr>
          <w:t>1. Obesity prevention in English primary schools: headteacher perspectives.</w:t>
        </w:r>
      </w:hyperlink>
    </w:p>
    <w:p w:rsidR="004A397C" w:rsidRPr="009B3747" w:rsidRDefault="00071EBF" w:rsidP="004A397C">
      <w:pPr>
        <w:spacing w:line="276" w:lineRule="auto"/>
        <w:rPr>
          <w:rFonts w:cstheme="minorHAnsi"/>
          <w:sz w:val="20"/>
          <w:szCs w:val="20"/>
        </w:rPr>
      </w:pPr>
      <w:hyperlink w:anchor="388a2aa6-6581-1cf5-0fbd-0aa3bdc3d5e9-2" w:history="1">
        <w:r w:rsidR="004A397C" w:rsidRPr="009B3747">
          <w:rPr>
            <w:rFonts w:cstheme="minorHAnsi"/>
            <w:noProof/>
            <w:sz w:val="20"/>
            <w:szCs w:val="20"/>
          </w:rPr>
          <w:t>2. Prevalence of postural deviations and associated factors in children and adolescents: a cross-sectional study.</w:t>
        </w:r>
      </w:hyperlink>
    </w:p>
    <w:p w:rsidR="004A397C" w:rsidRPr="009B3747" w:rsidRDefault="00071EBF" w:rsidP="004A397C">
      <w:pPr>
        <w:spacing w:line="276" w:lineRule="auto"/>
        <w:rPr>
          <w:rFonts w:cstheme="minorHAnsi"/>
          <w:sz w:val="20"/>
          <w:szCs w:val="20"/>
        </w:rPr>
      </w:pPr>
      <w:hyperlink w:anchor="be974bee-fbff-4e88-41cd-3767b14d0083-3" w:history="1">
        <w:r w:rsidR="004A397C" w:rsidRPr="009B3747">
          <w:rPr>
            <w:rFonts w:cstheme="minorHAnsi"/>
            <w:noProof/>
            <w:sz w:val="20"/>
            <w:szCs w:val="20"/>
          </w:rPr>
          <w:t>3. Guatemalan school food environment: impact on schoolchildren's risk of both undernutrition and overweight/obesity.</w:t>
        </w:r>
      </w:hyperlink>
    </w:p>
    <w:p w:rsidR="004A397C" w:rsidRPr="009B3747" w:rsidRDefault="00071EBF" w:rsidP="004A397C">
      <w:pPr>
        <w:spacing w:line="276" w:lineRule="auto"/>
        <w:rPr>
          <w:rFonts w:cstheme="minorHAnsi"/>
          <w:sz w:val="20"/>
          <w:szCs w:val="20"/>
        </w:rPr>
      </w:pPr>
      <w:hyperlink w:anchor="3d61c908-b67e-1f47-72f2-d1a23fe82d58-4" w:history="1">
        <w:r w:rsidR="004A397C" w:rsidRPr="009B3747">
          <w:rPr>
            <w:rFonts w:cstheme="minorHAnsi"/>
            <w:noProof/>
            <w:sz w:val="20"/>
            <w:szCs w:val="20"/>
          </w:rPr>
          <w:t>4. ¡Miranos! (Look at Us! We Are Healthy!).</w:t>
        </w:r>
      </w:hyperlink>
    </w:p>
    <w:p w:rsidR="004A397C" w:rsidRPr="009B3747" w:rsidRDefault="00071EBF" w:rsidP="004A397C">
      <w:pPr>
        <w:spacing w:line="276" w:lineRule="auto"/>
        <w:rPr>
          <w:rFonts w:cstheme="minorHAnsi"/>
          <w:sz w:val="20"/>
          <w:szCs w:val="20"/>
        </w:rPr>
      </w:pPr>
      <w:hyperlink w:anchor="51cbb657-e19a-6b01-806d-244bd9966808-5" w:history="1">
        <w:r w:rsidR="004A397C" w:rsidRPr="009B3747">
          <w:rPr>
            <w:rFonts w:cstheme="minorHAnsi"/>
            <w:noProof/>
            <w:sz w:val="20"/>
            <w:szCs w:val="20"/>
          </w:rPr>
          <w:t>5. Exploring primary school headteachers' perspectives on the barriers and facilitators of preventing childhood obesity.</w:t>
        </w:r>
      </w:hyperlink>
    </w:p>
    <w:p w:rsidR="004A397C" w:rsidRPr="009B3747" w:rsidRDefault="00071EBF" w:rsidP="004A397C">
      <w:pPr>
        <w:spacing w:line="276" w:lineRule="auto"/>
        <w:rPr>
          <w:rFonts w:cstheme="minorHAnsi"/>
          <w:sz w:val="20"/>
          <w:szCs w:val="20"/>
        </w:rPr>
      </w:pPr>
      <w:hyperlink w:anchor="0c133776-426e-6ced-5b8c-00c303e78658-6" w:history="1">
        <w:r w:rsidR="004A397C" w:rsidRPr="009B3747">
          <w:rPr>
            <w:rFonts w:cstheme="minorHAnsi"/>
            <w:noProof/>
            <w:sz w:val="20"/>
            <w:szCs w:val="20"/>
          </w:rPr>
          <w:t>6. Teachers' perceptions about children's movement and learning in early childhood education programmes.</w:t>
        </w:r>
      </w:hyperlink>
    </w:p>
    <w:p w:rsidR="004A397C" w:rsidRPr="009B3747" w:rsidRDefault="00071EBF" w:rsidP="004A397C">
      <w:pPr>
        <w:spacing w:line="276" w:lineRule="auto"/>
        <w:rPr>
          <w:rFonts w:cstheme="minorHAnsi"/>
          <w:sz w:val="20"/>
          <w:szCs w:val="20"/>
        </w:rPr>
      </w:pPr>
      <w:hyperlink w:anchor="ba7f9e1a-d1ad-70f7-5078-bc844a9e130a-7" w:history="1">
        <w:r w:rsidR="004A397C" w:rsidRPr="009B3747">
          <w:rPr>
            <w:rFonts w:cstheme="minorHAnsi"/>
            <w:noProof/>
            <w:sz w:val="20"/>
            <w:szCs w:val="20"/>
          </w:rPr>
          <w:t>7. School Social Capital and Body Mass Index in the National Longitudinal Study of Adolescent Health.</w:t>
        </w:r>
      </w:hyperlink>
    </w:p>
    <w:p w:rsidR="004A397C" w:rsidRPr="009B3747" w:rsidRDefault="00071EBF" w:rsidP="004A397C">
      <w:pPr>
        <w:spacing w:line="276" w:lineRule="auto"/>
        <w:rPr>
          <w:rFonts w:cstheme="minorHAnsi"/>
          <w:sz w:val="20"/>
          <w:szCs w:val="20"/>
        </w:rPr>
      </w:pPr>
      <w:hyperlink w:anchor="bcafde6b-bc42-96f2-81e1-b2bb298f8080-8" w:history="1">
        <w:r w:rsidR="004A397C" w:rsidRPr="009B3747">
          <w:rPr>
            <w:rFonts w:cstheme="minorHAnsi"/>
            <w:noProof/>
            <w:sz w:val="20"/>
            <w:szCs w:val="20"/>
          </w:rPr>
          <w:t>8. Methodological framework for the ergonomic design of children's playground equipment: A Serbian experience.</w:t>
        </w:r>
      </w:hyperlink>
    </w:p>
    <w:p w:rsidR="004A397C" w:rsidRPr="009B3747" w:rsidRDefault="00071EBF" w:rsidP="004A397C">
      <w:pPr>
        <w:spacing w:line="276" w:lineRule="auto"/>
        <w:rPr>
          <w:rFonts w:cstheme="minorHAnsi"/>
          <w:sz w:val="20"/>
          <w:szCs w:val="20"/>
        </w:rPr>
      </w:pPr>
      <w:hyperlink w:anchor="32db4d53-1306-9f24-c4ef-6529b394e68a-9" w:history="1">
        <w:r w:rsidR="004A397C" w:rsidRPr="009B3747">
          <w:rPr>
            <w:rFonts w:cstheme="minorHAnsi"/>
            <w:noProof/>
            <w:sz w:val="20"/>
            <w:szCs w:val="20"/>
          </w:rPr>
          <w:t>9. Awareness of risk factors and warning signs of stroke in a Nigeria university.</w:t>
        </w:r>
      </w:hyperlink>
    </w:p>
    <w:p w:rsidR="004A397C" w:rsidRPr="009B3747" w:rsidRDefault="00071EBF" w:rsidP="004A397C">
      <w:pPr>
        <w:spacing w:line="276" w:lineRule="auto"/>
        <w:rPr>
          <w:rFonts w:cstheme="minorHAnsi"/>
          <w:sz w:val="20"/>
          <w:szCs w:val="20"/>
        </w:rPr>
      </w:pPr>
      <w:hyperlink w:anchor="eb6c02e9-18bc-d15c-c292-577fe2e3dd6a-10" w:history="1">
        <w:r w:rsidR="004A397C" w:rsidRPr="009B3747">
          <w:rPr>
            <w:rFonts w:cstheme="minorHAnsi"/>
            <w:noProof/>
            <w:sz w:val="20"/>
            <w:szCs w:val="20"/>
          </w:rPr>
          <w:t>10. A Built Environmental Intervention and a Combination Built Environmental and Cognitive/Behavioral Intervention to Increase Individual Physical Activity in 3 to 5- Year-Old Children.</w:t>
        </w:r>
      </w:hyperlink>
    </w:p>
    <w:p w:rsidR="004A397C" w:rsidRPr="009B3747" w:rsidRDefault="00071EBF" w:rsidP="004A397C">
      <w:pPr>
        <w:spacing w:line="276" w:lineRule="auto"/>
        <w:rPr>
          <w:rFonts w:cstheme="minorHAnsi"/>
          <w:sz w:val="20"/>
          <w:szCs w:val="20"/>
        </w:rPr>
      </w:pPr>
      <w:hyperlink w:anchor="4cfef503-cf5a-a058-f754-873c1536b403-11" w:history="1">
        <w:r w:rsidR="004A397C" w:rsidRPr="009B3747">
          <w:rPr>
            <w:rFonts w:cstheme="minorHAnsi"/>
            <w:noProof/>
            <w:sz w:val="20"/>
            <w:szCs w:val="20"/>
          </w:rPr>
          <w:t>11. Characterizing lunch meals served and consumed by pre-school children in Head Start.</w:t>
        </w:r>
      </w:hyperlink>
    </w:p>
    <w:p w:rsidR="004A397C" w:rsidRPr="009B3747" w:rsidRDefault="00071EBF" w:rsidP="004A397C">
      <w:pPr>
        <w:spacing w:line="276" w:lineRule="auto"/>
        <w:rPr>
          <w:rFonts w:cstheme="minorHAnsi"/>
          <w:sz w:val="20"/>
          <w:szCs w:val="20"/>
        </w:rPr>
      </w:pPr>
      <w:hyperlink w:anchor="c68aa587-3313-3098-d60b-8fc682f27334-12" w:history="1">
        <w:r w:rsidR="004A397C" w:rsidRPr="009B3747">
          <w:rPr>
            <w:rFonts w:cstheme="minorHAnsi"/>
            <w:noProof/>
            <w:sz w:val="20"/>
            <w:szCs w:val="20"/>
          </w:rPr>
          <w:t>12. There Is No Relationship between Academic Achievement and Body Mass Index among Fourth-Grade, Predominantly African-American Children.</w:t>
        </w:r>
      </w:hyperlink>
    </w:p>
    <w:p w:rsidR="004A397C" w:rsidRPr="009B3747" w:rsidRDefault="00071EBF" w:rsidP="004A397C">
      <w:pPr>
        <w:spacing w:line="276" w:lineRule="auto"/>
        <w:rPr>
          <w:rFonts w:cstheme="minorHAnsi"/>
          <w:sz w:val="20"/>
          <w:szCs w:val="20"/>
        </w:rPr>
      </w:pPr>
      <w:hyperlink w:anchor="7198ad2d-6382-d4ba-e8c4-a59db3f2622b-13" w:history="1">
        <w:r w:rsidR="004A397C" w:rsidRPr="009B3747">
          <w:rPr>
            <w:rFonts w:cstheme="minorHAnsi"/>
            <w:noProof/>
            <w:sz w:val="20"/>
            <w:szCs w:val="20"/>
          </w:rPr>
          <w:t>13. Nutrition-Related Knowledge, Attitudes, and Dietary Behaviors among Head Start Teachers in Texas: A Cross-Sectional Study.</w:t>
        </w:r>
      </w:hyperlink>
    </w:p>
    <w:p w:rsidR="004A397C" w:rsidRPr="009B3747" w:rsidRDefault="00071EBF" w:rsidP="004A397C">
      <w:pPr>
        <w:spacing w:line="276" w:lineRule="auto"/>
        <w:rPr>
          <w:rFonts w:cstheme="minorHAnsi"/>
          <w:sz w:val="20"/>
          <w:szCs w:val="20"/>
        </w:rPr>
      </w:pPr>
      <w:hyperlink w:anchor="3328f8a4-b85b-f9e2-1191-7e3ff77718da-14" w:history="1">
        <w:r w:rsidR="004A397C" w:rsidRPr="009B3747">
          <w:rPr>
            <w:rFonts w:cstheme="minorHAnsi"/>
            <w:noProof/>
            <w:sz w:val="20"/>
            <w:szCs w:val="20"/>
          </w:rPr>
          <w:t>14. The Effect of Sex and Age on Isokinetic Hip-Abduction Torques.</w:t>
        </w:r>
      </w:hyperlink>
    </w:p>
    <w:p w:rsidR="004A397C" w:rsidRPr="009B3747" w:rsidRDefault="00071EBF" w:rsidP="004A397C">
      <w:pPr>
        <w:spacing w:line="276" w:lineRule="auto"/>
        <w:rPr>
          <w:rFonts w:cstheme="minorHAnsi"/>
          <w:sz w:val="20"/>
          <w:szCs w:val="20"/>
        </w:rPr>
      </w:pPr>
      <w:hyperlink w:anchor="e36a09ea-7fc2-aee4-7d02-75811c06d025-15" w:history="1">
        <w:r w:rsidR="004A397C" w:rsidRPr="009B3747">
          <w:rPr>
            <w:rFonts w:cstheme="minorHAnsi"/>
            <w:noProof/>
            <w:sz w:val="20"/>
            <w:szCs w:val="20"/>
          </w:rPr>
          <w:t>15. School Administrators' Perceptions of Factors That Influence Children's Active Travel to School.</w:t>
        </w:r>
      </w:hyperlink>
    </w:p>
    <w:p w:rsidR="004A397C" w:rsidRPr="009B3747" w:rsidRDefault="00071EBF" w:rsidP="004A397C">
      <w:pPr>
        <w:spacing w:line="276" w:lineRule="auto"/>
        <w:rPr>
          <w:rFonts w:cstheme="minorHAnsi"/>
          <w:sz w:val="20"/>
          <w:szCs w:val="20"/>
        </w:rPr>
      </w:pPr>
      <w:hyperlink w:anchor="e67e0e30-594a-f610-2b4b-2ecd0d80c735-16" w:history="1">
        <w:r w:rsidR="004A397C" w:rsidRPr="009B3747">
          <w:rPr>
            <w:rFonts w:cstheme="minorHAnsi"/>
            <w:noProof/>
            <w:sz w:val="20"/>
            <w:szCs w:val="20"/>
          </w:rPr>
          <w:t>16. Barriers to optimizing investments in the built environment to reduce youth obesity: policy-maker perspectives.</w:t>
        </w:r>
      </w:hyperlink>
    </w:p>
    <w:p w:rsidR="004A397C" w:rsidRPr="009B3747" w:rsidRDefault="00071EBF" w:rsidP="004A397C">
      <w:pPr>
        <w:spacing w:line="276" w:lineRule="auto"/>
        <w:rPr>
          <w:rFonts w:cstheme="minorHAnsi"/>
          <w:sz w:val="20"/>
          <w:szCs w:val="20"/>
        </w:rPr>
      </w:pPr>
      <w:hyperlink w:anchor="c53d3a06-a42d-00b3-2c2b-65d97d91cd15-17" w:history="1">
        <w:r w:rsidR="004A397C" w:rsidRPr="009B3747">
          <w:rPr>
            <w:rFonts w:cstheme="minorHAnsi"/>
            <w:noProof/>
            <w:sz w:val="20"/>
            <w:szCs w:val="20"/>
          </w:rPr>
          <w:t>17. Obesity prevention opinions of school stakeholders: a qualitative study.</w:t>
        </w:r>
      </w:hyperlink>
    </w:p>
    <w:p w:rsidR="004A397C" w:rsidRPr="009B3747" w:rsidRDefault="00071EBF" w:rsidP="004A397C">
      <w:pPr>
        <w:spacing w:line="276" w:lineRule="auto"/>
        <w:rPr>
          <w:rFonts w:cstheme="minorHAnsi"/>
          <w:sz w:val="20"/>
          <w:szCs w:val="20"/>
        </w:rPr>
      </w:pPr>
      <w:hyperlink w:anchor="534869e1-45b7-6c37-7cb0-6d75982397be-18" w:history="1">
        <w:r w:rsidR="004A397C" w:rsidRPr="009B3747">
          <w:rPr>
            <w:rFonts w:cstheme="minorHAnsi"/>
            <w:noProof/>
            <w:sz w:val="20"/>
            <w:szCs w:val="20"/>
          </w:rPr>
          <w:t>18. Long-term process evaluation of a school-based programme for overweight prevention.</w:t>
        </w:r>
      </w:hyperlink>
    </w:p>
    <w:p w:rsidR="004A397C" w:rsidRPr="009B3747" w:rsidRDefault="00071EBF" w:rsidP="004A397C">
      <w:pPr>
        <w:spacing w:line="276" w:lineRule="auto"/>
        <w:rPr>
          <w:rFonts w:cstheme="minorHAnsi"/>
          <w:sz w:val="20"/>
          <w:szCs w:val="20"/>
        </w:rPr>
      </w:pPr>
      <w:hyperlink w:anchor="ebed726c-ea7a-af9e-7d52-fbe4fce4fdfd-19" w:history="1">
        <w:r w:rsidR="004A397C" w:rsidRPr="009B3747">
          <w:rPr>
            <w:rFonts w:cstheme="minorHAnsi"/>
            <w:noProof/>
            <w:sz w:val="20"/>
            <w:szCs w:val="20"/>
          </w:rPr>
          <w:t>19. Qualitative investigation of factors contributing to effective nutrition education for Navajo families.</w:t>
        </w:r>
      </w:hyperlink>
    </w:p>
    <w:p w:rsidR="004A397C" w:rsidRPr="009B3747" w:rsidRDefault="00071EBF" w:rsidP="004A397C">
      <w:pPr>
        <w:spacing w:line="276" w:lineRule="auto"/>
        <w:rPr>
          <w:rFonts w:cstheme="minorHAnsi"/>
          <w:sz w:val="20"/>
          <w:szCs w:val="20"/>
        </w:rPr>
      </w:pPr>
      <w:hyperlink w:anchor="74103f3f-2231-b92b-21bb-15720a8a37f7-20" w:history="1">
        <w:r w:rsidR="004A397C" w:rsidRPr="009B3747">
          <w:rPr>
            <w:rFonts w:cstheme="minorHAnsi"/>
            <w:noProof/>
            <w:sz w:val="20"/>
            <w:szCs w:val="20"/>
          </w:rPr>
          <w:t>20. Understanding school-age obesity through participatory action research.</w:t>
        </w:r>
      </w:hyperlink>
    </w:p>
    <w:p w:rsidR="004A397C" w:rsidRPr="009B3747" w:rsidRDefault="00071EBF" w:rsidP="004A397C">
      <w:pPr>
        <w:spacing w:line="276" w:lineRule="auto"/>
        <w:rPr>
          <w:rFonts w:cstheme="minorHAnsi"/>
          <w:sz w:val="20"/>
          <w:szCs w:val="20"/>
        </w:rPr>
      </w:pPr>
      <w:hyperlink w:anchor="e71bfeda-d401-dbdc-cd9d-c670274111c8-21" w:history="1">
        <w:r w:rsidR="004A397C" w:rsidRPr="009B3747">
          <w:rPr>
            <w:rFonts w:cstheme="minorHAnsi"/>
            <w:noProof/>
            <w:sz w:val="20"/>
            <w:szCs w:val="20"/>
          </w:rPr>
          <w:t>21. Physical Education Activities Scale: the development of an instrument to measure adolescent perceptions of school physical education activities.</w:t>
        </w:r>
      </w:hyperlink>
    </w:p>
    <w:p w:rsidR="004A397C" w:rsidRPr="009B3747" w:rsidRDefault="00071EBF" w:rsidP="004A397C">
      <w:pPr>
        <w:spacing w:line="276" w:lineRule="auto"/>
        <w:rPr>
          <w:rFonts w:cstheme="minorHAnsi"/>
          <w:sz w:val="20"/>
          <w:szCs w:val="20"/>
        </w:rPr>
      </w:pPr>
      <w:hyperlink w:anchor="d9aac8ae-f17e-4a1f-6add-f25300575ac1-22" w:history="1">
        <w:r w:rsidR="004A397C" w:rsidRPr="009B3747">
          <w:rPr>
            <w:rFonts w:cstheme="minorHAnsi"/>
            <w:noProof/>
            <w:sz w:val="20"/>
            <w:szCs w:val="20"/>
          </w:rPr>
          <w:t>22. Obesity prevention in schools: current role and future practice of school nurses.</w:t>
        </w:r>
      </w:hyperlink>
    </w:p>
    <w:p w:rsidR="004A397C" w:rsidRPr="009B3747" w:rsidRDefault="00071EBF" w:rsidP="004A397C">
      <w:pPr>
        <w:spacing w:line="276" w:lineRule="auto"/>
        <w:rPr>
          <w:rFonts w:cstheme="minorHAnsi"/>
          <w:sz w:val="20"/>
          <w:szCs w:val="20"/>
        </w:rPr>
      </w:pPr>
      <w:hyperlink w:anchor="87fb6f3b-ec8d-be6f-8777-9ac7add39e96-23" w:history="1">
        <w:r w:rsidR="004A397C" w:rsidRPr="009B3747">
          <w:rPr>
            <w:rFonts w:cstheme="minorHAnsi"/>
            <w:noProof/>
            <w:sz w:val="20"/>
            <w:szCs w:val="20"/>
          </w:rPr>
          <w:t>23. Overweight and lifestyle in ten-year-old children.</w:t>
        </w:r>
      </w:hyperlink>
    </w:p>
    <w:p w:rsidR="004A397C" w:rsidRPr="009B3747" w:rsidRDefault="00071EBF" w:rsidP="004A397C">
      <w:pPr>
        <w:spacing w:line="276" w:lineRule="auto"/>
        <w:rPr>
          <w:rFonts w:cstheme="minorHAnsi"/>
          <w:sz w:val="20"/>
          <w:szCs w:val="20"/>
        </w:rPr>
      </w:pPr>
      <w:hyperlink w:anchor="5318503b-2a42-980b-d07d-37cec7d11608-24" w:history="1">
        <w:r w:rsidR="004A397C" w:rsidRPr="009B3747">
          <w:rPr>
            <w:rFonts w:cstheme="minorHAnsi"/>
            <w:noProof/>
            <w:sz w:val="20"/>
            <w:szCs w:val="20"/>
          </w:rPr>
          <w:t>24. The influence of the home, school, and community contexts on childhood obesity: a multilevel study.</w:t>
        </w:r>
      </w:hyperlink>
    </w:p>
    <w:p w:rsidR="004A397C" w:rsidRPr="009B3747" w:rsidRDefault="00071EBF" w:rsidP="004A397C">
      <w:pPr>
        <w:spacing w:line="276" w:lineRule="auto"/>
        <w:rPr>
          <w:rFonts w:cstheme="minorHAnsi"/>
          <w:sz w:val="20"/>
          <w:szCs w:val="20"/>
        </w:rPr>
      </w:pPr>
      <w:hyperlink w:anchor="05365245-feb7-76ae-2b1f-cfd204b4fd2c-25" w:history="1">
        <w:r w:rsidR="004A397C" w:rsidRPr="009B3747">
          <w:rPr>
            <w:rFonts w:cstheme="minorHAnsi"/>
            <w:noProof/>
            <w:sz w:val="20"/>
            <w:szCs w:val="20"/>
          </w:rPr>
          <w:t>25. Acceptability of a school-based intervention for prevention of adolescent obesity.</w:t>
        </w:r>
      </w:hyperlink>
    </w:p>
    <w:p w:rsidR="004A397C" w:rsidRPr="009B3747" w:rsidRDefault="00071EBF" w:rsidP="004A397C">
      <w:pPr>
        <w:spacing w:line="276" w:lineRule="auto"/>
        <w:rPr>
          <w:rFonts w:cstheme="minorHAnsi"/>
          <w:sz w:val="20"/>
          <w:szCs w:val="20"/>
        </w:rPr>
      </w:pPr>
      <w:hyperlink w:anchor="e7456dc5-9520-5004-2a0c-213cd71f536a-26" w:history="1">
        <w:r w:rsidR="004A397C" w:rsidRPr="009B3747">
          <w:rPr>
            <w:rFonts w:cstheme="minorHAnsi"/>
            <w:noProof/>
            <w:sz w:val="20"/>
            <w:szCs w:val="20"/>
          </w:rPr>
          <w:t>26. A case of menstrually related migraine in a teenage girl.</w:t>
        </w:r>
      </w:hyperlink>
    </w:p>
    <w:p w:rsidR="004A397C" w:rsidRPr="009B3747" w:rsidRDefault="00071EBF" w:rsidP="004A397C">
      <w:pPr>
        <w:spacing w:line="276" w:lineRule="auto"/>
        <w:rPr>
          <w:rFonts w:cstheme="minorHAnsi"/>
          <w:sz w:val="20"/>
          <w:szCs w:val="20"/>
        </w:rPr>
      </w:pPr>
      <w:hyperlink w:anchor="18275588-403d-611b-fa3c-d8430c1dab0c-27" w:history="1">
        <w:r w:rsidR="004A397C" w:rsidRPr="009B3747">
          <w:rPr>
            <w:rFonts w:cstheme="minorHAnsi"/>
            <w:noProof/>
            <w:sz w:val="20"/>
            <w:szCs w:val="20"/>
          </w:rPr>
          <w:t>27. Promotion of physical activity and healthy food choices was hampered by competitiveness, lack of quality food, easy access to non-nutritious food, and time constraints.</w:t>
        </w:r>
      </w:hyperlink>
    </w:p>
    <w:p w:rsidR="004A397C" w:rsidRPr="009B3747" w:rsidRDefault="00071EBF" w:rsidP="004A397C">
      <w:pPr>
        <w:spacing w:line="276" w:lineRule="auto"/>
        <w:rPr>
          <w:rFonts w:cstheme="minorHAnsi"/>
          <w:sz w:val="20"/>
          <w:szCs w:val="20"/>
        </w:rPr>
      </w:pPr>
      <w:hyperlink w:anchor="d558ef20-e1dd-84ea-7b46-014b924e6e3a-28" w:history="1">
        <w:r w:rsidR="004A397C" w:rsidRPr="009B3747">
          <w:rPr>
            <w:rFonts w:cstheme="minorHAnsi"/>
            <w:noProof/>
            <w:sz w:val="20"/>
            <w:szCs w:val="20"/>
          </w:rPr>
          <w:t>28. School climate and implementation of the Pathways study.</w:t>
        </w:r>
      </w:hyperlink>
    </w:p>
    <w:p w:rsidR="004A397C" w:rsidRPr="009B3747" w:rsidRDefault="00071EBF" w:rsidP="004A397C">
      <w:pPr>
        <w:spacing w:line="276" w:lineRule="auto"/>
        <w:rPr>
          <w:rFonts w:cstheme="minorHAnsi"/>
          <w:sz w:val="20"/>
          <w:szCs w:val="20"/>
        </w:rPr>
      </w:pPr>
      <w:hyperlink w:anchor="55cf711d-099a-b106-1a26-282e437df282-29" w:history="1">
        <w:r w:rsidR="004A397C" w:rsidRPr="009B3747">
          <w:rPr>
            <w:rFonts w:cstheme="minorHAnsi"/>
            <w:noProof/>
            <w:sz w:val="20"/>
            <w:szCs w:val="20"/>
          </w:rPr>
          <w:t>29. Value of health, incidence of depression, and level of self-esteem in low-income mothers of pre-school children.</w:t>
        </w:r>
      </w:hyperlink>
    </w:p>
    <w:p w:rsidR="004A397C" w:rsidRPr="009B3747" w:rsidRDefault="00071EBF" w:rsidP="004A397C">
      <w:pPr>
        <w:spacing w:line="276" w:lineRule="auto"/>
        <w:rPr>
          <w:rFonts w:cstheme="minorHAnsi"/>
          <w:sz w:val="20"/>
          <w:szCs w:val="20"/>
        </w:rPr>
      </w:pPr>
      <w:hyperlink w:anchor="35417686-53fa-5932-847b-c49542d50941-30" w:history="1">
        <w:r w:rsidR="004A397C" w:rsidRPr="009B3747">
          <w:rPr>
            <w:rFonts w:cstheme="minorHAnsi"/>
            <w:noProof/>
            <w:sz w:val="20"/>
            <w:szCs w:val="20"/>
          </w:rPr>
          <w:t>30. Perspectives of chronically ill adolescents and parents on health care needs.</w:t>
        </w:r>
      </w:hyperlink>
    </w:p>
    <w:p w:rsidR="004A397C" w:rsidRPr="009B3747" w:rsidRDefault="004A397C" w:rsidP="004A397C">
      <w:pPr>
        <w:spacing w:line="276" w:lineRule="auto"/>
        <w:rPr>
          <w:rFonts w:cstheme="minorHAnsi"/>
          <w:sz w:val="20"/>
          <w:szCs w:val="20"/>
        </w:rPr>
      </w:pPr>
      <w:r w:rsidRPr="009B3747">
        <w:rPr>
          <w:rFonts w:cstheme="minorHAnsi"/>
          <w:sz w:val="20"/>
          <w:szCs w:val="20"/>
        </w:rPr>
        <w:br w:type="page"/>
      </w:r>
    </w:p>
    <w:p w:rsidR="004A397C" w:rsidRPr="009B3747" w:rsidRDefault="004A397C" w:rsidP="004A397C">
      <w:pPr>
        <w:rPr>
          <w:rFonts w:cstheme="minorHAnsi"/>
          <w:b/>
          <w:sz w:val="28"/>
          <w:szCs w:val="28"/>
          <w:u w:val="single"/>
        </w:rPr>
      </w:pPr>
      <w:r w:rsidRPr="009B3747">
        <w:rPr>
          <w:rFonts w:cstheme="minorHAnsi"/>
          <w:b/>
          <w:sz w:val="28"/>
          <w:szCs w:val="28"/>
          <w:u w:val="single"/>
        </w:rPr>
        <w:lastRenderedPageBreak/>
        <w:t>Appendix D – Quality assessment form (based on CASP, 2014)</w:t>
      </w:r>
    </w:p>
    <w:p w:rsidR="004A397C" w:rsidRPr="009B3747" w:rsidRDefault="004A397C" w:rsidP="004A397C">
      <w:pPr>
        <w:spacing w:line="240" w:lineRule="auto"/>
        <w:rPr>
          <w:rFonts w:eastAsia="Times New Roman" w:cstheme="minorHAnsi"/>
          <w:b/>
          <w:bCs/>
          <w:color w:val="000000"/>
          <w:lang w:eastAsia="en-GB"/>
        </w:rPr>
      </w:pPr>
    </w:p>
    <w:p w:rsidR="004A397C" w:rsidRPr="009B3747" w:rsidRDefault="004A397C" w:rsidP="004A397C">
      <w:pPr>
        <w:spacing w:line="240" w:lineRule="auto"/>
        <w:rPr>
          <w:rFonts w:eastAsia="Times New Roman" w:cstheme="minorHAnsi"/>
          <w:color w:val="000000"/>
          <w:lang w:eastAsia="en-GB"/>
        </w:rPr>
      </w:pPr>
      <w:r w:rsidRPr="009B3747">
        <w:rPr>
          <w:rFonts w:eastAsia="Times New Roman" w:cstheme="minorHAnsi"/>
          <w:b/>
          <w:bCs/>
          <w:color w:val="000000"/>
          <w:lang w:eastAsia="en-GB"/>
        </w:rPr>
        <w:t xml:space="preserve">Reference number </w:t>
      </w:r>
      <w:r w:rsidRPr="009B3747">
        <w:rPr>
          <w:rFonts w:eastAsia="Times New Roman" w:cstheme="minorHAnsi"/>
          <w:color w:val="000000"/>
          <w:lang w:eastAsia="en-GB"/>
        </w:rPr>
        <w:t xml:space="preserve">– </w:t>
      </w:r>
    </w:p>
    <w:p w:rsidR="004A397C" w:rsidRPr="009B3747" w:rsidRDefault="004A397C" w:rsidP="004A397C">
      <w:pPr>
        <w:spacing w:line="240" w:lineRule="auto"/>
        <w:rPr>
          <w:rFonts w:eastAsia="Times New Roman" w:cstheme="minorHAnsi"/>
          <w:color w:val="000000"/>
          <w:lang w:eastAsia="en-GB"/>
        </w:rPr>
      </w:pPr>
      <w:r w:rsidRPr="009B3747">
        <w:rPr>
          <w:rFonts w:eastAsia="Times New Roman" w:cstheme="minorHAnsi"/>
          <w:b/>
          <w:bCs/>
          <w:color w:val="000000"/>
          <w:lang w:eastAsia="en-GB"/>
        </w:rPr>
        <w:t>Title of article</w:t>
      </w:r>
      <w:r w:rsidRPr="009B3747">
        <w:rPr>
          <w:rFonts w:eastAsia="Times New Roman" w:cstheme="minorHAnsi"/>
          <w:color w:val="000000"/>
          <w:lang w:eastAsia="en-GB"/>
        </w:rPr>
        <w:t xml:space="preserve"> –</w:t>
      </w:r>
    </w:p>
    <w:p w:rsidR="004A397C" w:rsidRPr="009B3747" w:rsidRDefault="004A397C" w:rsidP="004A397C">
      <w:pPr>
        <w:spacing w:line="240" w:lineRule="auto"/>
        <w:rPr>
          <w:rFonts w:eastAsia="Times New Roman" w:cstheme="minorHAnsi"/>
          <w:color w:val="000000"/>
          <w:lang w:eastAsia="en-GB"/>
        </w:rPr>
      </w:pPr>
      <w:r w:rsidRPr="009B3747">
        <w:rPr>
          <w:rFonts w:eastAsia="Times New Roman" w:cstheme="minorHAnsi"/>
          <w:b/>
          <w:bCs/>
          <w:color w:val="000000"/>
          <w:lang w:eastAsia="en-GB"/>
        </w:rPr>
        <w:t>Author(s)</w:t>
      </w:r>
      <w:r w:rsidRPr="009B3747">
        <w:rPr>
          <w:rFonts w:eastAsia="Times New Roman" w:cstheme="minorHAnsi"/>
          <w:color w:val="000000"/>
          <w:lang w:eastAsia="en-GB"/>
        </w:rPr>
        <w:t xml:space="preserve"> –</w:t>
      </w:r>
    </w:p>
    <w:p w:rsidR="004A397C" w:rsidRPr="009B3747" w:rsidRDefault="004A397C" w:rsidP="004A397C">
      <w:pPr>
        <w:spacing w:line="240" w:lineRule="auto"/>
        <w:rPr>
          <w:rFonts w:eastAsia="Times New Roman" w:cstheme="minorHAnsi"/>
          <w:color w:val="000000"/>
          <w:lang w:eastAsia="en-GB"/>
        </w:rPr>
      </w:pPr>
      <w:r w:rsidRPr="009B3747">
        <w:rPr>
          <w:rFonts w:eastAsia="Times New Roman" w:cstheme="minorHAnsi"/>
          <w:b/>
          <w:bCs/>
          <w:color w:val="000000"/>
          <w:lang w:eastAsia="en-GB"/>
        </w:rPr>
        <w:t>Year of publication</w:t>
      </w:r>
      <w:r w:rsidRPr="009B3747">
        <w:rPr>
          <w:rFonts w:eastAsia="Times New Roman" w:cstheme="minorHAnsi"/>
          <w:color w:val="000000"/>
          <w:lang w:eastAsia="en-GB"/>
        </w:rPr>
        <w:t xml:space="preserve"> – </w:t>
      </w:r>
    </w:p>
    <w:p w:rsidR="00982F16" w:rsidRPr="009B3747" w:rsidRDefault="004A397C" w:rsidP="004A397C">
      <w:pPr>
        <w:spacing w:line="240" w:lineRule="auto"/>
        <w:rPr>
          <w:rFonts w:eastAsia="Times New Roman" w:cstheme="minorHAnsi"/>
          <w:color w:val="000000"/>
          <w:lang w:eastAsia="en-GB"/>
        </w:rPr>
      </w:pPr>
      <w:r w:rsidRPr="009B3747">
        <w:rPr>
          <w:rFonts w:eastAsia="Times New Roman" w:cstheme="minorHAnsi"/>
          <w:b/>
          <w:bCs/>
          <w:color w:val="000000"/>
          <w:lang w:eastAsia="en-GB"/>
        </w:rPr>
        <w:t>Journal (volume/pages)</w:t>
      </w:r>
      <w:r w:rsidRPr="009B3747">
        <w:rPr>
          <w:rFonts w:eastAsia="Times New Roman" w:cstheme="minorHAnsi"/>
          <w:color w:val="000000"/>
          <w:lang w:eastAsia="en-GB"/>
        </w:rPr>
        <w:t xml:space="preserve"> </w:t>
      </w:r>
      <w:r w:rsidR="00982F16" w:rsidRPr="009B3747">
        <w:rPr>
          <w:rFonts w:eastAsia="Times New Roman" w:cstheme="minorHAnsi"/>
          <w:color w:val="000000"/>
          <w:lang w:eastAsia="en-GB"/>
        </w:rPr>
        <w:t>–</w:t>
      </w:r>
      <w:r w:rsidRPr="009B3747">
        <w:rPr>
          <w:rFonts w:eastAsia="Times New Roman" w:cstheme="minorHAnsi"/>
          <w:color w:val="000000"/>
          <w:lang w:eastAsia="en-GB"/>
        </w:rPr>
        <w:t xml:space="preserve"> </w:t>
      </w:r>
    </w:p>
    <w:p w:rsidR="004A397C" w:rsidRPr="009B3747" w:rsidRDefault="004A397C" w:rsidP="004A397C">
      <w:pPr>
        <w:spacing w:after="240" w:line="240" w:lineRule="auto"/>
        <w:rPr>
          <w:rFonts w:eastAsia="Times New Roman" w:cstheme="minorHAnsi"/>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825"/>
        <w:gridCol w:w="1985"/>
        <w:gridCol w:w="4196"/>
      </w:tblGrid>
      <w:tr w:rsidR="004A397C" w:rsidRPr="009B3747" w:rsidTr="00846B21">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Screening question</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Yes, No, or Can’t tell</w:t>
            </w:r>
          </w:p>
        </w:tc>
        <w:tc>
          <w:tcPr>
            <w:tcW w:w="41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Comments</w:t>
            </w:r>
          </w:p>
        </w:tc>
      </w:tr>
      <w:tr w:rsidR="004A397C" w:rsidRPr="009B3747" w:rsidTr="00846B21">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i/>
                <w:sz w:val="24"/>
                <w:szCs w:val="24"/>
                <w:lang w:eastAsia="en-GB"/>
              </w:rPr>
            </w:pPr>
            <w:r w:rsidRPr="009B3747">
              <w:rPr>
                <w:rFonts w:eastAsia="Times New Roman" w:cstheme="minorHAnsi"/>
                <w:i/>
                <w:color w:val="000000"/>
                <w:sz w:val="20"/>
                <w:szCs w:val="20"/>
                <w:lang w:eastAsia="en-GB"/>
              </w:rPr>
              <w:t>Was there a clear statement of the aims of the research?</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4"/>
                <w:szCs w:val="24"/>
                <w:lang w:eastAsia="en-GB"/>
              </w:rPr>
            </w:pPr>
          </w:p>
        </w:tc>
        <w:tc>
          <w:tcPr>
            <w:tcW w:w="41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4"/>
                <w:szCs w:val="24"/>
                <w:lang w:eastAsia="en-GB"/>
              </w:rPr>
            </w:pPr>
          </w:p>
        </w:tc>
      </w:tr>
      <w:tr w:rsidR="004A397C" w:rsidRPr="009B3747" w:rsidTr="00846B21">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i/>
                <w:sz w:val="24"/>
                <w:szCs w:val="24"/>
                <w:lang w:eastAsia="en-GB"/>
              </w:rPr>
            </w:pPr>
            <w:r w:rsidRPr="009B3747">
              <w:rPr>
                <w:rFonts w:eastAsia="Times New Roman" w:cstheme="minorHAnsi"/>
                <w:i/>
                <w:color w:val="000000"/>
                <w:sz w:val="20"/>
                <w:szCs w:val="20"/>
                <w:lang w:eastAsia="en-GB"/>
              </w:rPr>
              <w:t xml:space="preserve">Is a qualitative methodology appropriate? </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4"/>
                <w:szCs w:val="24"/>
                <w:lang w:eastAsia="en-GB"/>
              </w:rPr>
            </w:pPr>
          </w:p>
        </w:tc>
        <w:tc>
          <w:tcPr>
            <w:tcW w:w="41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4"/>
                <w:szCs w:val="24"/>
                <w:lang w:eastAsia="en-GB"/>
              </w:rPr>
            </w:pPr>
          </w:p>
        </w:tc>
      </w:tr>
      <w:tr w:rsidR="004A397C" w:rsidRPr="009B3747" w:rsidTr="00846B21">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i/>
                <w:sz w:val="24"/>
                <w:szCs w:val="24"/>
                <w:lang w:eastAsia="en-GB"/>
              </w:rPr>
            </w:pPr>
            <w:r w:rsidRPr="009B3747">
              <w:rPr>
                <w:rFonts w:eastAsia="Times New Roman" w:cstheme="minorHAnsi"/>
                <w:i/>
                <w:color w:val="000000"/>
                <w:sz w:val="20"/>
                <w:szCs w:val="20"/>
                <w:lang w:eastAsia="en-GB"/>
              </w:rPr>
              <w:t xml:space="preserve">Was the research design appropriate to address the aims of the research? </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4"/>
                <w:szCs w:val="24"/>
                <w:lang w:eastAsia="en-GB"/>
              </w:rPr>
            </w:pPr>
          </w:p>
        </w:tc>
        <w:tc>
          <w:tcPr>
            <w:tcW w:w="41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4"/>
                <w:szCs w:val="24"/>
                <w:lang w:eastAsia="en-GB"/>
              </w:rPr>
            </w:pPr>
          </w:p>
        </w:tc>
      </w:tr>
      <w:tr w:rsidR="004A397C" w:rsidRPr="009B3747" w:rsidTr="00846B21">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i/>
                <w:sz w:val="24"/>
                <w:szCs w:val="24"/>
                <w:lang w:eastAsia="en-GB"/>
              </w:rPr>
            </w:pPr>
            <w:r w:rsidRPr="009B3747">
              <w:rPr>
                <w:rFonts w:eastAsia="Times New Roman" w:cstheme="minorHAnsi"/>
                <w:i/>
                <w:color w:val="000000"/>
                <w:sz w:val="20"/>
                <w:szCs w:val="20"/>
                <w:lang w:eastAsia="en-GB"/>
              </w:rPr>
              <w:t>Was the recruitment strategy appropriate to the aims of the research?</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4"/>
                <w:szCs w:val="24"/>
                <w:lang w:eastAsia="en-GB"/>
              </w:rPr>
            </w:pPr>
          </w:p>
        </w:tc>
        <w:tc>
          <w:tcPr>
            <w:tcW w:w="41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4"/>
                <w:szCs w:val="24"/>
                <w:lang w:eastAsia="en-GB"/>
              </w:rPr>
            </w:pPr>
          </w:p>
        </w:tc>
      </w:tr>
      <w:tr w:rsidR="004A397C" w:rsidRPr="009B3747" w:rsidTr="00846B21">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i/>
                <w:sz w:val="24"/>
                <w:szCs w:val="24"/>
                <w:lang w:eastAsia="en-GB"/>
              </w:rPr>
            </w:pPr>
            <w:r w:rsidRPr="009B3747">
              <w:rPr>
                <w:rFonts w:eastAsia="Times New Roman" w:cstheme="minorHAnsi"/>
                <w:i/>
                <w:color w:val="000000"/>
                <w:sz w:val="20"/>
                <w:szCs w:val="20"/>
                <w:lang w:eastAsia="en-GB"/>
              </w:rPr>
              <w:t xml:space="preserve">Was the data collected in a way that addressed the research issue? </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4"/>
                <w:szCs w:val="24"/>
                <w:lang w:eastAsia="en-GB"/>
              </w:rPr>
            </w:pPr>
          </w:p>
        </w:tc>
        <w:tc>
          <w:tcPr>
            <w:tcW w:w="41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4"/>
                <w:szCs w:val="24"/>
                <w:lang w:eastAsia="en-GB"/>
              </w:rPr>
            </w:pPr>
          </w:p>
        </w:tc>
      </w:tr>
      <w:tr w:rsidR="004A397C" w:rsidRPr="009B3747" w:rsidTr="00846B21">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i/>
                <w:sz w:val="24"/>
                <w:szCs w:val="24"/>
                <w:lang w:eastAsia="en-GB"/>
              </w:rPr>
            </w:pPr>
            <w:r w:rsidRPr="009B3747">
              <w:rPr>
                <w:rFonts w:eastAsia="Times New Roman" w:cstheme="minorHAnsi"/>
                <w:i/>
                <w:color w:val="000000"/>
                <w:sz w:val="20"/>
                <w:szCs w:val="20"/>
                <w:lang w:eastAsia="en-GB"/>
              </w:rPr>
              <w:t xml:space="preserve">Has the relationship between researcher participants been adequately considered? </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4"/>
                <w:szCs w:val="24"/>
                <w:lang w:eastAsia="en-GB"/>
              </w:rPr>
            </w:pPr>
          </w:p>
        </w:tc>
        <w:tc>
          <w:tcPr>
            <w:tcW w:w="41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4"/>
                <w:szCs w:val="24"/>
                <w:lang w:eastAsia="en-GB"/>
              </w:rPr>
            </w:pPr>
          </w:p>
        </w:tc>
      </w:tr>
      <w:tr w:rsidR="004A397C" w:rsidRPr="009B3747" w:rsidTr="00846B21">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i/>
                <w:sz w:val="24"/>
                <w:szCs w:val="24"/>
                <w:lang w:eastAsia="en-GB"/>
              </w:rPr>
            </w:pPr>
            <w:r w:rsidRPr="009B3747">
              <w:rPr>
                <w:rFonts w:eastAsia="Times New Roman" w:cstheme="minorHAnsi"/>
                <w:i/>
                <w:color w:val="000000"/>
                <w:sz w:val="20"/>
                <w:szCs w:val="20"/>
                <w:lang w:eastAsia="en-GB"/>
              </w:rPr>
              <w:t xml:space="preserve">Have ethical issues been taken into consideration? </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4"/>
                <w:szCs w:val="24"/>
                <w:lang w:eastAsia="en-GB"/>
              </w:rPr>
            </w:pPr>
          </w:p>
        </w:tc>
        <w:tc>
          <w:tcPr>
            <w:tcW w:w="41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4"/>
                <w:szCs w:val="24"/>
                <w:lang w:eastAsia="en-GB"/>
              </w:rPr>
            </w:pPr>
          </w:p>
        </w:tc>
      </w:tr>
      <w:tr w:rsidR="004A397C" w:rsidRPr="009B3747" w:rsidTr="00846B21">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i/>
                <w:sz w:val="24"/>
                <w:szCs w:val="24"/>
                <w:lang w:eastAsia="en-GB"/>
              </w:rPr>
            </w:pPr>
            <w:r w:rsidRPr="009B3747">
              <w:rPr>
                <w:rFonts w:eastAsia="Times New Roman" w:cstheme="minorHAnsi"/>
                <w:i/>
                <w:color w:val="000000"/>
                <w:sz w:val="20"/>
                <w:szCs w:val="20"/>
                <w:lang w:eastAsia="en-GB"/>
              </w:rPr>
              <w:t xml:space="preserve">Was the data analysis sufficiently rigorous? </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4"/>
                <w:szCs w:val="24"/>
                <w:lang w:eastAsia="en-GB"/>
              </w:rPr>
            </w:pPr>
          </w:p>
        </w:tc>
        <w:tc>
          <w:tcPr>
            <w:tcW w:w="41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4"/>
                <w:szCs w:val="24"/>
                <w:lang w:eastAsia="en-GB"/>
              </w:rPr>
            </w:pPr>
          </w:p>
        </w:tc>
      </w:tr>
      <w:tr w:rsidR="004A397C" w:rsidRPr="009B3747" w:rsidTr="00846B21">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i/>
                <w:sz w:val="24"/>
                <w:szCs w:val="24"/>
                <w:lang w:eastAsia="en-GB"/>
              </w:rPr>
            </w:pPr>
            <w:r w:rsidRPr="009B3747">
              <w:rPr>
                <w:rFonts w:eastAsia="Times New Roman" w:cstheme="minorHAnsi"/>
                <w:i/>
                <w:color w:val="000000"/>
                <w:sz w:val="20"/>
                <w:szCs w:val="20"/>
                <w:lang w:eastAsia="en-GB"/>
              </w:rPr>
              <w:t xml:space="preserve">Is there a clear statement of findings? </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4"/>
                <w:szCs w:val="24"/>
                <w:lang w:eastAsia="en-GB"/>
              </w:rPr>
            </w:pPr>
          </w:p>
        </w:tc>
        <w:tc>
          <w:tcPr>
            <w:tcW w:w="41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4"/>
                <w:szCs w:val="24"/>
                <w:lang w:eastAsia="en-GB"/>
              </w:rPr>
            </w:pPr>
          </w:p>
        </w:tc>
      </w:tr>
      <w:tr w:rsidR="004A397C" w:rsidRPr="009B3747" w:rsidTr="00846B21">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i/>
                <w:sz w:val="24"/>
                <w:szCs w:val="24"/>
                <w:lang w:eastAsia="en-GB"/>
              </w:rPr>
            </w:pPr>
            <w:r w:rsidRPr="009B3747">
              <w:rPr>
                <w:rFonts w:eastAsia="Times New Roman" w:cstheme="minorHAnsi"/>
                <w:i/>
                <w:color w:val="000000"/>
                <w:sz w:val="20"/>
                <w:szCs w:val="20"/>
                <w:lang w:eastAsia="en-GB"/>
              </w:rPr>
              <w:t>How valuable is the research?  </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4"/>
                <w:szCs w:val="24"/>
                <w:lang w:eastAsia="en-GB"/>
              </w:rPr>
            </w:pPr>
          </w:p>
        </w:tc>
        <w:tc>
          <w:tcPr>
            <w:tcW w:w="41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4"/>
                <w:szCs w:val="24"/>
                <w:lang w:eastAsia="en-GB"/>
              </w:rPr>
            </w:pPr>
          </w:p>
        </w:tc>
      </w:tr>
    </w:tbl>
    <w:p w:rsidR="004A397C" w:rsidRPr="009B3747" w:rsidRDefault="004A397C" w:rsidP="004A397C">
      <w:pPr>
        <w:rPr>
          <w:rFonts w:cstheme="minorHAnsi"/>
        </w:rPr>
      </w:pPr>
    </w:p>
    <w:p w:rsidR="004A397C" w:rsidRPr="009B3747" w:rsidRDefault="004A397C" w:rsidP="004A397C">
      <w:pPr>
        <w:rPr>
          <w:rFonts w:cstheme="minorHAnsi"/>
        </w:rPr>
      </w:pPr>
    </w:p>
    <w:p w:rsidR="004A397C" w:rsidRPr="009B3747" w:rsidRDefault="004A397C" w:rsidP="004A397C">
      <w:pPr>
        <w:rPr>
          <w:rFonts w:cstheme="minorHAnsi"/>
        </w:rPr>
      </w:pPr>
    </w:p>
    <w:p w:rsidR="004A397C" w:rsidRPr="009B3747" w:rsidRDefault="004A397C" w:rsidP="004A397C">
      <w:pPr>
        <w:rPr>
          <w:rFonts w:cstheme="minorHAnsi"/>
        </w:rPr>
      </w:pPr>
    </w:p>
    <w:p w:rsidR="004A397C" w:rsidRPr="009B3747" w:rsidRDefault="004A397C" w:rsidP="004A397C">
      <w:pPr>
        <w:rPr>
          <w:rFonts w:cstheme="minorHAnsi"/>
        </w:rPr>
      </w:pPr>
    </w:p>
    <w:p w:rsidR="004A397C" w:rsidRPr="009B3747" w:rsidRDefault="004A397C" w:rsidP="004A397C">
      <w:pPr>
        <w:rPr>
          <w:rFonts w:cstheme="minorHAnsi"/>
        </w:rPr>
      </w:pPr>
    </w:p>
    <w:p w:rsidR="004A397C" w:rsidRPr="009B3747" w:rsidRDefault="004A397C" w:rsidP="004A397C">
      <w:pPr>
        <w:rPr>
          <w:rFonts w:cstheme="minorHAnsi"/>
        </w:rPr>
      </w:pPr>
    </w:p>
    <w:p w:rsidR="004A397C" w:rsidRPr="009B3747" w:rsidRDefault="004A397C" w:rsidP="004A397C">
      <w:pPr>
        <w:rPr>
          <w:rFonts w:cstheme="minorHAnsi"/>
          <w:b/>
          <w:sz w:val="28"/>
          <w:szCs w:val="28"/>
          <w:u w:val="single"/>
        </w:rPr>
      </w:pPr>
      <w:r w:rsidRPr="009B3747">
        <w:rPr>
          <w:rFonts w:cstheme="minorHAnsi"/>
          <w:b/>
          <w:sz w:val="28"/>
          <w:szCs w:val="28"/>
          <w:u w:val="single"/>
        </w:rPr>
        <w:lastRenderedPageBreak/>
        <w:t xml:space="preserve">Appendix E – </w:t>
      </w:r>
      <w:r w:rsidRPr="009B3747">
        <w:rPr>
          <w:rFonts w:eastAsia="Times New Roman" w:cstheme="minorHAnsi"/>
          <w:b/>
          <w:bCs/>
          <w:color w:val="000000"/>
          <w:sz w:val="28"/>
          <w:szCs w:val="28"/>
          <w:u w:val="single"/>
          <w:lang w:eastAsia="en-GB"/>
        </w:rPr>
        <w:t xml:space="preserve">Data extraction form </w:t>
      </w:r>
    </w:p>
    <w:p w:rsidR="004A397C" w:rsidRPr="009B3747" w:rsidRDefault="004A397C" w:rsidP="004A397C">
      <w:pPr>
        <w:spacing w:line="240" w:lineRule="auto"/>
        <w:rPr>
          <w:rFonts w:eastAsia="Times New Roman" w:cstheme="minorHAnsi"/>
          <w:sz w:val="24"/>
          <w:szCs w:val="24"/>
          <w:lang w:eastAsia="en-GB"/>
        </w:rPr>
      </w:pPr>
    </w:p>
    <w:p w:rsidR="004A397C" w:rsidRPr="009B3747" w:rsidRDefault="004A397C" w:rsidP="004A397C">
      <w:pPr>
        <w:spacing w:line="240" w:lineRule="auto"/>
        <w:rPr>
          <w:rFonts w:eastAsia="Times New Roman" w:cstheme="minorHAnsi"/>
          <w:color w:val="000000"/>
          <w:lang w:eastAsia="en-GB"/>
        </w:rPr>
      </w:pPr>
      <w:r w:rsidRPr="009B3747">
        <w:rPr>
          <w:rFonts w:eastAsia="Times New Roman" w:cstheme="minorHAnsi"/>
          <w:b/>
          <w:bCs/>
          <w:color w:val="000000"/>
          <w:lang w:eastAsia="en-GB"/>
        </w:rPr>
        <w:t xml:space="preserve">Reference number </w:t>
      </w:r>
      <w:r w:rsidRPr="009B3747">
        <w:rPr>
          <w:rFonts w:eastAsia="Times New Roman" w:cstheme="minorHAnsi"/>
          <w:color w:val="000000"/>
          <w:lang w:eastAsia="en-GB"/>
        </w:rPr>
        <w:t xml:space="preserve">– </w:t>
      </w:r>
    </w:p>
    <w:p w:rsidR="004A397C" w:rsidRPr="009B3747" w:rsidRDefault="004A397C" w:rsidP="004A397C">
      <w:pPr>
        <w:spacing w:line="240" w:lineRule="auto"/>
        <w:rPr>
          <w:rFonts w:eastAsia="Times New Roman" w:cstheme="minorHAnsi"/>
          <w:color w:val="000000"/>
          <w:lang w:eastAsia="en-GB"/>
        </w:rPr>
      </w:pPr>
      <w:r w:rsidRPr="009B3747">
        <w:rPr>
          <w:rFonts w:eastAsia="Times New Roman" w:cstheme="minorHAnsi"/>
          <w:b/>
          <w:bCs/>
          <w:color w:val="000000"/>
          <w:lang w:eastAsia="en-GB"/>
        </w:rPr>
        <w:t>Title of article</w:t>
      </w:r>
      <w:r w:rsidRPr="009B3747">
        <w:rPr>
          <w:rFonts w:eastAsia="Times New Roman" w:cstheme="minorHAnsi"/>
          <w:color w:val="000000"/>
          <w:lang w:eastAsia="en-GB"/>
        </w:rPr>
        <w:t xml:space="preserve"> –</w:t>
      </w:r>
    </w:p>
    <w:p w:rsidR="004A397C" w:rsidRPr="009B3747" w:rsidRDefault="004A397C" w:rsidP="004A397C">
      <w:pPr>
        <w:spacing w:line="240" w:lineRule="auto"/>
        <w:rPr>
          <w:rFonts w:eastAsia="Times New Roman" w:cstheme="minorHAnsi"/>
          <w:color w:val="000000"/>
          <w:lang w:eastAsia="en-GB"/>
        </w:rPr>
      </w:pPr>
      <w:r w:rsidRPr="009B3747">
        <w:rPr>
          <w:rFonts w:eastAsia="Times New Roman" w:cstheme="minorHAnsi"/>
          <w:b/>
          <w:bCs/>
          <w:color w:val="000000"/>
          <w:lang w:eastAsia="en-GB"/>
        </w:rPr>
        <w:t>Author(s)</w:t>
      </w:r>
      <w:r w:rsidRPr="009B3747">
        <w:rPr>
          <w:rFonts w:eastAsia="Times New Roman" w:cstheme="minorHAnsi"/>
          <w:color w:val="000000"/>
          <w:lang w:eastAsia="en-GB"/>
        </w:rPr>
        <w:t xml:space="preserve"> –</w:t>
      </w:r>
      <w:r w:rsidRPr="009B3747">
        <w:rPr>
          <w:rFonts w:eastAsia="Times New Roman" w:cstheme="minorHAnsi"/>
          <w:color w:val="000000"/>
          <w:lang w:eastAsia="en-GB"/>
        </w:rPr>
        <w:tab/>
      </w:r>
      <w:r w:rsidRPr="009B3747">
        <w:rPr>
          <w:rFonts w:eastAsia="Times New Roman" w:cstheme="minorHAnsi"/>
          <w:color w:val="000000"/>
          <w:lang w:eastAsia="en-GB"/>
        </w:rPr>
        <w:tab/>
      </w:r>
      <w:r w:rsidRPr="009B3747">
        <w:rPr>
          <w:rFonts w:eastAsia="Times New Roman" w:cstheme="minorHAnsi"/>
          <w:color w:val="000000"/>
          <w:lang w:eastAsia="en-GB"/>
        </w:rPr>
        <w:tab/>
      </w:r>
    </w:p>
    <w:p w:rsidR="004A397C" w:rsidRPr="009B3747" w:rsidRDefault="004A397C" w:rsidP="004A397C">
      <w:pPr>
        <w:spacing w:line="240" w:lineRule="auto"/>
        <w:rPr>
          <w:rFonts w:eastAsia="Times New Roman" w:cstheme="minorHAnsi"/>
          <w:color w:val="000000"/>
          <w:lang w:eastAsia="en-GB"/>
        </w:rPr>
      </w:pPr>
      <w:r w:rsidRPr="009B3747">
        <w:rPr>
          <w:rFonts w:eastAsia="Times New Roman" w:cstheme="minorHAnsi"/>
          <w:b/>
          <w:bCs/>
          <w:color w:val="000000"/>
          <w:lang w:eastAsia="en-GB"/>
        </w:rPr>
        <w:t>Year of publication</w:t>
      </w:r>
      <w:r w:rsidRPr="009B3747">
        <w:rPr>
          <w:rFonts w:eastAsia="Times New Roman" w:cstheme="minorHAnsi"/>
          <w:color w:val="000000"/>
          <w:lang w:eastAsia="en-GB"/>
        </w:rPr>
        <w:t xml:space="preserve"> –</w:t>
      </w:r>
    </w:p>
    <w:p w:rsidR="004A397C" w:rsidRPr="009B3747" w:rsidRDefault="004A397C" w:rsidP="004A397C">
      <w:pPr>
        <w:spacing w:line="240" w:lineRule="auto"/>
        <w:rPr>
          <w:rFonts w:eastAsia="Times New Roman" w:cstheme="minorHAnsi"/>
          <w:color w:val="000000"/>
          <w:lang w:eastAsia="en-GB"/>
        </w:rPr>
      </w:pPr>
      <w:r w:rsidRPr="009B3747">
        <w:rPr>
          <w:rFonts w:eastAsia="Times New Roman" w:cstheme="minorHAnsi"/>
          <w:b/>
          <w:bCs/>
          <w:color w:val="000000"/>
          <w:lang w:eastAsia="en-GB"/>
        </w:rPr>
        <w:t>Journal (volume/pages)</w:t>
      </w:r>
      <w:r w:rsidRPr="009B3747">
        <w:rPr>
          <w:rFonts w:eastAsia="Times New Roman" w:cstheme="minorHAnsi"/>
          <w:color w:val="000000"/>
          <w:lang w:eastAsia="en-GB"/>
        </w:rPr>
        <w:t xml:space="preserve"> –</w:t>
      </w:r>
    </w:p>
    <w:p w:rsidR="004A397C" w:rsidRPr="009B3747" w:rsidRDefault="004A397C" w:rsidP="004A397C">
      <w:pPr>
        <w:spacing w:line="240" w:lineRule="auto"/>
        <w:rPr>
          <w:rFonts w:eastAsia="Times New Roman" w:cstheme="minorHAnsi"/>
          <w:sz w:val="24"/>
          <w:szCs w:val="24"/>
          <w:lang w:eastAsia="en-GB"/>
        </w:rPr>
      </w:pPr>
    </w:p>
    <w:tbl>
      <w:tblPr>
        <w:tblW w:w="9488" w:type="dxa"/>
        <w:tblCellMar>
          <w:top w:w="15" w:type="dxa"/>
          <w:left w:w="15" w:type="dxa"/>
          <w:bottom w:w="15" w:type="dxa"/>
          <w:right w:w="15" w:type="dxa"/>
        </w:tblCellMar>
        <w:tblLook w:val="04A0" w:firstRow="1" w:lastRow="0" w:firstColumn="1" w:lastColumn="0" w:noHBand="0" w:noVBand="1"/>
      </w:tblPr>
      <w:tblGrid>
        <w:gridCol w:w="3712"/>
        <w:gridCol w:w="5776"/>
      </w:tblGrid>
      <w:tr w:rsidR="004A397C" w:rsidRPr="009B3747" w:rsidTr="00846B2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i/>
                <w:iCs/>
                <w:color w:val="000000"/>
                <w:sz w:val="20"/>
                <w:szCs w:val="20"/>
                <w:lang w:eastAsia="en-GB"/>
              </w:rPr>
            </w:pPr>
            <w:r w:rsidRPr="009B3747">
              <w:rPr>
                <w:rFonts w:eastAsia="Times New Roman" w:cstheme="minorHAnsi"/>
                <w:i/>
                <w:iCs/>
                <w:color w:val="000000"/>
                <w:sz w:val="20"/>
                <w:szCs w:val="20"/>
                <w:lang w:eastAsia="en-GB"/>
              </w:rPr>
              <w:t>Study aims</w:t>
            </w:r>
          </w:p>
          <w:p w:rsidR="004A397C" w:rsidRPr="009B3747" w:rsidRDefault="004A397C" w:rsidP="00846B21">
            <w:pPr>
              <w:spacing w:line="240" w:lineRule="auto"/>
              <w:rPr>
                <w:rFonts w:eastAsia="Times New Roman" w:cstheme="minorHAnsi"/>
                <w:i/>
                <w:iCs/>
                <w:color w:val="000000"/>
                <w:sz w:val="20"/>
                <w:szCs w:val="20"/>
                <w:lang w:eastAsia="en-GB"/>
              </w:rPr>
            </w:pPr>
          </w:p>
          <w:p w:rsidR="004A397C" w:rsidRPr="009B3747" w:rsidRDefault="004A397C" w:rsidP="00846B21">
            <w:pPr>
              <w:spacing w:line="240" w:lineRule="auto"/>
              <w:rPr>
                <w:rFonts w:eastAsia="Times New Roman" w:cstheme="minorHAnsi"/>
                <w:sz w:val="20"/>
                <w:szCs w:val="20"/>
                <w:lang w:eastAsia="en-GB"/>
              </w:rPr>
            </w:pPr>
          </w:p>
        </w:tc>
        <w:tc>
          <w:tcPr>
            <w:tcW w:w="5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p>
        </w:tc>
      </w:tr>
      <w:tr w:rsidR="004A397C" w:rsidRPr="009B3747" w:rsidTr="00846B2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i/>
                <w:iCs/>
                <w:color w:val="000000"/>
                <w:sz w:val="20"/>
                <w:szCs w:val="20"/>
                <w:lang w:eastAsia="en-GB"/>
              </w:rPr>
              <w:t>Study context</w:t>
            </w:r>
          </w:p>
        </w:tc>
        <w:tc>
          <w:tcPr>
            <w:tcW w:w="5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p>
        </w:tc>
      </w:tr>
      <w:tr w:rsidR="004A397C" w:rsidRPr="009B3747" w:rsidTr="00846B2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i/>
                <w:iCs/>
                <w:color w:val="000000"/>
                <w:sz w:val="20"/>
                <w:szCs w:val="20"/>
                <w:lang w:eastAsia="en-GB"/>
              </w:rPr>
            </w:pPr>
            <w:r w:rsidRPr="009B3747">
              <w:rPr>
                <w:rFonts w:eastAsia="Times New Roman" w:cstheme="minorHAnsi"/>
                <w:i/>
                <w:iCs/>
                <w:color w:val="000000"/>
                <w:sz w:val="20"/>
                <w:szCs w:val="20"/>
                <w:lang w:eastAsia="en-GB"/>
              </w:rPr>
              <w:t xml:space="preserve">Study population </w:t>
            </w:r>
          </w:p>
          <w:p w:rsidR="004A397C" w:rsidRPr="009B3747" w:rsidRDefault="004A397C" w:rsidP="00846B21">
            <w:pPr>
              <w:spacing w:line="240" w:lineRule="auto"/>
              <w:rPr>
                <w:rFonts w:eastAsia="Times New Roman" w:cstheme="minorHAnsi"/>
                <w:i/>
                <w:iCs/>
                <w:color w:val="000000"/>
                <w:sz w:val="20"/>
                <w:szCs w:val="20"/>
                <w:lang w:eastAsia="en-GB"/>
              </w:rPr>
            </w:pPr>
          </w:p>
          <w:p w:rsidR="004A397C" w:rsidRPr="009B3747" w:rsidRDefault="004A397C" w:rsidP="00846B21">
            <w:pPr>
              <w:spacing w:line="240" w:lineRule="auto"/>
              <w:rPr>
                <w:rFonts w:eastAsia="Times New Roman" w:cstheme="minorHAnsi"/>
                <w:sz w:val="20"/>
                <w:szCs w:val="20"/>
                <w:lang w:eastAsia="en-GB"/>
              </w:rPr>
            </w:pPr>
          </w:p>
        </w:tc>
        <w:tc>
          <w:tcPr>
            <w:tcW w:w="5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p>
        </w:tc>
      </w:tr>
      <w:tr w:rsidR="004A397C" w:rsidRPr="009B3747" w:rsidTr="00846B2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i/>
                <w:iCs/>
                <w:color w:val="000000"/>
                <w:sz w:val="20"/>
                <w:szCs w:val="20"/>
                <w:lang w:eastAsia="en-GB"/>
              </w:rPr>
            </w:pPr>
            <w:r w:rsidRPr="009B3747">
              <w:rPr>
                <w:rFonts w:eastAsia="Times New Roman" w:cstheme="minorHAnsi"/>
                <w:i/>
                <w:iCs/>
                <w:color w:val="000000"/>
                <w:sz w:val="20"/>
                <w:szCs w:val="20"/>
                <w:lang w:eastAsia="en-GB"/>
              </w:rPr>
              <w:t xml:space="preserve">Study phenomena of interest </w:t>
            </w:r>
          </w:p>
          <w:p w:rsidR="004A397C" w:rsidRPr="009B3747" w:rsidRDefault="004A397C" w:rsidP="00846B21">
            <w:pPr>
              <w:spacing w:line="240" w:lineRule="auto"/>
              <w:rPr>
                <w:rFonts w:eastAsia="Times New Roman" w:cstheme="minorHAnsi"/>
                <w:i/>
                <w:iCs/>
                <w:color w:val="000000"/>
                <w:sz w:val="20"/>
                <w:szCs w:val="20"/>
                <w:lang w:eastAsia="en-GB"/>
              </w:rPr>
            </w:pPr>
          </w:p>
          <w:p w:rsidR="004A397C" w:rsidRPr="009B3747" w:rsidRDefault="004A397C" w:rsidP="00846B21">
            <w:pPr>
              <w:spacing w:line="240" w:lineRule="auto"/>
              <w:rPr>
                <w:rFonts w:eastAsia="Times New Roman" w:cstheme="minorHAnsi"/>
                <w:sz w:val="20"/>
                <w:szCs w:val="20"/>
                <w:lang w:eastAsia="en-GB"/>
              </w:rPr>
            </w:pPr>
          </w:p>
        </w:tc>
        <w:tc>
          <w:tcPr>
            <w:tcW w:w="5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p>
        </w:tc>
      </w:tr>
      <w:tr w:rsidR="004A397C" w:rsidRPr="009B3747" w:rsidTr="00846B2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i/>
                <w:iCs/>
                <w:color w:val="000000"/>
                <w:sz w:val="20"/>
                <w:szCs w:val="20"/>
                <w:lang w:eastAsia="en-GB"/>
              </w:rPr>
            </w:pPr>
            <w:r w:rsidRPr="009B3747">
              <w:rPr>
                <w:rFonts w:eastAsia="Times New Roman" w:cstheme="minorHAnsi"/>
                <w:i/>
                <w:iCs/>
                <w:color w:val="000000"/>
                <w:sz w:val="20"/>
                <w:szCs w:val="20"/>
                <w:lang w:eastAsia="en-GB"/>
              </w:rPr>
              <w:t>Approach to data collection</w:t>
            </w:r>
          </w:p>
          <w:p w:rsidR="004A397C" w:rsidRPr="009B3747" w:rsidRDefault="004A397C" w:rsidP="00846B21">
            <w:pPr>
              <w:spacing w:line="240" w:lineRule="auto"/>
              <w:rPr>
                <w:rFonts w:eastAsia="Times New Roman" w:cstheme="minorHAnsi"/>
                <w:i/>
                <w:iCs/>
                <w:color w:val="000000"/>
                <w:sz w:val="20"/>
                <w:szCs w:val="20"/>
                <w:lang w:eastAsia="en-GB"/>
              </w:rPr>
            </w:pPr>
          </w:p>
          <w:p w:rsidR="004A397C" w:rsidRPr="009B3747" w:rsidRDefault="004A397C" w:rsidP="00846B21">
            <w:pPr>
              <w:spacing w:line="240" w:lineRule="auto"/>
              <w:rPr>
                <w:rFonts w:eastAsia="Times New Roman" w:cstheme="minorHAnsi"/>
                <w:sz w:val="20"/>
                <w:szCs w:val="20"/>
                <w:lang w:eastAsia="en-GB"/>
              </w:rPr>
            </w:pPr>
          </w:p>
        </w:tc>
        <w:tc>
          <w:tcPr>
            <w:tcW w:w="5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p>
        </w:tc>
      </w:tr>
      <w:tr w:rsidR="004A397C" w:rsidRPr="009B3747" w:rsidTr="00846B2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i/>
                <w:iCs/>
                <w:color w:val="000000"/>
                <w:sz w:val="20"/>
                <w:szCs w:val="20"/>
                <w:lang w:eastAsia="en-GB"/>
              </w:rPr>
            </w:pPr>
            <w:r w:rsidRPr="009B3747">
              <w:rPr>
                <w:rFonts w:eastAsia="Times New Roman" w:cstheme="minorHAnsi"/>
                <w:i/>
                <w:iCs/>
                <w:color w:val="000000"/>
                <w:sz w:val="20"/>
                <w:szCs w:val="20"/>
                <w:lang w:eastAsia="en-GB"/>
              </w:rPr>
              <w:t>Approaches to data analysis</w:t>
            </w:r>
          </w:p>
          <w:p w:rsidR="004A397C" w:rsidRPr="009B3747" w:rsidRDefault="004A397C" w:rsidP="00846B21">
            <w:pPr>
              <w:spacing w:line="240" w:lineRule="auto"/>
              <w:rPr>
                <w:rFonts w:eastAsia="Times New Roman" w:cstheme="minorHAnsi"/>
                <w:i/>
                <w:iCs/>
                <w:color w:val="000000"/>
                <w:sz w:val="20"/>
                <w:szCs w:val="20"/>
                <w:lang w:eastAsia="en-GB"/>
              </w:rPr>
            </w:pPr>
          </w:p>
          <w:p w:rsidR="004A397C" w:rsidRPr="009B3747" w:rsidRDefault="004A397C" w:rsidP="00846B21">
            <w:pPr>
              <w:spacing w:line="240" w:lineRule="auto"/>
              <w:rPr>
                <w:rFonts w:eastAsia="Times New Roman" w:cstheme="minorHAnsi"/>
                <w:sz w:val="20"/>
                <w:szCs w:val="20"/>
                <w:lang w:eastAsia="en-GB"/>
              </w:rPr>
            </w:pPr>
          </w:p>
        </w:tc>
        <w:tc>
          <w:tcPr>
            <w:tcW w:w="5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p>
        </w:tc>
      </w:tr>
      <w:tr w:rsidR="004A397C" w:rsidRPr="009B3747" w:rsidTr="00846B2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i/>
                <w:iCs/>
                <w:color w:val="000000"/>
                <w:sz w:val="20"/>
                <w:szCs w:val="20"/>
                <w:lang w:eastAsia="en-GB"/>
              </w:rPr>
            </w:pPr>
            <w:r w:rsidRPr="009B3747">
              <w:rPr>
                <w:rFonts w:eastAsia="Times New Roman" w:cstheme="minorHAnsi"/>
                <w:i/>
                <w:iCs/>
                <w:color w:val="000000"/>
                <w:sz w:val="20"/>
                <w:szCs w:val="20"/>
                <w:lang w:eastAsia="en-GB"/>
              </w:rPr>
              <w:t>Study findings (headings from abstract)</w:t>
            </w:r>
          </w:p>
          <w:p w:rsidR="004A397C" w:rsidRPr="009B3747" w:rsidRDefault="004A397C" w:rsidP="00846B21">
            <w:pPr>
              <w:spacing w:line="240" w:lineRule="auto"/>
              <w:rPr>
                <w:rFonts w:eastAsia="Times New Roman" w:cstheme="minorHAnsi"/>
                <w:i/>
                <w:iCs/>
                <w:color w:val="000000"/>
                <w:sz w:val="20"/>
                <w:szCs w:val="20"/>
                <w:lang w:eastAsia="en-GB"/>
              </w:rPr>
            </w:pPr>
          </w:p>
          <w:p w:rsidR="004A397C" w:rsidRPr="009B3747" w:rsidRDefault="004A397C" w:rsidP="00846B21">
            <w:pPr>
              <w:spacing w:line="240" w:lineRule="auto"/>
              <w:rPr>
                <w:rFonts w:eastAsia="Times New Roman" w:cstheme="minorHAnsi"/>
                <w:i/>
                <w:iCs/>
                <w:color w:val="000000"/>
                <w:sz w:val="20"/>
                <w:szCs w:val="20"/>
                <w:lang w:eastAsia="en-GB"/>
              </w:rPr>
            </w:pPr>
          </w:p>
          <w:p w:rsidR="004A397C" w:rsidRPr="009B3747" w:rsidRDefault="004A397C" w:rsidP="00846B21">
            <w:pPr>
              <w:spacing w:line="240" w:lineRule="auto"/>
              <w:rPr>
                <w:rFonts w:eastAsia="Times New Roman" w:cstheme="minorHAnsi"/>
                <w:i/>
                <w:iCs/>
                <w:color w:val="000000"/>
                <w:sz w:val="20"/>
                <w:szCs w:val="20"/>
                <w:lang w:eastAsia="en-GB"/>
              </w:rPr>
            </w:pPr>
          </w:p>
          <w:p w:rsidR="004A397C" w:rsidRPr="009B3747" w:rsidRDefault="004A397C" w:rsidP="00846B21">
            <w:pPr>
              <w:spacing w:line="240" w:lineRule="auto"/>
              <w:rPr>
                <w:rFonts w:eastAsia="Times New Roman" w:cstheme="minorHAnsi"/>
                <w:i/>
                <w:iCs/>
                <w:color w:val="000000"/>
                <w:sz w:val="20"/>
                <w:szCs w:val="20"/>
                <w:lang w:eastAsia="en-GB"/>
              </w:rPr>
            </w:pPr>
          </w:p>
          <w:p w:rsidR="004A397C" w:rsidRPr="009B3747" w:rsidRDefault="004A397C" w:rsidP="00846B21">
            <w:pPr>
              <w:spacing w:line="240" w:lineRule="auto"/>
              <w:rPr>
                <w:rFonts w:eastAsia="Times New Roman" w:cstheme="minorHAnsi"/>
                <w:i/>
                <w:iCs/>
                <w:color w:val="000000"/>
                <w:sz w:val="20"/>
                <w:szCs w:val="20"/>
                <w:lang w:eastAsia="en-GB"/>
              </w:rPr>
            </w:pPr>
          </w:p>
          <w:p w:rsidR="004A397C" w:rsidRPr="009B3747" w:rsidRDefault="004A397C" w:rsidP="00846B21">
            <w:pPr>
              <w:spacing w:line="240" w:lineRule="auto"/>
              <w:rPr>
                <w:rFonts w:eastAsia="Times New Roman" w:cstheme="minorHAnsi"/>
                <w:i/>
                <w:iCs/>
                <w:color w:val="000000"/>
                <w:sz w:val="20"/>
                <w:szCs w:val="20"/>
                <w:lang w:eastAsia="en-GB"/>
              </w:rPr>
            </w:pPr>
          </w:p>
          <w:p w:rsidR="004A397C" w:rsidRPr="009B3747" w:rsidRDefault="004A397C" w:rsidP="00846B21">
            <w:pPr>
              <w:spacing w:line="240" w:lineRule="auto"/>
              <w:rPr>
                <w:rFonts w:eastAsia="Times New Roman" w:cstheme="minorHAnsi"/>
                <w:i/>
                <w:iCs/>
                <w:color w:val="000000"/>
                <w:sz w:val="20"/>
                <w:szCs w:val="20"/>
                <w:lang w:eastAsia="en-GB"/>
              </w:rPr>
            </w:pPr>
          </w:p>
          <w:p w:rsidR="004A397C" w:rsidRPr="009B3747" w:rsidRDefault="004A397C" w:rsidP="00846B21">
            <w:pPr>
              <w:spacing w:line="240" w:lineRule="auto"/>
              <w:rPr>
                <w:rFonts w:eastAsia="Times New Roman" w:cstheme="minorHAnsi"/>
                <w:i/>
                <w:iCs/>
                <w:color w:val="000000"/>
                <w:sz w:val="20"/>
                <w:szCs w:val="20"/>
                <w:lang w:eastAsia="en-GB"/>
              </w:rPr>
            </w:pPr>
          </w:p>
          <w:p w:rsidR="004A397C" w:rsidRPr="009B3747" w:rsidRDefault="004A397C" w:rsidP="00846B21">
            <w:pPr>
              <w:spacing w:line="240" w:lineRule="auto"/>
              <w:rPr>
                <w:rFonts w:eastAsia="Times New Roman" w:cstheme="minorHAnsi"/>
                <w:i/>
                <w:iCs/>
                <w:color w:val="000000"/>
                <w:sz w:val="20"/>
                <w:szCs w:val="20"/>
                <w:lang w:eastAsia="en-GB"/>
              </w:rPr>
            </w:pPr>
          </w:p>
          <w:p w:rsidR="004A397C" w:rsidRPr="009B3747" w:rsidRDefault="004A397C" w:rsidP="00846B21">
            <w:pPr>
              <w:spacing w:line="240" w:lineRule="auto"/>
              <w:rPr>
                <w:rFonts w:eastAsia="Times New Roman" w:cstheme="minorHAnsi"/>
                <w:i/>
                <w:iCs/>
                <w:color w:val="000000"/>
                <w:sz w:val="20"/>
                <w:szCs w:val="20"/>
                <w:lang w:eastAsia="en-GB"/>
              </w:rPr>
            </w:pPr>
          </w:p>
          <w:p w:rsidR="004A397C" w:rsidRPr="009B3747" w:rsidRDefault="004A397C" w:rsidP="00846B21">
            <w:pPr>
              <w:spacing w:line="240" w:lineRule="auto"/>
              <w:rPr>
                <w:rFonts w:eastAsia="Times New Roman" w:cstheme="minorHAnsi"/>
                <w:i/>
                <w:iCs/>
                <w:color w:val="000000"/>
                <w:sz w:val="20"/>
                <w:szCs w:val="20"/>
                <w:lang w:eastAsia="en-GB"/>
              </w:rPr>
            </w:pPr>
          </w:p>
          <w:p w:rsidR="004A397C" w:rsidRPr="009B3747" w:rsidRDefault="004A397C" w:rsidP="00846B21">
            <w:pPr>
              <w:spacing w:line="240" w:lineRule="auto"/>
              <w:rPr>
                <w:rFonts w:eastAsia="Times New Roman" w:cstheme="minorHAnsi"/>
                <w:i/>
                <w:iCs/>
                <w:color w:val="000000"/>
                <w:sz w:val="20"/>
                <w:szCs w:val="20"/>
                <w:lang w:eastAsia="en-GB"/>
              </w:rPr>
            </w:pPr>
          </w:p>
          <w:p w:rsidR="004A397C" w:rsidRPr="009B3747" w:rsidRDefault="004A397C" w:rsidP="00846B21">
            <w:pPr>
              <w:spacing w:line="240" w:lineRule="auto"/>
              <w:rPr>
                <w:rFonts w:eastAsia="Times New Roman" w:cstheme="minorHAnsi"/>
                <w:i/>
                <w:iCs/>
                <w:color w:val="000000"/>
                <w:sz w:val="20"/>
                <w:szCs w:val="20"/>
                <w:lang w:eastAsia="en-GB"/>
              </w:rPr>
            </w:pPr>
          </w:p>
          <w:p w:rsidR="004A397C" w:rsidRPr="009B3747" w:rsidRDefault="004A397C" w:rsidP="00846B21">
            <w:pPr>
              <w:spacing w:line="240" w:lineRule="auto"/>
              <w:rPr>
                <w:rFonts w:eastAsia="Times New Roman" w:cstheme="minorHAnsi"/>
                <w:i/>
                <w:iCs/>
                <w:color w:val="000000"/>
                <w:sz w:val="20"/>
                <w:szCs w:val="20"/>
                <w:lang w:eastAsia="en-GB"/>
              </w:rPr>
            </w:pPr>
          </w:p>
          <w:p w:rsidR="004A397C" w:rsidRPr="009B3747" w:rsidRDefault="004A397C" w:rsidP="00846B21">
            <w:pPr>
              <w:spacing w:line="240" w:lineRule="auto"/>
              <w:rPr>
                <w:rFonts w:eastAsia="Times New Roman" w:cstheme="minorHAnsi"/>
                <w:i/>
                <w:iCs/>
                <w:color w:val="000000"/>
                <w:sz w:val="20"/>
                <w:szCs w:val="20"/>
                <w:lang w:eastAsia="en-GB"/>
              </w:rPr>
            </w:pPr>
          </w:p>
          <w:p w:rsidR="004A397C" w:rsidRPr="009B3747" w:rsidRDefault="004A397C" w:rsidP="00846B21">
            <w:pPr>
              <w:spacing w:line="240" w:lineRule="auto"/>
              <w:rPr>
                <w:rFonts w:eastAsia="Times New Roman" w:cstheme="minorHAnsi"/>
                <w:i/>
                <w:iCs/>
                <w:color w:val="000000"/>
                <w:sz w:val="20"/>
                <w:szCs w:val="20"/>
                <w:lang w:eastAsia="en-GB"/>
              </w:rPr>
            </w:pPr>
          </w:p>
          <w:p w:rsidR="004A397C" w:rsidRPr="009B3747" w:rsidRDefault="004A397C" w:rsidP="00846B21">
            <w:pPr>
              <w:spacing w:line="240" w:lineRule="auto"/>
              <w:rPr>
                <w:rFonts w:eastAsia="Times New Roman" w:cstheme="minorHAnsi"/>
                <w:i/>
                <w:iCs/>
                <w:color w:val="000000"/>
                <w:sz w:val="20"/>
                <w:szCs w:val="20"/>
                <w:lang w:eastAsia="en-GB"/>
              </w:rPr>
            </w:pPr>
          </w:p>
          <w:p w:rsidR="004A397C" w:rsidRPr="009B3747" w:rsidRDefault="004A397C" w:rsidP="00846B21">
            <w:pPr>
              <w:spacing w:line="240" w:lineRule="auto"/>
              <w:rPr>
                <w:rFonts w:eastAsia="Times New Roman" w:cstheme="minorHAnsi"/>
                <w:sz w:val="20"/>
                <w:szCs w:val="20"/>
                <w:lang w:eastAsia="en-GB"/>
              </w:rPr>
            </w:pPr>
          </w:p>
        </w:tc>
        <w:tc>
          <w:tcPr>
            <w:tcW w:w="5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p>
        </w:tc>
      </w:tr>
    </w:tbl>
    <w:p w:rsidR="004A397C" w:rsidRPr="009B3747" w:rsidRDefault="004A397C" w:rsidP="004A397C">
      <w:pPr>
        <w:rPr>
          <w:rFonts w:cstheme="minorHAnsi"/>
        </w:rPr>
      </w:pPr>
    </w:p>
    <w:p w:rsidR="004A397C" w:rsidRPr="009B3747" w:rsidRDefault="004A397C" w:rsidP="004A397C">
      <w:pPr>
        <w:rPr>
          <w:rFonts w:cstheme="minorHAnsi"/>
        </w:rPr>
      </w:pPr>
    </w:p>
    <w:p w:rsidR="004A397C" w:rsidRPr="009B3747" w:rsidRDefault="004A397C" w:rsidP="004A397C">
      <w:pPr>
        <w:pStyle w:val="Heading7"/>
        <w:keepNext w:val="0"/>
        <w:keepLines w:val="0"/>
        <w:widowControl w:val="0"/>
        <w:spacing w:before="0" w:line="360" w:lineRule="auto"/>
        <w:rPr>
          <w:rFonts w:asciiTheme="minorHAnsi" w:hAnsiTheme="minorHAnsi" w:cstheme="minorHAnsi"/>
          <w:b/>
          <w:i w:val="0"/>
          <w:color w:val="auto"/>
          <w:sz w:val="28"/>
          <w:szCs w:val="28"/>
          <w:u w:val="single"/>
        </w:rPr>
      </w:pPr>
      <w:r w:rsidRPr="009B3747">
        <w:rPr>
          <w:rFonts w:asciiTheme="minorHAnsi" w:hAnsiTheme="minorHAnsi" w:cstheme="minorHAnsi"/>
          <w:b/>
          <w:i w:val="0"/>
          <w:color w:val="auto"/>
          <w:sz w:val="28"/>
          <w:szCs w:val="28"/>
          <w:u w:val="single"/>
        </w:rPr>
        <w:lastRenderedPageBreak/>
        <w:t>Appendix F - Interview Schedule</w:t>
      </w:r>
      <w:r w:rsidRPr="009B3747">
        <w:rPr>
          <w:rFonts w:asciiTheme="minorHAnsi" w:hAnsiTheme="minorHAnsi" w:cstheme="minorHAnsi"/>
          <w:b/>
          <w:color w:val="auto"/>
          <w:sz w:val="28"/>
          <w:szCs w:val="28"/>
          <w:u w:val="single"/>
        </w:rPr>
        <w:t xml:space="preserve"> </w:t>
      </w:r>
    </w:p>
    <w:p w:rsidR="004A397C" w:rsidRPr="009B3747" w:rsidRDefault="004A397C" w:rsidP="004A397C">
      <w:pPr>
        <w:widowControl w:val="0"/>
        <w:rPr>
          <w:rFonts w:cstheme="minorHAnsi"/>
          <w:b/>
          <w:bCs/>
          <w:u w:val="single"/>
        </w:rPr>
      </w:pPr>
    </w:p>
    <w:p w:rsidR="004A397C" w:rsidRPr="009B3747" w:rsidRDefault="004A397C" w:rsidP="004A397C">
      <w:pPr>
        <w:pStyle w:val="Heading8"/>
        <w:keepNext w:val="0"/>
        <w:keepLines w:val="0"/>
        <w:widowControl w:val="0"/>
        <w:spacing w:before="0"/>
        <w:rPr>
          <w:rFonts w:asciiTheme="minorHAnsi" w:hAnsiTheme="minorHAnsi" w:cstheme="minorHAnsi"/>
          <w:b/>
          <w:bCs/>
          <w:color w:val="auto"/>
          <w:sz w:val="22"/>
          <w:szCs w:val="22"/>
        </w:rPr>
      </w:pPr>
      <w:r w:rsidRPr="009B3747">
        <w:rPr>
          <w:rFonts w:asciiTheme="minorHAnsi" w:hAnsiTheme="minorHAnsi" w:cstheme="minorHAnsi"/>
          <w:color w:val="auto"/>
          <w:sz w:val="22"/>
          <w:szCs w:val="22"/>
          <w:u w:val="single"/>
        </w:rPr>
        <w:t>Checklist questions</w:t>
      </w:r>
      <w:r w:rsidRPr="009B3747">
        <w:rPr>
          <w:rFonts w:asciiTheme="minorHAnsi" w:hAnsiTheme="minorHAnsi" w:cstheme="minorHAnsi"/>
          <w:color w:val="auto"/>
          <w:sz w:val="22"/>
          <w:szCs w:val="22"/>
        </w:rPr>
        <w:t xml:space="preserve"> –  </w:t>
      </w:r>
    </w:p>
    <w:p w:rsidR="004A397C" w:rsidRPr="009B3747" w:rsidRDefault="004A397C" w:rsidP="004A397C">
      <w:pPr>
        <w:widowControl w:val="0"/>
        <w:rPr>
          <w:rFonts w:cstheme="minorHAnsi"/>
          <w:b/>
          <w:bCs/>
        </w:rPr>
      </w:pPr>
    </w:p>
    <w:p w:rsidR="004A397C" w:rsidRPr="009B3747" w:rsidRDefault="004A397C" w:rsidP="00C27072">
      <w:pPr>
        <w:widowControl w:val="0"/>
        <w:numPr>
          <w:ilvl w:val="0"/>
          <w:numId w:val="137"/>
        </w:numPr>
        <w:rPr>
          <w:rFonts w:cstheme="minorHAnsi"/>
        </w:rPr>
      </w:pPr>
      <w:r w:rsidRPr="009B3747">
        <w:rPr>
          <w:rFonts w:cstheme="minorHAnsi"/>
        </w:rPr>
        <w:t>What is the participants preferred name?</w:t>
      </w:r>
    </w:p>
    <w:p w:rsidR="004A397C" w:rsidRPr="009B3747" w:rsidRDefault="004A397C" w:rsidP="00C27072">
      <w:pPr>
        <w:widowControl w:val="0"/>
        <w:numPr>
          <w:ilvl w:val="0"/>
          <w:numId w:val="137"/>
        </w:numPr>
        <w:rPr>
          <w:rFonts w:cstheme="minorHAnsi"/>
        </w:rPr>
      </w:pPr>
      <w:r w:rsidRPr="009B3747">
        <w:rPr>
          <w:rFonts w:cstheme="minorHAnsi"/>
        </w:rPr>
        <w:t>Has the participant received the information sheet?  Do they have any questions?</w:t>
      </w:r>
    </w:p>
    <w:p w:rsidR="004A397C" w:rsidRPr="009B3747" w:rsidRDefault="004A397C" w:rsidP="00C27072">
      <w:pPr>
        <w:widowControl w:val="0"/>
        <w:numPr>
          <w:ilvl w:val="0"/>
          <w:numId w:val="137"/>
        </w:numPr>
        <w:rPr>
          <w:rFonts w:cstheme="minorHAnsi"/>
        </w:rPr>
      </w:pPr>
      <w:r w:rsidRPr="009B3747">
        <w:rPr>
          <w:rFonts w:cstheme="minorHAnsi"/>
        </w:rPr>
        <w:t>Is the consent form signed and dated by both participant and researcher?</w:t>
      </w:r>
    </w:p>
    <w:p w:rsidR="004A397C" w:rsidRPr="009B3747" w:rsidRDefault="004A397C" w:rsidP="004A397C">
      <w:pPr>
        <w:widowControl w:val="0"/>
        <w:rPr>
          <w:rFonts w:cstheme="minorHAnsi"/>
        </w:rPr>
      </w:pPr>
    </w:p>
    <w:p w:rsidR="004A397C" w:rsidRPr="009B3747" w:rsidRDefault="004A397C" w:rsidP="004A397C">
      <w:pPr>
        <w:widowControl w:val="0"/>
        <w:rPr>
          <w:rFonts w:cstheme="minorHAnsi"/>
        </w:rPr>
      </w:pPr>
      <w:r w:rsidRPr="009B3747">
        <w:rPr>
          <w:rFonts w:cstheme="minorHAnsi"/>
          <w:u w:val="single"/>
        </w:rPr>
        <w:t>Key information to provide</w:t>
      </w:r>
      <w:r w:rsidRPr="009B3747">
        <w:rPr>
          <w:rFonts w:cstheme="minorHAnsi"/>
        </w:rPr>
        <w:t xml:space="preserve"> – </w:t>
      </w:r>
    </w:p>
    <w:p w:rsidR="004A397C" w:rsidRPr="009B3747" w:rsidRDefault="004A397C" w:rsidP="004A397C">
      <w:pPr>
        <w:widowControl w:val="0"/>
        <w:ind w:left="360"/>
        <w:rPr>
          <w:rFonts w:cstheme="minorHAnsi"/>
        </w:rPr>
      </w:pPr>
    </w:p>
    <w:p w:rsidR="004A397C" w:rsidRPr="009B3747" w:rsidRDefault="004A397C" w:rsidP="00C27072">
      <w:pPr>
        <w:widowControl w:val="0"/>
        <w:numPr>
          <w:ilvl w:val="0"/>
          <w:numId w:val="137"/>
        </w:numPr>
        <w:rPr>
          <w:rFonts w:cstheme="minorHAnsi"/>
        </w:rPr>
      </w:pPr>
      <w:r w:rsidRPr="009B3747">
        <w:rPr>
          <w:rFonts w:cstheme="minorHAnsi"/>
        </w:rPr>
        <w:t>Overview and purpose of the study</w:t>
      </w:r>
    </w:p>
    <w:p w:rsidR="004A397C" w:rsidRPr="009B3747" w:rsidRDefault="004A397C" w:rsidP="00C27072">
      <w:pPr>
        <w:widowControl w:val="0"/>
        <w:numPr>
          <w:ilvl w:val="0"/>
          <w:numId w:val="137"/>
        </w:numPr>
        <w:rPr>
          <w:rFonts w:cstheme="minorHAnsi"/>
        </w:rPr>
      </w:pPr>
      <w:r w:rsidRPr="009B3747">
        <w:rPr>
          <w:rFonts w:cstheme="minorHAnsi"/>
        </w:rPr>
        <w:t>Participant is free to withdraw consent at any stage (including post interview)</w:t>
      </w:r>
    </w:p>
    <w:p w:rsidR="004A397C" w:rsidRPr="009B3747" w:rsidRDefault="004A397C" w:rsidP="00C27072">
      <w:pPr>
        <w:widowControl w:val="0"/>
        <w:numPr>
          <w:ilvl w:val="0"/>
          <w:numId w:val="137"/>
        </w:numPr>
        <w:rPr>
          <w:rFonts w:cstheme="minorHAnsi"/>
        </w:rPr>
      </w:pPr>
      <w:r w:rsidRPr="009B3747">
        <w:rPr>
          <w:rFonts w:cstheme="minorHAnsi"/>
        </w:rPr>
        <w:t xml:space="preserve">Everything discussed will be confidential and all information collected will be anonymous </w:t>
      </w:r>
    </w:p>
    <w:p w:rsidR="004A397C" w:rsidRPr="009B3747" w:rsidRDefault="004A397C" w:rsidP="00C27072">
      <w:pPr>
        <w:widowControl w:val="0"/>
        <w:numPr>
          <w:ilvl w:val="0"/>
          <w:numId w:val="137"/>
        </w:numPr>
        <w:rPr>
          <w:rFonts w:cstheme="minorHAnsi"/>
        </w:rPr>
      </w:pPr>
      <w:r w:rsidRPr="009B3747">
        <w:rPr>
          <w:rFonts w:cstheme="minorHAnsi"/>
        </w:rPr>
        <w:t>With agreement the interview will last approximately 60 minutes and will be recorded (using a digital audio recorder)</w:t>
      </w:r>
    </w:p>
    <w:p w:rsidR="004A397C" w:rsidRPr="009B3747" w:rsidRDefault="004A397C" w:rsidP="00C27072">
      <w:pPr>
        <w:widowControl w:val="0"/>
        <w:numPr>
          <w:ilvl w:val="0"/>
          <w:numId w:val="137"/>
        </w:numPr>
        <w:rPr>
          <w:rFonts w:cstheme="minorHAnsi"/>
        </w:rPr>
      </w:pPr>
      <w:r w:rsidRPr="009B3747">
        <w:rPr>
          <w:rFonts w:cstheme="minorHAnsi"/>
        </w:rPr>
        <w:t>How the data collected will be stored, analysed, presented and deleted (Post-study)</w:t>
      </w:r>
    </w:p>
    <w:p w:rsidR="004A397C" w:rsidRPr="009B3747" w:rsidRDefault="004A397C" w:rsidP="00C27072">
      <w:pPr>
        <w:widowControl w:val="0"/>
        <w:numPr>
          <w:ilvl w:val="0"/>
          <w:numId w:val="137"/>
        </w:numPr>
        <w:rPr>
          <w:rFonts w:cstheme="minorHAnsi"/>
        </w:rPr>
      </w:pPr>
      <w:r w:rsidRPr="009B3747">
        <w:rPr>
          <w:rFonts w:cstheme="minorHAnsi"/>
        </w:rPr>
        <w:t>Who to contact at Sheffield University to ask questions or make a complaint</w:t>
      </w:r>
    </w:p>
    <w:p w:rsidR="004A397C" w:rsidRPr="009B3747" w:rsidRDefault="004A397C" w:rsidP="004A397C">
      <w:pPr>
        <w:widowControl w:val="0"/>
        <w:rPr>
          <w:rFonts w:cstheme="minorHAnsi"/>
        </w:rPr>
      </w:pPr>
    </w:p>
    <w:p w:rsidR="004A397C" w:rsidRPr="009B3747" w:rsidRDefault="004A397C" w:rsidP="004A397C">
      <w:pPr>
        <w:widowControl w:val="0"/>
        <w:autoSpaceDE w:val="0"/>
        <w:autoSpaceDN w:val="0"/>
        <w:adjustRightInd w:val="0"/>
        <w:rPr>
          <w:rFonts w:cstheme="minorHAnsi"/>
        </w:rPr>
      </w:pPr>
      <w:r w:rsidRPr="009B3747">
        <w:rPr>
          <w:rFonts w:cstheme="minorHAnsi"/>
        </w:rPr>
        <w:t>Finally, provide an opportunity for the participant to ask further questions before the interview begins and thank them for their time.</w:t>
      </w:r>
    </w:p>
    <w:p w:rsidR="004A397C" w:rsidRPr="009B3747" w:rsidRDefault="004A397C" w:rsidP="004A397C">
      <w:pPr>
        <w:widowControl w:val="0"/>
        <w:autoSpaceDE w:val="0"/>
        <w:autoSpaceDN w:val="0"/>
        <w:adjustRightInd w:val="0"/>
        <w:rPr>
          <w:rFonts w:cstheme="minorHAnsi"/>
        </w:rPr>
      </w:pPr>
    </w:p>
    <w:p w:rsidR="004A397C" w:rsidRPr="009B3747" w:rsidRDefault="004A397C" w:rsidP="004A397C">
      <w:pPr>
        <w:pStyle w:val="Heading9"/>
        <w:keepNext w:val="0"/>
        <w:keepLines w:val="0"/>
        <w:widowControl w:val="0"/>
        <w:spacing w:before="0"/>
        <w:rPr>
          <w:rFonts w:asciiTheme="minorHAnsi" w:hAnsiTheme="minorHAnsi" w:cstheme="minorHAnsi"/>
          <w:b/>
          <w:i w:val="0"/>
          <w:color w:val="auto"/>
          <w:sz w:val="26"/>
          <w:szCs w:val="26"/>
          <w:u w:val="single"/>
        </w:rPr>
      </w:pPr>
      <w:r w:rsidRPr="009B3747">
        <w:rPr>
          <w:rFonts w:asciiTheme="minorHAnsi" w:hAnsiTheme="minorHAnsi" w:cstheme="minorHAnsi"/>
          <w:b/>
          <w:i w:val="0"/>
          <w:color w:val="auto"/>
          <w:sz w:val="26"/>
          <w:szCs w:val="26"/>
          <w:u w:val="single"/>
        </w:rPr>
        <w:t xml:space="preserve">Questions </w:t>
      </w:r>
    </w:p>
    <w:p w:rsidR="004A397C" w:rsidRPr="009B3747" w:rsidRDefault="004A397C" w:rsidP="004A397C">
      <w:pPr>
        <w:rPr>
          <w:rFonts w:cstheme="minorHAnsi"/>
        </w:rPr>
      </w:pPr>
    </w:p>
    <w:p w:rsidR="004A397C" w:rsidRPr="009B3747" w:rsidRDefault="004A397C" w:rsidP="004A397C">
      <w:pPr>
        <w:rPr>
          <w:rFonts w:cstheme="minorHAnsi"/>
        </w:rPr>
      </w:pPr>
      <w:r w:rsidRPr="009B3747">
        <w:rPr>
          <w:rFonts w:cstheme="minorHAnsi"/>
        </w:rPr>
        <w:t>Biographical</w:t>
      </w:r>
    </w:p>
    <w:p w:rsidR="004A397C" w:rsidRPr="009B3747" w:rsidRDefault="004A397C" w:rsidP="004A397C">
      <w:pPr>
        <w:rPr>
          <w:rFonts w:cstheme="minorHAnsi"/>
        </w:rPr>
      </w:pPr>
    </w:p>
    <w:p w:rsidR="004A397C" w:rsidRPr="009B3747" w:rsidRDefault="004A397C" w:rsidP="00C27072">
      <w:pPr>
        <w:pStyle w:val="ListParagraph"/>
        <w:numPr>
          <w:ilvl w:val="0"/>
          <w:numId w:val="138"/>
        </w:numPr>
        <w:rPr>
          <w:rFonts w:cstheme="minorHAnsi"/>
        </w:rPr>
      </w:pPr>
      <w:r w:rsidRPr="009B3747">
        <w:rPr>
          <w:rFonts w:cstheme="minorHAnsi"/>
        </w:rPr>
        <w:t>Age and length of service</w:t>
      </w:r>
    </w:p>
    <w:p w:rsidR="004A397C" w:rsidRPr="009B3747" w:rsidRDefault="004A397C" w:rsidP="00C27072">
      <w:pPr>
        <w:pStyle w:val="ListParagraph"/>
        <w:numPr>
          <w:ilvl w:val="0"/>
          <w:numId w:val="138"/>
        </w:numPr>
        <w:rPr>
          <w:rFonts w:cstheme="minorHAnsi"/>
        </w:rPr>
      </w:pPr>
      <w:r w:rsidRPr="009B3747">
        <w:rPr>
          <w:rFonts w:cstheme="minorHAnsi"/>
        </w:rPr>
        <w:t>Tell me about your journey to becoming a headteacher/chair of governor</w:t>
      </w:r>
    </w:p>
    <w:p w:rsidR="004A397C" w:rsidRPr="009B3747" w:rsidRDefault="004A397C" w:rsidP="004A397C">
      <w:pPr>
        <w:pStyle w:val="ListParagraph"/>
        <w:rPr>
          <w:rFonts w:cstheme="minorHAnsi"/>
          <w:i/>
        </w:rPr>
      </w:pPr>
      <w:r w:rsidRPr="009B3747">
        <w:rPr>
          <w:rFonts w:cstheme="minorHAnsi"/>
          <w:i/>
        </w:rPr>
        <w:t>Prompts – educational background, previous positions, leadership experience</w:t>
      </w:r>
    </w:p>
    <w:p w:rsidR="004A397C" w:rsidRPr="009B3747" w:rsidRDefault="004A397C" w:rsidP="004A397C">
      <w:pPr>
        <w:rPr>
          <w:rFonts w:cstheme="minorHAnsi"/>
        </w:rPr>
      </w:pPr>
    </w:p>
    <w:p w:rsidR="004A397C" w:rsidRPr="009B3747" w:rsidRDefault="004A397C" w:rsidP="004A397C">
      <w:pPr>
        <w:rPr>
          <w:rFonts w:cstheme="minorHAnsi"/>
        </w:rPr>
      </w:pPr>
      <w:r w:rsidRPr="009B3747">
        <w:rPr>
          <w:rFonts w:cstheme="minorHAnsi"/>
        </w:rPr>
        <w:t>Main questions</w:t>
      </w:r>
    </w:p>
    <w:p w:rsidR="004A397C" w:rsidRPr="009B3747" w:rsidRDefault="004A397C" w:rsidP="004A397C">
      <w:pPr>
        <w:rPr>
          <w:rFonts w:cstheme="minorHAnsi"/>
        </w:rPr>
      </w:pPr>
    </w:p>
    <w:p w:rsidR="004A397C" w:rsidRPr="009B3747" w:rsidRDefault="004A397C" w:rsidP="00C27072">
      <w:pPr>
        <w:pStyle w:val="ListParagraph"/>
        <w:numPr>
          <w:ilvl w:val="0"/>
          <w:numId w:val="139"/>
        </w:numPr>
        <w:rPr>
          <w:rFonts w:cstheme="minorHAnsi"/>
        </w:rPr>
      </w:pPr>
      <w:r w:rsidRPr="009B3747">
        <w:rPr>
          <w:rFonts w:cstheme="minorHAnsi"/>
        </w:rPr>
        <w:t xml:space="preserve">Do you feel excess weight in children is an issue in your school? If so, in what way? </w:t>
      </w:r>
    </w:p>
    <w:p w:rsidR="004A397C" w:rsidRPr="009B3747" w:rsidRDefault="004A397C" w:rsidP="004A397C">
      <w:pPr>
        <w:pStyle w:val="ListParagraph"/>
        <w:rPr>
          <w:rFonts w:cstheme="minorHAnsi"/>
          <w:i/>
        </w:rPr>
      </w:pPr>
    </w:p>
    <w:p w:rsidR="0082594B" w:rsidRPr="009B3747" w:rsidRDefault="0082594B" w:rsidP="004A397C">
      <w:pPr>
        <w:pStyle w:val="ListParagraph"/>
        <w:rPr>
          <w:rFonts w:cstheme="minorHAnsi"/>
        </w:rPr>
      </w:pPr>
    </w:p>
    <w:p w:rsidR="004A397C" w:rsidRPr="009B3747" w:rsidRDefault="004A397C" w:rsidP="00C27072">
      <w:pPr>
        <w:pStyle w:val="ListParagraph"/>
        <w:numPr>
          <w:ilvl w:val="0"/>
          <w:numId w:val="139"/>
        </w:numPr>
        <w:rPr>
          <w:rFonts w:cstheme="minorHAnsi"/>
        </w:rPr>
      </w:pPr>
      <w:r w:rsidRPr="009B3747">
        <w:rPr>
          <w:rFonts w:cstheme="minorHAnsi"/>
        </w:rPr>
        <w:lastRenderedPageBreak/>
        <w:t>What do you feel are the causes of excess weight in children?</w:t>
      </w:r>
    </w:p>
    <w:p w:rsidR="004A397C" w:rsidRPr="009B3747" w:rsidRDefault="004A397C" w:rsidP="004A397C">
      <w:pPr>
        <w:rPr>
          <w:rFonts w:cstheme="minorHAnsi"/>
        </w:rPr>
      </w:pPr>
    </w:p>
    <w:p w:rsidR="004A397C" w:rsidRPr="009B3747" w:rsidRDefault="004A397C" w:rsidP="00C27072">
      <w:pPr>
        <w:pStyle w:val="ListParagraph"/>
        <w:numPr>
          <w:ilvl w:val="0"/>
          <w:numId w:val="139"/>
        </w:numPr>
        <w:rPr>
          <w:rFonts w:cstheme="minorHAnsi"/>
        </w:rPr>
      </w:pPr>
      <w:r w:rsidRPr="009B3747">
        <w:rPr>
          <w:rFonts w:cstheme="minorHAnsi"/>
        </w:rPr>
        <w:t>What impact (if any)</w:t>
      </w:r>
      <w:r w:rsidR="0082594B" w:rsidRPr="009B3747">
        <w:rPr>
          <w:rFonts w:cstheme="minorHAnsi"/>
        </w:rPr>
        <w:t xml:space="preserve"> does excess weight in children?</w:t>
      </w:r>
    </w:p>
    <w:p w:rsidR="004A397C" w:rsidRPr="009B3747" w:rsidRDefault="004A397C" w:rsidP="004A397C">
      <w:pPr>
        <w:pStyle w:val="ListParagraph"/>
        <w:rPr>
          <w:rFonts w:cstheme="minorHAnsi"/>
        </w:rPr>
      </w:pPr>
    </w:p>
    <w:p w:rsidR="004A397C" w:rsidRPr="009B3747" w:rsidRDefault="004A397C" w:rsidP="00C27072">
      <w:pPr>
        <w:pStyle w:val="ListParagraph"/>
        <w:numPr>
          <w:ilvl w:val="0"/>
          <w:numId w:val="139"/>
        </w:numPr>
        <w:rPr>
          <w:rFonts w:cstheme="minorHAnsi"/>
        </w:rPr>
      </w:pPr>
      <w:r w:rsidRPr="009B3747">
        <w:rPr>
          <w:rFonts w:cstheme="minorHAnsi"/>
        </w:rPr>
        <w:t>Whose responsibility is it to prevent excess weight in children?</w:t>
      </w:r>
    </w:p>
    <w:p w:rsidR="004A397C" w:rsidRPr="009B3747" w:rsidRDefault="004A397C" w:rsidP="004A397C">
      <w:pPr>
        <w:pStyle w:val="BodyText2"/>
        <w:widowControl w:val="0"/>
        <w:spacing w:after="0" w:line="360" w:lineRule="auto"/>
        <w:ind w:left="720"/>
        <w:rPr>
          <w:rFonts w:cstheme="minorHAnsi"/>
        </w:rPr>
      </w:pPr>
    </w:p>
    <w:p w:rsidR="004A397C" w:rsidRPr="009B3747" w:rsidRDefault="004A397C" w:rsidP="00C27072">
      <w:pPr>
        <w:pStyle w:val="BodyText2"/>
        <w:widowControl w:val="0"/>
        <w:numPr>
          <w:ilvl w:val="0"/>
          <w:numId w:val="139"/>
        </w:numPr>
        <w:spacing w:after="0" w:line="360" w:lineRule="auto"/>
        <w:rPr>
          <w:rFonts w:cstheme="minorHAnsi"/>
        </w:rPr>
      </w:pPr>
      <w:r w:rsidRPr="009B3747">
        <w:rPr>
          <w:rFonts w:cstheme="minorHAnsi"/>
        </w:rPr>
        <w:t>What actions and/or activities occur in your secondary school that contribute to the prevention of excess weight in children?</w:t>
      </w:r>
    </w:p>
    <w:p w:rsidR="004A397C" w:rsidRPr="009B3747" w:rsidRDefault="004A397C" w:rsidP="004A397C">
      <w:pPr>
        <w:pStyle w:val="ListParagraph"/>
        <w:rPr>
          <w:rFonts w:cstheme="minorHAnsi"/>
          <w:i/>
        </w:rPr>
      </w:pPr>
    </w:p>
    <w:p w:rsidR="004A397C" w:rsidRPr="009B3747" w:rsidRDefault="004A397C" w:rsidP="00C27072">
      <w:pPr>
        <w:pStyle w:val="BodyText2"/>
        <w:widowControl w:val="0"/>
        <w:numPr>
          <w:ilvl w:val="0"/>
          <w:numId w:val="139"/>
        </w:numPr>
        <w:spacing w:after="0" w:line="360" w:lineRule="auto"/>
        <w:rPr>
          <w:rFonts w:cstheme="minorHAnsi"/>
        </w:rPr>
      </w:pPr>
      <w:r w:rsidRPr="009B3747">
        <w:rPr>
          <w:rFonts w:cstheme="minorHAnsi"/>
        </w:rPr>
        <w:t>What (if any) role do you feel a secondary school specifically plays in preventing excess weight in children?</w:t>
      </w:r>
    </w:p>
    <w:p w:rsidR="004A397C" w:rsidRPr="009B3747" w:rsidRDefault="004A397C" w:rsidP="004A397C">
      <w:pPr>
        <w:pStyle w:val="BodyText2"/>
        <w:widowControl w:val="0"/>
        <w:spacing w:after="0" w:line="360" w:lineRule="auto"/>
        <w:ind w:left="720"/>
        <w:rPr>
          <w:rFonts w:cstheme="minorHAnsi"/>
        </w:rPr>
      </w:pPr>
    </w:p>
    <w:p w:rsidR="004A397C" w:rsidRPr="009B3747" w:rsidRDefault="004A397C" w:rsidP="00C27072">
      <w:pPr>
        <w:pStyle w:val="BodyText2"/>
        <w:widowControl w:val="0"/>
        <w:numPr>
          <w:ilvl w:val="0"/>
          <w:numId w:val="139"/>
        </w:numPr>
        <w:spacing w:after="0" w:line="360" w:lineRule="auto"/>
        <w:rPr>
          <w:rFonts w:cstheme="minorHAnsi"/>
        </w:rPr>
      </w:pPr>
      <w:r w:rsidRPr="009B3747">
        <w:rPr>
          <w:rFonts w:cstheme="minorHAnsi"/>
        </w:rPr>
        <w:t>As a headteacher/chair of governors, do you feel you have a role in preventing excess weight in children?  If so what role?</w:t>
      </w:r>
    </w:p>
    <w:p w:rsidR="004A397C" w:rsidRPr="009B3747" w:rsidRDefault="004A397C" w:rsidP="004A397C">
      <w:pPr>
        <w:pStyle w:val="ListParagraph"/>
        <w:rPr>
          <w:rFonts w:cstheme="minorHAnsi"/>
          <w:i/>
        </w:rPr>
      </w:pPr>
    </w:p>
    <w:p w:rsidR="004A397C" w:rsidRPr="009B3747" w:rsidRDefault="004A397C" w:rsidP="00C27072">
      <w:pPr>
        <w:keepNext/>
        <w:widowControl w:val="0"/>
        <w:numPr>
          <w:ilvl w:val="0"/>
          <w:numId w:val="139"/>
        </w:numPr>
        <w:rPr>
          <w:rFonts w:cstheme="minorHAnsi"/>
        </w:rPr>
      </w:pPr>
      <w:r w:rsidRPr="009B3747">
        <w:rPr>
          <w:rFonts w:cstheme="minorHAnsi"/>
        </w:rPr>
        <w:t>What</w:t>
      </w:r>
      <w:r w:rsidRPr="009B3747">
        <w:rPr>
          <w:rFonts w:eastAsia="Arial Unicode MS" w:cstheme="minorHAnsi"/>
          <w:lang w:val="en-US"/>
        </w:rPr>
        <w:t xml:space="preserve"> barriers affect the prevention of childhood excess weight in secondary schools? </w:t>
      </w:r>
    </w:p>
    <w:p w:rsidR="004A397C" w:rsidRPr="009B3747" w:rsidRDefault="004A397C" w:rsidP="004A397C">
      <w:pPr>
        <w:keepNext/>
        <w:widowControl w:val="0"/>
        <w:rPr>
          <w:rFonts w:eastAsia="Arial Unicode MS" w:cstheme="minorHAnsi"/>
          <w:i/>
          <w:lang w:val="en-US"/>
        </w:rPr>
      </w:pPr>
    </w:p>
    <w:p w:rsidR="004A397C" w:rsidRPr="009B3747" w:rsidRDefault="004A397C" w:rsidP="00C27072">
      <w:pPr>
        <w:pStyle w:val="BodyText2"/>
        <w:widowControl w:val="0"/>
        <w:numPr>
          <w:ilvl w:val="0"/>
          <w:numId w:val="139"/>
        </w:numPr>
        <w:spacing w:after="0" w:line="360" w:lineRule="auto"/>
        <w:rPr>
          <w:rFonts w:cstheme="minorHAnsi"/>
        </w:rPr>
      </w:pPr>
      <w:r w:rsidRPr="009B3747">
        <w:rPr>
          <w:rFonts w:cstheme="minorHAnsi"/>
        </w:rPr>
        <w:t xml:space="preserve">What would facilitate your secondary school to take a more active role in preventing excess weight in children? </w:t>
      </w:r>
    </w:p>
    <w:p w:rsidR="004A397C" w:rsidRPr="009B3747" w:rsidRDefault="004A397C" w:rsidP="004A397C">
      <w:pPr>
        <w:pStyle w:val="BodyText2"/>
        <w:widowControl w:val="0"/>
        <w:spacing w:after="0" w:line="360" w:lineRule="auto"/>
        <w:rPr>
          <w:rFonts w:cstheme="minorHAnsi"/>
          <w:i/>
        </w:rPr>
      </w:pPr>
    </w:p>
    <w:p w:rsidR="004A397C" w:rsidRPr="009B3747" w:rsidRDefault="004A397C" w:rsidP="00C27072">
      <w:pPr>
        <w:pStyle w:val="BodyText2"/>
        <w:widowControl w:val="0"/>
        <w:numPr>
          <w:ilvl w:val="0"/>
          <w:numId w:val="139"/>
        </w:numPr>
        <w:spacing w:after="0" w:line="360" w:lineRule="auto"/>
        <w:rPr>
          <w:rFonts w:cstheme="minorHAnsi"/>
        </w:rPr>
      </w:pPr>
      <w:r w:rsidRPr="009B3747">
        <w:rPr>
          <w:rFonts w:cstheme="minorHAnsi"/>
        </w:rPr>
        <w:t>In an ideal world, how could we resolve the issue of excess weight in children?</w:t>
      </w:r>
    </w:p>
    <w:p w:rsidR="004A397C" w:rsidRPr="009B3747" w:rsidRDefault="004A397C" w:rsidP="004A397C">
      <w:pPr>
        <w:pStyle w:val="BodyText2"/>
        <w:widowControl w:val="0"/>
        <w:spacing w:after="0" w:line="360" w:lineRule="auto"/>
        <w:rPr>
          <w:rFonts w:cstheme="minorHAnsi"/>
          <w:i/>
        </w:rPr>
      </w:pPr>
    </w:p>
    <w:p w:rsidR="0082594B" w:rsidRPr="009B3747" w:rsidRDefault="0082594B" w:rsidP="004A397C">
      <w:pPr>
        <w:pStyle w:val="BodyText2"/>
        <w:widowControl w:val="0"/>
        <w:spacing w:after="0" w:line="360" w:lineRule="auto"/>
        <w:rPr>
          <w:rFonts w:cstheme="minorHAnsi"/>
          <w:i/>
        </w:rPr>
      </w:pPr>
    </w:p>
    <w:p w:rsidR="0082594B" w:rsidRPr="009B3747" w:rsidRDefault="0082594B" w:rsidP="004A397C">
      <w:pPr>
        <w:pStyle w:val="BodyText2"/>
        <w:widowControl w:val="0"/>
        <w:spacing w:after="0" w:line="360" w:lineRule="auto"/>
        <w:rPr>
          <w:rFonts w:cstheme="minorHAnsi"/>
          <w:i/>
        </w:rPr>
      </w:pPr>
    </w:p>
    <w:p w:rsidR="0082594B" w:rsidRPr="009B3747" w:rsidRDefault="0082594B" w:rsidP="004A397C">
      <w:pPr>
        <w:pStyle w:val="BodyText2"/>
        <w:widowControl w:val="0"/>
        <w:spacing w:after="0" w:line="360" w:lineRule="auto"/>
        <w:rPr>
          <w:rFonts w:cstheme="minorHAnsi"/>
          <w:i/>
        </w:rPr>
      </w:pPr>
    </w:p>
    <w:p w:rsidR="0082594B" w:rsidRPr="009B3747" w:rsidRDefault="0082594B" w:rsidP="004A397C">
      <w:pPr>
        <w:pStyle w:val="BodyText2"/>
        <w:widowControl w:val="0"/>
        <w:spacing w:after="0" w:line="360" w:lineRule="auto"/>
        <w:rPr>
          <w:rFonts w:cstheme="minorHAnsi"/>
          <w:i/>
        </w:rPr>
      </w:pPr>
    </w:p>
    <w:p w:rsidR="0082594B" w:rsidRPr="009B3747" w:rsidRDefault="0082594B" w:rsidP="004A397C">
      <w:pPr>
        <w:pStyle w:val="BodyText2"/>
        <w:widowControl w:val="0"/>
        <w:spacing w:after="0" w:line="360" w:lineRule="auto"/>
        <w:rPr>
          <w:rFonts w:cstheme="minorHAnsi"/>
          <w:i/>
        </w:rPr>
      </w:pPr>
    </w:p>
    <w:p w:rsidR="0082594B" w:rsidRPr="009B3747" w:rsidRDefault="0082594B" w:rsidP="004A397C">
      <w:pPr>
        <w:pStyle w:val="BodyText2"/>
        <w:widowControl w:val="0"/>
        <w:spacing w:after="0" w:line="360" w:lineRule="auto"/>
        <w:rPr>
          <w:rFonts w:cstheme="minorHAnsi"/>
          <w:i/>
        </w:rPr>
      </w:pPr>
    </w:p>
    <w:p w:rsidR="0082594B" w:rsidRPr="009B3747" w:rsidRDefault="0082594B" w:rsidP="004A397C">
      <w:pPr>
        <w:pStyle w:val="BodyText2"/>
        <w:widowControl w:val="0"/>
        <w:spacing w:after="0" w:line="360" w:lineRule="auto"/>
        <w:rPr>
          <w:rFonts w:cstheme="minorHAnsi"/>
          <w:i/>
        </w:rPr>
      </w:pPr>
    </w:p>
    <w:p w:rsidR="0082594B" w:rsidRPr="009B3747" w:rsidRDefault="0082594B" w:rsidP="004A397C">
      <w:pPr>
        <w:pStyle w:val="BodyText2"/>
        <w:widowControl w:val="0"/>
        <w:spacing w:after="0" w:line="360" w:lineRule="auto"/>
        <w:rPr>
          <w:rFonts w:cstheme="minorHAnsi"/>
          <w:i/>
        </w:rPr>
      </w:pPr>
    </w:p>
    <w:p w:rsidR="004A397C" w:rsidRPr="009B3747" w:rsidRDefault="004A397C" w:rsidP="004A397C">
      <w:pPr>
        <w:pStyle w:val="BodyText2"/>
        <w:widowControl w:val="0"/>
        <w:spacing w:after="0" w:line="360" w:lineRule="auto"/>
        <w:ind w:left="720"/>
        <w:rPr>
          <w:rFonts w:cstheme="minorHAnsi"/>
        </w:rPr>
      </w:pPr>
    </w:p>
    <w:p w:rsidR="004A397C" w:rsidRPr="009B3747" w:rsidRDefault="004A397C" w:rsidP="004A397C">
      <w:pPr>
        <w:pStyle w:val="BodyText2"/>
        <w:widowControl w:val="0"/>
        <w:spacing w:after="0" w:line="360" w:lineRule="auto"/>
        <w:rPr>
          <w:rFonts w:cstheme="minorHAnsi"/>
        </w:rPr>
      </w:pPr>
    </w:p>
    <w:p w:rsidR="0082594B" w:rsidRPr="009B3747" w:rsidRDefault="0082594B" w:rsidP="004A397C">
      <w:pPr>
        <w:rPr>
          <w:rFonts w:eastAsia="Times New Roman" w:cstheme="minorHAnsi"/>
          <w:b/>
          <w:color w:val="000000" w:themeColor="text1"/>
          <w:sz w:val="28"/>
          <w:szCs w:val="28"/>
          <w:u w:val="single"/>
          <w:lang w:eastAsia="en-GB"/>
        </w:rPr>
      </w:pPr>
    </w:p>
    <w:p w:rsidR="0082594B" w:rsidRPr="009B3747" w:rsidRDefault="0082594B" w:rsidP="004A397C">
      <w:pPr>
        <w:rPr>
          <w:rFonts w:eastAsia="Times New Roman" w:cstheme="minorHAnsi"/>
          <w:b/>
          <w:color w:val="000000" w:themeColor="text1"/>
          <w:sz w:val="28"/>
          <w:szCs w:val="28"/>
          <w:u w:val="single"/>
          <w:lang w:eastAsia="en-GB"/>
        </w:rPr>
      </w:pPr>
    </w:p>
    <w:p w:rsidR="004A397C" w:rsidRPr="009B3747" w:rsidRDefault="004A397C" w:rsidP="004A397C">
      <w:pPr>
        <w:rPr>
          <w:rFonts w:eastAsia="Times New Roman" w:cstheme="minorHAnsi"/>
          <w:b/>
          <w:color w:val="000000" w:themeColor="text1"/>
          <w:sz w:val="28"/>
          <w:szCs w:val="28"/>
          <w:u w:val="single"/>
          <w:lang w:eastAsia="en-GB"/>
        </w:rPr>
      </w:pPr>
      <w:r w:rsidRPr="009B3747">
        <w:rPr>
          <w:rFonts w:eastAsia="Times New Roman" w:cstheme="minorHAnsi"/>
          <w:b/>
          <w:color w:val="000000" w:themeColor="text1"/>
          <w:sz w:val="28"/>
          <w:szCs w:val="28"/>
          <w:u w:val="single"/>
          <w:lang w:eastAsia="en-GB"/>
        </w:rPr>
        <w:lastRenderedPageBreak/>
        <w:t>Appendix G – Process of hand coding</w:t>
      </w:r>
    </w:p>
    <w:p w:rsidR="004A397C" w:rsidRPr="009B3747" w:rsidRDefault="004A397C" w:rsidP="004A397C">
      <w:pPr>
        <w:rPr>
          <w:rFonts w:eastAsia="Times New Roman" w:cstheme="minorHAnsi"/>
          <w:color w:val="000000" w:themeColor="text1"/>
          <w:lang w:eastAsia="en-GB"/>
        </w:rPr>
      </w:pPr>
    </w:p>
    <w:p w:rsidR="004A397C" w:rsidRPr="009B3747" w:rsidRDefault="004A397C" w:rsidP="004A397C">
      <w:pPr>
        <w:rPr>
          <w:rFonts w:cstheme="minorHAnsi"/>
          <w:color w:val="000000" w:themeColor="text1"/>
        </w:rPr>
      </w:pPr>
      <w:r w:rsidRPr="009B3747">
        <w:rPr>
          <w:rFonts w:eastAsia="Times New Roman" w:cstheme="minorHAnsi"/>
          <w:color w:val="000000" w:themeColor="text1"/>
          <w:lang w:eastAsia="en-GB"/>
        </w:rPr>
        <w:t xml:space="preserve">As part of the process of thematic analysis (Braun and Clarke, 2006), each transcript was initially coded by hand, using highlights, pens and post-it notes.  This assisted in the research getting a physical and visual sense of the data.  </w:t>
      </w:r>
    </w:p>
    <w:p w:rsidR="004A397C" w:rsidRPr="009B3747" w:rsidRDefault="004A397C" w:rsidP="004A397C">
      <w:pPr>
        <w:rPr>
          <w:rFonts w:cstheme="minorHAnsi"/>
          <w:color w:val="000000" w:themeColor="text1"/>
        </w:rPr>
      </w:pPr>
    </w:p>
    <w:p w:rsidR="004A397C" w:rsidRPr="009B3747" w:rsidRDefault="004A397C" w:rsidP="004A397C">
      <w:pPr>
        <w:rPr>
          <w:rFonts w:cstheme="minorHAnsi"/>
          <w:color w:val="000000" w:themeColor="text1"/>
        </w:rPr>
      </w:pPr>
      <w:r w:rsidRPr="009B3747">
        <w:rPr>
          <w:rFonts w:cstheme="minorHAnsi"/>
          <w:noProof/>
          <w:color w:val="000000" w:themeColor="text1"/>
          <w:lang w:eastAsia="en-GB"/>
        </w:rPr>
        <w:t xml:space="preserve">                 </w:t>
      </w:r>
      <w:r w:rsidRPr="009B3747">
        <w:rPr>
          <w:rFonts w:cstheme="minorHAnsi"/>
          <w:noProof/>
          <w:color w:val="000000" w:themeColor="text1"/>
          <w:lang w:eastAsia="en-GB"/>
        </w:rPr>
        <w:drawing>
          <wp:inline distT="0" distB="0" distL="0" distR="0" wp14:anchorId="361561FB" wp14:editId="6D5C9B4B">
            <wp:extent cx="6180216" cy="4214516"/>
            <wp:effectExtent l="0" t="7938" r="3493" b="3492"/>
            <wp:docPr id="58" name="Picture 58" descr="C:\Users\Emma\Downloads\20170717_174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ma\Downloads\20170717_174345.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746" r="8769"/>
                    <a:stretch/>
                  </pic:blipFill>
                  <pic:spPr bwMode="auto">
                    <a:xfrm rot="5400000">
                      <a:off x="0" y="0"/>
                      <a:ext cx="6180216" cy="4214516"/>
                    </a:xfrm>
                    <a:prstGeom prst="rect">
                      <a:avLst/>
                    </a:prstGeom>
                    <a:noFill/>
                    <a:ln>
                      <a:noFill/>
                    </a:ln>
                    <a:extLst>
                      <a:ext uri="{53640926-AAD7-44D8-BBD7-CCE9431645EC}">
                        <a14:shadowObscured xmlns:a14="http://schemas.microsoft.com/office/drawing/2010/main"/>
                      </a:ext>
                    </a:extLst>
                  </pic:spPr>
                </pic:pic>
              </a:graphicData>
            </a:graphic>
          </wp:inline>
        </w:drawing>
      </w:r>
    </w:p>
    <w:p w:rsidR="004A397C" w:rsidRPr="009B3747" w:rsidRDefault="004A397C" w:rsidP="004A397C">
      <w:pPr>
        <w:rPr>
          <w:rFonts w:eastAsia="Times New Roman" w:cstheme="minorHAnsi"/>
          <w:color w:val="FF0000"/>
          <w:lang w:eastAsia="en-GB"/>
        </w:rPr>
      </w:pPr>
    </w:p>
    <w:p w:rsidR="004A397C" w:rsidRPr="009B3747" w:rsidRDefault="004A397C" w:rsidP="004A397C">
      <w:pPr>
        <w:rPr>
          <w:rFonts w:eastAsia="Times New Roman" w:cstheme="minorHAnsi"/>
          <w:lang w:eastAsia="en-GB"/>
        </w:rPr>
        <w:sectPr w:rsidR="004A397C" w:rsidRPr="009B3747" w:rsidSect="00846B21">
          <w:pgSz w:w="11906" w:h="16838"/>
          <w:pgMar w:top="1440" w:right="1440" w:bottom="1440" w:left="1440" w:header="709" w:footer="709" w:gutter="0"/>
          <w:cols w:space="708"/>
          <w:docGrid w:linePitch="360"/>
        </w:sectPr>
      </w:pPr>
    </w:p>
    <w:p w:rsidR="003F4A2E" w:rsidRPr="009B3747" w:rsidRDefault="003F4A2E" w:rsidP="004A397C">
      <w:pPr>
        <w:rPr>
          <w:rFonts w:cstheme="minorHAnsi"/>
          <w:b/>
          <w:sz w:val="28"/>
          <w:szCs w:val="28"/>
          <w:u w:val="single"/>
        </w:rPr>
      </w:pPr>
    </w:p>
    <w:p w:rsidR="004A397C" w:rsidRPr="009B3747" w:rsidRDefault="003F4A2E" w:rsidP="004A397C">
      <w:pPr>
        <w:rPr>
          <w:rFonts w:cstheme="minorHAnsi"/>
          <w:b/>
          <w:sz w:val="28"/>
          <w:szCs w:val="28"/>
          <w:u w:val="single"/>
        </w:rPr>
      </w:pPr>
      <w:r w:rsidRPr="009B3747">
        <w:rPr>
          <w:rFonts w:cstheme="minorHAnsi"/>
          <w:noProof/>
          <w:lang w:eastAsia="en-GB"/>
        </w:rPr>
        <w:drawing>
          <wp:anchor distT="0" distB="0" distL="114300" distR="114300" simplePos="0" relativeHeight="251663360" behindDoc="1" locked="0" layoutInCell="1" allowOverlap="1" wp14:anchorId="4E340CCE" wp14:editId="3DDC11FA">
            <wp:simplePos x="0" y="0"/>
            <wp:positionH relativeFrom="page">
              <wp:posOffset>4961890</wp:posOffset>
            </wp:positionH>
            <wp:positionV relativeFrom="page">
              <wp:posOffset>142240</wp:posOffset>
            </wp:positionV>
            <wp:extent cx="2428875" cy="975360"/>
            <wp:effectExtent l="0" t="0" r="952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8875" cy="975360"/>
                    </a:xfrm>
                    <a:prstGeom prst="rect">
                      <a:avLst/>
                    </a:prstGeom>
                    <a:noFill/>
                  </pic:spPr>
                </pic:pic>
              </a:graphicData>
            </a:graphic>
            <wp14:sizeRelH relativeFrom="page">
              <wp14:pctWidth>0</wp14:pctWidth>
            </wp14:sizeRelH>
            <wp14:sizeRelV relativeFrom="page">
              <wp14:pctHeight>0</wp14:pctHeight>
            </wp14:sizeRelV>
          </wp:anchor>
        </w:drawing>
      </w:r>
      <w:r w:rsidRPr="009B3747">
        <w:rPr>
          <w:rFonts w:cstheme="minorHAnsi"/>
          <w:b/>
          <w:sz w:val="28"/>
          <w:szCs w:val="28"/>
          <w:u w:val="single"/>
        </w:rPr>
        <w:t>Appendix H</w:t>
      </w:r>
      <w:r w:rsidR="004A397C" w:rsidRPr="009B3747">
        <w:rPr>
          <w:rFonts w:cstheme="minorHAnsi"/>
          <w:b/>
          <w:sz w:val="28"/>
          <w:szCs w:val="28"/>
          <w:u w:val="single"/>
        </w:rPr>
        <w:t xml:space="preserve"> - C</w:t>
      </w:r>
      <w:r w:rsidR="004A397C" w:rsidRPr="009B3747">
        <w:rPr>
          <w:rFonts w:eastAsia="Times New Roman" w:cstheme="minorHAnsi"/>
          <w:b/>
          <w:color w:val="000000"/>
          <w:sz w:val="28"/>
          <w:szCs w:val="28"/>
          <w:u w:val="single"/>
          <w:lang w:eastAsia="en-GB"/>
        </w:rPr>
        <w:t xml:space="preserve">onfirmation of ethical approval from the ScHARR Research Ethics Committee (SREC) </w:t>
      </w:r>
    </w:p>
    <w:p w:rsidR="004A397C" w:rsidRPr="009B3747" w:rsidRDefault="004A397C" w:rsidP="004A397C">
      <w:pPr>
        <w:rPr>
          <w:rFonts w:cstheme="minorHAnsi"/>
        </w:rPr>
      </w:pPr>
    </w:p>
    <w:p w:rsidR="004A397C" w:rsidRPr="009B3747" w:rsidRDefault="004A397C" w:rsidP="004A397C">
      <w:pPr>
        <w:spacing w:line="8" w:lineRule="exact"/>
        <w:rPr>
          <w:rFonts w:eastAsia="Arial" w:cstheme="minorHAnsi"/>
        </w:rPr>
      </w:pPr>
      <w:bookmarkStart w:id="1" w:name="page1"/>
      <w:bookmarkEnd w:id="1"/>
    </w:p>
    <w:p w:rsidR="004B073C" w:rsidRPr="009B3747" w:rsidRDefault="004B073C" w:rsidP="004A397C">
      <w:pPr>
        <w:spacing w:line="8" w:lineRule="exact"/>
        <w:rPr>
          <w:rFonts w:eastAsia="Arial" w:cstheme="minorHAnsi"/>
        </w:rPr>
      </w:pPr>
    </w:p>
    <w:p w:rsidR="004A397C" w:rsidRPr="009B3747" w:rsidRDefault="004A397C" w:rsidP="004A397C">
      <w:pPr>
        <w:spacing w:line="8" w:lineRule="exact"/>
        <w:rPr>
          <w:rFonts w:eastAsia="Times New Roman" w:cstheme="minorHAnsi"/>
          <w:sz w:val="24"/>
        </w:rPr>
      </w:pPr>
    </w:p>
    <w:p w:rsidR="004A397C" w:rsidRPr="009B3747" w:rsidRDefault="004A397C" w:rsidP="004A397C">
      <w:pPr>
        <w:spacing w:line="276" w:lineRule="auto"/>
        <w:rPr>
          <w:rFonts w:eastAsia="Arial" w:cstheme="minorHAnsi"/>
        </w:rPr>
      </w:pPr>
      <w:r w:rsidRPr="009B3747">
        <w:rPr>
          <w:rFonts w:eastAsia="Arial" w:cstheme="minorHAnsi"/>
        </w:rPr>
        <w:t>Approved: 16/12/2015</w:t>
      </w:r>
    </w:p>
    <w:p w:rsidR="004A397C" w:rsidRPr="009B3747" w:rsidRDefault="004A397C" w:rsidP="004A397C">
      <w:pPr>
        <w:spacing w:line="276" w:lineRule="auto"/>
        <w:rPr>
          <w:rFonts w:eastAsia="Times New Roman" w:cstheme="minorHAnsi"/>
          <w:sz w:val="24"/>
        </w:rPr>
      </w:pPr>
    </w:p>
    <w:p w:rsidR="004A397C" w:rsidRPr="009B3747" w:rsidRDefault="004A397C" w:rsidP="004A397C">
      <w:pPr>
        <w:spacing w:line="276" w:lineRule="auto"/>
        <w:rPr>
          <w:rFonts w:eastAsia="Arial" w:cstheme="minorHAnsi"/>
        </w:rPr>
      </w:pPr>
      <w:r w:rsidRPr="009B3747">
        <w:rPr>
          <w:rFonts w:eastAsia="Arial" w:cstheme="minorHAnsi"/>
        </w:rPr>
        <w:t>Emma Howard-Drake</w:t>
      </w:r>
    </w:p>
    <w:p w:rsidR="004A397C" w:rsidRPr="009B3747" w:rsidRDefault="004A397C" w:rsidP="004A397C">
      <w:pPr>
        <w:spacing w:line="276" w:lineRule="auto"/>
        <w:rPr>
          <w:rFonts w:eastAsia="Times New Roman" w:cstheme="minorHAnsi"/>
          <w:sz w:val="24"/>
        </w:rPr>
      </w:pPr>
    </w:p>
    <w:p w:rsidR="004A397C" w:rsidRPr="009B3747" w:rsidRDefault="004A397C" w:rsidP="004A397C">
      <w:pPr>
        <w:spacing w:line="276" w:lineRule="auto"/>
        <w:rPr>
          <w:rFonts w:eastAsia="Arial" w:cstheme="minorHAnsi"/>
        </w:rPr>
      </w:pPr>
      <w:r w:rsidRPr="009B3747">
        <w:rPr>
          <w:rFonts w:eastAsia="Arial" w:cstheme="minorHAnsi"/>
        </w:rPr>
        <w:t>Registration number: 140100743</w:t>
      </w:r>
    </w:p>
    <w:p w:rsidR="004A397C" w:rsidRPr="009B3747" w:rsidRDefault="004A397C" w:rsidP="004A397C">
      <w:pPr>
        <w:spacing w:line="276" w:lineRule="auto"/>
        <w:rPr>
          <w:rFonts w:eastAsia="Times New Roman" w:cstheme="minorHAnsi"/>
          <w:sz w:val="24"/>
        </w:rPr>
      </w:pPr>
    </w:p>
    <w:p w:rsidR="004A397C" w:rsidRPr="009B3747" w:rsidRDefault="004A397C" w:rsidP="004A397C">
      <w:pPr>
        <w:spacing w:line="276" w:lineRule="auto"/>
        <w:rPr>
          <w:rFonts w:eastAsia="Arial" w:cstheme="minorHAnsi"/>
        </w:rPr>
      </w:pPr>
      <w:r w:rsidRPr="009B3747">
        <w:rPr>
          <w:rFonts w:eastAsia="Arial" w:cstheme="minorHAnsi"/>
        </w:rPr>
        <w:t>School of Health and Related Research</w:t>
      </w:r>
    </w:p>
    <w:p w:rsidR="004A397C" w:rsidRPr="009B3747" w:rsidRDefault="004A397C" w:rsidP="004A397C">
      <w:pPr>
        <w:spacing w:line="276" w:lineRule="auto"/>
        <w:rPr>
          <w:rFonts w:eastAsia="Times New Roman" w:cstheme="minorHAnsi"/>
          <w:sz w:val="24"/>
        </w:rPr>
      </w:pPr>
    </w:p>
    <w:p w:rsidR="004A397C" w:rsidRPr="009B3747" w:rsidRDefault="004A397C" w:rsidP="004A397C">
      <w:pPr>
        <w:spacing w:line="276" w:lineRule="auto"/>
        <w:rPr>
          <w:rFonts w:eastAsia="Arial" w:cstheme="minorHAnsi"/>
        </w:rPr>
      </w:pPr>
      <w:r w:rsidRPr="009B3747">
        <w:rPr>
          <w:rFonts w:eastAsia="Arial" w:cstheme="minorHAnsi"/>
        </w:rPr>
        <w:t>Programme: HARR31 Health and Related Research</w:t>
      </w:r>
    </w:p>
    <w:p w:rsidR="004A397C" w:rsidRPr="009B3747" w:rsidRDefault="004A397C" w:rsidP="004A397C">
      <w:pPr>
        <w:spacing w:line="276" w:lineRule="auto"/>
        <w:rPr>
          <w:rFonts w:eastAsia="Times New Roman" w:cstheme="minorHAnsi"/>
          <w:sz w:val="24"/>
        </w:rPr>
      </w:pPr>
    </w:p>
    <w:p w:rsidR="004A397C" w:rsidRPr="009B3747" w:rsidRDefault="004A397C" w:rsidP="004A397C">
      <w:pPr>
        <w:spacing w:line="276" w:lineRule="auto"/>
        <w:rPr>
          <w:rFonts w:eastAsia="Arial" w:cstheme="minorHAnsi"/>
        </w:rPr>
      </w:pPr>
      <w:r w:rsidRPr="009B3747">
        <w:rPr>
          <w:rFonts w:eastAsia="Arial" w:cstheme="minorHAnsi"/>
        </w:rPr>
        <w:t>Dear Emma</w:t>
      </w:r>
    </w:p>
    <w:p w:rsidR="004A397C" w:rsidRPr="009B3747" w:rsidRDefault="004A397C" w:rsidP="004A397C">
      <w:pPr>
        <w:spacing w:line="276" w:lineRule="auto"/>
        <w:rPr>
          <w:rFonts w:eastAsia="Times New Roman" w:cstheme="minorHAnsi"/>
          <w:sz w:val="24"/>
        </w:rPr>
      </w:pPr>
    </w:p>
    <w:p w:rsidR="004A397C" w:rsidRPr="009B3747" w:rsidRDefault="004A397C" w:rsidP="004A397C">
      <w:pPr>
        <w:spacing w:line="276" w:lineRule="auto"/>
        <w:ind w:right="680"/>
        <w:rPr>
          <w:rFonts w:eastAsia="Arial" w:cstheme="minorHAnsi"/>
        </w:rPr>
      </w:pPr>
      <w:r w:rsidRPr="009B3747">
        <w:rPr>
          <w:rFonts w:eastAsia="Arial" w:cstheme="minorHAnsi"/>
          <w:b/>
        </w:rPr>
        <w:t xml:space="preserve">PROJECT TITLE: </w:t>
      </w:r>
      <w:r w:rsidRPr="009B3747">
        <w:rPr>
          <w:rFonts w:eastAsia="Arial" w:cstheme="minorHAnsi"/>
        </w:rPr>
        <w:t>English secondary school headteachers' and chairs of governors' perspectives on</w:t>
      </w:r>
      <w:r w:rsidRPr="009B3747">
        <w:rPr>
          <w:rFonts w:eastAsia="Arial" w:cstheme="minorHAnsi"/>
          <w:b/>
        </w:rPr>
        <w:t xml:space="preserve"> </w:t>
      </w:r>
      <w:r w:rsidRPr="009B3747">
        <w:rPr>
          <w:rFonts w:eastAsia="Arial" w:cstheme="minorHAnsi"/>
        </w:rPr>
        <w:t>childhood obesity and its prevention</w:t>
      </w:r>
    </w:p>
    <w:p w:rsidR="004A397C" w:rsidRPr="009B3747" w:rsidRDefault="004A397C" w:rsidP="004A397C">
      <w:pPr>
        <w:spacing w:line="276" w:lineRule="auto"/>
        <w:rPr>
          <w:rFonts w:eastAsia="Arial" w:cstheme="minorHAnsi"/>
        </w:rPr>
      </w:pPr>
      <w:r w:rsidRPr="009B3747">
        <w:rPr>
          <w:rFonts w:eastAsia="Arial" w:cstheme="minorHAnsi"/>
          <w:b/>
        </w:rPr>
        <w:t xml:space="preserve">APPLICATION: </w:t>
      </w:r>
      <w:r w:rsidRPr="009B3747">
        <w:rPr>
          <w:rFonts w:eastAsia="Arial" w:cstheme="minorHAnsi"/>
        </w:rPr>
        <w:t>Reference Number 006808</w:t>
      </w:r>
    </w:p>
    <w:p w:rsidR="004A397C" w:rsidRPr="009B3747" w:rsidRDefault="004A397C" w:rsidP="004A397C">
      <w:pPr>
        <w:spacing w:line="276" w:lineRule="auto"/>
        <w:rPr>
          <w:rFonts w:eastAsia="Times New Roman" w:cstheme="minorHAnsi"/>
          <w:sz w:val="24"/>
        </w:rPr>
      </w:pPr>
    </w:p>
    <w:p w:rsidR="004A397C" w:rsidRPr="009B3747" w:rsidRDefault="004A397C" w:rsidP="004A397C">
      <w:pPr>
        <w:spacing w:line="276" w:lineRule="auto"/>
        <w:ind w:right="20"/>
        <w:rPr>
          <w:rFonts w:eastAsia="Arial" w:cstheme="minorHAnsi"/>
        </w:rPr>
      </w:pPr>
      <w:r w:rsidRPr="009B3747">
        <w:rPr>
          <w:rFonts w:eastAsia="Arial" w:cstheme="minorHAnsi"/>
        </w:rPr>
        <w:t xml:space="preserve">On behalf of the University ethics reviewers who reviewed your project, I am pleased to inform you that on 16/12/2015 the above-named project was </w:t>
      </w:r>
      <w:r w:rsidRPr="009B3747">
        <w:rPr>
          <w:rFonts w:eastAsia="Arial" w:cstheme="minorHAnsi"/>
          <w:b/>
        </w:rPr>
        <w:t>approved</w:t>
      </w:r>
      <w:r w:rsidRPr="009B3747">
        <w:rPr>
          <w:rFonts w:eastAsia="Arial" w:cstheme="minorHAnsi"/>
        </w:rPr>
        <w:t xml:space="preserve"> on ethics grounds, on the basis that you will adhere to the following documentation that you submitted for ethics review:</w:t>
      </w:r>
    </w:p>
    <w:p w:rsidR="004A397C" w:rsidRPr="009B3747" w:rsidRDefault="004A397C" w:rsidP="004A397C">
      <w:pPr>
        <w:spacing w:line="276" w:lineRule="auto"/>
        <w:rPr>
          <w:rFonts w:eastAsia="Times New Roman" w:cstheme="minorHAnsi"/>
          <w:sz w:val="24"/>
        </w:rPr>
      </w:pPr>
    </w:p>
    <w:p w:rsidR="004A397C" w:rsidRPr="009B3747" w:rsidRDefault="004A397C" w:rsidP="004A397C">
      <w:pPr>
        <w:spacing w:line="276" w:lineRule="auto"/>
        <w:ind w:left="620"/>
        <w:rPr>
          <w:rFonts w:eastAsia="Arial" w:cstheme="minorHAnsi"/>
        </w:rPr>
      </w:pPr>
      <w:r w:rsidRPr="009B3747">
        <w:rPr>
          <w:rFonts w:eastAsia="Arial" w:cstheme="minorHAnsi"/>
        </w:rPr>
        <w:t>University research ethics application form 006808 (dated 15/12/2015).</w:t>
      </w:r>
    </w:p>
    <w:p w:rsidR="004A397C" w:rsidRPr="009B3747" w:rsidRDefault="004A397C" w:rsidP="004A397C">
      <w:pPr>
        <w:spacing w:line="276" w:lineRule="auto"/>
        <w:rPr>
          <w:rFonts w:eastAsia="Times New Roman" w:cstheme="minorHAnsi"/>
          <w:sz w:val="24"/>
        </w:rPr>
      </w:pPr>
      <w:r w:rsidRPr="009B3747">
        <w:rPr>
          <w:rFonts w:eastAsia="Arial" w:cstheme="minorHAnsi"/>
          <w:noProof/>
          <w:lang w:eastAsia="en-GB"/>
        </w:rPr>
        <w:drawing>
          <wp:anchor distT="0" distB="0" distL="114300" distR="114300" simplePos="0" relativeHeight="251664384" behindDoc="1" locked="0" layoutInCell="1" allowOverlap="1" wp14:anchorId="3EAA872D" wp14:editId="2F109DA5">
            <wp:simplePos x="0" y="0"/>
            <wp:positionH relativeFrom="column">
              <wp:posOffset>220345</wp:posOffset>
            </wp:positionH>
            <wp:positionV relativeFrom="paragraph">
              <wp:posOffset>-117475</wp:posOffset>
            </wp:positionV>
            <wp:extent cx="87630" cy="87630"/>
            <wp:effectExtent l="0" t="0" r="7620" b="762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7630" cy="87630"/>
                    </a:xfrm>
                    <a:prstGeom prst="rect">
                      <a:avLst/>
                    </a:prstGeom>
                    <a:noFill/>
                  </pic:spPr>
                </pic:pic>
              </a:graphicData>
            </a:graphic>
            <wp14:sizeRelH relativeFrom="page">
              <wp14:pctWidth>0</wp14:pctWidth>
            </wp14:sizeRelH>
            <wp14:sizeRelV relativeFrom="page">
              <wp14:pctHeight>0</wp14:pctHeight>
            </wp14:sizeRelV>
          </wp:anchor>
        </w:drawing>
      </w:r>
    </w:p>
    <w:p w:rsidR="004A397C" w:rsidRPr="009B3747" w:rsidRDefault="004A397C" w:rsidP="004A397C">
      <w:pPr>
        <w:spacing w:line="276" w:lineRule="auto"/>
        <w:ind w:left="620"/>
        <w:rPr>
          <w:rFonts w:eastAsia="Arial" w:cstheme="minorHAnsi"/>
        </w:rPr>
      </w:pPr>
      <w:r w:rsidRPr="009B3747">
        <w:rPr>
          <w:rFonts w:eastAsia="Arial" w:cstheme="minorHAnsi"/>
        </w:rPr>
        <w:t>Participant information sheet 1013832 version 2 (15/12/2015).</w:t>
      </w:r>
    </w:p>
    <w:p w:rsidR="004A397C" w:rsidRPr="009B3747" w:rsidRDefault="004A397C" w:rsidP="004A397C">
      <w:pPr>
        <w:spacing w:line="276" w:lineRule="auto"/>
        <w:rPr>
          <w:rFonts w:eastAsia="Times New Roman" w:cstheme="minorHAnsi"/>
          <w:sz w:val="24"/>
        </w:rPr>
      </w:pPr>
      <w:r w:rsidRPr="009B3747">
        <w:rPr>
          <w:rFonts w:eastAsia="Arial" w:cstheme="minorHAnsi"/>
          <w:noProof/>
          <w:lang w:eastAsia="en-GB"/>
        </w:rPr>
        <w:drawing>
          <wp:anchor distT="0" distB="0" distL="114300" distR="114300" simplePos="0" relativeHeight="251665408" behindDoc="1" locked="0" layoutInCell="1" allowOverlap="1" wp14:anchorId="2B7C83AE" wp14:editId="62D481A7">
            <wp:simplePos x="0" y="0"/>
            <wp:positionH relativeFrom="column">
              <wp:posOffset>220345</wp:posOffset>
            </wp:positionH>
            <wp:positionV relativeFrom="paragraph">
              <wp:posOffset>-117475</wp:posOffset>
            </wp:positionV>
            <wp:extent cx="87630" cy="87630"/>
            <wp:effectExtent l="0" t="0" r="7620" b="762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7630" cy="87630"/>
                    </a:xfrm>
                    <a:prstGeom prst="rect">
                      <a:avLst/>
                    </a:prstGeom>
                    <a:noFill/>
                  </pic:spPr>
                </pic:pic>
              </a:graphicData>
            </a:graphic>
            <wp14:sizeRelH relativeFrom="page">
              <wp14:pctWidth>0</wp14:pctWidth>
            </wp14:sizeRelH>
            <wp14:sizeRelV relativeFrom="page">
              <wp14:pctHeight>0</wp14:pctHeight>
            </wp14:sizeRelV>
          </wp:anchor>
        </w:drawing>
      </w:r>
    </w:p>
    <w:p w:rsidR="004A397C" w:rsidRPr="009B3747" w:rsidRDefault="004A397C" w:rsidP="004A397C">
      <w:pPr>
        <w:spacing w:line="276" w:lineRule="auto"/>
        <w:ind w:left="620"/>
        <w:rPr>
          <w:rFonts w:eastAsia="Arial" w:cstheme="minorHAnsi"/>
        </w:rPr>
      </w:pPr>
      <w:r w:rsidRPr="009B3747">
        <w:rPr>
          <w:rFonts w:eastAsia="Arial" w:cstheme="minorHAnsi"/>
        </w:rPr>
        <w:t>Participant consent form 1013833 version 2 (15/12/2015).</w:t>
      </w:r>
    </w:p>
    <w:p w:rsidR="004A397C" w:rsidRPr="009B3747" w:rsidRDefault="004A397C" w:rsidP="004A397C">
      <w:pPr>
        <w:spacing w:line="276" w:lineRule="auto"/>
        <w:rPr>
          <w:rFonts w:eastAsia="Times New Roman" w:cstheme="minorHAnsi"/>
          <w:sz w:val="24"/>
        </w:rPr>
      </w:pPr>
      <w:r w:rsidRPr="009B3747">
        <w:rPr>
          <w:rFonts w:eastAsia="Arial" w:cstheme="minorHAnsi"/>
          <w:noProof/>
          <w:lang w:eastAsia="en-GB"/>
        </w:rPr>
        <w:drawing>
          <wp:anchor distT="0" distB="0" distL="114300" distR="114300" simplePos="0" relativeHeight="251666432" behindDoc="1" locked="0" layoutInCell="1" allowOverlap="1" wp14:anchorId="0D7EBC89" wp14:editId="52139794">
            <wp:simplePos x="0" y="0"/>
            <wp:positionH relativeFrom="column">
              <wp:posOffset>220345</wp:posOffset>
            </wp:positionH>
            <wp:positionV relativeFrom="paragraph">
              <wp:posOffset>-117475</wp:posOffset>
            </wp:positionV>
            <wp:extent cx="87630" cy="87630"/>
            <wp:effectExtent l="0" t="0" r="7620" b="762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7630" cy="87630"/>
                    </a:xfrm>
                    <a:prstGeom prst="rect">
                      <a:avLst/>
                    </a:prstGeom>
                    <a:noFill/>
                  </pic:spPr>
                </pic:pic>
              </a:graphicData>
            </a:graphic>
            <wp14:sizeRelH relativeFrom="page">
              <wp14:pctWidth>0</wp14:pctWidth>
            </wp14:sizeRelH>
            <wp14:sizeRelV relativeFrom="page">
              <wp14:pctHeight>0</wp14:pctHeight>
            </wp14:sizeRelV>
          </wp:anchor>
        </w:drawing>
      </w:r>
    </w:p>
    <w:p w:rsidR="004A397C" w:rsidRPr="009B3747" w:rsidRDefault="004A397C" w:rsidP="004A397C">
      <w:pPr>
        <w:spacing w:line="276" w:lineRule="auto"/>
        <w:rPr>
          <w:rFonts w:eastAsia="Arial" w:cstheme="minorHAnsi"/>
        </w:rPr>
      </w:pPr>
      <w:r w:rsidRPr="009B3747">
        <w:rPr>
          <w:rFonts w:eastAsia="Arial" w:cstheme="minorHAnsi"/>
        </w:rPr>
        <w:t xml:space="preserve">If during the course of the project you need to </w:t>
      </w:r>
      <w:hyperlink r:id="rId36" w:history="1">
        <w:r w:rsidRPr="009B3747">
          <w:rPr>
            <w:rFonts w:eastAsia="Arial" w:cstheme="minorHAnsi"/>
            <w:color w:val="0000EE"/>
            <w:u w:val="single"/>
          </w:rPr>
          <w:t>deviate significantly from the above-approved documentation</w:t>
        </w:r>
      </w:hyperlink>
      <w:r w:rsidRPr="009B3747">
        <w:rPr>
          <w:rFonts w:eastAsia="Arial" w:cstheme="minorHAnsi"/>
        </w:rPr>
        <w:t xml:space="preserve"> please inform me since written approval will be required.</w:t>
      </w:r>
    </w:p>
    <w:p w:rsidR="004A397C" w:rsidRPr="009B3747" w:rsidRDefault="004A397C" w:rsidP="004A397C">
      <w:pPr>
        <w:spacing w:line="276" w:lineRule="auto"/>
        <w:rPr>
          <w:rFonts w:eastAsia="Times New Roman" w:cstheme="minorHAnsi"/>
          <w:sz w:val="24"/>
        </w:rPr>
      </w:pPr>
      <w:r w:rsidRPr="009B3747">
        <w:rPr>
          <w:rFonts w:eastAsia="Arial" w:cstheme="minorHAnsi"/>
          <w:noProof/>
          <w:lang w:eastAsia="en-GB"/>
        </w:rPr>
        <w:drawing>
          <wp:anchor distT="0" distB="0" distL="114300" distR="114300" simplePos="0" relativeHeight="251667456" behindDoc="1" locked="0" layoutInCell="1" allowOverlap="1" wp14:anchorId="54AAF15D" wp14:editId="3CFA6C81">
            <wp:simplePos x="0" y="0"/>
            <wp:positionH relativeFrom="column">
              <wp:posOffset>2863850</wp:posOffset>
            </wp:positionH>
            <wp:positionV relativeFrom="paragraph">
              <wp:posOffset>-201295</wp:posOffset>
            </wp:positionV>
            <wp:extent cx="3764915" cy="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64915" cy="0"/>
                    </a:xfrm>
                    <a:prstGeom prst="rect">
                      <a:avLst/>
                    </a:prstGeom>
                    <a:noFill/>
                  </pic:spPr>
                </pic:pic>
              </a:graphicData>
            </a:graphic>
            <wp14:sizeRelH relativeFrom="page">
              <wp14:pctWidth>0</wp14:pctWidth>
            </wp14:sizeRelH>
            <wp14:sizeRelV relativeFrom="page">
              <wp14:pctHeight>0</wp14:pctHeight>
            </wp14:sizeRelV>
          </wp:anchor>
        </w:drawing>
      </w:r>
    </w:p>
    <w:p w:rsidR="004A397C" w:rsidRPr="009B3747" w:rsidRDefault="004A397C" w:rsidP="004A397C">
      <w:pPr>
        <w:spacing w:line="276" w:lineRule="auto"/>
        <w:rPr>
          <w:rFonts w:eastAsia="Arial" w:cstheme="minorHAnsi"/>
        </w:rPr>
      </w:pPr>
      <w:r w:rsidRPr="009B3747">
        <w:rPr>
          <w:rFonts w:eastAsia="Arial" w:cstheme="minorHAnsi"/>
        </w:rPr>
        <w:t>Yours sincerely</w:t>
      </w:r>
    </w:p>
    <w:p w:rsidR="004A397C" w:rsidRPr="009B3747" w:rsidRDefault="004A397C" w:rsidP="004A397C">
      <w:pPr>
        <w:spacing w:line="276" w:lineRule="auto"/>
        <w:rPr>
          <w:rFonts w:eastAsia="Times New Roman" w:cstheme="minorHAnsi"/>
          <w:sz w:val="24"/>
        </w:rPr>
      </w:pPr>
    </w:p>
    <w:p w:rsidR="004A397C" w:rsidRPr="009B3747" w:rsidRDefault="004A397C" w:rsidP="004A397C">
      <w:pPr>
        <w:spacing w:line="276" w:lineRule="auto"/>
        <w:rPr>
          <w:rFonts w:eastAsia="Times New Roman" w:cstheme="minorHAnsi"/>
          <w:sz w:val="24"/>
        </w:rPr>
      </w:pPr>
      <w:r w:rsidRPr="009B3747">
        <w:rPr>
          <w:rFonts w:eastAsia="Arial" w:cstheme="minorHAnsi"/>
        </w:rPr>
        <w:t>Jennifer Burr</w:t>
      </w:r>
    </w:p>
    <w:p w:rsidR="004A397C" w:rsidRPr="009B3747" w:rsidRDefault="004A397C" w:rsidP="004A397C">
      <w:pPr>
        <w:spacing w:line="276" w:lineRule="auto"/>
        <w:rPr>
          <w:rFonts w:eastAsia="Times New Roman" w:cstheme="minorHAnsi"/>
          <w:sz w:val="24"/>
        </w:rPr>
      </w:pPr>
      <w:r w:rsidRPr="009B3747">
        <w:rPr>
          <w:rFonts w:eastAsia="Arial" w:cstheme="minorHAnsi"/>
        </w:rPr>
        <w:t>Ethics Administrator</w:t>
      </w:r>
    </w:p>
    <w:p w:rsidR="004A397C" w:rsidRPr="009B3747" w:rsidRDefault="004A397C" w:rsidP="004A397C">
      <w:pPr>
        <w:spacing w:line="276" w:lineRule="auto"/>
        <w:rPr>
          <w:rFonts w:eastAsia="Arial" w:cstheme="minorHAnsi"/>
        </w:rPr>
      </w:pPr>
      <w:r w:rsidRPr="009B3747">
        <w:rPr>
          <w:rFonts w:eastAsia="Arial" w:cstheme="minorHAnsi"/>
        </w:rPr>
        <w:t>School of Health and Related Research</w:t>
      </w:r>
    </w:p>
    <w:p w:rsidR="004A397C" w:rsidRPr="009B3747" w:rsidRDefault="004A397C" w:rsidP="004A397C">
      <w:pPr>
        <w:spacing w:line="276" w:lineRule="auto"/>
        <w:rPr>
          <w:rFonts w:cstheme="minorHAnsi"/>
        </w:rPr>
        <w:sectPr w:rsidR="004A397C" w:rsidRPr="009B3747" w:rsidSect="00846B21">
          <w:pgSz w:w="11906" w:h="16838"/>
          <w:pgMar w:top="1440" w:right="1440" w:bottom="1440" w:left="1440" w:header="709" w:footer="709" w:gutter="0"/>
          <w:cols w:space="708"/>
          <w:docGrid w:linePitch="360"/>
        </w:sectPr>
      </w:pPr>
    </w:p>
    <w:p w:rsidR="004A397C" w:rsidRPr="009B3747" w:rsidRDefault="004A397C" w:rsidP="004A397C">
      <w:pPr>
        <w:widowControl w:val="0"/>
        <w:rPr>
          <w:rFonts w:cstheme="minorHAnsi"/>
          <w:b/>
          <w:color w:val="000000" w:themeColor="text1"/>
          <w:sz w:val="28"/>
          <w:szCs w:val="28"/>
          <w:u w:val="single"/>
        </w:rPr>
      </w:pPr>
      <w:r w:rsidRPr="009B3747">
        <w:rPr>
          <w:rFonts w:eastAsia="Times New Roman" w:cstheme="minorHAnsi"/>
          <w:b/>
          <w:noProof/>
          <w:color w:val="000000" w:themeColor="text1"/>
          <w:sz w:val="28"/>
          <w:szCs w:val="28"/>
          <w:u w:val="single"/>
          <w:lang w:eastAsia="en-GB"/>
        </w:rPr>
        <w:lastRenderedPageBreak/>
        <w:drawing>
          <wp:anchor distT="0" distB="0" distL="114300" distR="114300" simplePos="0" relativeHeight="251668480" behindDoc="1" locked="0" layoutInCell="1" allowOverlap="1" wp14:anchorId="6E216408" wp14:editId="12077893">
            <wp:simplePos x="0" y="0"/>
            <wp:positionH relativeFrom="column">
              <wp:posOffset>4095750</wp:posOffset>
            </wp:positionH>
            <wp:positionV relativeFrom="page">
              <wp:posOffset>133350</wp:posOffset>
            </wp:positionV>
            <wp:extent cx="2457450" cy="971550"/>
            <wp:effectExtent l="0" t="0" r="0" b="0"/>
            <wp:wrapTight wrapText="bothSides">
              <wp:wrapPolygon edited="0">
                <wp:start x="0" y="0"/>
                <wp:lineTo x="0" y="21176"/>
                <wp:lineTo x="21433" y="21176"/>
                <wp:lineTo x="21433"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57450" cy="971550"/>
                    </a:xfrm>
                    <a:prstGeom prst="rect">
                      <a:avLst/>
                    </a:prstGeom>
                    <a:noFill/>
                  </pic:spPr>
                </pic:pic>
              </a:graphicData>
            </a:graphic>
          </wp:anchor>
        </w:drawing>
      </w:r>
      <w:r w:rsidR="003F4A2E" w:rsidRPr="009B3747">
        <w:rPr>
          <w:rFonts w:cstheme="minorHAnsi"/>
          <w:b/>
          <w:sz w:val="28"/>
          <w:szCs w:val="28"/>
          <w:u w:val="single"/>
        </w:rPr>
        <w:t>Appendix I</w:t>
      </w:r>
      <w:r w:rsidRPr="009B3747">
        <w:rPr>
          <w:rFonts w:cstheme="minorHAnsi"/>
          <w:b/>
          <w:sz w:val="28"/>
          <w:szCs w:val="28"/>
          <w:u w:val="single"/>
        </w:rPr>
        <w:t xml:space="preserve"> - </w:t>
      </w:r>
      <w:r w:rsidRPr="009B3747">
        <w:rPr>
          <w:rFonts w:eastAsia="Times New Roman" w:cstheme="minorHAnsi"/>
          <w:b/>
          <w:color w:val="000000" w:themeColor="text1"/>
          <w:sz w:val="28"/>
          <w:szCs w:val="28"/>
          <w:u w:val="single"/>
        </w:rPr>
        <w:t>Participant Information Sheet</w:t>
      </w:r>
    </w:p>
    <w:p w:rsidR="004A397C" w:rsidRPr="009B3747" w:rsidRDefault="004A397C" w:rsidP="004A397C">
      <w:pPr>
        <w:widowControl w:val="0"/>
        <w:rPr>
          <w:rFonts w:eastAsia="Times New Roman" w:cstheme="minorHAnsi"/>
          <w:b/>
          <w:color w:val="000000" w:themeColor="text1"/>
          <w:u w:val="single"/>
        </w:rPr>
      </w:pPr>
    </w:p>
    <w:p w:rsidR="004A397C" w:rsidRPr="009B3747" w:rsidRDefault="004A397C" w:rsidP="004A397C">
      <w:pPr>
        <w:widowControl w:val="0"/>
        <w:rPr>
          <w:rFonts w:eastAsia="Times New Roman" w:cstheme="minorHAnsi"/>
          <w:b/>
          <w:color w:val="000000" w:themeColor="text1"/>
          <w:sz w:val="24"/>
          <w:szCs w:val="24"/>
          <w:u w:val="single"/>
          <w:lang w:val="en-US"/>
        </w:rPr>
      </w:pPr>
      <w:r w:rsidRPr="009B3747">
        <w:rPr>
          <w:rFonts w:eastAsia="Times New Roman" w:cstheme="minorHAnsi"/>
          <w:b/>
          <w:color w:val="000000" w:themeColor="text1"/>
          <w:sz w:val="24"/>
          <w:szCs w:val="24"/>
          <w:u w:val="single"/>
          <w:lang w:val="en-US"/>
        </w:rPr>
        <w:t>Research project title</w:t>
      </w:r>
    </w:p>
    <w:p w:rsidR="004A397C" w:rsidRPr="009B3747" w:rsidRDefault="004A397C" w:rsidP="004A397C">
      <w:pPr>
        <w:widowControl w:val="0"/>
        <w:rPr>
          <w:rFonts w:eastAsia="Times New Roman" w:cstheme="minorHAnsi"/>
          <w:color w:val="000000" w:themeColor="text1"/>
          <w:lang w:val="en-US"/>
        </w:rPr>
      </w:pPr>
    </w:p>
    <w:p w:rsidR="004A397C" w:rsidRPr="009B3747" w:rsidRDefault="004A397C" w:rsidP="004A397C">
      <w:pPr>
        <w:widowControl w:val="0"/>
        <w:rPr>
          <w:rFonts w:eastAsia="Times New Roman" w:cstheme="minorHAnsi"/>
          <w:i/>
          <w:iCs/>
          <w:color w:val="000000" w:themeColor="text1"/>
          <w:lang w:val="en-US"/>
        </w:rPr>
      </w:pPr>
      <w:r w:rsidRPr="009B3747">
        <w:rPr>
          <w:rFonts w:eastAsia="Times New Roman" w:cstheme="minorHAnsi"/>
          <w:i/>
          <w:iCs/>
          <w:color w:val="000000" w:themeColor="text1"/>
          <w:lang w:val="en-US"/>
        </w:rPr>
        <w:t>English secondary school headteachers</w:t>
      </w:r>
      <w:r w:rsidR="0082594B" w:rsidRPr="009B3747">
        <w:rPr>
          <w:rFonts w:eastAsia="Times New Roman" w:cstheme="minorHAnsi"/>
          <w:i/>
          <w:iCs/>
          <w:color w:val="000000" w:themeColor="text1"/>
          <w:lang w:val="en-US"/>
        </w:rPr>
        <w:t>’</w:t>
      </w:r>
      <w:r w:rsidRPr="009B3747">
        <w:rPr>
          <w:rFonts w:eastAsia="Times New Roman" w:cstheme="minorHAnsi"/>
          <w:i/>
          <w:iCs/>
          <w:color w:val="000000" w:themeColor="text1"/>
          <w:lang w:val="en-US"/>
        </w:rPr>
        <w:t xml:space="preserve"> and chairs of governors</w:t>
      </w:r>
      <w:r w:rsidR="0082594B" w:rsidRPr="009B3747">
        <w:rPr>
          <w:rFonts w:eastAsia="Times New Roman" w:cstheme="minorHAnsi"/>
          <w:i/>
          <w:iCs/>
          <w:color w:val="000000" w:themeColor="text1"/>
          <w:lang w:val="en-US"/>
        </w:rPr>
        <w:t>’</w:t>
      </w:r>
      <w:r w:rsidRPr="009B3747">
        <w:rPr>
          <w:rFonts w:eastAsia="Times New Roman" w:cstheme="minorHAnsi"/>
          <w:i/>
          <w:iCs/>
          <w:color w:val="000000" w:themeColor="text1"/>
          <w:lang w:val="en-US"/>
        </w:rPr>
        <w:t xml:space="preserve"> perspectives on childhood obesity and its prevention</w:t>
      </w:r>
    </w:p>
    <w:p w:rsidR="004A397C" w:rsidRPr="009B3747" w:rsidRDefault="004A397C" w:rsidP="004A397C">
      <w:pPr>
        <w:widowControl w:val="0"/>
        <w:tabs>
          <w:tab w:val="left" w:pos="6960"/>
        </w:tabs>
        <w:outlineLvl w:val="1"/>
        <w:rPr>
          <w:rFonts w:eastAsia="Times New Roman" w:cstheme="minorHAnsi"/>
          <w:b/>
          <w:color w:val="000000" w:themeColor="text1"/>
          <w:sz w:val="24"/>
          <w:szCs w:val="24"/>
          <w:u w:val="single"/>
        </w:rPr>
      </w:pPr>
    </w:p>
    <w:p w:rsidR="004A397C" w:rsidRPr="009B3747" w:rsidRDefault="004A397C" w:rsidP="004A397C">
      <w:pPr>
        <w:widowControl w:val="0"/>
        <w:tabs>
          <w:tab w:val="left" w:pos="6960"/>
        </w:tabs>
        <w:outlineLvl w:val="1"/>
        <w:rPr>
          <w:rFonts w:eastAsia="Times New Roman" w:cstheme="minorHAnsi"/>
          <w:b/>
          <w:color w:val="000000" w:themeColor="text1"/>
          <w:sz w:val="24"/>
          <w:szCs w:val="24"/>
          <w:u w:val="single"/>
        </w:rPr>
      </w:pPr>
      <w:r w:rsidRPr="009B3747">
        <w:rPr>
          <w:rFonts w:eastAsia="Times New Roman" w:cstheme="minorHAnsi"/>
          <w:b/>
          <w:color w:val="000000" w:themeColor="text1"/>
          <w:sz w:val="24"/>
          <w:szCs w:val="24"/>
          <w:u w:val="single"/>
        </w:rPr>
        <w:t>Introduction</w:t>
      </w:r>
    </w:p>
    <w:p w:rsidR="004A397C" w:rsidRPr="009B3747" w:rsidRDefault="004A397C" w:rsidP="004A397C">
      <w:pPr>
        <w:widowControl w:val="0"/>
        <w:rPr>
          <w:rFonts w:eastAsia="Times New Roman" w:cstheme="minorHAnsi"/>
          <w:color w:val="000000" w:themeColor="text1"/>
          <w:lang w:val="en-US"/>
        </w:rPr>
      </w:pPr>
    </w:p>
    <w:p w:rsidR="004A397C" w:rsidRPr="009B3747" w:rsidRDefault="004A397C" w:rsidP="004A397C">
      <w:pPr>
        <w:widowControl w:val="0"/>
        <w:rPr>
          <w:rFonts w:eastAsia="Times New Roman" w:cstheme="minorHAnsi"/>
          <w:color w:val="000000" w:themeColor="text1"/>
          <w:lang w:val="en-US"/>
        </w:rPr>
      </w:pPr>
      <w:r w:rsidRPr="009B3747">
        <w:rPr>
          <w:rFonts w:eastAsia="Times New Roman" w:cstheme="minorHAnsi"/>
          <w:color w:val="000000" w:themeColor="text1"/>
          <w:lang w:val="en-US"/>
        </w:rPr>
        <w:t xml:space="preserve">You are being invited to participate in an academic study being conducted by Emma Howard-Drake.  This piece of research will contribute to the completion of Doctor of Philosophy (PhD) being undertaken within the School of Health and Related Research at The University of Sheffield.  </w:t>
      </w:r>
    </w:p>
    <w:p w:rsidR="004A397C" w:rsidRPr="009B3747" w:rsidRDefault="004A397C" w:rsidP="004A397C">
      <w:pPr>
        <w:widowControl w:val="0"/>
        <w:rPr>
          <w:rFonts w:eastAsia="Times New Roman" w:cstheme="minorHAnsi"/>
          <w:iCs/>
          <w:color w:val="000000" w:themeColor="text1"/>
          <w:bdr w:val="none" w:sz="0" w:space="0" w:color="auto" w:frame="1"/>
          <w:lang w:eastAsia="en-GB"/>
        </w:rPr>
      </w:pPr>
    </w:p>
    <w:p w:rsidR="004A397C" w:rsidRPr="009B3747" w:rsidRDefault="004A397C" w:rsidP="004A397C">
      <w:pPr>
        <w:widowControl w:val="0"/>
        <w:rPr>
          <w:rFonts w:cstheme="minorHAnsi"/>
          <w:iCs/>
          <w:color w:val="000000" w:themeColor="text1"/>
        </w:rPr>
      </w:pPr>
      <w:r w:rsidRPr="009B3747">
        <w:rPr>
          <w:rFonts w:eastAsia="Times New Roman" w:cstheme="minorHAnsi"/>
          <w:color w:val="000000" w:themeColor="text1"/>
          <w:bdr w:val="none" w:sz="0" w:space="0" w:color="auto" w:frame="1"/>
          <w:lang w:eastAsia="en-GB"/>
        </w:rPr>
        <w:t>Before you decide whether or not to take part, it is important for you to understand why the research is being done and what it will involve.  Please take time to read the following information carefully and feel free to ask</w:t>
      </w:r>
      <w:r w:rsidRPr="009B3747">
        <w:rPr>
          <w:rFonts w:cstheme="minorHAnsi"/>
          <w:iCs/>
          <w:color w:val="000000" w:themeColor="text1"/>
          <w:shd w:val="clear" w:color="auto" w:fill="FFFFFF"/>
        </w:rPr>
        <w:t xml:space="preserve"> if there is anything that is not clear or if you would like more information.  Take time to decide whether or not you wish to take part.  Thank you for reading this.</w:t>
      </w:r>
    </w:p>
    <w:p w:rsidR="004A397C" w:rsidRPr="009B3747" w:rsidRDefault="004A397C" w:rsidP="004A397C">
      <w:pPr>
        <w:widowControl w:val="0"/>
        <w:rPr>
          <w:rFonts w:eastAsia="Times New Roman" w:cstheme="minorHAnsi"/>
          <w:b/>
          <w:bCs/>
          <w:color w:val="000000" w:themeColor="text1"/>
          <w:u w:val="single"/>
          <w:lang w:val="en-US"/>
        </w:rPr>
      </w:pPr>
    </w:p>
    <w:p w:rsidR="004A397C" w:rsidRPr="009B3747" w:rsidRDefault="004A397C" w:rsidP="004A397C">
      <w:pPr>
        <w:widowControl w:val="0"/>
        <w:shd w:val="clear" w:color="auto" w:fill="FFFFFF"/>
        <w:outlineLvl w:val="0"/>
        <w:rPr>
          <w:rFonts w:cstheme="minorHAnsi"/>
          <w:color w:val="000000" w:themeColor="text1"/>
          <w:sz w:val="24"/>
          <w:szCs w:val="24"/>
          <w:u w:val="single"/>
        </w:rPr>
      </w:pPr>
      <w:r w:rsidRPr="009B3747">
        <w:rPr>
          <w:rFonts w:cstheme="minorHAnsi"/>
          <w:b/>
          <w:bCs/>
          <w:color w:val="000000" w:themeColor="text1"/>
          <w:sz w:val="24"/>
          <w:szCs w:val="24"/>
          <w:u w:val="single"/>
          <w:shd w:val="clear" w:color="auto" w:fill="FFFFFF"/>
        </w:rPr>
        <w:t>What is the project’s purpose?</w:t>
      </w:r>
    </w:p>
    <w:p w:rsidR="004A397C" w:rsidRPr="009B3747" w:rsidRDefault="004A397C" w:rsidP="004A397C">
      <w:pPr>
        <w:widowControl w:val="0"/>
        <w:rPr>
          <w:rFonts w:cstheme="minorHAnsi"/>
          <w:color w:val="000000" w:themeColor="text1"/>
          <w:szCs w:val="20"/>
        </w:rPr>
      </w:pPr>
    </w:p>
    <w:p w:rsidR="004A397C" w:rsidRPr="009B3747" w:rsidRDefault="004A397C" w:rsidP="004A397C">
      <w:pPr>
        <w:widowControl w:val="0"/>
        <w:tabs>
          <w:tab w:val="left" w:pos="6960"/>
        </w:tabs>
        <w:rPr>
          <w:rFonts w:eastAsia="Times New Roman" w:cstheme="minorHAnsi"/>
          <w:color w:val="000000" w:themeColor="text1"/>
        </w:rPr>
      </w:pPr>
      <w:r w:rsidRPr="009B3747">
        <w:rPr>
          <w:rFonts w:eastAsia="Times New Roman" w:cstheme="minorHAnsi"/>
          <w:color w:val="000000" w:themeColor="text1"/>
        </w:rPr>
        <w:t xml:space="preserve">This piece of research aims to ascertain what secondary school headteachers and chairs of governors in England perceive of childhood obesity and its prevention.  The project is three years in length and it is expected to be completed by Spring 2018.  </w:t>
      </w:r>
    </w:p>
    <w:p w:rsidR="004A397C" w:rsidRPr="009B3747" w:rsidRDefault="004A397C" w:rsidP="004A397C">
      <w:pPr>
        <w:widowControl w:val="0"/>
        <w:tabs>
          <w:tab w:val="left" w:pos="6960"/>
        </w:tabs>
        <w:rPr>
          <w:rFonts w:eastAsia="Times New Roman" w:cstheme="minorHAnsi"/>
          <w:color w:val="000000" w:themeColor="text1"/>
        </w:rPr>
      </w:pPr>
    </w:p>
    <w:p w:rsidR="004A397C" w:rsidRPr="009B3747" w:rsidRDefault="004A397C" w:rsidP="004A397C">
      <w:pPr>
        <w:widowControl w:val="0"/>
        <w:tabs>
          <w:tab w:val="left" w:pos="6960"/>
        </w:tabs>
        <w:rPr>
          <w:rFonts w:eastAsia="Times New Roman" w:cstheme="minorHAnsi"/>
          <w:color w:val="000000" w:themeColor="text1"/>
        </w:rPr>
      </w:pPr>
      <w:r w:rsidRPr="009B3747">
        <w:rPr>
          <w:rFonts w:eastAsia="Times New Roman" w:cstheme="minorHAnsi"/>
          <w:color w:val="000000" w:themeColor="text1"/>
        </w:rPr>
        <w:t xml:space="preserve">There are two phases to this research project.  The first phase, requires the researcher to conduct 30-40 semi-structured interviews (using either face to face or telephone interviews) with secondary school headteachers and chairs of governors from across England.  The results from these interviews, will inform the development of an online survey.  Phase two of the project, will require the distribution of the online survey to a nationally representative sample of secondary school headteachers and chairs of governors.  </w:t>
      </w:r>
    </w:p>
    <w:p w:rsidR="004A397C" w:rsidRPr="009B3747" w:rsidRDefault="004A397C" w:rsidP="004A397C">
      <w:pPr>
        <w:widowControl w:val="0"/>
        <w:tabs>
          <w:tab w:val="left" w:pos="6960"/>
        </w:tabs>
        <w:rPr>
          <w:rFonts w:eastAsia="Times New Roman" w:cstheme="minorHAnsi"/>
          <w:color w:val="000000" w:themeColor="text1"/>
        </w:rPr>
      </w:pPr>
    </w:p>
    <w:p w:rsidR="004A397C" w:rsidRPr="009B3747" w:rsidRDefault="004A397C" w:rsidP="004A397C">
      <w:pPr>
        <w:widowControl w:val="0"/>
        <w:tabs>
          <w:tab w:val="left" w:pos="6960"/>
        </w:tabs>
        <w:rPr>
          <w:rFonts w:eastAsia="Times New Roman" w:cstheme="minorHAnsi"/>
          <w:color w:val="000000" w:themeColor="text1"/>
        </w:rPr>
      </w:pPr>
      <w:r w:rsidRPr="009B3747">
        <w:rPr>
          <w:rFonts w:eastAsia="Times New Roman" w:cstheme="minorHAnsi"/>
          <w:color w:val="000000" w:themeColor="text1"/>
        </w:rPr>
        <w:t>Your participation is sought for the first phase of the research – the semi-structured interviews.  I</w:t>
      </w:r>
      <w:r w:rsidRPr="009B3747">
        <w:rPr>
          <w:rFonts w:eastAsia="Times New Roman" w:cstheme="minorHAnsi"/>
          <w:bCs/>
          <w:color w:val="000000" w:themeColor="text1"/>
        </w:rPr>
        <w:t xml:space="preserve">nterviews will take place either face to face or via telephone at a date, time (and if relevant a location) convenient to each participant, with each interview lasting approximately 60mins.   </w:t>
      </w:r>
    </w:p>
    <w:p w:rsidR="004A397C" w:rsidRPr="009B3747" w:rsidRDefault="004A397C" w:rsidP="004A397C">
      <w:pPr>
        <w:widowControl w:val="0"/>
        <w:outlineLvl w:val="0"/>
        <w:rPr>
          <w:rFonts w:cstheme="minorHAnsi"/>
          <w:color w:val="000000" w:themeColor="text1"/>
          <w:sz w:val="24"/>
          <w:szCs w:val="24"/>
          <w:u w:val="single"/>
        </w:rPr>
      </w:pPr>
      <w:r w:rsidRPr="009B3747">
        <w:rPr>
          <w:rFonts w:cstheme="minorHAnsi"/>
          <w:b/>
          <w:bCs/>
          <w:color w:val="000000" w:themeColor="text1"/>
          <w:sz w:val="24"/>
          <w:szCs w:val="24"/>
          <w:u w:val="single"/>
          <w:shd w:val="clear" w:color="auto" w:fill="FFFFFF"/>
        </w:rPr>
        <w:lastRenderedPageBreak/>
        <w:t>Why have I been chosen?</w:t>
      </w:r>
    </w:p>
    <w:p w:rsidR="004A397C" w:rsidRPr="009B3747" w:rsidRDefault="004A397C" w:rsidP="004A397C">
      <w:pPr>
        <w:widowControl w:val="0"/>
        <w:tabs>
          <w:tab w:val="left" w:pos="6960"/>
        </w:tabs>
        <w:rPr>
          <w:rFonts w:cstheme="minorHAnsi"/>
          <w:color w:val="000000" w:themeColor="text1"/>
          <w:szCs w:val="20"/>
        </w:rPr>
      </w:pPr>
    </w:p>
    <w:p w:rsidR="004A397C" w:rsidRPr="009B3747" w:rsidRDefault="004A397C" w:rsidP="004A397C">
      <w:pPr>
        <w:widowControl w:val="0"/>
        <w:tabs>
          <w:tab w:val="left" w:pos="6960"/>
        </w:tabs>
        <w:rPr>
          <w:rFonts w:eastAsia="Times New Roman" w:cstheme="minorHAnsi"/>
          <w:color w:val="000000" w:themeColor="text1"/>
        </w:rPr>
      </w:pPr>
      <w:r w:rsidRPr="009B3747">
        <w:rPr>
          <w:rFonts w:eastAsia="Times New Roman" w:cstheme="minorHAnsi"/>
          <w:color w:val="000000" w:themeColor="text1"/>
        </w:rPr>
        <w:t xml:space="preserve">You have been approached to participate in this study because your perspectives as a secondary school headteacher or chair of governor would be extremely valuable for this research.  </w:t>
      </w:r>
    </w:p>
    <w:p w:rsidR="004A397C" w:rsidRPr="009B3747" w:rsidRDefault="004A397C" w:rsidP="004A397C">
      <w:pPr>
        <w:widowControl w:val="0"/>
        <w:tabs>
          <w:tab w:val="right" w:pos="9333"/>
        </w:tabs>
        <w:rPr>
          <w:rFonts w:cstheme="minorHAnsi"/>
          <w:color w:val="000000" w:themeColor="text1"/>
          <w:szCs w:val="20"/>
        </w:rPr>
      </w:pPr>
    </w:p>
    <w:p w:rsidR="004A397C" w:rsidRPr="009B3747" w:rsidRDefault="004A397C" w:rsidP="004A397C">
      <w:pPr>
        <w:widowControl w:val="0"/>
        <w:outlineLvl w:val="0"/>
        <w:rPr>
          <w:rFonts w:cstheme="minorHAnsi"/>
          <w:b/>
          <w:bCs/>
          <w:color w:val="000000" w:themeColor="text1"/>
          <w:sz w:val="24"/>
          <w:szCs w:val="24"/>
          <w:u w:val="single"/>
        </w:rPr>
      </w:pPr>
      <w:r w:rsidRPr="009B3747">
        <w:rPr>
          <w:rFonts w:cstheme="minorHAnsi"/>
          <w:b/>
          <w:bCs/>
          <w:color w:val="000000" w:themeColor="text1"/>
          <w:sz w:val="24"/>
          <w:szCs w:val="24"/>
          <w:u w:val="single"/>
          <w:shd w:val="clear" w:color="auto" w:fill="FFFFFF"/>
        </w:rPr>
        <w:t>Do I have to take part?</w:t>
      </w:r>
    </w:p>
    <w:p w:rsidR="004A397C" w:rsidRPr="009B3747" w:rsidRDefault="004A397C" w:rsidP="004A397C">
      <w:pPr>
        <w:widowControl w:val="0"/>
        <w:rPr>
          <w:rFonts w:cstheme="minorHAnsi"/>
          <w:color w:val="000000" w:themeColor="text1"/>
          <w:szCs w:val="20"/>
        </w:rPr>
      </w:pPr>
    </w:p>
    <w:p w:rsidR="004A397C" w:rsidRPr="009B3747" w:rsidRDefault="004A397C" w:rsidP="004A397C">
      <w:pPr>
        <w:widowControl w:val="0"/>
        <w:tabs>
          <w:tab w:val="left" w:pos="6960"/>
        </w:tabs>
        <w:rPr>
          <w:rFonts w:cstheme="minorHAnsi"/>
          <w:color w:val="000000" w:themeColor="text1"/>
          <w:szCs w:val="20"/>
        </w:rPr>
      </w:pPr>
      <w:r w:rsidRPr="009B3747">
        <w:rPr>
          <w:rFonts w:eastAsia="Times New Roman" w:cstheme="minorHAnsi"/>
          <w:bCs/>
          <w:color w:val="000000" w:themeColor="text1"/>
        </w:rPr>
        <w:t xml:space="preserve">It is completely up to you to decide whether or not to take part in this research project.  </w:t>
      </w:r>
      <w:r w:rsidRPr="009B3747">
        <w:rPr>
          <w:rFonts w:cstheme="minorHAnsi"/>
          <w:color w:val="000000" w:themeColor="text1"/>
          <w:szCs w:val="20"/>
        </w:rPr>
        <w:t xml:space="preserve">If you do decide to take part you will be given this information sheet to keep and will be asked to sign a consent form.  As </w:t>
      </w:r>
      <w:r w:rsidRPr="009B3747">
        <w:rPr>
          <w:rFonts w:eastAsia="Times New Roman" w:cstheme="minorHAnsi"/>
          <w:bCs/>
          <w:color w:val="000000" w:themeColor="text1"/>
        </w:rPr>
        <w:t xml:space="preserve">a voluntary participant, you are completely free and able to withdraw from being involved in the research at any point.  You may also choose not to answer specific questions or discuss certain subjects during the interview or ask that portions of our discussions are not recorded.  You do not have to give a reason for this or a reason if you withdraw your consent for participation at any point.  </w:t>
      </w:r>
    </w:p>
    <w:p w:rsidR="004A397C" w:rsidRPr="009B3747" w:rsidRDefault="004A397C" w:rsidP="004A397C">
      <w:pPr>
        <w:widowControl w:val="0"/>
        <w:rPr>
          <w:rFonts w:cstheme="minorHAnsi"/>
          <w:color w:val="000000" w:themeColor="text1"/>
          <w:sz w:val="4"/>
          <w:szCs w:val="20"/>
        </w:rPr>
      </w:pPr>
    </w:p>
    <w:p w:rsidR="004A397C" w:rsidRPr="009B3747" w:rsidRDefault="004A397C" w:rsidP="004A397C">
      <w:pPr>
        <w:widowControl w:val="0"/>
        <w:outlineLvl w:val="0"/>
        <w:rPr>
          <w:rFonts w:cstheme="minorHAnsi"/>
          <w:b/>
          <w:bCs/>
          <w:color w:val="000000" w:themeColor="text1"/>
          <w:szCs w:val="20"/>
          <w:shd w:val="clear" w:color="auto" w:fill="FFFFFF"/>
        </w:rPr>
      </w:pPr>
    </w:p>
    <w:p w:rsidR="004A397C" w:rsidRPr="009B3747" w:rsidRDefault="004A397C" w:rsidP="004A397C">
      <w:pPr>
        <w:widowControl w:val="0"/>
        <w:outlineLvl w:val="0"/>
        <w:rPr>
          <w:rFonts w:cstheme="minorHAnsi"/>
          <w:color w:val="000000" w:themeColor="text1"/>
          <w:sz w:val="24"/>
          <w:szCs w:val="24"/>
          <w:u w:val="single"/>
        </w:rPr>
      </w:pPr>
      <w:r w:rsidRPr="009B3747">
        <w:rPr>
          <w:rFonts w:cstheme="minorHAnsi"/>
          <w:b/>
          <w:bCs/>
          <w:color w:val="000000" w:themeColor="text1"/>
          <w:sz w:val="24"/>
          <w:szCs w:val="24"/>
          <w:u w:val="single"/>
          <w:shd w:val="clear" w:color="auto" w:fill="FFFFFF"/>
        </w:rPr>
        <w:t>What will happen to me if I take part?</w:t>
      </w:r>
    </w:p>
    <w:p w:rsidR="004A397C" w:rsidRPr="009B3747" w:rsidRDefault="004A397C" w:rsidP="004A397C">
      <w:pPr>
        <w:widowControl w:val="0"/>
        <w:rPr>
          <w:rFonts w:cstheme="minorHAnsi"/>
          <w:color w:val="000000" w:themeColor="text1"/>
          <w:szCs w:val="20"/>
        </w:rPr>
      </w:pPr>
    </w:p>
    <w:p w:rsidR="004A397C" w:rsidRPr="009B3747" w:rsidRDefault="004A397C" w:rsidP="004A397C">
      <w:pPr>
        <w:widowControl w:val="0"/>
        <w:rPr>
          <w:rFonts w:cstheme="minorHAnsi"/>
          <w:color w:val="000000" w:themeColor="text1"/>
          <w:szCs w:val="20"/>
        </w:rPr>
      </w:pPr>
      <w:r w:rsidRPr="009B3747">
        <w:rPr>
          <w:rFonts w:cstheme="minorHAnsi"/>
          <w:color w:val="000000" w:themeColor="text1"/>
          <w:szCs w:val="20"/>
        </w:rPr>
        <w:t xml:space="preserve">Whilst this project is three years in length, you would only be expected to participate in the first phase of the research by undertaking one interview.  Upon arrival at a face to face interview, the researcher will ask for the consent form to be signed and dated, a copy of this and the participant information sheet will then be provided.  If the interview is conducted over the telephone, this process will happen via email.  Prior to a face to face or telephone interview commencing, there will be an opportunity to ask any questions about the research project and process.  During the interview, the researcher will ask questions related to the research aim and objectives.  It is anticipated that each interview will last approximately 60 minutes.  </w:t>
      </w:r>
    </w:p>
    <w:p w:rsidR="004A397C" w:rsidRPr="009B3747" w:rsidRDefault="004A397C" w:rsidP="004A397C">
      <w:pPr>
        <w:widowControl w:val="0"/>
        <w:rPr>
          <w:rFonts w:cstheme="minorHAnsi"/>
          <w:color w:val="000000" w:themeColor="text1"/>
        </w:rPr>
      </w:pPr>
    </w:p>
    <w:p w:rsidR="004A397C" w:rsidRPr="009B3747" w:rsidRDefault="004A397C" w:rsidP="004A397C">
      <w:pPr>
        <w:widowControl w:val="0"/>
        <w:outlineLvl w:val="0"/>
        <w:rPr>
          <w:rFonts w:cstheme="minorHAnsi"/>
          <w:color w:val="000000" w:themeColor="text1"/>
          <w:sz w:val="24"/>
          <w:szCs w:val="24"/>
          <w:u w:val="single"/>
        </w:rPr>
      </w:pPr>
      <w:r w:rsidRPr="009B3747">
        <w:rPr>
          <w:rFonts w:cstheme="minorHAnsi"/>
          <w:b/>
          <w:bCs/>
          <w:color w:val="000000" w:themeColor="text1"/>
          <w:sz w:val="24"/>
          <w:szCs w:val="24"/>
          <w:u w:val="single"/>
        </w:rPr>
        <w:t>Will I be recorded, and how will the recorded media be used?</w:t>
      </w:r>
    </w:p>
    <w:p w:rsidR="004A397C" w:rsidRPr="009B3747" w:rsidRDefault="004A397C" w:rsidP="004A397C">
      <w:pPr>
        <w:widowControl w:val="0"/>
        <w:rPr>
          <w:rFonts w:cstheme="minorHAnsi"/>
          <w:color w:val="000000" w:themeColor="text1"/>
          <w:szCs w:val="20"/>
        </w:rPr>
      </w:pPr>
    </w:p>
    <w:p w:rsidR="004A397C" w:rsidRPr="009B3747" w:rsidRDefault="004A397C" w:rsidP="004A397C">
      <w:pPr>
        <w:widowControl w:val="0"/>
        <w:rPr>
          <w:rFonts w:cstheme="minorHAnsi"/>
          <w:color w:val="000000" w:themeColor="text1"/>
          <w:szCs w:val="20"/>
        </w:rPr>
      </w:pPr>
      <w:r w:rsidRPr="009B3747">
        <w:rPr>
          <w:rFonts w:cstheme="minorHAnsi"/>
          <w:color w:val="000000" w:themeColor="text1"/>
          <w:szCs w:val="20"/>
        </w:rPr>
        <w:t xml:space="preserve">The interview will be recorded using a digital audio recorder.  Audio recordings made during this research will be used only for analysis and no other use will be made of them without your written permission.  No one outside of the research project will be allowed access to the original audio recordings.  After each interview, the researcher will upload the recording to a secure drive on a password protected computer.  The interview will then be transcribed and anonymised.  Once transcription has been completed, the audio recording will then be deleted from both the digital </w:t>
      </w:r>
      <w:r w:rsidRPr="009B3747">
        <w:rPr>
          <w:rFonts w:cstheme="minorHAnsi"/>
          <w:color w:val="000000" w:themeColor="text1"/>
          <w:szCs w:val="20"/>
        </w:rPr>
        <w:lastRenderedPageBreak/>
        <w:t xml:space="preserve">recording device and the computer.     </w:t>
      </w:r>
    </w:p>
    <w:p w:rsidR="004A397C" w:rsidRPr="009B3747" w:rsidRDefault="004A397C" w:rsidP="004A397C">
      <w:pPr>
        <w:widowControl w:val="0"/>
        <w:ind w:left="720"/>
        <w:rPr>
          <w:rFonts w:cstheme="minorHAnsi"/>
          <w:color w:val="000000" w:themeColor="text1"/>
          <w:szCs w:val="20"/>
        </w:rPr>
      </w:pPr>
    </w:p>
    <w:p w:rsidR="004A397C" w:rsidRPr="009B3747" w:rsidRDefault="004A397C" w:rsidP="004A397C">
      <w:pPr>
        <w:widowControl w:val="0"/>
        <w:outlineLvl w:val="0"/>
        <w:rPr>
          <w:rFonts w:cstheme="minorHAnsi"/>
          <w:b/>
          <w:bCs/>
          <w:color w:val="000000" w:themeColor="text1"/>
          <w:sz w:val="24"/>
          <w:szCs w:val="24"/>
          <w:u w:val="single"/>
        </w:rPr>
      </w:pPr>
      <w:r w:rsidRPr="009B3747">
        <w:rPr>
          <w:rFonts w:cstheme="minorHAnsi"/>
          <w:b/>
          <w:bCs/>
          <w:color w:val="000000" w:themeColor="text1"/>
          <w:sz w:val="24"/>
          <w:szCs w:val="24"/>
          <w:u w:val="single"/>
        </w:rPr>
        <w:t>What are the possible disadvantages and risks of taking part?</w:t>
      </w:r>
    </w:p>
    <w:p w:rsidR="004A397C" w:rsidRPr="009B3747" w:rsidRDefault="004A397C" w:rsidP="004A397C">
      <w:pPr>
        <w:rPr>
          <w:rFonts w:cstheme="minorHAnsi"/>
          <w:b/>
          <w:bCs/>
          <w:color w:val="000000" w:themeColor="text1"/>
          <w:szCs w:val="20"/>
        </w:rPr>
      </w:pPr>
    </w:p>
    <w:p w:rsidR="004A397C" w:rsidRPr="009B3747" w:rsidRDefault="004A397C" w:rsidP="004A397C">
      <w:pPr>
        <w:rPr>
          <w:rFonts w:cstheme="minorHAnsi"/>
          <w:color w:val="000000" w:themeColor="text1"/>
          <w:szCs w:val="20"/>
        </w:rPr>
      </w:pPr>
      <w:r w:rsidRPr="009B3747">
        <w:rPr>
          <w:rFonts w:cstheme="minorHAnsi"/>
          <w:color w:val="000000" w:themeColor="text1"/>
        </w:rPr>
        <w:t xml:space="preserve">It is anticipated that there is minimal (if any) potential disadvantages or risks from taking part in this research project.  The only identified disadvantage is any perceived inconvenience of committing your time for participation.  </w:t>
      </w:r>
    </w:p>
    <w:p w:rsidR="004A397C" w:rsidRPr="009B3747" w:rsidRDefault="004A397C" w:rsidP="004A397C">
      <w:pPr>
        <w:widowControl w:val="0"/>
        <w:rPr>
          <w:rFonts w:cstheme="minorHAnsi"/>
          <w:color w:val="000000" w:themeColor="text1"/>
          <w:szCs w:val="20"/>
        </w:rPr>
      </w:pPr>
    </w:p>
    <w:p w:rsidR="004A397C" w:rsidRPr="009B3747" w:rsidRDefault="004A397C" w:rsidP="004A397C">
      <w:pPr>
        <w:widowControl w:val="0"/>
        <w:outlineLvl w:val="0"/>
        <w:rPr>
          <w:rFonts w:cstheme="minorHAnsi"/>
          <w:color w:val="000000" w:themeColor="text1"/>
          <w:sz w:val="24"/>
          <w:szCs w:val="24"/>
          <w:u w:val="single"/>
        </w:rPr>
      </w:pPr>
      <w:r w:rsidRPr="009B3747">
        <w:rPr>
          <w:rFonts w:cstheme="minorHAnsi"/>
          <w:b/>
          <w:bCs/>
          <w:color w:val="000000" w:themeColor="text1"/>
          <w:sz w:val="24"/>
          <w:szCs w:val="24"/>
          <w:u w:val="single"/>
        </w:rPr>
        <w:t>What are the possible benefits of taking part?</w:t>
      </w:r>
    </w:p>
    <w:p w:rsidR="004A397C" w:rsidRPr="009B3747" w:rsidRDefault="004A397C" w:rsidP="004A397C">
      <w:pPr>
        <w:widowControl w:val="0"/>
        <w:rPr>
          <w:rFonts w:cstheme="minorHAnsi"/>
          <w:color w:val="000000" w:themeColor="text1"/>
          <w:szCs w:val="20"/>
        </w:rPr>
      </w:pPr>
    </w:p>
    <w:p w:rsidR="004A397C" w:rsidRPr="009B3747" w:rsidRDefault="004A397C" w:rsidP="004A397C">
      <w:pPr>
        <w:pStyle w:val="BodyTextIndent"/>
        <w:widowControl w:val="0"/>
        <w:spacing w:after="0"/>
        <w:ind w:left="0"/>
        <w:rPr>
          <w:rFonts w:cstheme="minorHAnsi"/>
          <w:b/>
          <w:bCs/>
          <w:i/>
          <w:iCs/>
          <w:color w:val="000000" w:themeColor="text1"/>
          <w:szCs w:val="20"/>
        </w:rPr>
      </w:pPr>
      <w:r w:rsidRPr="009B3747">
        <w:rPr>
          <w:rFonts w:cstheme="minorHAnsi"/>
          <w:color w:val="000000" w:themeColor="text1"/>
        </w:rPr>
        <w:t xml:space="preserve">Whilst there are no immediate and direct benefits for participating in this research, it is hoped that by obtaining the views from crucial school stakeholders (i.e. headteachers and chairs of governors) results from this work will contribute to the valuable evidence base about childhood obesity prevention and school settings. </w:t>
      </w:r>
    </w:p>
    <w:p w:rsidR="004A397C" w:rsidRPr="009B3747" w:rsidRDefault="004A397C" w:rsidP="004A397C">
      <w:pPr>
        <w:widowControl w:val="0"/>
        <w:outlineLvl w:val="0"/>
        <w:rPr>
          <w:rFonts w:cstheme="minorHAnsi"/>
          <w:b/>
          <w:bCs/>
          <w:color w:val="000000" w:themeColor="text1"/>
          <w:sz w:val="24"/>
          <w:szCs w:val="24"/>
          <w:u w:val="single"/>
        </w:rPr>
      </w:pPr>
    </w:p>
    <w:p w:rsidR="004A397C" w:rsidRPr="009B3747" w:rsidRDefault="004A397C" w:rsidP="004A397C">
      <w:pPr>
        <w:widowControl w:val="0"/>
        <w:outlineLvl w:val="0"/>
        <w:rPr>
          <w:rFonts w:cstheme="minorHAnsi"/>
          <w:b/>
          <w:color w:val="000000" w:themeColor="text1"/>
          <w:sz w:val="24"/>
          <w:szCs w:val="24"/>
          <w:u w:val="single"/>
        </w:rPr>
      </w:pPr>
      <w:r w:rsidRPr="009B3747">
        <w:rPr>
          <w:rFonts w:cstheme="minorHAnsi"/>
          <w:b/>
          <w:bCs/>
          <w:color w:val="000000" w:themeColor="text1"/>
          <w:sz w:val="24"/>
          <w:szCs w:val="24"/>
          <w:u w:val="single"/>
        </w:rPr>
        <w:t>What happens if the research project stops earlier than expected?</w:t>
      </w:r>
    </w:p>
    <w:p w:rsidR="004A397C" w:rsidRPr="009B3747" w:rsidRDefault="004A397C" w:rsidP="004A397C">
      <w:pPr>
        <w:widowControl w:val="0"/>
        <w:rPr>
          <w:rFonts w:cstheme="minorHAnsi"/>
          <w:color w:val="000000" w:themeColor="text1"/>
          <w:szCs w:val="20"/>
        </w:rPr>
      </w:pPr>
    </w:p>
    <w:p w:rsidR="004A397C" w:rsidRPr="009B3747" w:rsidRDefault="004A397C" w:rsidP="004A397C">
      <w:pPr>
        <w:widowControl w:val="0"/>
        <w:rPr>
          <w:rFonts w:cstheme="minorHAnsi"/>
          <w:color w:val="000000" w:themeColor="text1"/>
          <w:szCs w:val="20"/>
        </w:rPr>
      </w:pPr>
      <w:r w:rsidRPr="009B3747">
        <w:rPr>
          <w:rFonts w:cstheme="minorHAnsi"/>
          <w:color w:val="000000" w:themeColor="text1"/>
          <w:szCs w:val="20"/>
        </w:rPr>
        <w:t xml:space="preserve">If the research project stops earlier than expected, that a full explanation will be provided to each participant.  </w:t>
      </w:r>
    </w:p>
    <w:p w:rsidR="004A397C" w:rsidRPr="009B3747" w:rsidRDefault="004A397C" w:rsidP="004A397C">
      <w:pPr>
        <w:widowControl w:val="0"/>
        <w:outlineLvl w:val="0"/>
        <w:rPr>
          <w:rFonts w:cstheme="minorHAnsi"/>
          <w:b/>
          <w:bCs/>
          <w:color w:val="000000" w:themeColor="text1"/>
          <w:sz w:val="24"/>
          <w:szCs w:val="24"/>
          <w:u w:val="single"/>
        </w:rPr>
      </w:pPr>
    </w:p>
    <w:p w:rsidR="004A397C" w:rsidRPr="009B3747" w:rsidRDefault="004A397C" w:rsidP="004A397C">
      <w:pPr>
        <w:widowControl w:val="0"/>
        <w:outlineLvl w:val="0"/>
        <w:rPr>
          <w:rFonts w:cstheme="minorHAnsi"/>
          <w:color w:val="000000" w:themeColor="text1"/>
          <w:sz w:val="24"/>
          <w:szCs w:val="24"/>
          <w:u w:val="single"/>
        </w:rPr>
      </w:pPr>
      <w:r w:rsidRPr="009B3747">
        <w:rPr>
          <w:rFonts w:cstheme="minorHAnsi"/>
          <w:b/>
          <w:bCs/>
          <w:color w:val="000000" w:themeColor="text1"/>
          <w:sz w:val="24"/>
          <w:szCs w:val="24"/>
          <w:u w:val="single"/>
        </w:rPr>
        <w:t>What if something goes wrong?</w:t>
      </w:r>
    </w:p>
    <w:p w:rsidR="004A397C" w:rsidRPr="009B3747" w:rsidRDefault="004A397C" w:rsidP="004A397C">
      <w:pPr>
        <w:widowControl w:val="0"/>
        <w:rPr>
          <w:rFonts w:cstheme="minorHAnsi"/>
          <w:color w:val="000000" w:themeColor="text1"/>
          <w:szCs w:val="20"/>
        </w:rPr>
      </w:pPr>
    </w:p>
    <w:p w:rsidR="004A397C" w:rsidRPr="009B3747" w:rsidRDefault="004A397C" w:rsidP="004A397C">
      <w:pPr>
        <w:pStyle w:val="BodyText"/>
        <w:widowControl w:val="0"/>
        <w:spacing w:after="0" w:line="360" w:lineRule="auto"/>
        <w:rPr>
          <w:rFonts w:asciiTheme="minorHAnsi" w:hAnsiTheme="minorHAnsi" w:cstheme="minorHAnsi"/>
          <w:color w:val="000000" w:themeColor="text1"/>
          <w:sz w:val="22"/>
          <w:szCs w:val="22"/>
        </w:rPr>
      </w:pPr>
      <w:r w:rsidRPr="009B3747">
        <w:rPr>
          <w:rFonts w:asciiTheme="minorHAnsi" w:hAnsiTheme="minorHAnsi" w:cstheme="minorHAnsi"/>
          <w:color w:val="000000" w:themeColor="text1"/>
          <w:sz w:val="22"/>
          <w:szCs w:val="22"/>
        </w:rPr>
        <w:t xml:space="preserve">As a participant, if you are unhappy with how the research has been conducted or would like to raise concerns about your participation in the project, complaints should be directed initially to the researchers lead academic supervisor (see contact details on the last page). </w:t>
      </w:r>
    </w:p>
    <w:p w:rsidR="004A397C" w:rsidRPr="009B3747" w:rsidRDefault="004A397C" w:rsidP="004A397C">
      <w:pPr>
        <w:pStyle w:val="BodyText"/>
        <w:widowControl w:val="0"/>
        <w:spacing w:after="0" w:line="360" w:lineRule="auto"/>
        <w:rPr>
          <w:rFonts w:asciiTheme="minorHAnsi" w:hAnsiTheme="minorHAnsi" w:cstheme="minorHAnsi"/>
          <w:color w:val="000000" w:themeColor="text1"/>
        </w:rPr>
      </w:pPr>
    </w:p>
    <w:p w:rsidR="004A397C" w:rsidRPr="009B3747" w:rsidRDefault="004A397C" w:rsidP="004A397C">
      <w:pPr>
        <w:pStyle w:val="Header"/>
        <w:widowControl w:val="0"/>
        <w:tabs>
          <w:tab w:val="left" w:pos="709"/>
        </w:tabs>
        <w:spacing w:line="360" w:lineRule="auto"/>
        <w:rPr>
          <w:rFonts w:cstheme="minorHAnsi"/>
          <w:bCs/>
          <w:color w:val="000000" w:themeColor="text1"/>
        </w:rPr>
      </w:pPr>
      <w:r w:rsidRPr="009B3747">
        <w:rPr>
          <w:rFonts w:cstheme="minorHAnsi"/>
          <w:bCs/>
          <w:color w:val="000000" w:themeColor="text1"/>
        </w:rPr>
        <w:t xml:space="preserve">If you feel any complaint submitted has not been handled to your satisfaction, please contact – </w:t>
      </w:r>
    </w:p>
    <w:p w:rsidR="004A397C" w:rsidRPr="009B3747" w:rsidRDefault="004A397C" w:rsidP="004A397C">
      <w:pPr>
        <w:pStyle w:val="Header"/>
        <w:widowControl w:val="0"/>
        <w:tabs>
          <w:tab w:val="left" w:pos="709"/>
        </w:tabs>
        <w:spacing w:line="360" w:lineRule="auto"/>
        <w:rPr>
          <w:rFonts w:cstheme="minorHAnsi"/>
          <w:bCs/>
          <w:i/>
          <w:color w:val="000000" w:themeColor="text1"/>
        </w:rPr>
      </w:pPr>
    </w:p>
    <w:p w:rsidR="004A397C" w:rsidRPr="009B3747" w:rsidRDefault="004A397C" w:rsidP="004A397C">
      <w:pPr>
        <w:pStyle w:val="Header"/>
        <w:widowControl w:val="0"/>
        <w:tabs>
          <w:tab w:val="left" w:pos="709"/>
        </w:tabs>
        <w:spacing w:line="360" w:lineRule="auto"/>
        <w:rPr>
          <w:rFonts w:cstheme="minorHAnsi"/>
          <w:bCs/>
          <w:color w:val="000000" w:themeColor="text1"/>
        </w:rPr>
      </w:pPr>
      <w:r w:rsidRPr="009B3747">
        <w:rPr>
          <w:rFonts w:cstheme="minorHAnsi"/>
          <w:bCs/>
          <w:color w:val="000000" w:themeColor="text1"/>
        </w:rPr>
        <w:t>Professor Jon Nicholl</w:t>
      </w:r>
    </w:p>
    <w:p w:rsidR="004A397C" w:rsidRPr="009B3747" w:rsidRDefault="004A397C" w:rsidP="004A397C">
      <w:pPr>
        <w:pStyle w:val="Header"/>
        <w:widowControl w:val="0"/>
        <w:tabs>
          <w:tab w:val="left" w:pos="709"/>
        </w:tabs>
        <w:spacing w:line="360" w:lineRule="auto"/>
        <w:rPr>
          <w:rFonts w:cstheme="minorHAnsi"/>
          <w:bCs/>
          <w:i/>
          <w:color w:val="000000" w:themeColor="text1"/>
        </w:rPr>
      </w:pPr>
      <w:r w:rsidRPr="009B3747">
        <w:rPr>
          <w:rFonts w:cstheme="minorHAnsi"/>
          <w:bCs/>
          <w:i/>
          <w:color w:val="000000" w:themeColor="text1"/>
        </w:rPr>
        <w:t xml:space="preserve">Dean of the School of Health and Related Research </w:t>
      </w:r>
    </w:p>
    <w:p w:rsidR="004A397C" w:rsidRPr="009B3747" w:rsidRDefault="004A397C" w:rsidP="004A397C">
      <w:pPr>
        <w:pStyle w:val="Header"/>
        <w:widowControl w:val="0"/>
        <w:tabs>
          <w:tab w:val="left" w:pos="709"/>
        </w:tabs>
        <w:spacing w:line="360" w:lineRule="auto"/>
        <w:rPr>
          <w:rFonts w:cstheme="minorHAnsi"/>
          <w:bCs/>
          <w:color w:val="000000" w:themeColor="text1"/>
        </w:rPr>
      </w:pPr>
      <w:r w:rsidRPr="009B3747">
        <w:rPr>
          <w:rFonts w:cstheme="minorHAnsi"/>
          <w:bCs/>
          <w:color w:val="000000" w:themeColor="text1"/>
        </w:rPr>
        <w:t xml:space="preserve">The University of Sheffield </w:t>
      </w:r>
    </w:p>
    <w:p w:rsidR="004A397C" w:rsidRPr="009B3747" w:rsidRDefault="00071EBF" w:rsidP="004A397C">
      <w:pPr>
        <w:pStyle w:val="Header"/>
        <w:widowControl w:val="0"/>
        <w:tabs>
          <w:tab w:val="left" w:pos="709"/>
        </w:tabs>
        <w:spacing w:line="360" w:lineRule="auto"/>
        <w:rPr>
          <w:rStyle w:val="Hyperlink"/>
          <w:rFonts w:cstheme="minorHAnsi"/>
          <w:color w:val="000000" w:themeColor="text1"/>
        </w:rPr>
      </w:pPr>
      <w:hyperlink r:id="rId39" w:history="1">
        <w:r w:rsidR="004A397C" w:rsidRPr="009B3747">
          <w:rPr>
            <w:rStyle w:val="Hyperlink"/>
            <w:rFonts w:cstheme="minorHAnsi"/>
            <w:color w:val="000000" w:themeColor="text1"/>
          </w:rPr>
          <w:t>j.nicholl@sheffield.ac.uk</w:t>
        </w:r>
      </w:hyperlink>
    </w:p>
    <w:p w:rsidR="004A397C" w:rsidRPr="009B3747" w:rsidRDefault="004A397C" w:rsidP="004A397C">
      <w:pPr>
        <w:pStyle w:val="Header"/>
        <w:widowControl w:val="0"/>
        <w:tabs>
          <w:tab w:val="left" w:pos="709"/>
        </w:tabs>
        <w:spacing w:line="360" w:lineRule="auto"/>
        <w:rPr>
          <w:rFonts w:cstheme="minorHAnsi"/>
          <w:bCs/>
          <w:color w:val="000000" w:themeColor="text1"/>
        </w:rPr>
      </w:pPr>
    </w:p>
    <w:p w:rsidR="004A397C" w:rsidRPr="009B3747" w:rsidRDefault="004A397C" w:rsidP="004A397C">
      <w:pPr>
        <w:pStyle w:val="Header"/>
        <w:widowControl w:val="0"/>
        <w:tabs>
          <w:tab w:val="left" w:pos="709"/>
        </w:tabs>
        <w:spacing w:line="360" w:lineRule="auto"/>
        <w:rPr>
          <w:rFonts w:cstheme="minorHAnsi"/>
          <w:bCs/>
          <w:color w:val="000000" w:themeColor="text1"/>
        </w:rPr>
      </w:pPr>
    </w:p>
    <w:p w:rsidR="004A397C" w:rsidRPr="009B3747" w:rsidRDefault="004A397C" w:rsidP="004A397C">
      <w:pPr>
        <w:widowControl w:val="0"/>
        <w:outlineLvl w:val="0"/>
        <w:rPr>
          <w:rFonts w:cstheme="minorHAnsi"/>
          <w:color w:val="000000" w:themeColor="text1"/>
          <w:sz w:val="24"/>
          <w:szCs w:val="24"/>
          <w:u w:val="single"/>
        </w:rPr>
      </w:pPr>
      <w:r w:rsidRPr="009B3747">
        <w:rPr>
          <w:rFonts w:cstheme="minorHAnsi"/>
          <w:b/>
          <w:bCs/>
          <w:color w:val="000000" w:themeColor="text1"/>
          <w:sz w:val="24"/>
          <w:szCs w:val="24"/>
          <w:u w:val="single"/>
        </w:rPr>
        <w:lastRenderedPageBreak/>
        <w:t>Will my taking part in this project be kept confidential?</w:t>
      </w:r>
    </w:p>
    <w:p w:rsidR="004A397C" w:rsidRPr="009B3747" w:rsidRDefault="004A397C" w:rsidP="004A397C">
      <w:pPr>
        <w:widowControl w:val="0"/>
        <w:rPr>
          <w:rFonts w:cstheme="minorHAnsi"/>
          <w:color w:val="000000" w:themeColor="text1"/>
          <w:szCs w:val="20"/>
        </w:rPr>
      </w:pPr>
    </w:p>
    <w:p w:rsidR="004A397C" w:rsidRPr="009B3747" w:rsidRDefault="004A397C" w:rsidP="004A397C">
      <w:pPr>
        <w:widowControl w:val="0"/>
        <w:tabs>
          <w:tab w:val="left" w:pos="6960"/>
        </w:tabs>
        <w:rPr>
          <w:rFonts w:eastAsia="Times New Roman" w:cstheme="minorHAnsi"/>
          <w:color w:val="000000" w:themeColor="text1"/>
        </w:rPr>
      </w:pPr>
      <w:r w:rsidRPr="009B3747">
        <w:rPr>
          <w:rFonts w:eastAsia="Times New Roman" w:cstheme="minorHAnsi"/>
          <w:color w:val="000000" w:themeColor="text1"/>
        </w:rPr>
        <w:t xml:space="preserve">All personal details, including your name, contact details, occupation and employing organisation will remain protected and confidential throughout the research process.  Furthermore, all research data collected within the project will be coded to ensure anonymity.  Both personal details and research data will be stored securely on a password protected computer and saved to a secure computer drive.  Upon completion of the research, all personal details and audio recordings of interviews (if approval has been given to record) will be permanently deleted.  </w:t>
      </w:r>
    </w:p>
    <w:p w:rsidR="004A397C" w:rsidRPr="009B3747" w:rsidRDefault="004A397C" w:rsidP="004A397C">
      <w:pPr>
        <w:widowControl w:val="0"/>
        <w:autoSpaceDE w:val="0"/>
        <w:autoSpaceDN w:val="0"/>
        <w:adjustRightInd w:val="0"/>
        <w:rPr>
          <w:rFonts w:eastAsia="Times New Roman" w:cstheme="minorHAnsi"/>
          <w:color w:val="000000" w:themeColor="text1"/>
        </w:rPr>
      </w:pPr>
    </w:p>
    <w:p w:rsidR="004A397C" w:rsidRPr="009B3747" w:rsidRDefault="004A397C" w:rsidP="004A397C">
      <w:pPr>
        <w:widowControl w:val="0"/>
        <w:autoSpaceDE w:val="0"/>
        <w:autoSpaceDN w:val="0"/>
        <w:adjustRightInd w:val="0"/>
        <w:rPr>
          <w:rFonts w:eastAsia="Times New Roman" w:cstheme="minorHAnsi"/>
          <w:color w:val="000000" w:themeColor="text1"/>
        </w:rPr>
      </w:pPr>
      <w:r w:rsidRPr="009B3747">
        <w:rPr>
          <w:rFonts w:eastAsia="Times New Roman" w:cstheme="minorHAnsi"/>
          <w:bCs/>
          <w:color w:val="000000" w:themeColor="text1"/>
          <w:lang w:val="en-US"/>
        </w:rPr>
        <w:t xml:space="preserve">All participants will be entitled to copies of the recordings and transcripts of their own interviews if they request them from the researcher. </w:t>
      </w:r>
    </w:p>
    <w:p w:rsidR="004A397C" w:rsidRPr="009B3747" w:rsidRDefault="004A397C" w:rsidP="004A397C">
      <w:pPr>
        <w:widowControl w:val="0"/>
        <w:outlineLvl w:val="0"/>
        <w:rPr>
          <w:rFonts w:eastAsia="Times New Roman" w:cstheme="minorHAnsi"/>
          <w:b/>
          <w:bCs/>
          <w:color w:val="000000" w:themeColor="text1"/>
          <w:sz w:val="24"/>
          <w:szCs w:val="24"/>
          <w:u w:val="single"/>
          <w:lang w:val="en-US"/>
        </w:rPr>
      </w:pPr>
    </w:p>
    <w:p w:rsidR="004A397C" w:rsidRPr="009B3747" w:rsidRDefault="004A397C" w:rsidP="004A397C">
      <w:pPr>
        <w:widowControl w:val="0"/>
        <w:outlineLvl w:val="0"/>
        <w:rPr>
          <w:rFonts w:cstheme="minorHAnsi"/>
          <w:color w:val="000000" w:themeColor="text1"/>
          <w:sz w:val="24"/>
          <w:szCs w:val="24"/>
          <w:u w:val="single"/>
        </w:rPr>
      </w:pPr>
      <w:r w:rsidRPr="009B3747">
        <w:rPr>
          <w:rFonts w:cstheme="minorHAnsi"/>
          <w:b/>
          <w:bCs/>
          <w:color w:val="000000" w:themeColor="text1"/>
          <w:sz w:val="24"/>
          <w:szCs w:val="24"/>
          <w:u w:val="single"/>
        </w:rPr>
        <w:t>What will happen to the results of the research project?</w:t>
      </w:r>
    </w:p>
    <w:p w:rsidR="004A397C" w:rsidRPr="009B3747" w:rsidRDefault="004A397C" w:rsidP="004A397C">
      <w:pPr>
        <w:widowControl w:val="0"/>
        <w:rPr>
          <w:rFonts w:cstheme="minorHAnsi"/>
          <w:color w:val="000000" w:themeColor="text1"/>
          <w:szCs w:val="20"/>
        </w:rPr>
      </w:pPr>
    </w:p>
    <w:p w:rsidR="004A397C" w:rsidRPr="009B3747" w:rsidRDefault="004A397C" w:rsidP="004A397C">
      <w:pPr>
        <w:widowControl w:val="0"/>
        <w:rPr>
          <w:rFonts w:cstheme="minorHAnsi"/>
          <w:color w:val="000000" w:themeColor="text1"/>
          <w:szCs w:val="20"/>
        </w:rPr>
      </w:pPr>
      <w:r w:rsidRPr="009B3747">
        <w:rPr>
          <w:rFonts w:cstheme="minorHAnsi"/>
          <w:color w:val="000000" w:themeColor="text1"/>
          <w:szCs w:val="20"/>
        </w:rPr>
        <w:t>The results of the research project will be presented within the fi</w:t>
      </w:r>
      <w:r w:rsidR="00281979">
        <w:rPr>
          <w:rFonts w:cstheme="minorHAnsi"/>
          <w:color w:val="000000" w:themeColor="text1"/>
          <w:szCs w:val="20"/>
        </w:rPr>
        <w:t xml:space="preserve">nal thesis, </w:t>
      </w:r>
      <w:r w:rsidRPr="009B3747">
        <w:rPr>
          <w:rFonts w:cstheme="minorHAnsi"/>
          <w:color w:val="000000" w:themeColor="text1"/>
          <w:szCs w:val="20"/>
        </w:rPr>
        <w:t xml:space="preserve">which will be submitted for the award of Doctorate of Philosophy (PhD) during spring 2018.  It is anticipated that upon approval of award, a full-text electronic copy of the thesis will be uploaded to an etheses repository (a publically accessible website providing free copies of theses).  </w:t>
      </w:r>
    </w:p>
    <w:p w:rsidR="004A397C" w:rsidRPr="009B3747" w:rsidRDefault="004A397C" w:rsidP="004A397C">
      <w:pPr>
        <w:widowControl w:val="0"/>
        <w:rPr>
          <w:rFonts w:cstheme="minorHAnsi"/>
          <w:color w:val="000000" w:themeColor="text1"/>
          <w:szCs w:val="20"/>
        </w:rPr>
      </w:pPr>
    </w:p>
    <w:p w:rsidR="004A397C" w:rsidRPr="009B3747" w:rsidRDefault="004A397C" w:rsidP="004A397C">
      <w:pPr>
        <w:widowControl w:val="0"/>
        <w:rPr>
          <w:rFonts w:cstheme="minorHAnsi"/>
          <w:color w:val="000000" w:themeColor="text1"/>
          <w:szCs w:val="20"/>
        </w:rPr>
      </w:pPr>
      <w:r w:rsidRPr="009B3747">
        <w:rPr>
          <w:rFonts w:cstheme="minorHAnsi"/>
          <w:color w:val="000000" w:themeColor="text1"/>
          <w:szCs w:val="20"/>
        </w:rPr>
        <w:t xml:space="preserve">In addition, it is hoped that the results of the research project could be used for publication in an academic journal.  The data obtained during the course of the project may be used for addition or subsequent research.  </w:t>
      </w:r>
    </w:p>
    <w:p w:rsidR="004A397C" w:rsidRPr="009B3747" w:rsidRDefault="004A397C" w:rsidP="004A397C">
      <w:pPr>
        <w:widowControl w:val="0"/>
        <w:rPr>
          <w:rFonts w:cstheme="minorHAnsi"/>
          <w:color w:val="000000" w:themeColor="text1"/>
          <w:szCs w:val="20"/>
        </w:rPr>
      </w:pPr>
    </w:p>
    <w:p w:rsidR="004A397C" w:rsidRPr="009B3747" w:rsidRDefault="004A397C" w:rsidP="004A397C">
      <w:pPr>
        <w:widowControl w:val="0"/>
        <w:rPr>
          <w:rFonts w:cstheme="minorHAnsi"/>
          <w:color w:val="000000" w:themeColor="text1"/>
          <w:szCs w:val="20"/>
        </w:rPr>
      </w:pPr>
      <w:r w:rsidRPr="009B3747">
        <w:rPr>
          <w:rFonts w:cstheme="minorHAnsi"/>
          <w:color w:val="000000" w:themeColor="text1"/>
          <w:szCs w:val="20"/>
        </w:rPr>
        <w:t>The strict use of anonymity means that research participants and their respective organisation will not be able to be identified within the results, publications or any future research arising from this project.</w:t>
      </w:r>
    </w:p>
    <w:p w:rsidR="004A397C" w:rsidRPr="009B3747" w:rsidRDefault="004A397C" w:rsidP="004A397C">
      <w:pPr>
        <w:widowControl w:val="0"/>
        <w:rPr>
          <w:rFonts w:cstheme="minorHAnsi"/>
          <w:color w:val="000000" w:themeColor="text1"/>
          <w:szCs w:val="20"/>
        </w:rPr>
      </w:pPr>
    </w:p>
    <w:p w:rsidR="004A397C" w:rsidRPr="009B3747" w:rsidRDefault="004A397C" w:rsidP="004A397C">
      <w:pPr>
        <w:widowControl w:val="0"/>
        <w:outlineLvl w:val="0"/>
        <w:rPr>
          <w:rFonts w:cstheme="minorHAnsi"/>
          <w:b/>
          <w:color w:val="000000" w:themeColor="text1"/>
          <w:sz w:val="24"/>
          <w:szCs w:val="24"/>
          <w:u w:val="single"/>
        </w:rPr>
      </w:pPr>
      <w:r w:rsidRPr="009B3747">
        <w:rPr>
          <w:rFonts w:cstheme="minorHAnsi"/>
          <w:b/>
          <w:color w:val="000000" w:themeColor="text1"/>
          <w:sz w:val="24"/>
          <w:szCs w:val="24"/>
          <w:u w:val="single"/>
        </w:rPr>
        <w:t xml:space="preserve">How was the research funded? </w:t>
      </w:r>
    </w:p>
    <w:p w:rsidR="004A397C" w:rsidRPr="009B3747" w:rsidRDefault="004A397C" w:rsidP="004A397C">
      <w:pPr>
        <w:widowControl w:val="0"/>
        <w:rPr>
          <w:rFonts w:cstheme="minorHAnsi"/>
          <w:color w:val="000000" w:themeColor="text1"/>
          <w:szCs w:val="20"/>
        </w:rPr>
      </w:pPr>
    </w:p>
    <w:p w:rsidR="004A397C" w:rsidRPr="009B3747" w:rsidRDefault="004A397C" w:rsidP="004A397C">
      <w:pPr>
        <w:widowControl w:val="0"/>
        <w:rPr>
          <w:rFonts w:cstheme="minorHAnsi"/>
          <w:color w:val="000000" w:themeColor="text1"/>
          <w:szCs w:val="20"/>
        </w:rPr>
      </w:pPr>
      <w:r w:rsidRPr="009B3747">
        <w:rPr>
          <w:rFonts w:cstheme="minorHAnsi"/>
          <w:color w:val="000000" w:themeColor="text1"/>
          <w:szCs w:val="20"/>
        </w:rPr>
        <w:t xml:space="preserve">The researcher was awarded a three year scholarship to undertake the research project by the School of Health and Related Research at The University of Sheffield.  </w:t>
      </w:r>
    </w:p>
    <w:p w:rsidR="004A397C" w:rsidRPr="009B3747" w:rsidRDefault="004A397C" w:rsidP="004A397C">
      <w:pPr>
        <w:widowControl w:val="0"/>
        <w:rPr>
          <w:rFonts w:cstheme="minorHAnsi"/>
          <w:color w:val="000000" w:themeColor="text1"/>
          <w:szCs w:val="20"/>
        </w:rPr>
      </w:pPr>
    </w:p>
    <w:p w:rsidR="004A397C" w:rsidRPr="009B3747" w:rsidRDefault="004A397C" w:rsidP="004A397C">
      <w:pPr>
        <w:widowControl w:val="0"/>
        <w:rPr>
          <w:rFonts w:cstheme="minorHAnsi"/>
          <w:color w:val="000000" w:themeColor="text1"/>
          <w:szCs w:val="20"/>
        </w:rPr>
      </w:pPr>
    </w:p>
    <w:p w:rsidR="004A397C" w:rsidRPr="009B3747" w:rsidRDefault="004A397C" w:rsidP="004A397C">
      <w:pPr>
        <w:widowControl w:val="0"/>
        <w:rPr>
          <w:rFonts w:cstheme="minorHAnsi"/>
          <w:color w:val="000000" w:themeColor="text1"/>
          <w:szCs w:val="20"/>
        </w:rPr>
      </w:pPr>
    </w:p>
    <w:p w:rsidR="004A397C" w:rsidRPr="009B3747" w:rsidRDefault="004A397C" w:rsidP="004A397C">
      <w:pPr>
        <w:widowControl w:val="0"/>
        <w:outlineLvl w:val="0"/>
        <w:rPr>
          <w:rFonts w:cstheme="minorHAnsi"/>
          <w:b/>
          <w:color w:val="000000" w:themeColor="text1"/>
          <w:sz w:val="24"/>
          <w:szCs w:val="24"/>
          <w:u w:val="single"/>
        </w:rPr>
      </w:pPr>
      <w:r w:rsidRPr="009B3747">
        <w:rPr>
          <w:rFonts w:cstheme="minorHAnsi"/>
          <w:b/>
          <w:color w:val="000000" w:themeColor="text1"/>
          <w:sz w:val="24"/>
          <w:szCs w:val="24"/>
          <w:u w:val="single"/>
        </w:rPr>
        <w:lastRenderedPageBreak/>
        <w:t>Ethical review and approval</w:t>
      </w:r>
    </w:p>
    <w:p w:rsidR="004A397C" w:rsidRPr="009B3747" w:rsidRDefault="004A397C" w:rsidP="004A397C">
      <w:pPr>
        <w:widowControl w:val="0"/>
        <w:rPr>
          <w:rFonts w:cstheme="minorHAnsi"/>
          <w:color w:val="000000" w:themeColor="text1"/>
          <w:szCs w:val="20"/>
        </w:rPr>
      </w:pPr>
    </w:p>
    <w:p w:rsidR="004A397C" w:rsidRPr="009B3747" w:rsidRDefault="004A397C" w:rsidP="004A397C">
      <w:pPr>
        <w:widowControl w:val="0"/>
        <w:rPr>
          <w:rFonts w:cstheme="minorHAnsi"/>
          <w:color w:val="000000" w:themeColor="text1"/>
          <w:szCs w:val="20"/>
        </w:rPr>
      </w:pPr>
      <w:r w:rsidRPr="009B3747">
        <w:rPr>
          <w:rFonts w:cstheme="minorHAnsi"/>
          <w:color w:val="000000" w:themeColor="text1"/>
          <w:szCs w:val="20"/>
        </w:rPr>
        <w:t>This research project has been ethically reviewed and approved by the School of Health and Re</w:t>
      </w:r>
      <w:r w:rsidR="00281979">
        <w:rPr>
          <w:rFonts w:cstheme="minorHAnsi"/>
          <w:color w:val="000000" w:themeColor="text1"/>
          <w:szCs w:val="20"/>
        </w:rPr>
        <w:t xml:space="preserve">lated Research Ethics Committee, </w:t>
      </w:r>
      <w:r w:rsidRPr="009B3747">
        <w:rPr>
          <w:rFonts w:cstheme="minorHAnsi"/>
          <w:color w:val="000000" w:themeColor="text1"/>
          <w:szCs w:val="20"/>
        </w:rPr>
        <w:t>which administers The University of Sheffield’s Ethics Review Procedure.</w:t>
      </w:r>
    </w:p>
    <w:p w:rsidR="004A397C" w:rsidRPr="009B3747" w:rsidRDefault="004A397C" w:rsidP="004A397C">
      <w:pPr>
        <w:widowControl w:val="0"/>
        <w:rPr>
          <w:rFonts w:cstheme="minorHAnsi"/>
          <w:b/>
          <w:bCs/>
          <w:color w:val="000000" w:themeColor="text1"/>
          <w:sz w:val="24"/>
          <w:szCs w:val="24"/>
          <w:u w:val="single"/>
        </w:rPr>
      </w:pPr>
    </w:p>
    <w:p w:rsidR="004A397C" w:rsidRPr="009B3747" w:rsidRDefault="004A397C" w:rsidP="004A397C">
      <w:pPr>
        <w:widowControl w:val="0"/>
        <w:rPr>
          <w:rFonts w:cstheme="minorHAnsi"/>
          <w:color w:val="000000" w:themeColor="text1"/>
          <w:szCs w:val="20"/>
        </w:rPr>
      </w:pPr>
      <w:r w:rsidRPr="009B3747">
        <w:rPr>
          <w:rFonts w:cstheme="minorHAnsi"/>
          <w:b/>
          <w:bCs/>
          <w:color w:val="000000" w:themeColor="text1"/>
          <w:sz w:val="24"/>
          <w:szCs w:val="24"/>
          <w:u w:val="single"/>
        </w:rPr>
        <w:t>Contacts for further information</w:t>
      </w:r>
    </w:p>
    <w:p w:rsidR="004A397C" w:rsidRPr="009B3747" w:rsidRDefault="004A397C" w:rsidP="004A397C">
      <w:pPr>
        <w:widowControl w:val="0"/>
        <w:rPr>
          <w:rFonts w:cstheme="minorHAnsi"/>
          <w:color w:val="000000" w:themeColor="text1"/>
        </w:rPr>
      </w:pPr>
    </w:p>
    <w:p w:rsidR="004A397C" w:rsidRPr="009B3747" w:rsidRDefault="004A397C" w:rsidP="004A397C">
      <w:pPr>
        <w:widowControl w:val="0"/>
        <w:rPr>
          <w:rFonts w:eastAsia="Times New Roman" w:cstheme="minorHAnsi"/>
          <w:color w:val="000000" w:themeColor="text1"/>
        </w:rPr>
      </w:pPr>
      <w:r w:rsidRPr="009B3747">
        <w:rPr>
          <w:rFonts w:cstheme="minorHAnsi"/>
          <w:color w:val="000000" w:themeColor="text1"/>
        </w:rPr>
        <w:t xml:space="preserve">Finally, thank you for taking time to read this information.  Upon providing consent to take part in this research project, you will be provided with a hard copy of the participant information sheet and the mutually signed consent form to keep. </w:t>
      </w:r>
      <w:r w:rsidRPr="009B3747">
        <w:rPr>
          <w:rFonts w:eastAsia="Times New Roman" w:cstheme="minorHAnsi"/>
          <w:color w:val="000000" w:themeColor="text1"/>
        </w:rPr>
        <w:t xml:space="preserve">If you have any questions about this research project or interview, feel free to contact the researcher – </w:t>
      </w:r>
    </w:p>
    <w:p w:rsidR="004A397C" w:rsidRPr="009B3747" w:rsidRDefault="004A397C" w:rsidP="004A397C">
      <w:pPr>
        <w:widowControl w:val="0"/>
        <w:tabs>
          <w:tab w:val="left" w:pos="6960"/>
        </w:tabs>
        <w:rPr>
          <w:rFonts w:eastAsia="Times New Roman" w:cstheme="minorHAnsi"/>
          <w:color w:val="000000" w:themeColor="text1"/>
        </w:rPr>
      </w:pPr>
    </w:p>
    <w:p w:rsidR="004A397C" w:rsidRPr="009B3747" w:rsidRDefault="004A397C" w:rsidP="004A397C">
      <w:pPr>
        <w:widowControl w:val="0"/>
        <w:tabs>
          <w:tab w:val="left" w:pos="6960"/>
        </w:tabs>
        <w:rPr>
          <w:rFonts w:eastAsia="Times New Roman" w:cstheme="minorHAnsi"/>
          <w:iCs/>
          <w:color w:val="000000" w:themeColor="text1"/>
        </w:rPr>
      </w:pPr>
      <w:r w:rsidRPr="009B3747">
        <w:rPr>
          <w:rFonts w:eastAsia="Times New Roman" w:cstheme="minorHAnsi"/>
          <w:iCs/>
          <w:color w:val="000000" w:themeColor="text1"/>
        </w:rPr>
        <w:t xml:space="preserve">Emma Howard-Drake </w:t>
      </w:r>
    </w:p>
    <w:p w:rsidR="004A397C" w:rsidRPr="009B3747" w:rsidRDefault="004A397C" w:rsidP="004A397C">
      <w:pPr>
        <w:widowControl w:val="0"/>
        <w:tabs>
          <w:tab w:val="left" w:pos="6960"/>
        </w:tabs>
        <w:rPr>
          <w:rFonts w:eastAsia="Times New Roman" w:cstheme="minorHAnsi"/>
          <w:iCs/>
          <w:color w:val="000000" w:themeColor="text1"/>
        </w:rPr>
      </w:pPr>
      <w:r w:rsidRPr="009B3747">
        <w:rPr>
          <w:rFonts w:eastAsia="Times New Roman" w:cstheme="minorHAnsi"/>
          <w:iCs/>
          <w:color w:val="000000" w:themeColor="text1"/>
        </w:rPr>
        <w:t>07989 808187</w:t>
      </w:r>
    </w:p>
    <w:p w:rsidR="004A397C" w:rsidRPr="009B3747" w:rsidRDefault="004A397C" w:rsidP="004A397C">
      <w:pPr>
        <w:widowControl w:val="0"/>
        <w:tabs>
          <w:tab w:val="left" w:pos="6960"/>
        </w:tabs>
        <w:rPr>
          <w:rFonts w:eastAsia="Times New Roman" w:cstheme="minorHAnsi"/>
          <w:iCs/>
          <w:color w:val="000000" w:themeColor="text1"/>
          <w:u w:val="single"/>
        </w:rPr>
      </w:pPr>
      <w:r w:rsidRPr="009B3747">
        <w:rPr>
          <w:rFonts w:eastAsia="Times New Roman" w:cstheme="minorHAnsi"/>
          <w:iCs/>
          <w:color w:val="000000" w:themeColor="text1"/>
          <w:u w:val="single"/>
        </w:rPr>
        <w:t>ehoward-drake1@sheffield.ac.uk</w:t>
      </w:r>
    </w:p>
    <w:p w:rsidR="004A397C" w:rsidRPr="009B3747" w:rsidRDefault="004A397C" w:rsidP="004A397C">
      <w:pPr>
        <w:widowControl w:val="0"/>
        <w:tabs>
          <w:tab w:val="left" w:pos="6960"/>
        </w:tabs>
        <w:rPr>
          <w:rFonts w:eastAsia="Times New Roman" w:cstheme="minorHAnsi"/>
          <w:iCs/>
          <w:color w:val="000000" w:themeColor="text1"/>
        </w:rPr>
      </w:pPr>
    </w:p>
    <w:p w:rsidR="004A397C" w:rsidRPr="009B3747" w:rsidRDefault="004A397C" w:rsidP="004A397C">
      <w:pPr>
        <w:widowControl w:val="0"/>
        <w:tabs>
          <w:tab w:val="left" w:pos="6960"/>
        </w:tabs>
        <w:rPr>
          <w:rFonts w:eastAsia="Times New Roman" w:cstheme="minorHAnsi"/>
          <w:iCs/>
          <w:color w:val="000000" w:themeColor="text1"/>
        </w:rPr>
      </w:pPr>
      <w:r w:rsidRPr="009B3747">
        <w:rPr>
          <w:rFonts w:eastAsia="Times New Roman" w:cstheme="minorHAnsi"/>
          <w:iCs/>
          <w:color w:val="000000" w:themeColor="text1"/>
        </w:rPr>
        <w:t xml:space="preserve">Or the academic supervisors for this work – </w:t>
      </w:r>
    </w:p>
    <w:p w:rsidR="004A397C" w:rsidRPr="009B3747" w:rsidRDefault="004A397C" w:rsidP="004A397C">
      <w:pPr>
        <w:widowControl w:val="0"/>
        <w:tabs>
          <w:tab w:val="left" w:pos="6960"/>
        </w:tabs>
        <w:rPr>
          <w:rFonts w:eastAsia="Times New Roman" w:cstheme="minorHAnsi"/>
          <w:iCs/>
          <w:color w:val="000000" w:themeColor="text1"/>
        </w:rPr>
      </w:pPr>
    </w:p>
    <w:p w:rsidR="004A397C" w:rsidRPr="009B3747" w:rsidRDefault="004A397C" w:rsidP="004A397C">
      <w:pPr>
        <w:widowControl w:val="0"/>
        <w:tabs>
          <w:tab w:val="left" w:pos="5812"/>
        </w:tabs>
        <w:rPr>
          <w:rFonts w:eastAsia="Times New Roman" w:cstheme="minorHAnsi"/>
          <w:color w:val="000000" w:themeColor="text1"/>
        </w:rPr>
      </w:pPr>
      <w:r w:rsidRPr="009B3747">
        <w:rPr>
          <w:rFonts w:eastAsia="Times New Roman" w:cstheme="minorHAnsi"/>
          <w:color w:val="000000" w:themeColor="text1"/>
        </w:rPr>
        <w:t>Dr Vanessa Halliday</w:t>
      </w:r>
      <w:r w:rsidRPr="009B3747">
        <w:rPr>
          <w:rFonts w:eastAsia="Times New Roman" w:cstheme="minorHAnsi"/>
          <w:color w:val="000000" w:themeColor="text1"/>
        </w:rPr>
        <w:tab/>
        <w:t>Dr Richard Cooper</w:t>
      </w:r>
    </w:p>
    <w:p w:rsidR="004A397C" w:rsidRPr="009B3747" w:rsidRDefault="004A397C" w:rsidP="004A397C">
      <w:pPr>
        <w:widowControl w:val="0"/>
        <w:tabs>
          <w:tab w:val="left" w:pos="6960"/>
        </w:tabs>
        <w:rPr>
          <w:rFonts w:eastAsia="Times New Roman" w:cstheme="minorHAnsi"/>
          <w:i/>
          <w:color w:val="000000" w:themeColor="text1"/>
        </w:rPr>
      </w:pPr>
      <w:r w:rsidRPr="009B3747">
        <w:rPr>
          <w:rFonts w:eastAsia="Times New Roman" w:cstheme="minorHAnsi"/>
          <w:i/>
          <w:color w:val="000000" w:themeColor="text1"/>
        </w:rPr>
        <w:t>Lead academic supervisor</w:t>
      </w:r>
    </w:p>
    <w:p w:rsidR="004A397C" w:rsidRPr="009B3747" w:rsidRDefault="004A397C" w:rsidP="004A397C">
      <w:pPr>
        <w:widowControl w:val="0"/>
        <w:tabs>
          <w:tab w:val="left" w:pos="6960"/>
        </w:tabs>
        <w:rPr>
          <w:rFonts w:eastAsia="Times New Roman" w:cstheme="minorHAnsi"/>
          <w:color w:val="000000" w:themeColor="text1"/>
        </w:rPr>
      </w:pPr>
    </w:p>
    <w:p w:rsidR="004A397C" w:rsidRPr="009B3747" w:rsidRDefault="004A397C" w:rsidP="004A397C">
      <w:pPr>
        <w:widowControl w:val="0"/>
        <w:tabs>
          <w:tab w:val="left" w:pos="6960"/>
        </w:tabs>
        <w:rPr>
          <w:rFonts w:eastAsia="Times New Roman" w:cstheme="minorHAnsi"/>
          <w:color w:val="000000" w:themeColor="text1"/>
        </w:rPr>
      </w:pPr>
      <w:r w:rsidRPr="009B3747">
        <w:rPr>
          <w:rFonts w:eastAsia="Times New Roman" w:cstheme="minorHAnsi"/>
          <w:color w:val="000000" w:themeColor="text1"/>
          <w:u w:val="single"/>
        </w:rPr>
        <w:t>Vanessa.halliday@sheffield.ac.uk</w:t>
      </w:r>
      <w:r w:rsidRPr="009B3747">
        <w:rPr>
          <w:rFonts w:eastAsia="Times New Roman" w:cstheme="minorHAnsi"/>
          <w:color w:val="000000" w:themeColor="text1"/>
        </w:rPr>
        <w:t xml:space="preserve">                                                         </w:t>
      </w:r>
      <w:r w:rsidRPr="009B3747">
        <w:rPr>
          <w:rFonts w:eastAsia="Times New Roman" w:cstheme="minorHAnsi"/>
          <w:color w:val="000000" w:themeColor="text1"/>
          <w:u w:val="single"/>
        </w:rPr>
        <w:t>Richard.cooper@sheffield.ac.uk</w:t>
      </w:r>
    </w:p>
    <w:p w:rsidR="004A397C" w:rsidRPr="009B3747" w:rsidRDefault="004A397C" w:rsidP="004A397C">
      <w:pPr>
        <w:widowControl w:val="0"/>
        <w:rPr>
          <w:rFonts w:eastAsia="Times New Roman" w:cstheme="minorHAnsi"/>
          <w:color w:val="000000" w:themeColor="text1"/>
        </w:rPr>
      </w:pPr>
      <w:r w:rsidRPr="009B3747">
        <w:rPr>
          <w:rFonts w:eastAsia="Times New Roman" w:cstheme="minorHAnsi"/>
          <w:color w:val="000000" w:themeColor="text1"/>
          <w:lang w:eastAsia="en-GB"/>
        </w:rPr>
        <w:t>Tel: +44 (0) 114 222 4268                                                                       Tel: +44 (0) 114 222 0683</w:t>
      </w:r>
      <w:r w:rsidRPr="009B3747">
        <w:rPr>
          <w:rFonts w:eastAsia="Times New Roman" w:cstheme="minorHAnsi"/>
          <w:color w:val="000000" w:themeColor="text1"/>
          <w:lang w:eastAsia="en-GB"/>
        </w:rPr>
        <w:br/>
        <w:t>Fax: +44 (0) 114 222 0749</w:t>
      </w:r>
      <w:r w:rsidRPr="009B3747">
        <w:rPr>
          <w:rFonts w:eastAsia="Times New Roman" w:cstheme="minorHAnsi"/>
          <w:color w:val="000000" w:themeColor="text1"/>
          <w:lang w:eastAsia="en-GB"/>
        </w:rPr>
        <w:tab/>
        <w:t xml:space="preserve">                                                           Fax: +44 (0) 114 222 0749</w:t>
      </w:r>
    </w:p>
    <w:p w:rsidR="004A397C" w:rsidRPr="009B3747" w:rsidRDefault="004A397C" w:rsidP="004A397C">
      <w:pPr>
        <w:widowControl w:val="0"/>
        <w:rPr>
          <w:rFonts w:eastAsia="Arial Unicode MS" w:cstheme="minorHAnsi"/>
          <w:color w:val="000000" w:themeColor="text1"/>
        </w:rPr>
      </w:pPr>
    </w:p>
    <w:p w:rsidR="004A397C" w:rsidRPr="009B3747" w:rsidRDefault="004A397C" w:rsidP="004A397C">
      <w:pPr>
        <w:widowControl w:val="0"/>
        <w:rPr>
          <w:rFonts w:eastAsia="Arial Unicode MS" w:cstheme="minorHAnsi"/>
          <w:color w:val="000000" w:themeColor="text1"/>
        </w:rPr>
      </w:pPr>
    </w:p>
    <w:p w:rsidR="004A397C" w:rsidRPr="009B3747" w:rsidRDefault="004A397C" w:rsidP="004A397C">
      <w:pPr>
        <w:widowControl w:val="0"/>
        <w:rPr>
          <w:rFonts w:eastAsia="Arial Unicode MS" w:cstheme="minorHAnsi"/>
          <w:i/>
          <w:color w:val="000000" w:themeColor="text1"/>
        </w:rPr>
      </w:pPr>
      <w:r w:rsidRPr="009B3747">
        <w:rPr>
          <w:rFonts w:eastAsia="Arial Unicode MS" w:cstheme="minorHAnsi"/>
          <w:i/>
          <w:color w:val="000000" w:themeColor="text1"/>
        </w:rPr>
        <w:t>Postal address for researcher and academic supervisors –</w:t>
      </w:r>
    </w:p>
    <w:p w:rsidR="004A397C" w:rsidRPr="009B3747" w:rsidRDefault="004A397C" w:rsidP="004A397C">
      <w:pPr>
        <w:widowControl w:val="0"/>
        <w:rPr>
          <w:rFonts w:eastAsia="Arial Unicode MS" w:cstheme="minorHAnsi"/>
          <w:i/>
          <w:color w:val="000000" w:themeColor="text1"/>
        </w:rPr>
      </w:pPr>
      <w:r w:rsidRPr="009B3747">
        <w:rPr>
          <w:rFonts w:eastAsia="Arial Unicode MS" w:cstheme="minorHAnsi"/>
          <w:i/>
          <w:color w:val="000000" w:themeColor="text1"/>
        </w:rPr>
        <w:t xml:space="preserve"> </w:t>
      </w:r>
    </w:p>
    <w:p w:rsidR="004A397C" w:rsidRPr="009B3747" w:rsidRDefault="004A397C" w:rsidP="004A397C">
      <w:pPr>
        <w:widowControl w:val="0"/>
        <w:rPr>
          <w:rFonts w:eastAsia="Arial Unicode MS" w:cstheme="minorHAnsi"/>
          <w:color w:val="000000" w:themeColor="text1"/>
        </w:rPr>
      </w:pPr>
      <w:r w:rsidRPr="009B3747">
        <w:rPr>
          <w:rFonts w:eastAsia="Arial Unicode MS" w:cstheme="minorHAnsi"/>
          <w:color w:val="000000" w:themeColor="text1"/>
        </w:rPr>
        <w:t>Section of Public Health</w:t>
      </w:r>
      <w:r w:rsidRPr="009B3747">
        <w:rPr>
          <w:rFonts w:eastAsia="Arial Unicode MS" w:cstheme="minorHAnsi"/>
          <w:color w:val="000000" w:themeColor="text1"/>
        </w:rPr>
        <w:tab/>
      </w:r>
      <w:r w:rsidRPr="009B3747">
        <w:rPr>
          <w:rFonts w:eastAsia="Arial Unicode MS" w:cstheme="minorHAnsi"/>
          <w:color w:val="000000" w:themeColor="text1"/>
        </w:rPr>
        <w:tab/>
      </w:r>
      <w:r w:rsidRPr="009B3747">
        <w:rPr>
          <w:rFonts w:eastAsia="Arial Unicode MS" w:cstheme="minorHAnsi"/>
          <w:color w:val="000000" w:themeColor="text1"/>
        </w:rPr>
        <w:tab/>
      </w:r>
      <w:r w:rsidRPr="009B3747">
        <w:rPr>
          <w:rFonts w:eastAsia="Arial Unicode MS" w:cstheme="minorHAnsi"/>
          <w:color w:val="000000" w:themeColor="text1"/>
        </w:rPr>
        <w:tab/>
      </w:r>
      <w:r w:rsidRPr="009B3747">
        <w:rPr>
          <w:rFonts w:eastAsia="Arial Unicode MS" w:cstheme="minorHAnsi"/>
          <w:color w:val="000000" w:themeColor="text1"/>
        </w:rPr>
        <w:tab/>
      </w:r>
      <w:r w:rsidRPr="009B3747">
        <w:rPr>
          <w:rFonts w:eastAsia="Arial Unicode MS" w:cstheme="minorHAnsi"/>
          <w:color w:val="000000" w:themeColor="text1"/>
        </w:rPr>
        <w:tab/>
        <w:t xml:space="preserve"> </w:t>
      </w:r>
    </w:p>
    <w:p w:rsidR="004A397C" w:rsidRPr="009B3747" w:rsidRDefault="004A397C" w:rsidP="004A397C">
      <w:pPr>
        <w:widowControl w:val="0"/>
        <w:tabs>
          <w:tab w:val="left" w:pos="6960"/>
        </w:tabs>
        <w:rPr>
          <w:rFonts w:eastAsia="Times New Roman" w:cstheme="minorHAnsi"/>
          <w:color w:val="000000" w:themeColor="text1"/>
        </w:rPr>
      </w:pPr>
      <w:r w:rsidRPr="009B3747">
        <w:rPr>
          <w:rFonts w:eastAsia="Times New Roman" w:cstheme="minorHAnsi"/>
          <w:color w:val="000000" w:themeColor="text1"/>
        </w:rPr>
        <w:t xml:space="preserve">School of Health and Related Research (ScHARR)                                             </w:t>
      </w:r>
    </w:p>
    <w:p w:rsidR="004A397C" w:rsidRPr="009B3747" w:rsidRDefault="004A397C" w:rsidP="004A397C">
      <w:pPr>
        <w:widowControl w:val="0"/>
        <w:tabs>
          <w:tab w:val="left" w:pos="6960"/>
        </w:tabs>
        <w:rPr>
          <w:rFonts w:eastAsia="Times New Roman" w:cstheme="minorHAnsi"/>
          <w:color w:val="000000" w:themeColor="text1"/>
        </w:rPr>
      </w:pPr>
      <w:r w:rsidRPr="009B3747">
        <w:rPr>
          <w:rFonts w:eastAsia="Times New Roman" w:cstheme="minorHAnsi"/>
          <w:color w:val="000000" w:themeColor="text1"/>
        </w:rPr>
        <w:t xml:space="preserve">The University of Sheffield                                                                     </w:t>
      </w:r>
    </w:p>
    <w:p w:rsidR="004A397C" w:rsidRPr="009B3747" w:rsidRDefault="004A397C" w:rsidP="004A397C">
      <w:pPr>
        <w:widowControl w:val="0"/>
        <w:tabs>
          <w:tab w:val="left" w:pos="6960"/>
        </w:tabs>
        <w:rPr>
          <w:rFonts w:eastAsia="Times New Roman" w:cstheme="minorHAnsi"/>
          <w:color w:val="000000" w:themeColor="text1"/>
        </w:rPr>
      </w:pPr>
      <w:r w:rsidRPr="009B3747">
        <w:rPr>
          <w:rFonts w:eastAsia="Times New Roman" w:cstheme="minorHAnsi"/>
          <w:color w:val="000000" w:themeColor="text1"/>
        </w:rPr>
        <w:t xml:space="preserve">Regent Court, 30 Regent Street                                                             </w:t>
      </w:r>
    </w:p>
    <w:p w:rsidR="004A397C" w:rsidRPr="009B3747" w:rsidRDefault="004A397C" w:rsidP="004A397C">
      <w:pPr>
        <w:widowControl w:val="0"/>
        <w:tabs>
          <w:tab w:val="left" w:pos="6960"/>
        </w:tabs>
        <w:rPr>
          <w:rFonts w:eastAsia="Times New Roman" w:cstheme="minorHAnsi"/>
          <w:color w:val="000000" w:themeColor="text1"/>
        </w:rPr>
      </w:pPr>
      <w:r w:rsidRPr="009B3747">
        <w:rPr>
          <w:rFonts w:eastAsia="Times New Roman" w:cstheme="minorHAnsi"/>
          <w:color w:val="000000" w:themeColor="text1"/>
        </w:rPr>
        <w:t xml:space="preserve">Sheffield                                                                                                      </w:t>
      </w:r>
    </w:p>
    <w:p w:rsidR="004A397C" w:rsidRPr="009B3747" w:rsidRDefault="004A397C" w:rsidP="004A397C">
      <w:pPr>
        <w:widowControl w:val="0"/>
        <w:tabs>
          <w:tab w:val="left" w:pos="6960"/>
        </w:tabs>
        <w:rPr>
          <w:rFonts w:eastAsia="Times New Roman" w:cstheme="minorHAnsi"/>
          <w:color w:val="000000" w:themeColor="text1"/>
        </w:rPr>
      </w:pPr>
      <w:r w:rsidRPr="009B3747">
        <w:rPr>
          <w:rFonts w:eastAsia="Times New Roman" w:cstheme="minorHAnsi"/>
          <w:color w:val="000000" w:themeColor="text1"/>
        </w:rPr>
        <w:t>S1 4DA</w:t>
      </w:r>
    </w:p>
    <w:p w:rsidR="004A397C" w:rsidRPr="009B3747" w:rsidRDefault="004A397C" w:rsidP="004A397C">
      <w:pPr>
        <w:spacing w:line="23" w:lineRule="atLeast"/>
        <w:rPr>
          <w:rFonts w:cstheme="minorHAnsi"/>
        </w:rPr>
      </w:pPr>
    </w:p>
    <w:p w:rsidR="004A397C" w:rsidRPr="009B3747" w:rsidRDefault="004A397C" w:rsidP="004A397C">
      <w:pPr>
        <w:spacing w:line="300" w:lineRule="auto"/>
        <w:ind w:left="-709" w:firstLine="709"/>
        <w:rPr>
          <w:rFonts w:cstheme="minorHAnsi"/>
          <w:b/>
          <w:sz w:val="28"/>
          <w:szCs w:val="28"/>
          <w:u w:val="single"/>
        </w:rPr>
      </w:pPr>
      <w:r w:rsidRPr="009B3747">
        <w:rPr>
          <w:rFonts w:cstheme="minorHAnsi"/>
          <w:b/>
          <w:noProof/>
          <w:sz w:val="28"/>
          <w:szCs w:val="28"/>
          <w:u w:val="single"/>
          <w:lang w:eastAsia="en-GB"/>
        </w:rPr>
        <w:drawing>
          <wp:anchor distT="0" distB="0" distL="114300" distR="114300" simplePos="0" relativeHeight="251675648" behindDoc="1" locked="0" layoutInCell="1" allowOverlap="1" wp14:anchorId="43A96802" wp14:editId="5507EEF0">
            <wp:simplePos x="0" y="0"/>
            <wp:positionH relativeFrom="column">
              <wp:posOffset>4181475</wp:posOffset>
            </wp:positionH>
            <wp:positionV relativeFrom="paragraph">
              <wp:posOffset>-847725</wp:posOffset>
            </wp:positionV>
            <wp:extent cx="2457450" cy="97155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574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4A2E" w:rsidRPr="009B3747">
        <w:rPr>
          <w:rFonts w:cstheme="minorHAnsi"/>
          <w:b/>
          <w:sz w:val="28"/>
          <w:szCs w:val="28"/>
          <w:u w:val="single"/>
        </w:rPr>
        <w:t>Appendix J</w:t>
      </w:r>
      <w:r w:rsidRPr="009B3747">
        <w:rPr>
          <w:rFonts w:cstheme="minorHAnsi"/>
          <w:b/>
          <w:sz w:val="28"/>
          <w:szCs w:val="28"/>
          <w:u w:val="single"/>
        </w:rPr>
        <w:t xml:space="preserve"> - Participant Consent Form</w:t>
      </w:r>
    </w:p>
    <w:p w:rsidR="004A397C" w:rsidRPr="009B3747" w:rsidRDefault="004A397C" w:rsidP="004A397C">
      <w:pPr>
        <w:spacing w:line="300" w:lineRule="auto"/>
        <w:ind w:left="-709" w:firstLine="709"/>
        <w:rPr>
          <w:rFonts w:cstheme="minorHAnsi"/>
          <w:b/>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8"/>
      </w:tblGrid>
      <w:tr w:rsidR="004A397C" w:rsidRPr="009B3747" w:rsidTr="00846B21">
        <w:tc>
          <w:tcPr>
            <w:tcW w:w="9498" w:type="dxa"/>
          </w:tcPr>
          <w:p w:rsidR="004A397C" w:rsidRPr="009B3747" w:rsidRDefault="004A397C" w:rsidP="00846B21">
            <w:pPr>
              <w:spacing w:line="300" w:lineRule="auto"/>
              <w:outlineLvl w:val="0"/>
              <w:rPr>
                <w:rFonts w:cstheme="minorHAnsi"/>
                <w:b/>
                <w:u w:val="single"/>
              </w:rPr>
            </w:pPr>
          </w:p>
          <w:p w:rsidR="004A397C" w:rsidRPr="009B3747" w:rsidRDefault="004A397C" w:rsidP="00846B21">
            <w:pPr>
              <w:spacing w:line="300" w:lineRule="auto"/>
              <w:outlineLvl w:val="0"/>
              <w:rPr>
                <w:rFonts w:cstheme="minorHAnsi"/>
              </w:rPr>
            </w:pPr>
            <w:r w:rsidRPr="009B3747">
              <w:rPr>
                <w:rFonts w:cstheme="minorHAnsi"/>
                <w:b/>
                <w:u w:val="single"/>
              </w:rPr>
              <w:t>Title of Research Project</w:t>
            </w:r>
          </w:p>
          <w:p w:rsidR="004A397C" w:rsidRPr="009B3747" w:rsidRDefault="004A397C" w:rsidP="00846B21">
            <w:pPr>
              <w:spacing w:line="300" w:lineRule="auto"/>
              <w:outlineLvl w:val="0"/>
              <w:rPr>
                <w:rFonts w:cstheme="minorHAnsi"/>
              </w:rPr>
            </w:pPr>
            <w:r w:rsidRPr="009B3747">
              <w:rPr>
                <w:rFonts w:cstheme="minorHAnsi"/>
              </w:rPr>
              <w:t>English secondary school headteachers</w:t>
            </w:r>
            <w:r w:rsidR="0082594B" w:rsidRPr="009B3747">
              <w:rPr>
                <w:rFonts w:cstheme="minorHAnsi"/>
              </w:rPr>
              <w:t>’</w:t>
            </w:r>
            <w:r w:rsidRPr="009B3747">
              <w:rPr>
                <w:rFonts w:cstheme="minorHAnsi"/>
              </w:rPr>
              <w:t xml:space="preserve"> and chairs of governors perspectives</w:t>
            </w:r>
            <w:r w:rsidR="0082594B" w:rsidRPr="009B3747">
              <w:rPr>
                <w:rFonts w:cstheme="minorHAnsi"/>
              </w:rPr>
              <w:t>’</w:t>
            </w:r>
            <w:r w:rsidRPr="009B3747">
              <w:rPr>
                <w:rFonts w:cstheme="minorHAnsi"/>
              </w:rPr>
              <w:t xml:space="preserve"> on childhood obesity and its prevention</w:t>
            </w:r>
          </w:p>
          <w:p w:rsidR="004A397C" w:rsidRPr="009B3747" w:rsidRDefault="004A397C" w:rsidP="00846B21">
            <w:pPr>
              <w:spacing w:line="300" w:lineRule="auto"/>
              <w:rPr>
                <w:rFonts w:cstheme="minorHAnsi"/>
                <w:b/>
                <w:u w:val="single"/>
              </w:rPr>
            </w:pPr>
          </w:p>
          <w:p w:rsidR="004A397C" w:rsidRPr="009B3747" w:rsidRDefault="004A397C" w:rsidP="00846B21">
            <w:pPr>
              <w:spacing w:line="300" w:lineRule="auto"/>
              <w:rPr>
                <w:rFonts w:cstheme="minorHAnsi"/>
              </w:rPr>
            </w:pPr>
            <w:r w:rsidRPr="009B3747">
              <w:rPr>
                <w:rFonts w:cstheme="minorHAnsi"/>
                <w:b/>
                <w:u w:val="single"/>
              </w:rPr>
              <w:t>Name of Researcher</w:t>
            </w:r>
          </w:p>
          <w:p w:rsidR="004A397C" w:rsidRPr="009B3747" w:rsidRDefault="004A397C" w:rsidP="00846B21">
            <w:pPr>
              <w:spacing w:line="300" w:lineRule="auto"/>
              <w:rPr>
                <w:rFonts w:cstheme="minorHAnsi"/>
              </w:rPr>
            </w:pPr>
            <w:r w:rsidRPr="009B3747">
              <w:rPr>
                <w:rFonts w:cstheme="minorHAnsi"/>
              </w:rPr>
              <w:t>Emma Howard-Drake</w:t>
            </w:r>
          </w:p>
          <w:p w:rsidR="004A397C" w:rsidRPr="009B3747" w:rsidRDefault="004A397C" w:rsidP="00846B21">
            <w:pPr>
              <w:spacing w:line="300" w:lineRule="auto"/>
              <w:rPr>
                <w:rFonts w:cstheme="minorHAnsi"/>
              </w:rPr>
            </w:pPr>
          </w:p>
          <w:p w:rsidR="004A397C" w:rsidRPr="009B3747" w:rsidRDefault="004A397C" w:rsidP="00846B21">
            <w:pPr>
              <w:pStyle w:val="BodyText2"/>
              <w:spacing w:after="0" w:line="300" w:lineRule="auto"/>
              <w:rPr>
                <w:rFonts w:cstheme="minorHAnsi"/>
              </w:rPr>
            </w:pPr>
            <w:r w:rsidRPr="009B3747">
              <w:rPr>
                <w:rFonts w:cstheme="minorHAnsi"/>
              </w:rPr>
              <w:t>Participant Identification Number for this project:</w:t>
            </w:r>
            <w:r w:rsidRPr="009B3747">
              <w:rPr>
                <w:rFonts w:cstheme="minorHAnsi"/>
              </w:rPr>
              <w:tab/>
              <w:t xml:space="preserve">                                               Please initial box</w:t>
            </w:r>
          </w:p>
          <w:p w:rsidR="004A397C" w:rsidRPr="009B3747" w:rsidRDefault="004A397C" w:rsidP="00846B21">
            <w:pPr>
              <w:pStyle w:val="BodyText2"/>
              <w:spacing w:after="0" w:line="300" w:lineRule="auto"/>
              <w:rPr>
                <w:rFonts w:cstheme="minorHAnsi"/>
                <w:sz w:val="21"/>
                <w:szCs w:val="21"/>
              </w:rPr>
            </w:pPr>
            <w:r w:rsidRPr="009B3747">
              <w:rPr>
                <w:rFonts w:cstheme="minorHAnsi"/>
                <w:noProof/>
                <w:sz w:val="21"/>
                <w:szCs w:val="21"/>
              </w:rPr>
              <mc:AlternateContent>
                <mc:Choice Requires="wps">
                  <w:drawing>
                    <wp:anchor distT="0" distB="0" distL="114300" distR="114300" simplePos="0" relativeHeight="251669504" behindDoc="0" locked="0" layoutInCell="1" allowOverlap="1" wp14:anchorId="2C6661B4" wp14:editId="6EBEFB2C">
                      <wp:simplePos x="0" y="0"/>
                      <wp:positionH relativeFrom="column">
                        <wp:posOffset>5353050</wp:posOffset>
                      </wp:positionH>
                      <wp:positionV relativeFrom="paragraph">
                        <wp:posOffset>159385</wp:posOffset>
                      </wp:positionV>
                      <wp:extent cx="457200" cy="342900"/>
                      <wp:effectExtent l="12065" t="7620" r="6985" b="1143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C3872" id="Rectangle 52" o:spid="_x0000_s1026" style="position:absolute;margin-left:421.5pt;margin-top:12.55pt;width:36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"/>
                  </w:pict>
                </mc:Fallback>
              </mc:AlternateContent>
            </w:r>
          </w:p>
          <w:p w:rsidR="004A397C" w:rsidRPr="009B3747" w:rsidRDefault="004A397C" w:rsidP="00C27072">
            <w:pPr>
              <w:numPr>
                <w:ilvl w:val="0"/>
                <w:numId w:val="140"/>
              </w:numPr>
              <w:tabs>
                <w:tab w:val="clear" w:pos="720"/>
                <w:tab w:val="num" w:pos="360"/>
              </w:tabs>
              <w:spacing w:line="300" w:lineRule="auto"/>
              <w:ind w:left="360"/>
              <w:rPr>
                <w:rFonts w:cstheme="minorHAnsi"/>
                <w:sz w:val="21"/>
                <w:szCs w:val="21"/>
              </w:rPr>
            </w:pPr>
            <w:r w:rsidRPr="009B3747">
              <w:rPr>
                <w:rFonts w:cstheme="minorHAnsi"/>
                <w:sz w:val="21"/>
                <w:szCs w:val="21"/>
              </w:rPr>
              <w:t>I confirm that I have read and understand the information sheet dated                                                                  explaining the above research project and I have had the                                                                      opportunity to ask questions about the project</w:t>
            </w:r>
          </w:p>
          <w:p w:rsidR="004A397C" w:rsidRPr="009B3747" w:rsidRDefault="004A397C" w:rsidP="00846B21">
            <w:pPr>
              <w:spacing w:line="300" w:lineRule="auto"/>
              <w:rPr>
                <w:rFonts w:cstheme="minorHAnsi"/>
                <w:sz w:val="21"/>
                <w:szCs w:val="21"/>
              </w:rPr>
            </w:pPr>
          </w:p>
          <w:p w:rsidR="004A397C" w:rsidRPr="009B3747" w:rsidRDefault="004A397C" w:rsidP="00C27072">
            <w:pPr>
              <w:numPr>
                <w:ilvl w:val="0"/>
                <w:numId w:val="140"/>
              </w:numPr>
              <w:tabs>
                <w:tab w:val="clear" w:pos="720"/>
                <w:tab w:val="num" w:pos="360"/>
              </w:tabs>
              <w:spacing w:line="300" w:lineRule="auto"/>
              <w:ind w:left="360"/>
              <w:rPr>
                <w:rFonts w:cstheme="minorHAnsi"/>
                <w:sz w:val="21"/>
                <w:szCs w:val="21"/>
              </w:rPr>
            </w:pPr>
            <w:r w:rsidRPr="009B3747">
              <w:rPr>
                <w:rFonts w:cstheme="minorHAnsi"/>
                <w:noProof/>
                <w:sz w:val="21"/>
                <w:szCs w:val="21"/>
                <w:lang w:eastAsia="en-GB"/>
              </w:rPr>
              <mc:AlternateContent>
                <mc:Choice Requires="wps">
                  <w:drawing>
                    <wp:anchor distT="0" distB="0" distL="114300" distR="114300" simplePos="0" relativeHeight="251670528" behindDoc="0" locked="0" layoutInCell="1" allowOverlap="1" wp14:anchorId="2FB6BD73" wp14:editId="108E9F00">
                      <wp:simplePos x="0" y="0"/>
                      <wp:positionH relativeFrom="column">
                        <wp:posOffset>5353050</wp:posOffset>
                      </wp:positionH>
                      <wp:positionV relativeFrom="paragraph">
                        <wp:posOffset>5715</wp:posOffset>
                      </wp:positionV>
                      <wp:extent cx="457200" cy="342900"/>
                      <wp:effectExtent l="12065" t="5080" r="6985" b="1397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A095B" id="Rectangle 53" o:spid="_x0000_s1026" style="position:absolute;margin-left:421.5pt;margin-top:.45pt;width:36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"/>
                  </w:pict>
                </mc:Fallback>
              </mc:AlternateContent>
            </w:r>
            <w:r w:rsidRPr="009B3747">
              <w:rPr>
                <w:rFonts w:cstheme="minorHAnsi"/>
                <w:sz w:val="21"/>
                <w:szCs w:val="21"/>
              </w:rPr>
              <w:t xml:space="preserve">I understand that my participation is voluntary and that I am free to withdraw at                                                                      any time without giving any reason and without there being any negative                                                            consequences.  In addition, should I not wish to answer any particular question or                                                       questions, I am free to decline.  </w:t>
            </w:r>
          </w:p>
          <w:p w:rsidR="004A397C" w:rsidRPr="009B3747" w:rsidRDefault="004A397C" w:rsidP="00846B21">
            <w:pPr>
              <w:pStyle w:val="ListParagraph"/>
              <w:spacing w:line="300" w:lineRule="auto"/>
              <w:rPr>
                <w:rFonts w:cstheme="minorHAnsi"/>
                <w:sz w:val="21"/>
                <w:szCs w:val="21"/>
              </w:rPr>
            </w:pPr>
          </w:p>
          <w:p w:rsidR="004A397C" w:rsidRPr="009B3747" w:rsidRDefault="004A397C" w:rsidP="00846B21">
            <w:pPr>
              <w:spacing w:line="300" w:lineRule="auto"/>
              <w:ind w:left="360"/>
              <w:rPr>
                <w:rFonts w:cstheme="minorHAnsi"/>
                <w:i/>
                <w:sz w:val="21"/>
                <w:szCs w:val="21"/>
              </w:rPr>
            </w:pPr>
            <w:r w:rsidRPr="009B3747">
              <w:rPr>
                <w:rFonts w:cstheme="minorHAnsi"/>
                <w:i/>
                <w:sz w:val="21"/>
                <w:szCs w:val="21"/>
              </w:rPr>
              <w:t xml:space="preserve">Researcher contact details – </w:t>
            </w:r>
          </w:p>
          <w:p w:rsidR="004A397C" w:rsidRPr="009B3747" w:rsidRDefault="004A397C" w:rsidP="00846B21">
            <w:pPr>
              <w:spacing w:line="300" w:lineRule="auto"/>
              <w:ind w:left="360"/>
              <w:rPr>
                <w:rFonts w:cstheme="minorHAnsi"/>
                <w:sz w:val="21"/>
                <w:szCs w:val="21"/>
              </w:rPr>
            </w:pPr>
            <w:r w:rsidRPr="009B3747">
              <w:rPr>
                <w:rFonts w:cstheme="minorHAnsi"/>
                <w:sz w:val="21"/>
                <w:szCs w:val="21"/>
              </w:rPr>
              <w:t>Emma Howard-Drake</w:t>
            </w:r>
          </w:p>
          <w:p w:rsidR="004A397C" w:rsidRPr="009B3747" w:rsidRDefault="004A397C" w:rsidP="00846B21">
            <w:pPr>
              <w:spacing w:line="300" w:lineRule="auto"/>
              <w:ind w:left="360"/>
              <w:rPr>
                <w:rFonts w:cstheme="minorHAnsi"/>
                <w:sz w:val="21"/>
                <w:szCs w:val="21"/>
              </w:rPr>
            </w:pPr>
            <w:r w:rsidRPr="009B3747">
              <w:rPr>
                <w:rFonts w:cstheme="minorHAnsi"/>
                <w:sz w:val="21"/>
                <w:szCs w:val="21"/>
              </w:rPr>
              <w:t>ScHARR, University of Sheffield</w:t>
            </w:r>
          </w:p>
          <w:p w:rsidR="004A397C" w:rsidRPr="009B3747" w:rsidRDefault="00071EBF" w:rsidP="00846B21">
            <w:pPr>
              <w:spacing w:line="300" w:lineRule="auto"/>
              <w:ind w:left="360"/>
              <w:rPr>
                <w:rFonts w:cstheme="minorHAnsi"/>
                <w:sz w:val="21"/>
                <w:szCs w:val="21"/>
              </w:rPr>
            </w:pPr>
            <w:hyperlink r:id="rId40" w:history="1">
              <w:r w:rsidR="004A397C" w:rsidRPr="009B3747">
                <w:rPr>
                  <w:rStyle w:val="Hyperlink"/>
                  <w:rFonts w:cstheme="minorHAnsi"/>
                </w:rPr>
                <w:t>ehoward-drake1@sheffield.ac.uk</w:t>
              </w:r>
            </w:hyperlink>
          </w:p>
          <w:p w:rsidR="004A397C" w:rsidRPr="009B3747" w:rsidRDefault="004A397C" w:rsidP="00846B21">
            <w:pPr>
              <w:spacing w:line="300" w:lineRule="auto"/>
              <w:ind w:left="360"/>
              <w:rPr>
                <w:rFonts w:cstheme="minorHAnsi"/>
                <w:sz w:val="21"/>
                <w:szCs w:val="21"/>
              </w:rPr>
            </w:pPr>
            <w:r w:rsidRPr="009B3747">
              <w:rPr>
                <w:rFonts w:cstheme="minorHAnsi"/>
                <w:sz w:val="21"/>
                <w:szCs w:val="21"/>
              </w:rPr>
              <w:t>07989 808187</w:t>
            </w:r>
          </w:p>
          <w:p w:rsidR="004A397C" w:rsidRPr="009B3747" w:rsidRDefault="004A397C" w:rsidP="00846B21">
            <w:pPr>
              <w:spacing w:line="300" w:lineRule="auto"/>
              <w:ind w:left="360"/>
              <w:rPr>
                <w:rFonts w:cstheme="minorHAnsi"/>
                <w:sz w:val="21"/>
                <w:szCs w:val="21"/>
              </w:rPr>
            </w:pPr>
            <w:r w:rsidRPr="009B3747">
              <w:rPr>
                <w:rFonts w:cstheme="minorHAnsi"/>
                <w:b/>
                <w:noProof/>
                <w:u w:val="single"/>
                <w:lang w:eastAsia="en-GB"/>
              </w:rPr>
              <mc:AlternateContent>
                <mc:Choice Requires="wps">
                  <w:drawing>
                    <wp:anchor distT="0" distB="0" distL="114300" distR="114300" simplePos="0" relativeHeight="251673600" behindDoc="0" locked="0" layoutInCell="1" allowOverlap="1" wp14:anchorId="4A767BA5" wp14:editId="3E724F12">
                      <wp:simplePos x="0" y="0"/>
                      <wp:positionH relativeFrom="column">
                        <wp:posOffset>5302885</wp:posOffset>
                      </wp:positionH>
                      <wp:positionV relativeFrom="paragraph">
                        <wp:posOffset>182880</wp:posOffset>
                      </wp:positionV>
                      <wp:extent cx="457200" cy="342900"/>
                      <wp:effectExtent l="9525" t="13970" r="9525" b="508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D9EB1" id="Rectangle 54" o:spid="_x0000_s1026" style="position:absolute;margin-left:417.55pt;margin-top:14.4pt;width:36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"/>
                  </w:pict>
                </mc:Fallback>
              </mc:AlternateContent>
            </w:r>
          </w:p>
          <w:p w:rsidR="004A397C" w:rsidRPr="009B3747" w:rsidRDefault="004A397C" w:rsidP="00846B21">
            <w:pPr>
              <w:spacing w:line="300" w:lineRule="auto"/>
              <w:rPr>
                <w:rFonts w:cstheme="minorHAnsi"/>
                <w:sz w:val="21"/>
                <w:szCs w:val="21"/>
              </w:rPr>
            </w:pPr>
            <w:r w:rsidRPr="009B3747">
              <w:rPr>
                <w:rFonts w:cstheme="minorHAnsi"/>
                <w:sz w:val="21"/>
                <w:szCs w:val="21"/>
              </w:rPr>
              <w:t>3.     I agree for the interview to be audio recorded.  I understand that after the interview</w:t>
            </w:r>
          </w:p>
          <w:p w:rsidR="004A397C" w:rsidRPr="009B3747" w:rsidRDefault="004A397C" w:rsidP="00846B21">
            <w:pPr>
              <w:spacing w:line="300" w:lineRule="auto"/>
              <w:ind w:left="318" w:hanging="318"/>
              <w:rPr>
                <w:rFonts w:cstheme="minorHAnsi"/>
                <w:szCs w:val="20"/>
              </w:rPr>
            </w:pPr>
            <w:r w:rsidRPr="009B3747">
              <w:rPr>
                <w:rFonts w:cstheme="minorHAnsi"/>
                <w:sz w:val="21"/>
                <w:szCs w:val="21"/>
              </w:rPr>
              <w:t xml:space="preserve">        has been completed, the researcher will transcribe and anonymise the recording and                                             then permanently delete the audio file. </w:t>
            </w:r>
          </w:p>
          <w:p w:rsidR="004A397C" w:rsidRPr="009B3747" w:rsidRDefault="004A397C" w:rsidP="00846B21">
            <w:pPr>
              <w:spacing w:line="300" w:lineRule="auto"/>
              <w:rPr>
                <w:rFonts w:cstheme="minorHAnsi"/>
                <w:sz w:val="21"/>
                <w:szCs w:val="21"/>
              </w:rPr>
            </w:pPr>
          </w:p>
          <w:p w:rsidR="004A397C" w:rsidRPr="009B3747" w:rsidRDefault="004A397C" w:rsidP="00C27072">
            <w:pPr>
              <w:numPr>
                <w:ilvl w:val="0"/>
                <w:numId w:val="141"/>
              </w:numPr>
              <w:tabs>
                <w:tab w:val="left" w:pos="360"/>
              </w:tabs>
              <w:spacing w:line="300" w:lineRule="auto"/>
              <w:ind w:left="318" w:hanging="284"/>
              <w:rPr>
                <w:rFonts w:cstheme="minorHAnsi"/>
                <w:sz w:val="21"/>
                <w:szCs w:val="21"/>
              </w:rPr>
            </w:pPr>
            <w:r w:rsidRPr="009B3747">
              <w:rPr>
                <w:rFonts w:cstheme="minorHAnsi"/>
                <w:noProof/>
                <w:sz w:val="21"/>
                <w:szCs w:val="21"/>
                <w:lang w:eastAsia="en-GB"/>
              </w:rPr>
              <mc:AlternateContent>
                <mc:Choice Requires="wps">
                  <w:drawing>
                    <wp:anchor distT="0" distB="0" distL="114300" distR="114300" simplePos="0" relativeHeight="251671552" behindDoc="0" locked="0" layoutInCell="1" allowOverlap="1" wp14:anchorId="42502F1E" wp14:editId="192C79FA">
                      <wp:simplePos x="0" y="0"/>
                      <wp:positionH relativeFrom="column">
                        <wp:posOffset>5302885</wp:posOffset>
                      </wp:positionH>
                      <wp:positionV relativeFrom="paragraph">
                        <wp:posOffset>22860</wp:posOffset>
                      </wp:positionV>
                      <wp:extent cx="457200" cy="342900"/>
                      <wp:effectExtent l="9525" t="13970" r="9525" b="508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40EE4" id="Rectangle 55" o:spid="_x0000_s1026" style="position:absolute;margin-left:417.55pt;margin-top:1.8pt;width:36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"/>
                  </w:pict>
                </mc:Fallback>
              </mc:AlternateContent>
            </w:r>
            <w:r w:rsidRPr="009B3747">
              <w:rPr>
                <w:rFonts w:cstheme="minorHAnsi"/>
                <w:sz w:val="21"/>
                <w:szCs w:val="21"/>
              </w:rPr>
              <w:t xml:space="preserve">I understand that my responses will be kept strictly confidential.  I give permission                                                                           for members of the research team to have access to my anonymised responses.                                                                       I understand that my name will not be linked with the research materials, and I will                                                           not be identified or identifiable in the report or reports that result from the research.  </w:t>
            </w:r>
          </w:p>
          <w:p w:rsidR="004A397C" w:rsidRPr="009B3747" w:rsidRDefault="004A397C" w:rsidP="00846B21">
            <w:pPr>
              <w:tabs>
                <w:tab w:val="left" w:pos="360"/>
              </w:tabs>
              <w:spacing w:line="300" w:lineRule="auto"/>
              <w:rPr>
                <w:rFonts w:cstheme="minorHAnsi"/>
                <w:sz w:val="21"/>
                <w:szCs w:val="21"/>
              </w:rPr>
            </w:pPr>
            <w:r w:rsidRPr="009B3747">
              <w:rPr>
                <w:rFonts w:cstheme="minorHAnsi"/>
                <w:noProof/>
                <w:sz w:val="21"/>
                <w:szCs w:val="21"/>
                <w:lang w:eastAsia="en-GB"/>
              </w:rPr>
              <mc:AlternateContent>
                <mc:Choice Requires="wps">
                  <w:drawing>
                    <wp:anchor distT="0" distB="0" distL="114300" distR="114300" simplePos="0" relativeHeight="251672576" behindDoc="0" locked="0" layoutInCell="1" allowOverlap="1" wp14:anchorId="5A502AC2" wp14:editId="5085447E">
                      <wp:simplePos x="0" y="0"/>
                      <wp:positionH relativeFrom="column">
                        <wp:posOffset>5302885</wp:posOffset>
                      </wp:positionH>
                      <wp:positionV relativeFrom="paragraph">
                        <wp:posOffset>71120</wp:posOffset>
                      </wp:positionV>
                      <wp:extent cx="457200" cy="342900"/>
                      <wp:effectExtent l="9525" t="9525" r="9525" b="952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A4697" id="Rectangle 56" o:spid="_x0000_s1026" style="position:absolute;margin-left:417.55pt;margin-top:5.6pt;width:36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"/>
                  </w:pict>
                </mc:Fallback>
              </mc:AlternateContent>
            </w:r>
          </w:p>
          <w:p w:rsidR="004A397C" w:rsidRPr="009B3747" w:rsidRDefault="004A397C" w:rsidP="00C27072">
            <w:pPr>
              <w:numPr>
                <w:ilvl w:val="0"/>
                <w:numId w:val="141"/>
              </w:numPr>
              <w:tabs>
                <w:tab w:val="left" w:pos="360"/>
              </w:tabs>
              <w:spacing w:line="300" w:lineRule="auto"/>
              <w:ind w:left="318" w:hanging="284"/>
              <w:rPr>
                <w:rFonts w:cstheme="minorHAnsi"/>
                <w:sz w:val="21"/>
                <w:szCs w:val="21"/>
              </w:rPr>
            </w:pPr>
            <w:r w:rsidRPr="009B3747">
              <w:rPr>
                <w:rFonts w:cstheme="minorHAnsi"/>
                <w:sz w:val="21"/>
                <w:szCs w:val="21"/>
              </w:rPr>
              <w:t xml:space="preserve"> I agree for the data collected from me to be used in future research </w:t>
            </w:r>
          </w:p>
          <w:p w:rsidR="004A397C" w:rsidRPr="009B3747" w:rsidRDefault="004A397C" w:rsidP="00846B21">
            <w:pPr>
              <w:tabs>
                <w:tab w:val="left" w:pos="360"/>
              </w:tabs>
              <w:spacing w:line="300" w:lineRule="auto"/>
              <w:rPr>
                <w:rFonts w:cstheme="minorHAnsi"/>
                <w:sz w:val="21"/>
                <w:szCs w:val="21"/>
              </w:rPr>
            </w:pPr>
          </w:p>
          <w:p w:rsidR="004A397C" w:rsidRPr="009B3747" w:rsidRDefault="004A397C" w:rsidP="00C27072">
            <w:pPr>
              <w:numPr>
                <w:ilvl w:val="0"/>
                <w:numId w:val="141"/>
              </w:numPr>
              <w:tabs>
                <w:tab w:val="left" w:pos="360"/>
              </w:tabs>
              <w:spacing w:line="300" w:lineRule="auto"/>
              <w:ind w:left="318" w:hanging="284"/>
              <w:rPr>
                <w:rFonts w:cstheme="minorHAnsi"/>
                <w:sz w:val="21"/>
                <w:szCs w:val="21"/>
              </w:rPr>
            </w:pPr>
            <w:r w:rsidRPr="009B3747">
              <w:rPr>
                <w:rFonts w:cstheme="minorHAnsi"/>
                <w:b/>
                <w:noProof/>
                <w:u w:val="single"/>
                <w:lang w:eastAsia="en-GB"/>
              </w:rPr>
              <mc:AlternateContent>
                <mc:Choice Requires="wps">
                  <w:drawing>
                    <wp:anchor distT="0" distB="0" distL="114300" distR="114300" simplePos="0" relativeHeight="251674624" behindDoc="0" locked="0" layoutInCell="1" allowOverlap="1" wp14:anchorId="23A184D2" wp14:editId="0671271D">
                      <wp:simplePos x="0" y="0"/>
                      <wp:positionH relativeFrom="column">
                        <wp:posOffset>5302885</wp:posOffset>
                      </wp:positionH>
                      <wp:positionV relativeFrom="paragraph">
                        <wp:posOffset>-1270</wp:posOffset>
                      </wp:positionV>
                      <wp:extent cx="457200" cy="342900"/>
                      <wp:effectExtent l="9525" t="13970" r="9525" b="508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53D90" id="Rectangle 57" o:spid="_x0000_s1026" style="position:absolute;margin-left:417.55pt;margin-top:-.1pt;width:36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"/>
                  </w:pict>
                </mc:Fallback>
              </mc:AlternateContent>
            </w:r>
            <w:r w:rsidRPr="009B3747">
              <w:rPr>
                <w:rFonts w:cstheme="minorHAnsi"/>
                <w:sz w:val="21"/>
                <w:szCs w:val="21"/>
              </w:rPr>
              <w:t>I agree to take part in the above research project.</w:t>
            </w:r>
          </w:p>
          <w:p w:rsidR="004A397C" w:rsidRPr="009B3747" w:rsidRDefault="004A397C" w:rsidP="00846B21">
            <w:pPr>
              <w:spacing w:line="300" w:lineRule="auto"/>
              <w:rPr>
                <w:rFonts w:cstheme="minorHAnsi"/>
                <w:sz w:val="21"/>
                <w:szCs w:val="21"/>
              </w:rPr>
            </w:pPr>
          </w:p>
          <w:p w:rsidR="004A397C" w:rsidRPr="009B3747" w:rsidRDefault="004A397C" w:rsidP="00846B21">
            <w:pPr>
              <w:spacing w:line="300" w:lineRule="auto"/>
              <w:rPr>
                <w:rFonts w:cstheme="minorHAnsi"/>
                <w:sz w:val="21"/>
                <w:szCs w:val="21"/>
              </w:rPr>
            </w:pPr>
          </w:p>
          <w:p w:rsidR="004A397C" w:rsidRPr="009B3747" w:rsidRDefault="004A397C" w:rsidP="00846B21">
            <w:pPr>
              <w:spacing w:line="300" w:lineRule="auto"/>
              <w:rPr>
                <w:rFonts w:cstheme="minorHAnsi"/>
                <w:sz w:val="21"/>
                <w:szCs w:val="21"/>
              </w:rPr>
            </w:pPr>
          </w:p>
          <w:p w:rsidR="004A397C" w:rsidRPr="009B3747" w:rsidRDefault="004A397C" w:rsidP="00846B21">
            <w:pPr>
              <w:spacing w:line="300" w:lineRule="auto"/>
              <w:rPr>
                <w:rFonts w:cstheme="minorHAnsi"/>
                <w:sz w:val="21"/>
                <w:szCs w:val="21"/>
              </w:rPr>
            </w:pPr>
          </w:p>
          <w:p w:rsidR="004A397C" w:rsidRPr="009B3747" w:rsidRDefault="004A397C" w:rsidP="00846B21">
            <w:pPr>
              <w:tabs>
                <w:tab w:val="left" w:pos="3600"/>
                <w:tab w:val="left" w:pos="6480"/>
              </w:tabs>
              <w:spacing w:line="300" w:lineRule="auto"/>
              <w:rPr>
                <w:rFonts w:cstheme="minorHAnsi"/>
                <w:sz w:val="21"/>
                <w:szCs w:val="21"/>
              </w:rPr>
            </w:pPr>
          </w:p>
          <w:p w:rsidR="004A397C" w:rsidRPr="009B3747" w:rsidRDefault="004A397C" w:rsidP="00846B21">
            <w:pPr>
              <w:tabs>
                <w:tab w:val="left" w:pos="3600"/>
                <w:tab w:val="left" w:pos="6480"/>
              </w:tabs>
              <w:spacing w:line="300" w:lineRule="auto"/>
              <w:rPr>
                <w:rFonts w:cstheme="minorHAnsi"/>
                <w:sz w:val="21"/>
                <w:szCs w:val="21"/>
              </w:rPr>
            </w:pPr>
            <w:r w:rsidRPr="009B3747">
              <w:rPr>
                <w:rFonts w:cstheme="minorHAnsi"/>
                <w:sz w:val="21"/>
                <w:szCs w:val="21"/>
              </w:rPr>
              <w:t>________________________</w:t>
            </w:r>
            <w:r w:rsidRPr="009B3747">
              <w:rPr>
                <w:rFonts w:cstheme="minorHAnsi"/>
                <w:sz w:val="21"/>
                <w:szCs w:val="21"/>
              </w:rPr>
              <w:tab/>
              <w:t>________________         ____________________</w:t>
            </w:r>
          </w:p>
          <w:p w:rsidR="004A397C" w:rsidRPr="009B3747" w:rsidRDefault="004A397C" w:rsidP="00846B21">
            <w:pPr>
              <w:tabs>
                <w:tab w:val="left" w:pos="3600"/>
                <w:tab w:val="left" w:pos="6480"/>
              </w:tabs>
              <w:spacing w:line="300" w:lineRule="auto"/>
              <w:rPr>
                <w:rFonts w:cstheme="minorHAnsi"/>
                <w:sz w:val="21"/>
                <w:szCs w:val="21"/>
              </w:rPr>
            </w:pPr>
            <w:r w:rsidRPr="009B3747">
              <w:rPr>
                <w:rFonts w:cstheme="minorHAnsi"/>
                <w:sz w:val="21"/>
                <w:szCs w:val="21"/>
              </w:rPr>
              <w:t>Name of Participant</w:t>
            </w:r>
            <w:r w:rsidRPr="009B3747">
              <w:rPr>
                <w:rFonts w:cstheme="minorHAnsi"/>
                <w:sz w:val="21"/>
                <w:szCs w:val="21"/>
              </w:rPr>
              <w:tab/>
              <w:t>Date</w:t>
            </w:r>
            <w:r w:rsidRPr="009B3747">
              <w:rPr>
                <w:rFonts w:cstheme="minorHAnsi"/>
                <w:sz w:val="21"/>
                <w:szCs w:val="21"/>
              </w:rPr>
              <w:tab/>
              <w:t>Signature</w:t>
            </w:r>
          </w:p>
          <w:p w:rsidR="004A397C" w:rsidRPr="009B3747" w:rsidRDefault="004A397C" w:rsidP="00846B21">
            <w:pPr>
              <w:spacing w:line="300" w:lineRule="auto"/>
              <w:rPr>
                <w:rFonts w:cstheme="minorHAnsi"/>
                <w:sz w:val="21"/>
                <w:szCs w:val="21"/>
              </w:rPr>
            </w:pPr>
            <w:r w:rsidRPr="009B3747">
              <w:rPr>
                <w:rFonts w:cstheme="minorHAnsi"/>
                <w:sz w:val="21"/>
                <w:szCs w:val="21"/>
              </w:rPr>
              <w:t>(</w:t>
            </w:r>
            <w:r w:rsidRPr="009B3747">
              <w:rPr>
                <w:rFonts w:cstheme="minorHAnsi"/>
                <w:i/>
                <w:iCs/>
                <w:sz w:val="21"/>
                <w:szCs w:val="21"/>
              </w:rPr>
              <w:t>or legal representative</w:t>
            </w:r>
            <w:r w:rsidRPr="009B3747">
              <w:rPr>
                <w:rFonts w:cstheme="minorHAnsi"/>
                <w:sz w:val="21"/>
                <w:szCs w:val="21"/>
              </w:rPr>
              <w:t>)</w:t>
            </w:r>
          </w:p>
          <w:p w:rsidR="004A397C" w:rsidRPr="009B3747" w:rsidRDefault="004A397C" w:rsidP="00846B21">
            <w:pPr>
              <w:pStyle w:val="Header"/>
              <w:spacing w:line="300" w:lineRule="auto"/>
              <w:rPr>
                <w:rFonts w:cstheme="minorHAnsi"/>
                <w:sz w:val="21"/>
                <w:szCs w:val="21"/>
              </w:rPr>
            </w:pPr>
          </w:p>
          <w:p w:rsidR="004A397C" w:rsidRPr="009B3747" w:rsidRDefault="004A397C" w:rsidP="00846B21">
            <w:pPr>
              <w:pStyle w:val="Header"/>
              <w:spacing w:line="300" w:lineRule="auto"/>
              <w:rPr>
                <w:rFonts w:cstheme="minorHAnsi"/>
                <w:sz w:val="21"/>
                <w:szCs w:val="21"/>
              </w:rPr>
            </w:pPr>
          </w:p>
          <w:p w:rsidR="004A397C" w:rsidRPr="009B3747" w:rsidRDefault="004A397C" w:rsidP="00846B21">
            <w:pPr>
              <w:tabs>
                <w:tab w:val="left" w:pos="3600"/>
                <w:tab w:val="left" w:pos="6480"/>
              </w:tabs>
              <w:spacing w:line="300" w:lineRule="auto"/>
              <w:rPr>
                <w:rFonts w:cstheme="minorHAnsi"/>
                <w:sz w:val="21"/>
                <w:szCs w:val="21"/>
              </w:rPr>
            </w:pPr>
            <w:r w:rsidRPr="009B3747">
              <w:rPr>
                <w:rFonts w:cstheme="minorHAnsi"/>
                <w:sz w:val="21"/>
                <w:szCs w:val="21"/>
              </w:rPr>
              <w:t>_________________________</w:t>
            </w:r>
            <w:r w:rsidRPr="009B3747">
              <w:rPr>
                <w:rFonts w:cstheme="minorHAnsi"/>
                <w:sz w:val="21"/>
                <w:szCs w:val="21"/>
              </w:rPr>
              <w:tab/>
              <w:t>________________         ____________________</w:t>
            </w:r>
          </w:p>
          <w:p w:rsidR="004A397C" w:rsidRPr="009B3747" w:rsidRDefault="004A397C" w:rsidP="00846B21">
            <w:pPr>
              <w:tabs>
                <w:tab w:val="left" w:pos="3600"/>
                <w:tab w:val="left" w:pos="6480"/>
              </w:tabs>
              <w:spacing w:line="300" w:lineRule="auto"/>
              <w:rPr>
                <w:rFonts w:cstheme="minorHAnsi"/>
                <w:sz w:val="21"/>
                <w:szCs w:val="21"/>
              </w:rPr>
            </w:pPr>
            <w:r w:rsidRPr="009B3747">
              <w:rPr>
                <w:rFonts w:cstheme="minorHAnsi"/>
                <w:sz w:val="21"/>
                <w:szCs w:val="21"/>
              </w:rPr>
              <w:t>Name of person taking consent</w:t>
            </w:r>
            <w:r w:rsidRPr="009B3747">
              <w:rPr>
                <w:rFonts w:cstheme="minorHAnsi"/>
                <w:sz w:val="21"/>
                <w:szCs w:val="21"/>
              </w:rPr>
              <w:tab/>
              <w:t>Date</w:t>
            </w:r>
            <w:r w:rsidRPr="009B3747">
              <w:rPr>
                <w:rFonts w:cstheme="minorHAnsi"/>
                <w:sz w:val="21"/>
                <w:szCs w:val="21"/>
              </w:rPr>
              <w:tab/>
              <w:t>Signature</w:t>
            </w:r>
          </w:p>
          <w:p w:rsidR="004A397C" w:rsidRPr="009B3747" w:rsidRDefault="004A397C" w:rsidP="00846B21">
            <w:pPr>
              <w:tabs>
                <w:tab w:val="left" w:pos="3600"/>
                <w:tab w:val="left" w:pos="6480"/>
              </w:tabs>
              <w:spacing w:line="300" w:lineRule="auto"/>
              <w:rPr>
                <w:rFonts w:cstheme="minorHAnsi"/>
                <w:sz w:val="21"/>
                <w:szCs w:val="21"/>
              </w:rPr>
            </w:pPr>
            <w:r w:rsidRPr="009B3747">
              <w:rPr>
                <w:rFonts w:cstheme="minorHAnsi"/>
                <w:sz w:val="21"/>
                <w:szCs w:val="21"/>
              </w:rPr>
              <w:t>(</w:t>
            </w:r>
            <w:r w:rsidRPr="009B3747">
              <w:rPr>
                <w:rFonts w:cstheme="minorHAnsi"/>
                <w:i/>
                <w:iCs/>
                <w:sz w:val="21"/>
                <w:szCs w:val="21"/>
              </w:rPr>
              <w:t>if different from lead researcher</w:t>
            </w:r>
            <w:r w:rsidRPr="009B3747">
              <w:rPr>
                <w:rFonts w:cstheme="minorHAnsi"/>
                <w:sz w:val="21"/>
                <w:szCs w:val="21"/>
              </w:rPr>
              <w:t>)</w:t>
            </w:r>
          </w:p>
          <w:p w:rsidR="004A397C" w:rsidRPr="009B3747" w:rsidRDefault="004A397C" w:rsidP="00846B21">
            <w:pPr>
              <w:spacing w:line="300" w:lineRule="auto"/>
              <w:rPr>
                <w:rFonts w:cstheme="minorHAnsi"/>
                <w:i/>
                <w:iCs/>
                <w:sz w:val="21"/>
                <w:szCs w:val="21"/>
              </w:rPr>
            </w:pPr>
            <w:r w:rsidRPr="009B3747">
              <w:rPr>
                <w:rFonts w:cstheme="minorHAnsi"/>
                <w:i/>
                <w:iCs/>
                <w:sz w:val="21"/>
                <w:szCs w:val="21"/>
              </w:rPr>
              <w:t>To be signed and dated in presence of the participant</w:t>
            </w:r>
          </w:p>
          <w:p w:rsidR="004A397C" w:rsidRPr="009B3747" w:rsidRDefault="004A397C" w:rsidP="00846B21">
            <w:pPr>
              <w:spacing w:line="300" w:lineRule="auto"/>
              <w:rPr>
                <w:rFonts w:cstheme="minorHAnsi"/>
                <w:sz w:val="21"/>
                <w:szCs w:val="21"/>
              </w:rPr>
            </w:pPr>
          </w:p>
          <w:p w:rsidR="004A397C" w:rsidRPr="009B3747" w:rsidRDefault="004A397C" w:rsidP="00846B21">
            <w:pPr>
              <w:spacing w:line="300" w:lineRule="auto"/>
              <w:rPr>
                <w:rFonts w:cstheme="minorHAnsi"/>
                <w:sz w:val="21"/>
                <w:szCs w:val="21"/>
              </w:rPr>
            </w:pPr>
          </w:p>
          <w:p w:rsidR="004A397C" w:rsidRPr="009B3747" w:rsidRDefault="004A397C" w:rsidP="00846B21">
            <w:pPr>
              <w:pStyle w:val="Header"/>
              <w:tabs>
                <w:tab w:val="left" w:pos="3600"/>
                <w:tab w:val="left" w:pos="6480"/>
              </w:tabs>
              <w:spacing w:line="300" w:lineRule="auto"/>
              <w:rPr>
                <w:rFonts w:cstheme="minorHAnsi"/>
              </w:rPr>
            </w:pPr>
            <w:r w:rsidRPr="009B3747">
              <w:rPr>
                <w:rFonts w:cstheme="minorHAnsi"/>
              </w:rPr>
              <w:t>_________________________</w:t>
            </w:r>
            <w:r w:rsidRPr="009B3747">
              <w:rPr>
                <w:rFonts w:cstheme="minorHAnsi"/>
              </w:rPr>
              <w:tab/>
              <w:t>________________         ____________________</w:t>
            </w:r>
          </w:p>
          <w:p w:rsidR="004A397C" w:rsidRPr="009B3747" w:rsidRDefault="004A397C" w:rsidP="00846B21">
            <w:pPr>
              <w:tabs>
                <w:tab w:val="left" w:pos="3600"/>
                <w:tab w:val="left" w:pos="6480"/>
              </w:tabs>
              <w:spacing w:line="300" w:lineRule="auto"/>
              <w:rPr>
                <w:rFonts w:cstheme="minorHAnsi"/>
              </w:rPr>
            </w:pPr>
            <w:r w:rsidRPr="009B3747">
              <w:rPr>
                <w:rFonts w:cstheme="minorHAnsi"/>
              </w:rPr>
              <w:t xml:space="preserve"> Lead Researcher</w:t>
            </w:r>
            <w:r w:rsidRPr="009B3747">
              <w:rPr>
                <w:rFonts w:cstheme="minorHAnsi"/>
              </w:rPr>
              <w:tab/>
              <w:t>Date</w:t>
            </w:r>
            <w:r w:rsidRPr="009B3747">
              <w:rPr>
                <w:rFonts w:cstheme="minorHAnsi"/>
              </w:rPr>
              <w:tab/>
              <w:t>Signature</w:t>
            </w:r>
          </w:p>
          <w:p w:rsidR="004A397C" w:rsidRPr="009B3747" w:rsidRDefault="004A397C" w:rsidP="00846B21">
            <w:pPr>
              <w:spacing w:line="300" w:lineRule="auto"/>
              <w:rPr>
                <w:rFonts w:cstheme="minorHAnsi"/>
                <w:i/>
                <w:iCs/>
              </w:rPr>
            </w:pPr>
            <w:r w:rsidRPr="009B3747">
              <w:rPr>
                <w:rFonts w:cstheme="minorHAnsi"/>
                <w:i/>
                <w:iCs/>
              </w:rPr>
              <w:t>To be signed and dated in presence of the participant</w:t>
            </w:r>
          </w:p>
          <w:p w:rsidR="004A397C" w:rsidRPr="009B3747" w:rsidRDefault="004A397C" w:rsidP="00846B21">
            <w:pPr>
              <w:spacing w:line="300" w:lineRule="auto"/>
              <w:rPr>
                <w:rFonts w:cstheme="minorHAnsi"/>
              </w:rPr>
            </w:pPr>
          </w:p>
          <w:p w:rsidR="004A397C" w:rsidRPr="009B3747" w:rsidRDefault="004A397C" w:rsidP="00846B21">
            <w:pPr>
              <w:pStyle w:val="Header"/>
              <w:spacing w:line="300" w:lineRule="auto"/>
              <w:rPr>
                <w:rFonts w:cstheme="minorHAnsi"/>
              </w:rPr>
            </w:pPr>
            <w:r w:rsidRPr="009B3747">
              <w:rPr>
                <w:rFonts w:cstheme="minorHAnsi"/>
              </w:rPr>
              <w:t>Copies:</w:t>
            </w:r>
          </w:p>
          <w:p w:rsidR="004A397C" w:rsidRPr="009B3747" w:rsidRDefault="004A397C" w:rsidP="00846B21">
            <w:pPr>
              <w:pStyle w:val="Header"/>
              <w:spacing w:line="300" w:lineRule="auto"/>
              <w:rPr>
                <w:rFonts w:cstheme="minorHAnsi"/>
              </w:rPr>
            </w:pPr>
          </w:p>
          <w:p w:rsidR="004A397C" w:rsidRPr="009B3747" w:rsidRDefault="004A397C" w:rsidP="00846B21">
            <w:pPr>
              <w:pStyle w:val="Header"/>
              <w:spacing w:line="300" w:lineRule="auto"/>
              <w:jc w:val="both"/>
              <w:rPr>
                <w:rFonts w:cstheme="minorHAnsi"/>
                <w:i/>
                <w:iCs/>
              </w:rPr>
            </w:pPr>
            <w:r w:rsidRPr="009B3747">
              <w:rPr>
                <w:rFonts w:cstheme="minorHAnsi"/>
                <w:i/>
                <w:iCs/>
              </w:rPr>
              <w:t xml:space="preserve">Once this has been signed by all parties the participant should receive a copy of the signed and dated participant consent form, the information sheet and any other written information provided to the participants. A copy of the signed and dated consent form should be placed in the project’s main record (e.g. a site file), which must be kept in a secure location. </w:t>
            </w:r>
          </w:p>
        </w:tc>
      </w:tr>
    </w:tbl>
    <w:p w:rsidR="004A397C" w:rsidRPr="009B3747" w:rsidRDefault="004A397C" w:rsidP="004A397C">
      <w:pPr>
        <w:keepNext/>
        <w:spacing w:line="300" w:lineRule="auto"/>
        <w:rPr>
          <w:rFonts w:cstheme="minorHAnsi"/>
        </w:rPr>
      </w:pPr>
    </w:p>
    <w:p w:rsidR="004A397C" w:rsidRPr="009B3747" w:rsidRDefault="004A397C" w:rsidP="004A397C">
      <w:pPr>
        <w:pStyle w:val="Heading4"/>
        <w:spacing w:line="300" w:lineRule="auto"/>
        <w:rPr>
          <w:rFonts w:asciiTheme="minorHAnsi" w:hAnsiTheme="minorHAnsi" w:cstheme="minorHAnsi"/>
          <w:b/>
          <w:bCs/>
          <w:color w:val="0099FF"/>
          <w:sz w:val="16"/>
        </w:rPr>
      </w:pPr>
    </w:p>
    <w:p w:rsidR="004A397C" w:rsidRPr="009B3747" w:rsidRDefault="004A397C" w:rsidP="004A397C">
      <w:pPr>
        <w:spacing w:line="23" w:lineRule="atLeast"/>
        <w:rPr>
          <w:rFonts w:cstheme="minorHAnsi"/>
        </w:rPr>
      </w:pPr>
    </w:p>
    <w:p w:rsidR="004A397C" w:rsidRPr="009B3747" w:rsidRDefault="004A397C" w:rsidP="004A397C">
      <w:pPr>
        <w:spacing w:line="23" w:lineRule="atLeast"/>
        <w:rPr>
          <w:rFonts w:cstheme="minorHAnsi"/>
        </w:rPr>
      </w:pPr>
    </w:p>
    <w:p w:rsidR="004A397C" w:rsidRPr="009B3747" w:rsidRDefault="004A397C" w:rsidP="004A397C">
      <w:pPr>
        <w:spacing w:line="23" w:lineRule="atLeast"/>
        <w:rPr>
          <w:rFonts w:cstheme="minorHAnsi"/>
        </w:rPr>
      </w:pPr>
    </w:p>
    <w:p w:rsidR="004A397C" w:rsidRPr="009B3747" w:rsidRDefault="004A397C" w:rsidP="004A397C">
      <w:pPr>
        <w:spacing w:line="23" w:lineRule="atLeast"/>
        <w:rPr>
          <w:rFonts w:cstheme="minorHAnsi"/>
        </w:rPr>
      </w:pPr>
    </w:p>
    <w:p w:rsidR="004A397C" w:rsidRPr="009B3747" w:rsidRDefault="004A397C" w:rsidP="004A397C">
      <w:pPr>
        <w:spacing w:line="23" w:lineRule="atLeast"/>
        <w:rPr>
          <w:rFonts w:cstheme="minorHAnsi"/>
        </w:rPr>
      </w:pPr>
    </w:p>
    <w:p w:rsidR="004A397C" w:rsidRPr="009B3747" w:rsidRDefault="004A397C" w:rsidP="004A397C">
      <w:pPr>
        <w:spacing w:line="23" w:lineRule="atLeast"/>
        <w:rPr>
          <w:rFonts w:cstheme="minorHAnsi"/>
        </w:rPr>
      </w:pPr>
    </w:p>
    <w:p w:rsidR="004A397C" w:rsidRPr="009B3747" w:rsidRDefault="004A397C" w:rsidP="004A397C">
      <w:pPr>
        <w:spacing w:line="23" w:lineRule="atLeast"/>
        <w:rPr>
          <w:rFonts w:cstheme="minorHAnsi"/>
        </w:rPr>
      </w:pPr>
    </w:p>
    <w:p w:rsidR="004A397C" w:rsidRPr="009B3747" w:rsidRDefault="004A397C" w:rsidP="004A397C">
      <w:pPr>
        <w:spacing w:line="23" w:lineRule="atLeast"/>
        <w:rPr>
          <w:rFonts w:cstheme="minorHAnsi"/>
        </w:rPr>
      </w:pPr>
    </w:p>
    <w:p w:rsidR="004A397C" w:rsidRPr="009B3747" w:rsidRDefault="004A397C" w:rsidP="004A397C">
      <w:pPr>
        <w:spacing w:line="23" w:lineRule="atLeast"/>
        <w:rPr>
          <w:rFonts w:cstheme="minorHAnsi"/>
        </w:rPr>
      </w:pPr>
    </w:p>
    <w:p w:rsidR="004A397C" w:rsidRPr="009B3747" w:rsidRDefault="004A397C" w:rsidP="004A397C">
      <w:pPr>
        <w:spacing w:line="23" w:lineRule="atLeast"/>
        <w:rPr>
          <w:rFonts w:cstheme="minorHAnsi"/>
        </w:rPr>
      </w:pPr>
    </w:p>
    <w:p w:rsidR="004A397C" w:rsidRPr="009B3747" w:rsidRDefault="004A397C" w:rsidP="004A397C">
      <w:pPr>
        <w:spacing w:line="23" w:lineRule="atLeast"/>
        <w:rPr>
          <w:rFonts w:cstheme="minorHAnsi"/>
        </w:rPr>
      </w:pPr>
    </w:p>
    <w:p w:rsidR="004A397C" w:rsidRPr="009B3747" w:rsidRDefault="004A397C" w:rsidP="004A397C">
      <w:pPr>
        <w:spacing w:line="23" w:lineRule="atLeast"/>
        <w:rPr>
          <w:rFonts w:cstheme="minorHAnsi"/>
        </w:rPr>
      </w:pPr>
    </w:p>
    <w:p w:rsidR="004A397C" w:rsidRPr="009B3747" w:rsidRDefault="004A397C" w:rsidP="004A397C">
      <w:pPr>
        <w:spacing w:line="23" w:lineRule="atLeast"/>
        <w:rPr>
          <w:rFonts w:cstheme="minorHAnsi"/>
        </w:rPr>
      </w:pPr>
    </w:p>
    <w:p w:rsidR="004A397C" w:rsidRPr="009B3747" w:rsidRDefault="004A397C" w:rsidP="004A397C">
      <w:pPr>
        <w:spacing w:line="23" w:lineRule="atLeast"/>
        <w:rPr>
          <w:rFonts w:cstheme="minorHAnsi"/>
        </w:rPr>
      </w:pPr>
    </w:p>
    <w:p w:rsidR="004A397C" w:rsidRPr="009B3747" w:rsidRDefault="004A397C" w:rsidP="004A397C">
      <w:pPr>
        <w:spacing w:line="23" w:lineRule="atLeast"/>
        <w:rPr>
          <w:rFonts w:cstheme="minorHAnsi"/>
        </w:rPr>
      </w:pPr>
    </w:p>
    <w:p w:rsidR="004A397C" w:rsidRPr="009B3747" w:rsidRDefault="004A397C" w:rsidP="004A397C">
      <w:pPr>
        <w:spacing w:line="23" w:lineRule="atLeast"/>
        <w:rPr>
          <w:rFonts w:cstheme="minorHAnsi"/>
        </w:rPr>
      </w:pPr>
    </w:p>
    <w:p w:rsidR="004A397C" w:rsidRPr="009B3747" w:rsidRDefault="004A397C" w:rsidP="004A397C">
      <w:pPr>
        <w:spacing w:line="23" w:lineRule="atLeast"/>
        <w:rPr>
          <w:rFonts w:cstheme="minorHAnsi"/>
        </w:rPr>
      </w:pPr>
    </w:p>
    <w:p w:rsidR="004A397C" w:rsidRPr="009B3747" w:rsidRDefault="004A397C" w:rsidP="004A397C">
      <w:pPr>
        <w:spacing w:line="23" w:lineRule="atLeast"/>
        <w:rPr>
          <w:rFonts w:cstheme="minorHAnsi"/>
        </w:rPr>
      </w:pPr>
    </w:p>
    <w:p w:rsidR="004A397C" w:rsidRPr="009B3747" w:rsidRDefault="004A397C" w:rsidP="004A397C">
      <w:pPr>
        <w:spacing w:line="23" w:lineRule="atLeast"/>
        <w:rPr>
          <w:rFonts w:cstheme="minorHAnsi"/>
        </w:rPr>
      </w:pPr>
    </w:p>
    <w:p w:rsidR="004A397C" w:rsidRPr="009B3747" w:rsidRDefault="004A397C" w:rsidP="004A397C">
      <w:pPr>
        <w:spacing w:line="23" w:lineRule="atLeast"/>
        <w:rPr>
          <w:rFonts w:cstheme="minorHAnsi"/>
        </w:rPr>
      </w:pPr>
    </w:p>
    <w:p w:rsidR="004A397C" w:rsidRPr="009B3747" w:rsidRDefault="003F4A2E" w:rsidP="004A397C">
      <w:pPr>
        <w:spacing w:line="23" w:lineRule="atLeast"/>
        <w:rPr>
          <w:rFonts w:cstheme="minorHAnsi"/>
          <w:b/>
          <w:sz w:val="28"/>
          <w:szCs w:val="28"/>
          <w:u w:val="single"/>
        </w:rPr>
      </w:pPr>
      <w:r w:rsidRPr="009B3747">
        <w:rPr>
          <w:rFonts w:cstheme="minorHAnsi"/>
          <w:b/>
          <w:sz w:val="28"/>
          <w:szCs w:val="28"/>
          <w:u w:val="single"/>
        </w:rPr>
        <w:lastRenderedPageBreak/>
        <w:t>Appendix K</w:t>
      </w:r>
      <w:r w:rsidR="004A397C" w:rsidRPr="009B3747">
        <w:rPr>
          <w:rFonts w:cstheme="minorHAnsi"/>
          <w:b/>
          <w:sz w:val="28"/>
          <w:szCs w:val="28"/>
          <w:u w:val="single"/>
        </w:rPr>
        <w:t xml:space="preserve"> – Finalised questionnaire for use in quantitative phase</w:t>
      </w:r>
    </w:p>
    <w:p w:rsidR="004A397C" w:rsidRPr="009B3747" w:rsidRDefault="004A397C" w:rsidP="004A397C">
      <w:pPr>
        <w:spacing w:line="276" w:lineRule="auto"/>
        <w:rPr>
          <w:rFonts w:cstheme="minorHAnsi"/>
        </w:rPr>
      </w:pPr>
    </w:p>
    <w:p w:rsidR="004A397C" w:rsidRPr="009B3747" w:rsidRDefault="004A397C" w:rsidP="004A397C">
      <w:pPr>
        <w:spacing w:line="276" w:lineRule="auto"/>
        <w:ind w:right="880"/>
        <w:rPr>
          <w:rFonts w:eastAsia="Arial" w:cstheme="minorHAnsi"/>
        </w:rPr>
      </w:pPr>
      <w:r w:rsidRPr="009B3747">
        <w:rPr>
          <w:rFonts w:cstheme="minorHAnsi"/>
          <w:noProof/>
          <w:lang w:eastAsia="en-GB"/>
        </w:rPr>
        <w:drawing>
          <wp:anchor distT="0" distB="0" distL="114300" distR="114300" simplePos="0" relativeHeight="251676672" behindDoc="1" locked="0" layoutInCell="1" allowOverlap="1" wp14:anchorId="3DF62734" wp14:editId="274ABB0D">
            <wp:simplePos x="0" y="0"/>
            <wp:positionH relativeFrom="column">
              <wp:posOffset>4486275</wp:posOffset>
            </wp:positionH>
            <wp:positionV relativeFrom="paragraph">
              <wp:posOffset>110490</wp:posOffset>
            </wp:positionV>
            <wp:extent cx="2000250" cy="666750"/>
            <wp:effectExtent l="0" t="0" r="0" b="0"/>
            <wp:wrapTight wrapText="bothSides">
              <wp:wrapPolygon edited="0">
                <wp:start x="0" y="0"/>
                <wp:lineTo x="0" y="20983"/>
                <wp:lineTo x="21394" y="20983"/>
                <wp:lineTo x="21394" y="0"/>
                <wp:lineTo x="0" y="0"/>
              </wp:wrapPolygon>
            </wp:wrapTight>
            <wp:docPr id="69" name="Picture 69" descr="Image result for google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google form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002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397C" w:rsidRPr="009B3747" w:rsidRDefault="004A397C" w:rsidP="004A397C">
      <w:pPr>
        <w:spacing w:line="276" w:lineRule="auto"/>
        <w:ind w:right="880"/>
        <w:rPr>
          <w:rFonts w:eastAsia="Arial" w:cstheme="minorHAnsi"/>
          <w:b/>
          <w:sz w:val="24"/>
          <w:szCs w:val="24"/>
        </w:rPr>
      </w:pPr>
      <w:r w:rsidRPr="009B3747">
        <w:rPr>
          <w:rFonts w:eastAsia="Arial" w:cstheme="minorHAnsi"/>
          <w:b/>
          <w:sz w:val="24"/>
          <w:szCs w:val="24"/>
        </w:rPr>
        <w:t>National survey on overweight and obesity in secondary schools –</w:t>
      </w:r>
    </w:p>
    <w:p w:rsidR="004A397C" w:rsidRPr="009B3747" w:rsidRDefault="004A397C" w:rsidP="004A397C">
      <w:pPr>
        <w:spacing w:line="276" w:lineRule="auto"/>
        <w:ind w:right="880"/>
        <w:rPr>
          <w:rFonts w:eastAsia="Arial" w:cstheme="minorHAnsi"/>
          <w:b/>
          <w:sz w:val="24"/>
          <w:szCs w:val="24"/>
        </w:rPr>
      </w:pPr>
      <w:r w:rsidRPr="009B3747">
        <w:rPr>
          <w:rFonts w:eastAsia="Arial" w:cstheme="minorHAnsi"/>
          <w:b/>
          <w:sz w:val="24"/>
          <w:szCs w:val="24"/>
        </w:rPr>
        <w:t>Headteachers</w:t>
      </w:r>
      <w:r w:rsidR="0082594B" w:rsidRPr="009B3747">
        <w:rPr>
          <w:rFonts w:eastAsia="Arial" w:cstheme="minorHAnsi"/>
          <w:b/>
          <w:sz w:val="24"/>
          <w:szCs w:val="24"/>
        </w:rPr>
        <w:t>’</w:t>
      </w:r>
      <w:r w:rsidRPr="009B3747">
        <w:rPr>
          <w:rFonts w:eastAsia="Arial" w:cstheme="minorHAnsi"/>
          <w:b/>
          <w:sz w:val="24"/>
          <w:szCs w:val="24"/>
        </w:rPr>
        <w:t xml:space="preserve"> and chairs of governors’ views</w:t>
      </w:r>
    </w:p>
    <w:p w:rsidR="004A397C" w:rsidRPr="009B3747" w:rsidRDefault="004A397C" w:rsidP="004A397C">
      <w:pPr>
        <w:spacing w:line="276" w:lineRule="auto"/>
        <w:rPr>
          <w:rFonts w:eastAsia="Times New Roman" w:cstheme="minorHAnsi"/>
          <w:sz w:val="24"/>
          <w:szCs w:val="24"/>
        </w:rPr>
      </w:pPr>
    </w:p>
    <w:p w:rsidR="004A397C" w:rsidRPr="009B3747" w:rsidRDefault="004A397C" w:rsidP="004A397C">
      <w:pPr>
        <w:spacing w:line="276" w:lineRule="auto"/>
        <w:rPr>
          <w:rFonts w:eastAsia="Arial" w:cstheme="minorHAnsi"/>
          <w:u w:val="single"/>
        </w:rPr>
      </w:pPr>
      <w:r w:rsidRPr="009B3747">
        <w:rPr>
          <w:rFonts w:eastAsia="Arial" w:cstheme="minorHAnsi"/>
          <w:u w:val="single"/>
        </w:rPr>
        <w:t>Section one - Survey introduction</w:t>
      </w:r>
    </w:p>
    <w:p w:rsidR="004A397C" w:rsidRPr="009B3747" w:rsidRDefault="004A397C" w:rsidP="004A397C">
      <w:pPr>
        <w:spacing w:line="276" w:lineRule="auto"/>
        <w:rPr>
          <w:rFonts w:eastAsia="Arial" w:cstheme="minorHAnsi"/>
        </w:rPr>
      </w:pPr>
    </w:p>
    <w:p w:rsidR="004A397C" w:rsidRPr="009B3747" w:rsidRDefault="004A397C" w:rsidP="004A397C">
      <w:pPr>
        <w:spacing w:line="276" w:lineRule="auto"/>
        <w:ind w:right="360"/>
        <w:rPr>
          <w:rFonts w:eastAsia="Arial" w:cstheme="minorHAnsi"/>
        </w:rPr>
      </w:pPr>
      <w:r w:rsidRPr="009B3747">
        <w:rPr>
          <w:rFonts w:eastAsia="Arial" w:cstheme="minorHAnsi"/>
        </w:rPr>
        <w:t>Thank you for your interest in completing this survey. Please read the following information carefully before deciding whether or not to participate.</w:t>
      </w:r>
    </w:p>
    <w:p w:rsidR="004A397C" w:rsidRPr="009B3747" w:rsidRDefault="004A397C" w:rsidP="004A397C">
      <w:pPr>
        <w:spacing w:line="276" w:lineRule="auto"/>
        <w:rPr>
          <w:rFonts w:eastAsia="Times New Roman" w:cstheme="minorHAnsi"/>
        </w:rPr>
      </w:pPr>
    </w:p>
    <w:p w:rsidR="004A397C" w:rsidRPr="009B3747" w:rsidRDefault="004A397C" w:rsidP="004A397C">
      <w:pPr>
        <w:spacing w:line="276" w:lineRule="auto"/>
        <w:ind w:right="360"/>
        <w:rPr>
          <w:rFonts w:eastAsia="Arial" w:cstheme="minorHAnsi"/>
        </w:rPr>
      </w:pPr>
      <w:r w:rsidRPr="009B3747">
        <w:rPr>
          <w:rFonts w:eastAsia="Arial" w:cstheme="minorHAnsi"/>
        </w:rPr>
        <w:t>Conducted by Emma Howard-Drake (a PhD researcher at The University of She</w:t>
      </w:r>
      <w:r w:rsidRPr="009B3747">
        <w:rPr>
          <w:rFonts w:eastAsia="PMingLiU" w:cstheme="minorHAnsi"/>
        </w:rPr>
        <w:t>ffi</w:t>
      </w:r>
      <w:r w:rsidRPr="009B3747">
        <w:rPr>
          <w:rFonts w:eastAsia="Arial" w:cstheme="minorHAnsi"/>
        </w:rPr>
        <w:t>eld), this survey forms part of a research study exploring secondary school headteachers</w:t>
      </w:r>
      <w:r w:rsidR="0082594B" w:rsidRPr="009B3747">
        <w:rPr>
          <w:rFonts w:eastAsia="Arial" w:cstheme="minorHAnsi"/>
        </w:rPr>
        <w:t xml:space="preserve">’ and chairs of governors’ </w:t>
      </w:r>
      <w:r w:rsidRPr="009B3747">
        <w:rPr>
          <w:rFonts w:eastAsia="Arial" w:cstheme="minorHAnsi"/>
        </w:rPr>
        <w:t>perspectives about overweight and obesity</w:t>
      </w:r>
      <w:r w:rsidR="004862DC">
        <w:rPr>
          <w:rFonts w:eastAsia="Arial" w:cstheme="minorHAnsi"/>
        </w:rPr>
        <w:t>,</w:t>
      </w:r>
      <w:r w:rsidRPr="009B3747">
        <w:rPr>
          <w:rFonts w:eastAsia="Arial" w:cstheme="minorHAnsi"/>
        </w:rPr>
        <w:t xml:space="preserve"> i.e. excess weight, in 11-16 year olds and its prevention.</w:t>
      </w:r>
    </w:p>
    <w:p w:rsidR="004A397C" w:rsidRPr="009B3747" w:rsidRDefault="004A397C" w:rsidP="004A397C">
      <w:pPr>
        <w:spacing w:line="276" w:lineRule="auto"/>
        <w:rPr>
          <w:rFonts w:eastAsia="Times New Roman" w:cstheme="minorHAnsi"/>
        </w:rPr>
      </w:pPr>
    </w:p>
    <w:p w:rsidR="004A397C" w:rsidRPr="009B3747" w:rsidRDefault="004A397C" w:rsidP="004A397C">
      <w:pPr>
        <w:spacing w:line="276" w:lineRule="auto"/>
        <w:ind w:right="520"/>
        <w:rPr>
          <w:rFonts w:eastAsia="Arial" w:cstheme="minorHAnsi"/>
        </w:rPr>
      </w:pPr>
      <w:r w:rsidRPr="009B3747">
        <w:rPr>
          <w:rFonts w:eastAsia="Arial" w:cstheme="minorHAnsi"/>
        </w:rPr>
        <w:t>Participating in the study involves you filling in this online survey</w:t>
      </w:r>
      <w:r w:rsidR="00281979">
        <w:rPr>
          <w:rFonts w:eastAsia="Arial" w:cstheme="minorHAnsi"/>
        </w:rPr>
        <w:t>,</w:t>
      </w:r>
      <w:r w:rsidRPr="009B3747">
        <w:rPr>
          <w:rFonts w:eastAsia="Arial" w:cstheme="minorHAnsi"/>
        </w:rPr>
        <w:t xml:space="preserve"> which should take no longer than 10-15 minutes to complete. The survey will ask about your views related to excess weight</w:t>
      </w:r>
      <w:r w:rsidR="004862DC">
        <w:rPr>
          <w:rFonts w:eastAsia="Arial" w:cstheme="minorHAnsi"/>
        </w:rPr>
        <w:t xml:space="preserve">, </w:t>
      </w:r>
      <w:r w:rsidRPr="009B3747">
        <w:rPr>
          <w:rFonts w:eastAsia="Arial" w:cstheme="minorHAnsi"/>
        </w:rPr>
        <w:t>i.e. overweight and obesity, secondary school pupils and secondary school settings. For the purpose of analysis you will also be asked for basic information about yourself (e.g. gender) and your school (e.g. school type). No personally identifiable information is required and all responses will remain completely anonymous.</w:t>
      </w:r>
    </w:p>
    <w:p w:rsidR="004A397C" w:rsidRPr="009B3747" w:rsidRDefault="004A397C" w:rsidP="004A397C">
      <w:pPr>
        <w:spacing w:line="276" w:lineRule="auto"/>
        <w:rPr>
          <w:rFonts w:eastAsia="Times New Roman" w:cstheme="minorHAnsi"/>
        </w:rPr>
      </w:pPr>
    </w:p>
    <w:p w:rsidR="004A397C" w:rsidRPr="009B3747" w:rsidRDefault="004A397C" w:rsidP="004A397C">
      <w:pPr>
        <w:spacing w:line="276" w:lineRule="auto"/>
        <w:ind w:right="500"/>
        <w:rPr>
          <w:rFonts w:eastAsia="Arial" w:cstheme="minorHAnsi"/>
        </w:rPr>
      </w:pPr>
      <w:r w:rsidRPr="009B3747">
        <w:rPr>
          <w:rFonts w:eastAsia="Arial" w:cstheme="minorHAnsi"/>
        </w:rPr>
        <w:t xml:space="preserve">In addition to inclusion in a thesis, findings from this survey and the wider research study may be published in academic publications and presented at conferences. It is hoped the study will inform future decisions and policies in relation to </w:t>
      </w:r>
      <w:r w:rsidR="004862DC">
        <w:rPr>
          <w:rFonts w:eastAsia="Arial" w:cstheme="minorHAnsi"/>
        </w:rPr>
        <w:t xml:space="preserve">the prevention of excess weight, </w:t>
      </w:r>
      <w:r w:rsidRPr="009B3747">
        <w:rPr>
          <w:rFonts w:eastAsia="Arial" w:cstheme="minorHAnsi"/>
        </w:rPr>
        <w:t>i.e. overweight and obesity in secondary schools in England.</w:t>
      </w:r>
    </w:p>
    <w:p w:rsidR="004A397C" w:rsidRPr="009B3747" w:rsidRDefault="004A397C" w:rsidP="004A397C">
      <w:pPr>
        <w:spacing w:line="276" w:lineRule="auto"/>
        <w:rPr>
          <w:rFonts w:eastAsia="Times New Roman" w:cstheme="minorHAnsi"/>
        </w:rPr>
      </w:pPr>
    </w:p>
    <w:p w:rsidR="004A397C" w:rsidRPr="009B3747" w:rsidRDefault="004A397C" w:rsidP="004A397C">
      <w:pPr>
        <w:spacing w:line="276" w:lineRule="auto"/>
        <w:ind w:right="620"/>
        <w:rPr>
          <w:rFonts w:eastAsia="Arial" w:cstheme="minorHAnsi"/>
        </w:rPr>
      </w:pPr>
      <w:r w:rsidRPr="009B3747">
        <w:rPr>
          <w:rFonts w:eastAsia="Arial" w:cstheme="minorHAnsi"/>
        </w:rPr>
        <w:t>You are totally free to decide whether or not to participate in this research, without any consequences. You may also withdraw from the study at any point without giving any reason, by closing your internet browser.</w:t>
      </w:r>
    </w:p>
    <w:p w:rsidR="004A397C" w:rsidRPr="009B3747" w:rsidRDefault="004A397C" w:rsidP="004A397C">
      <w:pPr>
        <w:spacing w:line="276" w:lineRule="auto"/>
        <w:rPr>
          <w:rFonts w:eastAsia="Times New Roman" w:cstheme="minorHAnsi"/>
        </w:rPr>
      </w:pPr>
    </w:p>
    <w:p w:rsidR="004A397C" w:rsidRPr="009B3747" w:rsidRDefault="004A397C" w:rsidP="004A397C">
      <w:pPr>
        <w:spacing w:line="276" w:lineRule="auto"/>
        <w:rPr>
          <w:rFonts w:eastAsia="Arial" w:cstheme="minorHAnsi"/>
        </w:rPr>
      </w:pPr>
      <w:r w:rsidRPr="009B3747">
        <w:rPr>
          <w:rFonts w:eastAsia="Arial" w:cstheme="minorHAnsi"/>
        </w:rPr>
        <w:t>Many thanks for reading this information.</w:t>
      </w:r>
    </w:p>
    <w:p w:rsidR="004A397C" w:rsidRPr="009B3747" w:rsidRDefault="004A397C" w:rsidP="004A397C">
      <w:pPr>
        <w:spacing w:line="276" w:lineRule="auto"/>
        <w:rPr>
          <w:rFonts w:eastAsia="Times New Roman" w:cstheme="minorHAnsi"/>
        </w:rPr>
      </w:pPr>
    </w:p>
    <w:p w:rsidR="004A397C" w:rsidRPr="009B3747" w:rsidRDefault="004A397C" w:rsidP="004A397C">
      <w:pPr>
        <w:spacing w:line="276" w:lineRule="auto"/>
        <w:rPr>
          <w:rFonts w:eastAsia="Arial" w:cstheme="minorHAnsi"/>
        </w:rPr>
      </w:pPr>
      <w:r w:rsidRPr="009B3747">
        <w:rPr>
          <w:rFonts w:eastAsia="Arial" w:cstheme="minorHAnsi"/>
        </w:rPr>
        <w:t>Emma Howard-Drake</w:t>
      </w:r>
    </w:p>
    <w:p w:rsidR="004A397C" w:rsidRPr="009B3747" w:rsidRDefault="004A397C" w:rsidP="004A397C">
      <w:pPr>
        <w:spacing w:line="276" w:lineRule="auto"/>
        <w:rPr>
          <w:rFonts w:eastAsia="Arial" w:cstheme="minorHAnsi"/>
        </w:rPr>
      </w:pPr>
      <w:r w:rsidRPr="009B3747">
        <w:rPr>
          <w:rFonts w:eastAsia="Arial" w:cstheme="minorHAnsi"/>
        </w:rPr>
        <w:t>University of She</w:t>
      </w:r>
      <w:r w:rsidRPr="009B3747">
        <w:rPr>
          <w:rFonts w:eastAsia="PMingLiU" w:cstheme="minorHAnsi"/>
        </w:rPr>
        <w:t>ffi</w:t>
      </w:r>
      <w:r w:rsidRPr="009B3747">
        <w:rPr>
          <w:rFonts w:eastAsia="Arial" w:cstheme="minorHAnsi"/>
        </w:rPr>
        <w:t>eld</w:t>
      </w:r>
    </w:p>
    <w:p w:rsidR="004A397C" w:rsidRPr="009B3747" w:rsidRDefault="004A397C" w:rsidP="004A397C">
      <w:pPr>
        <w:tabs>
          <w:tab w:val="left" w:pos="2320"/>
        </w:tabs>
        <w:spacing w:line="276" w:lineRule="auto"/>
        <w:rPr>
          <w:rFonts w:eastAsia="Arial" w:cstheme="minorHAnsi"/>
        </w:rPr>
      </w:pPr>
      <w:r w:rsidRPr="009B3747">
        <w:rPr>
          <w:rFonts w:eastAsia="Arial" w:cstheme="minorHAnsi"/>
        </w:rPr>
        <w:t>ehoward-drake1@she</w:t>
      </w:r>
      <w:r w:rsidRPr="009B3747">
        <w:rPr>
          <w:rFonts w:eastAsia="Times New Roman" w:cstheme="minorHAnsi"/>
        </w:rPr>
        <w:t>ffi</w:t>
      </w:r>
      <w:r w:rsidRPr="009B3747">
        <w:rPr>
          <w:rFonts w:eastAsia="Arial" w:cstheme="minorHAnsi"/>
        </w:rPr>
        <w:t>eld.ac.uk</w:t>
      </w:r>
    </w:p>
    <w:p w:rsidR="004A397C" w:rsidRPr="009B3747" w:rsidRDefault="004A397C" w:rsidP="004A397C">
      <w:pPr>
        <w:spacing w:line="276" w:lineRule="auto"/>
        <w:rPr>
          <w:rFonts w:eastAsia="Times New Roman" w:cstheme="minorHAnsi"/>
        </w:rPr>
      </w:pPr>
    </w:p>
    <w:p w:rsidR="004A397C" w:rsidRPr="009B3747" w:rsidRDefault="004A397C" w:rsidP="004A397C">
      <w:pPr>
        <w:rPr>
          <w:rFonts w:eastAsia="Arial" w:cstheme="minorHAnsi"/>
          <w:sz w:val="20"/>
          <w:szCs w:val="20"/>
        </w:rPr>
      </w:pPr>
      <w:r w:rsidRPr="009B3747">
        <w:rPr>
          <w:rFonts w:eastAsia="Arial" w:cstheme="minorHAnsi"/>
          <w:sz w:val="20"/>
          <w:szCs w:val="20"/>
        </w:rPr>
        <w:t xml:space="preserve">* Definitions used for the purpose of this survey – </w:t>
      </w:r>
    </w:p>
    <w:p w:rsidR="004A397C" w:rsidRPr="009B3747" w:rsidRDefault="004A397C" w:rsidP="004A397C">
      <w:pPr>
        <w:rPr>
          <w:rFonts w:eastAsia="Arial" w:cstheme="minorHAnsi"/>
          <w:sz w:val="20"/>
          <w:szCs w:val="20"/>
        </w:rPr>
      </w:pPr>
      <w:r w:rsidRPr="009B3747">
        <w:rPr>
          <w:rFonts w:eastAsia="Arial" w:cstheme="minorHAnsi"/>
          <w:sz w:val="20"/>
          <w:szCs w:val="20"/>
        </w:rPr>
        <w:t xml:space="preserve">Excess weight - A collective </w:t>
      </w:r>
      <w:r w:rsidR="004862DC">
        <w:rPr>
          <w:rFonts w:eastAsia="Arial" w:cstheme="minorHAnsi"/>
          <w:sz w:val="20"/>
          <w:szCs w:val="20"/>
        </w:rPr>
        <w:t xml:space="preserve">term for overweight and obesity, </w:t>
      </w:r>
      <w:r w:rsidRPr="009B3747">
        <w:rPr>
          <w:rFonts w:eastAsia="Arial" w:cstheme="minorHAnsi"/>
          <w:sz w:val="20"/>
          <w:szCs w:val="20"/>
        </w:rPr>
        <w:t xml:space="preserve">i.e. an abnormal or excessive fat accumulation that may impair a person's health. </w:t>
      </w:r>
    </w:p>
    <w:p w:rsidR="004A397C" w:rsidRPr="009B3747" w:rsidRDefault="004A397C" w:rsidP="004A397C">
      <w:pPr>
        <w:rPr>
          <w:rFonts w:eastAsia="Arial" w:cstheme="minorHAnsi"/>
          <w:sz w:val="20"/>
          <w:szCs w:val="20"/>
        </w:rPr>
      </w:pPr>
      <w:r w:rsidRPr="009B3747">
        <w:rPr>
          <w:rFonts w:eastAsia="Arial" w:cstheme="minorHAnsi"/>
          <w:sz w:val="20"/>
          <w:szCs w:val="20"/>
        </w:rPr>
        <w:t>The term 'junk food' refers to pre-prepared or packaged food that has low nutritional value</w:t>
      </w:r>
    </w:p>
    <w:p w:rsidR="004A397C" w:rsidRPr="009B3747" w:rsidRDefault="004A397C" w:rsidP="004A397C">
      <w:pPr>
        <w:rPr>
          <w:rFonts w:eastAsia="Arial" w:cstheme="minorHAnsi"/>
        </w:rPr>
      </w:pPr>
    </w:p>
    <w:p w:rsidR="004A397C" w:rsidRPr="009B3747" w:rsidRDefault="004A397C" w:rsidP="004A397C">
      <w:pPr>
        <w:rPr>
          <w:rFonts w:eastAsia="Arial" w:cstheme="minorHAnsi"/>
        </w:rPr>
      </w:pPr>
    </w:p>
    <w:p w:rsidR="004A397C" w:rsidRPr="009B3747" w:rsidRDefault="004A397C" w:rsidP="004A397C">
      <w:pPr>
        <w:rPr>
          <w:rFonts w:eastAsia="Arial" w:cstheme="minorHAnsi"/>
        </w:rPr>
      </w:pPr>
      <w:r w:rsidRPr="009B3747">
        <w:rPr>
          <w:rFonts w:eastAsia="Arial" w:cstheme="minorHAnsi"/>
        </w:rPr>
        <w:t>I have read and understood the above information and want to participate – YES or NO</w:t>
      </w:r>
    </w:p>
    <w:p w:rsidR="004A397C" w:rsidRPr="009B3747" w:rsidRDefault="004A397C" w:rsidP="004A397C">
      <w:pPr>
        <w:rPr>
          <w:rFonts w:eastAsia="Arial" w:cstheme="minorHAnsi"/>
        </w:rPr>
      </w:pPr>
    </w:p>
    <w:p w:rsidR="004A397C" w:rsidRPr="009B3747" w:rsidRDefault="004A397C" w:rsidP="004A397C">
      <w:pPr>
        <w:rPr>
          <w:rFonts w:eastAsia="Arial" w:cstheme="minorHAnsi"/>
          <w:u w:val="single"/>
        </w:rPr>
      </w:pPr>
      <w:r w:rsidRPr="009B3747">
        <w:rPr>
          <w:rFonts w:eastAsia="Arial" w:cstheme="minorHAnsi"/>
          <w:u w:val="single"/>
        </w:rPr>
        <w:t>Section two – About you</w:t>
      </w:r>
    </w:p>
    <w:p w:rsidR="004A397C" w:rsidRPr="009B3747" w:rsidRDefault="004A397C" w:rsidP="004A397C">
      <w:pPr>
        <w:rPr>
          <w:rFonts w:eastAsia="Arial" w:cstheme="minorHAnsi"/>
          <w:u w:val="single"/>
        </w:rPr>
      </w:pPr>
    </w:p>
    <w:p w:rsidR="004A397C" w:rsidRPr="009B3747" w:rsidRDefault="004A397C" w:rsidP="00C27072">
      <w:pPr>
        <w:pStyle w:val="ListParagraph"/>
        <w:numPr>
          <w:ilvl w:val="0"/>
          <w:numId w:val="143"/>
        </w:numPr>
        <w:spacing w:line="276" w:lineRule="auto"/>
        <w:ind w:left="284" w:hanging="284"/>
        <w:rPr>
          <w:rFonts w:eastAsia="Arial" w:cstheme="minorHAnsi"/>
        </w:rPr>
      </w:pPr>
      <w:r w:rsidRPr="009B3747">
        <w:rPr>
          <w:rFonts w:eastAsia="Arial" w:cstheme="minorHAnsi"/>
        </w:rPr>
        <w:t xml:space="preserve">Which of the following best describes your role? </w:t>
      </w:r>
    </w:p>
    <w:p w:rsidR="004A397C" w:rsidRPr="009B3747" w:rsidRDefault="004A397C" w:rsidP="004A397C">
      <w:pPr>
        <w:pStyle w:val="ListParagraph"/>
        <w:ind w:left="284"/>
        <w:rPr>
          <w:rFonts w:eastAsia="Arial" w:cstheme="minorHAnsi"/>
        </w:rPr>
      </w:pPr>
    </w:p>
    <w:p w:rsidR="004A397C" w:rsidRPr="009B3747" w:rsidRDefault="004A397C" w:rsidP="00C27072">
      <w:pPr>
        <w:pStyle w:val="ListParagraph"/>
        <w:numPr>
          <w:ilvl w:val="0"/>
          <w:numId w:val="142"/>
        </w:numPr>
        <w:spacing w:line="276" w:lineRule="auto"/>
        <w:rPr>
          <w:rFonts w:eastAsia="Arial" w:cstheme="minorHAnsi"/>
        </w:rPr>
      </w:pPr>
      <w:r w:rsidRPr="009B3747">
        <w:rPr>
          <w:rFonts w:eastAsia="Arial" w:cstheme="minorHAnsi"/>
        </w:rPr>
        <w:t>Headteacher or Principal</w:t>
      </w:r>
    </w:p>
    <w:p w:rsidR="004A397C" w:rsidRPr="009B3747" w:rsidRDefault="004A397C" w:rsidP="00C27072">
      <w:pPr>
        <w:pStyle w:val="ListParagraph"/>
        <w:numPr>
          <w:ilvl w:val="0"/>
          <w:numId w:val="142"/>
        </w:numPr>
        <w:spacing w:line="276" w:lineRule="auto"/>
        <w:rPr>
          <w:rFonts w:eastAsia="Arial" w:cstheme="minorHAnsi"/>
        </w:rPr>
      </w:pPr>
      <w:r w:rsidRPr="009B3747">
        <w:rPr>
          <w:rFonts w:eastAsia="Arial" w:cstheme="minorHAnsi"/>
        </w:rPr>
        <w:t>Chair of governors or Chair of trustees</w:t>
      </w:r>
    </w:p>
    <w:p w:rsidR="004A397C" w:rsidRPr="009B3747" w:rsidRDefault="004A397C" w:rsidP="004A397C">
      <w:pPr>
        <w:rPr>
          <w:rFonts w:eastAsia="Arial" w:cstheme="minorHAnsi"/>
        </w:rPr>
      </w:pPr>
    </w:p>
    <w:p w:rsidR="004A397C" w:rsidRPr="009B3747" w:rsidRDefault="004A397C" w:rsidP="00C27072">
      <w:pPr>
        <w:pStyle w:val="ListParagraph"/>
        <w:numPr>
          <w:ilvl w:val="0"/>
          <w:numId w:val="143"/>
        </w:numPr>
        <w:spacing w:line="276" w:lineRule="auto"/>
        <w:ind w:left="284" w:hanging="284"/>
        <w:rPr>
          <w:rFonts w:eastAsia="Arial" w:cstheme="minorHAnsi"/>
        </w:rPr>
      </w:pPr>
      <w:r w:rsidRPr="009B3747">
        <w:rPr>
          <w:rFonts w:eastAsia="Arial" w:cstheme="minorHAnsi"/>
        </w:rPr>
        <w:t xml:space="preserve">What is your gender? </w:t>
      </w:r>
    </w:p>
    <w:p w:rsidR="004A397C" w:rsidRPr="009B3747" w:rsidRDefault="004A397C" w:rsidP="004A397C">
      <w:pPr>
        <w:pStyle w:val="ListParagraph"/>
        <w:ind w:left="284"/>
        <w:rPr>
          <w:rFonts w:eastAsia="Arial" w:cstheme="minorHAnsi"/>
        </w:rPr>
      </w:pPr>
    </w:p>
    <w:p w:rsidR="004A397C" w:rsidRPr="009B3747" w:rsidRDefault="004A397C" w:rsidP="00C27072">
      <w:pPr>
        <w:pStyle w:val="ListParagraph"/>
        <w:numPr>
          <w:ilvl w:val="0"/>
          <w:numId w:val="144"/>
        </w:numPr>
        <w:spacing w:line="276" w:lineRule="auto"/>
        <w:rPr>
          <w:rFonts w:eastAsia="Arial" w:cstheme="minorHAnsi"/>
        </w:rPr>
      </w:pPr>
      <w:r w:rsidRPr="009B3747">
        <w:rPr>
          <w:rFonts w:eastAsia="Arial" w:cstheme="minorHAnsi"/>
        </w:rPr>
        <w:t>Male</w:t>
      </w:r>
    </w:p>
    <w:p w:rsidR="004A397C" w:rsidRPr="009B3747" w:rsidRDefault="004A397C" w:rsidP="00C27072">
      <w:pPr>
        <w:pStyle w:val="ListParagraph"/>
        <w:numPr>
          <w:ilvl w:val="0"/>
          <w:numId w:val="144"/>
        </w:numPr>
        <w:spacing w:line="276" w:lineRule="auto"/>
        <w:rPr>
          <w:rFonts w:eastAsia="Arial" w:cstheme="minorHAnsi"/>
        </w:rPr>
      </w:pPr>
      <w:r w:rsidRPr="009B3747">
        <w:rPr>
          <w:rFonts w:eastAsia="Arial" w:cstheme="minorHAnsi"/>
        </w:rPr>
        <w:t>Female</w:t>
      </w:r>
    </w:p>
    <w:p w:rsidR="004A397C" w:rsidRPr="009B3747" w:rsidRDefault="004A397C" w:rsidP="00C27072">
      <w:pPr>
        <w:pStyle w:val="ListParagraph"/>
        <w:numPr>
          <w:ilvl w:val="0"/>
          <w:numId w:val="144"/>
        </w:numPr>
        <w:spacing w:line="276" w:lineRule="auto"/>
        <w:rPr>
          <w:rFonts w:eastAsia="Arial" w:cstheme="minorHAnsi"/>
        </w:rPr>
      </w:pPr>
      <w:r w:rsidRPr="009B3747">
        <w:rPr>
          <w:rFonts w:eastAsia="Arial" w:cstheme="minorHAnsi"/>
        </w:rPr>
        <w:t>Prefer not to say</w:t>
      </w:r>
    </w:p>
    <w:p w:rsidR="004A397C" w:rsidRPr="009B3747" w:rsidRDefault="004A397C" w:rsidP="004A397C">
      <w:pPr>
        <w:rPr>
          <w:rFonts w:eastAsia="Arial" w:cstheme="minorHAnsi"/>
        </w:rPr>
      </w:pPr>
    </w:p>
    <w:p w:rsidR="004A397C" w:rsidRPr="009B3747" w:rsidRDefault="004A397C" w:rsidP="00C27072">
      <w:pPr>
        <w:pStyle w:val="ListParagraph"/>
        <w:numPr>
          <w:ilvl w:val="0"/>
          <w:numId w:val="143"/>
        </w:numPr>
        <w:spacing w:line="276" w:lineRule="auto"/>
        <w:ind w:left="284" w:hanging="284"/>
        <w:rPr>
          <w:rFonts w:eastAsia="Arial" w:cstheme="minorHAnsi"/>
        </w:rPr>
      </w:pPr>
      <w:r w:rsidRPr="009B3747">
        <w:rPr>
          <w:rFonts w:eastAsia="Arial" w:cstheme="minorHAnsi"/>
        </w:rPr>
        <w:t xml:space="preserve">What is your age? </w:t>
      </w:r>
    </w:p>
    <w:p w:rsidR="004A397C" w:rsidRPr="009B3747" w:rsidRDefault="004A397C" w:rsidP="004A397C">
      <w:pPr>
        <w:pStyle w:val="ListParagraph"/>
        <w:ind w:left="284"/>
        <w:rPr>
          <w:rFonts w:eastAsia="Arial" w:cstheme="minorHAnsi"/>
        </w:rPr>
      </w:pPr>
    </w:p>
    <w:p w:rsidR="004A397C" w:rsidRPr="009B3747" w:rsidRDefault="004A397C" w:rsidP="00C27072">
      <w:pPr>
        <w:pStyle w:val="ListParagraph"/>
        <w:numPr>
          <w:ilvl w:val="0"/>
          <w:numId w:val="145"/>
        </w:numPr>
        <w:spacing w:line="276" w:lineRule="auto"/>
        <w:rPr>
          <w:rFonts w:eastAsia="Arial" w:cstheme="minorHAnsi"/>
        </w:rPr>
      </w:pPr>
      <w:r w:rsidRPr="009B3747">
        <w:rPr>
          <w:rFonts w:eastAsia="Arial" w:cstheme="minorHAnsi"/>
        </w:rPr>
        <w:t>21-30 years</w:t>
      </w:r>
    </w:p>
    <w:p w:rsidR="004A397C" w:rsidRPr="009B3747" w:rsidRDefault="004A397C" w:rsidP="00C27072">
      <w:pPr>
        <w:pStyle w:val="ListParagraph"/>
        <w:numPr>
          <w:ilvl w:val="0"/>
          <w:numId w:val="145"/>
        </w:numPr>
        <w:spacing w:line="276" w:lineRule="auto"/>
        <w:rPr>
          <w:rFonts w:eastAsia="Arial" w:cstheme="minorHAnsi"/>
        </w:rPr>
      </w:pPr>
      <w:r w:rsidRPr="009B3747">
        <w:rPr>
          <w:rFonts w:eastAsia="Arial" w:cstheme="minorHAnsi"/>
        </w:rPr>
        <w:t>31-40 years</w:t>
      </w:r>
    </w:p>
    <w:p w:rsidR="004A397C" w:rsidRPr="009B3747" w:rsidRDefault="004A397C" w:rsidP="00C27072">
      <w:pPr>
        <w:pStyle w:val="ListParagraph"/>
        <w:numPr>
          <w:ilvl w:val="0"/>
          <w:numId w:val="145"/>
        </w:numPr>
        <w:spacing w:line="276" w:lineRule="auto"/>
        <w:rPr>
          <w:rFonts w:eastAsia="Arial" w:cstheme="minorHAnsi"/>
        </w:rPr>
      </w:pPr>
      <w:r w:rsidRPr="009B3747">
        <w:rPr>
          <w:rFonts w:eastAsia="Arial" w:cstheme="minorHAnsi"/>
        </w:rPr>
        <w:t>41-50 years</w:t>
      </w:r>
    </w:p>
    <w:p w:rsidR="004A397C" w:rsidRPr="009B3747" w:rsidRDefault="004A397C" w:rsidP="00C27072">
      <w:pPr>
        <w:pStyle w:val="ListParagraph"/>
        <w:numPr>
          <w:ilvl w:val="0"/>
          <w:numId w:val="145"/>
        </w:numPr>
        <w:spacing w:line="276" w:lineRule="auto"/>
        <w:rPr>
          <w:rFonts w:eastAsia="Arial" w:cstheme="minorHAnsi"/>
        </w:rPr>
      </w:pPr>
      <w:r w:rsidRPr="009B3747">
        <w:rPr>
          <w:rFonts w:eastAsia="Arial" w:cstheme="minorHAnsi"/>
        </w:rPr>
        <w:t>51-60 years</w:t>
      </w:r>
    </w:p>
    <w:p w:rsidR="004A397C" w:rsidRPr="009B3747" w:rsidRDefault="004A397C" w:rsidP="00C27072">
      <w:pPr>
        <w:pStyle w:val="ListParagraph"/>
        <w:numPr>
          <w:ilvl w:val="0"/>
          <w:numId w:val="145"/>
        </w:numPr>
        <w:spacing w:line="276" w:lineRule="auto"/>
        <w:rPr>
          <w:rFonts w:eastAsia="Arial" w:cstheme="minorHAnsi"/>
        </w:rPr>
      </w:pPr>
      <w:r w:rsidRPr="009B3747">
        <w:rPr>
          <w:rFonts w:eastAsia="Arial" w:cstheme="minorHAnsi"/>
        </w:rPr>
        <w:t>61-70 years</w:t>
      </w:r>
    </w:p>
    <w:p w:rsidR="004A397C" w:rsidRPr="009B3747" w:rsidRDefault="004A397C" w:rsidP="00C27072">
      <w:pPr>
        <w:pStyle w:val="ListParagraph"/>
        <w:numPr>
          <w:ilvl w:val="0"/>
          <w:numId w:val="145"/>
        </w:numPr>
        <w:spacing w:line="276" w:lineRule="auto"/>
        <w:rPr>
          <w:rFonts w:eastAsia="Arial" w:cstheme="minorHAnsi"/>
        </w:rPr>
      </w:pPr>
      <w:r w:rsidRPr="009B3747">
        <w:rPr>
          <w:rFonts w:eastAsia="Arial" w:cstheme="minorHAnsi"/>
        </w:rPr>
        <w:t>71-80 years</w:t>
      </w:r>
    </w:p>
    <w:p w:rsidR="004A397C" w:rsidRPr="009B3747" w:rsidRDefault="004A397C" w:rsidP="00C27072">
      <w:pPr>
        <w:pStyle w:val="ListParagraph"/>
        <w:numPr>
          <w:ilvl w:val="0"/>
          <w:numId w:val="145"/>
        </w:numPr>
        <w:spacing w:line="276" w:lineRule="auto"/>
        <w:rPr>
          <w:rFonts w:eastAsia="Arial" w:cstheme="minorHAnsi"/>
        </w:rPr>
      </w:pPr>
      <w:r w:rsidRPr="009B3747">
        <w:rPr>
          <w:rFonts w:eastAsia="Arial" w:cstheme="minorHAnsi"/>
        </w:rPr>
        <w:t>81+ years</w:t>
      </w:r>
    </w:p>
    <w:p w:rsidR="004A397C" w:rsidRPr="009B3747" w:rsidRDefault="004A397C" w:rsidP="00C27072">
      <w:pPr>
        <w:pStyle w:val="ListParagraph"/>
        <w:numPr>
          <w:ilvl w:val="0"/>
          <w:numId w:val="145"/>
        </w:numPr>
        <w:spacing w:line="276" w:lineRule="auto"/>
        <w:rPr>
          <w:rFonts w:eastAsia="Arial" w:cstheme="minorHAnsi"/>
        </w:rPr>
      </w:pPr>
      <w:r w:rsidRPr="009B3747">
        <w:rPr>
          <w:rFonts w:eastAsia="Arial" w:cstheme="minorHAnsi"/>
        </w:rPr>
        <w:t>Prefer not to say</w:t>
      </w:r>
    </w:p>
    <w:p w:rsidR="004A397C" w:rsidRPr="009B3747" w:rsidRDefault="004A397C" w:rsidP="004A397C">
      <w:pPr>
        <w:rPr>
          <w:rFonts w:eastAsia="Arial" w:cstheme="minorHAnsi"/>
        </w:rPr>
      </w:pPr>
    </w:p>
    <w:p w:rsidR="004A397C" w:rsidRPr="009B3747" w:rsidRDefault="004A397C" w:rsidP="00C27072">
      <w:pPr>
        <w:pStyle w:val="ListParagraph"/>
        <w:numPr>
          <w:ilvl w:val="0"/>
          <w:numId w:val="143"/>
        </w:numPr>
        <w:spacing w:line="276" w:lineRule="auto"/>
        <w:ind w:left="284" w:hanging="284"/>
        <w:rPr>
          <w:rFonts w:eastAsia="Arial" w:cstheme="minorHAnsi"/>
        </w:rPr>
      </w:pPr>
      <w:r w:rsidRPr="009B3747">
        <w:rPr>
          <w:rFonts w:eastAsia="Arial" w:cstheme="minorHAnsi"/>
        </w:rPr>
        <w:t>How long have you been a headteacher or chair of governors for?</w:t>
      </w:r>
    </w:p>
    <w:p w:rsidR="004A397C" w:rsidRPr="009B3747" w:rsidRDefault="004A397C" w:rsidP="004A397C">
      <w:pPr>
        <w:pStyle w:val="ListParagraph"/>
        <w:ind w:left="284"/>
        <w:rPr>
          <w:rFonts w:eastAsia="Arial" w:cstheme="minorHAnsi"/>
        </w:rPr>
      </w:pPr>
    </w:p>
    <w:p w:rsidR="004A397C" w:rsidRPr="009B3747" w:rsidRDefault="004A397C" w:rsidP="00C27072">
      <w:pPr>
        <w:pStyle w:val="ListParagraph"/>
        <w:numPr>
          <w:ilvl w:val="0"/>
          <w:numId w:val="146"/>
        </w:numPr>
        <w:spacing w:line="276" w:lineRule="auto"/>
        <w:rPr>
          <w:rFonts w:eastAsia="Arial" w:cstheme="minorHAnsi"/>
        </w:rPr>
      </w:pPr>
      <w:r w:rsidRPr="009B3747">
        <w:rPr>
          <w:rFonts w:eastAsia="Arial" w:cstheme="minorHAnsi"/>
        </w:rPr>
        <w:t>Less than 1 year</w:t>
      </w:r>
    </w:p>
    <w:p w:rsidR="004A397C" w:rsidRPr="009B3747" w:rsidRDefault="004A397C" w:rsidP="00C27072">
      <w:pPr>
        <w:pStyle w:val="ListParagraph"/>
        <w:numPr>
          <w:ilvl w:val="0"/>
          <w:numId w:val="146"/>
        </w:numPr>
        <w:spacing w:line="276" w:lineRule="auto"/>
        <w:rPr>
          <w:rFonts w:eastAsia="Arial" w:cstheme="minorHAnsi"/>
        </w:rPr>
      </w:pPr>
      <w:r w:rsidRPr="009B3747">
        <w:rPr>
          <w:rFonts w:eastAsia="Arial" w:cstheme="minorHAnsi"/>
        </w:rPr>
        <w:t>1-5 years</w:t>
      </w:r>
    </w:p>
    <w:p w:rsidR="004A397C" w:rsidRPr="009B3747" w:rsidRDefault="004A397C" w:rsidP="00C27072">
      <w:pPr>
        <w:pStyle w:val="ListParagraph"/>
        <w:numPr>
          <w:ilvl w:val="0"/>
          <w:numId w:val="146"/>
        </w:numPr>
        <w:spacing w:line="276" w:lineRule="auto"/>
        <w:rPr>
          <w:rFonts w:eastAsia="Arial" w:cstheme="minorHAnsi"/>
        </w:rPr>
      </w:pPr>
      <w:r w:rsidRPr="009B3747">
        <w:rPr>
          <w:rFonts w:eastAsia="Arial" w:cstheme="minorHAnsi"/>
        </w:rPr>
        <w:t>6-10 years</w:t>
      </w:r>
    </w:p>
    <w:p w:rsidR="004A397C" w:rsidRPr="009B3747" w:rsidRDefault="004A397C" w:rsidP="00C27072">
      <w:pPr>
        <w:pStyle w:val="ListParagraph"/>
        <w:numPr>
          <w:ilvl w:val="0"/>
          <w:numId w:val="146"/>
        </w:numPr>
        <w:spacing w:line="276" w:lineRule="auto"/>
        <w:rPr>
          <w:rFonts w:eastAsia="Arial" w:cstheme="minorHAnsi"/>
        </w:rPr>
      </w:pPr>
      <w:r w:rsidRPr="009B3747">
        <w:rPr>
          <w:rFonts w:eastAsia="Arial" w:cstheme="minorHAnsi"/>
        </w:rPr>
        <w:t>11-15 years</w:t>
      </w:r>
    </w:p>
    <w:p w:rsidR="004A397C" w:rsidRPr="009B3747" w:rsidRDefault="004A397C" w:rsidP="00C27072">
      <w:pPr>
        <w:pStyle w:val="ListParagraph"/>
        <w:numPr>
          <w:ilvl w:val="0"/>
          <w:numId w:val="146"/>
        </w:numPr>
        <w:spacing w:line="276" w:lineRule="auto"/>
        <w:rPr>
          <w:rFonts w:eastAsia="Arial" w:cstheme="minorHAnsi"/>
        </w:rPr>
      </w:pPr>
      <w:r w:rsidRPr="009B3747">
        <w:rPr>
          <w:rFonts w:eastAsia="Arial" w:cstheme="minorHAnsi"/>
        </w:rPr>
        <w:t>16-20 years</w:t>
      </w:r>
    </w:p>
    <w:p w:rsidR="004A397C" w:rsidRPr="009B3747" w:rsidRDefault="004A397C" w:rsidP="00C27072">
      <w:pPr>
        <w:pStyle w:val="ListParagraph"/>
        <w:numPr>
          <w:ilvl w:val="0"/>
          <w:numId w:val="146"/>
        </w:numPr>
        <w:spacing w:line="276" w:lineRule="auto"/>
        <w:rPr>
          <w:rFonts w:eastAsia="Arial" w:cstheme="minorHAnsi"/>
        </w:rPr>
      </w:pPr>
      <w:r w:rsidRPr="009B3747">
        <w:rPr>
          <w:rFonts w:eastAsia="Arial" w:cstheme="minorHAnsi"/>
        </w:rPr>
        <w:t>21-25 years</w:t>
      </w:r>
    </w:p>
    <w:p w:rsidR="004A397C" w:rsidRPr="009B3747" w:rsidRDefault="004A397C" w:rsidP="00C27072">
      <w:pPr>
        <w:pStyle w:val="ListParagraph"/>
        <w:numPr>
          <w:ilvl w:val="0"/>
          <w:numId w:val="146"/>
        </w:numPr>
        <w:spacing w:line="276" w:lineRule="auto"/>
        <w:rPr>
          <w:rFonts w:eastAsia="Arial" w:cstheme="minorHAnsi"/>
        </w:rPr>
      </w:pPr>
      <w:r w:rsidRPr="009B3747">
        <w:rPr>
          <w:rFonts w:eastAsia="Arial" w:cstheme="minorHAnsi"/>
        </w:rPr>
        <w:t>26+ years</w:t>
      </w:r>
    </w:p>
    <w:p w:rsidR="004A397C" w:rsidRPr="009B3747" w:rsidRDefault="004A397C" w:rsidP="00C27072">
      <w:pPr>
        <w:pStyle w:val="ListParagraph"/>
        <w:numPr>
          <w:ilvl w:val="0"/>
          <w:numId w:val="146"/>
        </w:numPr>
        <w:spacing w:line="276" w:lineRule="auto"/>
        <w:rPr>
          <w:rFonts w:eastAsia="Arial" w:cstheme="minorHAnsi"/>
        </w:rPr>
      </w:pPr>
      <w:r w:rsidRPr="009B3747">
        <w:rPr>
          <w:rFonts w:eastAsia="Arial" w:cstheme="minorHAnsi"/>
        </w:rPr>
        <w:t>Prefer not to say</w:t>
      </w:r>
    </w:p>
    <w:p w:rsidR="004A397C" w:rsidRPr="009B3747" w:rsidRDefault="004A397C" w:rsidP="004A397C">
      <w:pPr>
        <w:rPr>
          <w:rFonts w:eastAsia="Arial" w:cstheme="minorHAnsi"/>
        </w:rPr>
      </w:pPr>
    </w:p>
    <w:p w:rsidR="0082594B" w:rsidRPr="009B3747" w:rsidRDefault="0082594B" w:rsidP="004A397C">
      <w:pPr>
        <w:rPr>
          <w:rFonts w:eastAsia="Arial" w:cstheme="minorHAnsi"/>
        </w:rPr>
      </w:pPr>
    </w:p>
    <w:p w:rsidR="0091309E" w:rsidRPr="009B3747" w:rsidRDefault="0091309E" w:rsidP="004A397C">
      <w:pPr>
        <w:rPr>
          <w:rFonts w:eastAsia="Arial" w:cstheme="minorHAnsi"/>
          <w:u w:val="single"/>
        </w:rPr>
      </w:pPr>
    </w:p>
    <w:p w:rsidR="004A397C" w:rsidRPr="009B3747" w:rsidRDefault="004A397C" w:rsidP="004A397C">
      <w:pPr>
        <w:rPr>
          <w:rFonts w:eastAsia="Arial" w:cstheme="minorHAnsi"/>
          <w:u w:val="single"/>
        </w:rPr>
      </w:pPr>
      <w:r w:rsidRPr="009B3747">
        <w:rPr>
          <w:rFonts w:eastAsia="Arial" w:cstheme="minorHAnsi"/>
          <w:u w:val="single"/>
        </w:rPr>
        <w:lastRenderedPageBreak/>
        <w:t>Section three</w:t>
      </w:r>
    </w:p>
    <w:p w:rsidR="004A397C" w:rsidRPr="009B3747" w:rsidRDefault="004A397C" w:rsidP="004A397C">
      <w:pPr>
        <w:rPr>
          <w:rFonts w:eastAsia="Arial" w:cstheme="minorHAnsi"/>
          <w:u w:val="single"/>
        </w:rPr>
      </w:pPr>
    </w:p>
    <w:p w:rsidR="004A397C" w:rsidRPr="009B3747" w:rsidRDefault="004A397C" w:rsidP="004A397C">
      <w:pPr>
        <w:rPr>
          <w:rFonts w:eastAsia="Arial" w:cstheme="minorHAnsi"/>
        </w:rPr>
      </w:pPr>
      <w:r w:rsidRPr="009B3747">
        <w:rPr>
          <w:rFonts w:eastAsia="Arial" w:cstheme="minorHAnsi"/>
        </w:rPr>
        <w:t>Please select responses which best describe your views of the following statements:</w:t>
      </w:r>
    </w:p>
    <w:p w:rsidR="004A397C" w:rsidRPr="009B3747" w:rsidRDefault="004A397C" w:rsidP="004A397C">
      <w:pPr>
        <w:rPr>
          <w:rFonts w:eastAsia="Arial" w:cstheme="minorHAnsi"/>
        </w:rPr>
      </w:pPr>
    </w:p>
    <w:p w:rsidR="0082594B" w:rsidRPr="009B3747" w:rsidRDefault="004A397C" w:rsidP="0082594B">
      <w:pPr>
        <w:pStyle w:val="ListParagraph"/>
        <w:numPr>
          <w:ilvl w:val="2"/>
          <w:numId w:val="134"/>
        </w:numPr>
        <w:spacing w:line="276" w:lineRule="auto"/>
        <w:ind w:left="284" w:hanging="284"/>
        <w:rPr>
          <w:rFonts w:eastAsia="Arial" w:cstheme="minorHAnsi"/>
        </w:rPr>
      </w:pPr>
      <w:r w:rsidRPr="009B3747">
        <w:rPr>
          <w:rFonts w:eastAsia="Arial" w:cstheme="minorHAnsi"/>
        </w:rPr>
        <w:t xml:space="preserve">Generally speaking, in relation to pupils at my secondary school </w:t>
      </w:r>
      <w:r w:rsidR="0082594B" w:rsidRPr="009B3747">
        <w:rPr>
          <w:rFonts w:eastAsia="Arial" w:cstheme="minorHAnsi"/>
        </w:rPr>
        <w:t>–</w:t>
      </w:r>
      <w:r w:rsidRPr="009B3747">
        <w:rPr>
          <w:rFonts w:eastAsia="Arial" w:cstheme="minorHAnsi"/>
        </w:rPr>
        <w:t xml:space="preserve"> </w:t>
      </w:r>
    </w:p>
    <w:p w:rsidR="004A397C" w:rsidRPr="009B3747" w:rsidRDefault="004A397C" w:rsidP="004A397C">
      <w:pPr>
        <w:spacing w:line="240" w:lineRule="auto"/>
        <w:rPr>
          <w:rFonts w:eastAsia="Times New Roman" w:cstheme="minorHAnsi"/>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4349"/>
        <w:gridCol w:w="994"/>
        <w:gridCol w:w="994"/>
        <w:gridCol w:w="973"/>
        <w:gridCol w:w="738"/>
        <w:gridCol w:w="958"/>
      </w:tblGrid>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p>
        </w:tc>
        <w:tc>
          <w:tcPr>
            <w:tcW w:w="99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Strongly Disagree</w:t>
            </w:r>
          </w:p>
          <w:p w:rsidR="004A397C" w:rsidRPr="009B3747" w:rsidRDefault="004A397C" w:rsidP="00846B21">
            <w:pPr>
              <w:spacing w:line="240" w:lineRule="auto"/>
              <w:jc w:val="center"/>
              <w:rPr>
                <w:rFonts w:eastAsia="Times New Roman" w:cstheme="minorHAnsi"/>
                <w:sz w:val="24"/>
                <w:szCs w:val="24"/>
                <w:lang w:eastAsia="en-GB"/>
              </w:rPr>
            </w:pPr>
          </w:p>
        </w:tc>
        <w:tc>
          <w:tcPr>
            <w:tcW w:w="99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Disagree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Neither agree or disagree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Strongly agree</w:t>
            </w:r>
          </w:p>
          <w:p w:rsidR="004A397C" w:rsidRPr="009B3747" w:rsidRDefault="004A397C" w:rsidP="00846B21">
            <w:pPr>
              <w:spacing w:line="240" w:lineRule="auto"/>
              <w:jc w:val="center"/>
              <w:rPr>
                <w:rFonts w:eastAsia="Times New Roman" w:cstheme="minorHAnsi"/>
                <w:sz w:val="24"/>
                <w:szCs w:val="24"/>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I am concerned about levels of excess weight</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4"/>
                <w:szCs w:val="24"/>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4"/>
                <w:szCs w:val="24"/>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I am concerned about unhealthy dietary habits</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4"/>
                <w:szCs w:val="24"/>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4"/>
                <w:szCs w:val="24"/>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Unhealthy dietary habits are a greater concern to me than levels of excess weight</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4"/>
                <w:szCs w:val="24"/>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4"/>
                <w:szCs w:val="24"/>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I am concerned about levels of sedentary behaviour</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4"/>
                <w:szCs w:val="24"/>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4"/>
                <w:szCs w:val="24"/>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Sedentary behaviour is a greater concern to me than levels of excess weight</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4"/>
                <w:szCs w:val="24"/>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4"/>
                <w:szCs w:val="24"/>
                <w:lang w:eastAsia="en-GB"/>
              </w:rPr>
            </w:pPr>
          </w:p>
        </w:tc>
      </w:tr>
    </w:tbl>
    <w:p w:rsidR="004A397C" w:rsidRPr="009B3747" w:rsidRDefault="004A397C" w:rsidP="004A397C">
      <w:pPr>
        <w:rPr>
          <w:rFonts w:eastAsia="Arial" w:cstheme="minorHAnsi"/>
        </w:rPr>
      </w:pPr>
    </w:p>
    <w:p w:rsidR="004A397C" w:rsidRPr="009B3747" w:rsidRDefault="004A397C" w:rsidP="004A397C">
      <w:pPr>
        <w:rPr>
          <w:rFonts w:eastAsia="Arial" w:cstheme="minorHAnsi"/>
        </w:rPr>
      </w:pPr>
    </w:p>
    <w:p w:rsidR="004A397C" w:rsidRPr="009B3747" w:rsidRDefault="004A397C" w:rsidP="00C27072">
      <w:pPr>
        <w:pStyle w:val="ListParagraph"/>
        <w:numPr>
          <w:ilvl w:val="2"/>
          <w:numId w:val="134"/>
        </w:numPr>
        <w:spacing w:line="276" w:lineRule="auto"/>
        <w:ind w:left="284" w:hanging="284"/>
        <w:rPr>
          <w:rFonts w:eastAsia="Arial" w:cstheme="minorHAnsi"/>
        </w:rPr>
      </w:pPr>
      <w:r w:rsidRPr="009B3747">
        <w:rPr>
          <w:rFonts w:eastAsia="Arial" w:cstheme="minorHAnsi"/>
        </w:rPr>
        <w:t>What percentage of pupils at your secondary school do you estimate to be of excess weight</w:t>
      </w:r>
      <w:r w:rsidR="004862DC">
        <w:rPr>
          <w:rFonts w:eastAsia="Arial" w:cstheme="minorHAnsi"/>
        </w:rPr>
        <w:t xml:space="preserve">, </w:t>
      </w:r>
      <w:r w:rsidRPr="009B3747">
        <w:rPr>
          <w:rFonts w:eastAsia="Arial" w:cstheme="minorHAnsi"/>
        </w:rPr>
        <w:t>i.e overweight or obese?</w:t>
      </w:r>
    </w:p>
    <w:p w:rsidR="004A397C" w:rsidRPr="009B3747" w:rsidRDefault="004A397C" w:rsidP="004A397C">
      <w:pPr>
        <w:rPr>
          <w:rFonts w:eastAsia="Arial" w:cstheme="minorHAnsi"/>
        </w:rPr>
      </w:pPr>
    </w:p>
    <w:p w:rsidR="004A397C" w:rsidRPr="009B3747" w:rsidRDefault="004A397C" w:rsidP="00C27072">
      <w:pPr>
        <w:pStyle w:val="ListParagraph"/>
        <w:numPr>
          <w:ilvl w:val="0"/>
          <w:numId w:val="147"/>
        </w:numPr>
        <w:spacing w:line="276" w:lineRule="auto"/>
        <w:rPr>
          <w:rFonts w:eastAsia="Arial" w:cstheme="minorHAnsi"/>
        </w:rPr>
      </w:pPr>
      <w:r w:rsidRPr="009B3747">
        <w:rPr>
          <w:rFonts w:eastAsia="Arial" w:cstheme="minorHAnsi"/>
        </w:rPr>
        <w:t>0-10%</w:t>
      </w:r>
    </w:p>
    <w:p w:rsidR="004A397C" w:rsidRPr="009B3747" w:rsidRDefault="004A397C" w:rsidP="00C27072">
      <w:pPr>
        <w:pStyle w:val="ListParagraph"/>
        <w:numPr>
          <w:ilvl w:val="0"/>
          <w:numId w:val="147"/>
        </w:numPr>
        <w:spacing w:line="276" w:lineRule="auto"/>
        <w:rPr>
          <w:rFonts w:eastAsia="Arial" w:cstheme="minorHAnsi"/>
        </w:rPr>
      </w:pPr>
      <w:r w:rsidRPr="009B3747">
        <w:rPr>
          <w:rFonts w:eastAsia="Arial" w:cstheme="minorHAnsi"/>
        </w:rPr>
        <w:t>11-20%</w:t>
      </w:r>
    </w:p>
    <w:p w:rsidR="004A397C" w:rsidRPr="009B3747" w:rsidRDefault="004A397C" w:rsidP="00C27072">
      <w:pPr>
        <w:pStyle w:val="ListParagraph"/>
        <w:numPr>
          <w:ilvl w:val="0"/>
          <w:numId w:val="147"/>
        </w:numPr>
        <w:spacing w:line="276" w:lineRule="auto"/>
        <w:rPr>
          <w:rFonts w:eastAsia="Arial" w:cstheme="minorHAnsi"/>
        </w:rPr>
      </w:pPr>
      <w:r w:rsidRPr="009B3747">
        <w:rPr>
          <w:rFonts w:eastAsia="Arial" w:cstheme="minorHAnsi"/>
        </w:rPr>
        <w:t>21-30%</w:t>
      </w:r>
    </w:p>
    <w:p w:rsidR="004A397C" w:rsidRPr="009B3747" w:rsidRDefault="004A397C" w:rsidP="00C27072">
      <w:pPr>
        <w:pStyle w:val="ListParagraph"/>
        <w:numPr>
          <w:ilvl w:val="0"/>
          <w:numId w:val="147"/>
        </w:numPr>
        <w:spacing w:line="276" w:lineRule="auto"/>
        <w:rPr>
          <w:rFonts w:eastAsia="Arial" w:cstheme="minorHAnsi"/>
        </w:rPr>
      </w:pPr>
      <w:r w:rsidRPr="009B3747">
        <w:rPr>
          <w:rFonts w:eastAsia="Arial" w:cstheme="minorHAnsi"/>
        </w:rPr>
        <w:t>31-40%</w:t>
      </w:r>
    </w:p>
    <w:p w:rsidR="004A397C" w:rsidRPr="009B3747" w:rsidRDefault="004A397C" w:rsidP="00C27072">
      <w:pPr>
        <w:pStyle w:val="ListParagraph"/>
        <w:numPr>
          <w:ilvl w:val="0"/>
          <w:numId w:val="147"/>
        </w:numPr>
        <w:spacing w:line="276" w:lineRule="auto"/>
        <w:rPr>
          <w:rFonts w:eastAsia="Arial" w:cstheme="minorHAnsi"/>
        </w:rPr>
      </w:pPr>
      <w:r w:rsidRPr="009B3747">
        <w:rPr>
          <w:rFonts w:eastAsia="Arial" w:cstheme="minorHAnsi"/>
        </w:rPr>
        <w:t>41-50%</w:t>
      </w:r>
    </w:p>
    <w:p w:rsidR="004A397C" w:rsidRPr="009B3747" w:rsidRDefault="004A397C" w:rsidP="00C27072">
      <w:pPr>
        <w:pStyle w:val="ListParagraph"/>
        <w:numPr>
          <w:ilvl w:val="0"/>
          <w:numId w:val="147"/>
        </w:numPr>
        <w:spacing w:line="276" w:lineRule="auto"/>
        <w:rPr>
          <w:rFonts w:eastAsia="Arial" w:cstheme="minorHAnsi"/>
        </w:rPr>
      </w:pPr>
      <w:r w:rsidRPr="009B3747">
        <w:rPr>
          <w:rFonts w:eastAsia="Arial" w:cstheme="minorHAnsi"/>
        </w:rPr>
        <w:t>51-60%</w:t>
      </w:r>
    </w:p>
    <w:p w:rsidR="004A397C" w:rsidRPr="009B3747" w:rsidRDefault="004A397C" w:rsidP="00C27072">
      <w:pPr>
        <w:pStyle w:val="ListParagraph"/>
        <w:numPr>
          <w:ilvl w:val="0"/>
          <w:numId w:val="147"/>
        </w:numPr>
        <w:spacing w:line="276" w:lineRule="auto"/>
        <w:rPr>
          <w:rFonts w:eastAsia="Arial" w:cstheme="minorHAnsi"/>
        </w:rPr>
      </w:pPr>
      <w:r w:rsidRPr="009B3747">
        <w:rPr>
          <w:rFonts w:eastAsia="Arial" w:cstheme="minorHAnsi"/>
        </w:rPr>
        <w:t>61-70%</w:t>
      </w:r>
    </w:p>
    <w:p w:rsidR="004A397C" w:rsidRPr="009B3747" w:rsidRDefault="004A397C" w:rsidP="00C27072">
      <w:pPr>
        <w:pStyle w:val="ListParagraph"/>
        <w:numPr>
          <w:ilvl w:val="0"/>
          <w:numId w:val="147"/>
        </w:numPr>
        <w:spacing w:line="276" w:lineRule="auto"/>
        <w:rPr>
          <w:rFonts w:eastAsia="Arial" w:cstheme="minorHAnsi"/>
        </w:rPr>
      </w:pPr>
      <w:r w:rsidRPr="009B3747">
        <w:rPr>
          <w:rFonts w:eastAsia="Arial" w:cstheme="minorHAnsi"/>
        </w:rPr>
        <w:t>71-80%</w:t>
      </w:r>
    </w:p>
    <w:p w:rsidR="004A397C" w:rsidRPr="009B3747" w:rsidRDefault="004A397C" w:rsidP="00C27072">
      <w:pPr>
        <w:pStyle w:val="ListParagraph"/>
        <w:numPr>
          <w:ilvl w:val="0"/>
          <w:numId w:val="147"/>
        </w:numPr>
        <w:spacing w:line="276" w:lineRule="auto"/>
        <w:rPr>
          <w:rFonts w:eastAsia="Arial" w:cstheme="minorHAnsi"/>
        </w:rPr>
      </w:pPr>
      <w:r w:rsidRPr="009B3747">
        <w:rPr>
          <w:rFonts w:eastAsia="Arial" w:cstheme="minorHAnsi"/>
        </w:rPr>
        <w:t>81-90%</w:t>
      </w:r>
    </w:p>
    <w:p w:rsidR="004A397C" w:rsidRPr="009B3747" w:rsidRDefault="004A397C" w:rsidP="00C27072">
      <w:pPr>
        <w:pStyle w:val="ListParagraph"/>
        <w:numPr>
          <w:ilvl w:val="0"/>
          <w:numId w:val="147"/>
        </w:numPr>
        <w:spacing w:line="276" w:lineRule="auto"/>
        <w:rPr>
          <w:rFonts w:eastAsia="Arial" w:cstheme="minorHAnsi"/>
        </w:rPr>
      </w:pPr>
      <w:r w:rsidRPr="009B3747">
        <w:rPr>
          <w:rFonts w:eastAsia="Arial" w:cstheme="minorHAnsi"/>
        </w:rPr>
        <w:t>91-100%</w:t>
      </w:r>
    </w:p>
    <w:p w:rsidR="004A397C" w:rsidRPr="009B3747" w:rsidRDefault="004A397C" w:rsidP="004A397C">
      <w:pPr>
        <w:rPr>
          <w:rFonts w:eastAsia="Arial" w:cstheme="minorHAnsi"/>
        </w:rPr>
      </w:pPr>
    </w:p>
    <w:p w:rsidR="0091309E" w:rsidRPr="009B3747" w:rsidRDefault="0091309E" w:rsidP="004A397C">
      <w:pPr>
        <w:rPr>
          <w:rFonts w:eastAsia="Arial" w:cstheme="minorHAnsi"/>
        </w:rPr>
      </w:pPr>
    </w:p>
    <w:p w:rsidR="0091309E" w:rsidRPr="009B3747" w:rsidRDefault="0091309E" w:rsidP="004A397C">
      <w:pPr>
        <w:rPr>
          <w:rFonts w:eastAsia="Arial" w:cstheme="minorHAnsi"/>
        </w:rPr>
      </w:pPr>
    </w:p>
    <w:p w:rsidR="0091309E" w:rsidRPr="009B3747" w:rsidRDefault="0091309E" w:rsidP="004A397C">
      <w:pPr>
        <w:rPr>
          <w:rFonts w:eastAsia="Arial" w:cstheme="minorHAnsi"/>
        </w:rPr>
      </w:pPr>
    </w:p>
    <w:p w:rsidR="0091309E" w:rsidRPr="009B3747" w:rsidRDefault="0091309E" w:rsidP="004A397C">
      <w:pPr>
        <w:rPr>
          <w:rFonts w:eastAsia="Arial" w:cstheme="minorHAnsi"/>
        </w:rPr>
      </w:pPr>
    </w:p>
    <w:p w:rsidR="0091309E" w:rsidRPr="009B3747" w:rsidRDefault="0091309E" w:rsidP="004A397C">
      <w:pPr>
        <w:rPr>
          <w:rFonts w:eastAsia="Arial" w:cstheme="minorHAnsi"/>
        </w:rPr>
      </w:pPr>
    </w:p>
    <w:p w:rsidR="004A397C" w:rsidRPr="009B3747" w:rsidRDefault="004A397C" w:rsidP="00C27072">
      <w:pPr>
        <w:pStyle w:val="ListParagraph"/>
        <w:numPr>
          <w:ilvl w:val="2"/>
          <w:numId w:val="134"/>
        </w:numPr>
        <w:spacing w:line="276" w:lineRule="auto"/>
        <w:ind w:left="284" w:hanging="284"/>
        <w:rPr>
          <w:rFonts w:eastAsia="Arial" w:cstheme="minorHAnsi"/>
        </w:rPr>
      </w:pPr>
      <w:r w:rsidRPr="009B3747">
        <w:rPr>
          <w:rFonts w:cstheme="minorHAnsi"/>
          <w:bCs/>
          <w:color w:val="000000"/>
        </w:rPr>
        <w:t>From my perspective I believe that –</w:t>
      </w:r>
    </w:p>
    <w:p w:rsidR="004A397C" w:rsidRPr="009B3747" w:rsidRDefault="004A397C" w:rsidP="004A397C">
      <w:pPr>
        <w:rPr>
          <w:rFonts w:eastAsia="Arial"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4349"/>
        <w:gridCol w:w="994"/>
        <w:gridCol w:w="994"/>
        <w:gridCol w:w="973"/>
        <w:gridCol w:w="738"/>
        <w:gridCol w:w="958"/>
      </w:tblGrid>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p>
        </w:tc>
        <w:tc>
          <w:tcPr>
            <w:tcW w:w="99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Strongly Disagree</w:t>
            </w:r>
          </w:p>
          <w:p w:rsidR="004A397C" w:rsidRPr="009B3747" w:rsidRDefault="004A397C" w:rsidP="00846B21">
            <w:pPr>
              <w:spacing w:line="240" w:lineRule="auto"/>
              <w:jc w:val="center"/>
              <w:rPr>
                <w:rFonts w:eastAsia="Times New Roman" w:cstheme="minorHAnsi"/>
                <w:sz w:val="24"/>
                <w:szCs w:val="24"/>
                <w:lang w:eastAsia="en-GB"/>
              </w:rPr>
            </w:pPr>
          </w:p>
        </w:tc>
        <w:tc>
          <w:tcPr>
            <w:tcW w:w="99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Disagree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Neither agree or disagree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Strongly agree</w:t>
            </w:r>
          </w:p>
          <w:p w:rsidR="004A397C" w:rsidRPr="009B3747" w:rsidRDefault="004A397C" w:rsidP="00846B21">
            <w:pPr>
              <w:spacing w:line="240" w:lineRule="auto"/>
              <w:jc w:val="center"/>
              <w:rPr>
                <w:rFonts w:eastAsia="Times New Roman" w:cstheme="minorHAnsi"/>
                <w:sz w:val="24"/>
                <w:szCs w:val="24"/>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Visual assessment is an accurate method to identify excess weight in secondary school pupils</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4"/>
                <w:szCs w:val="24"/>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4"/>
                <w:szCs w:val="24"/>
                <w:lang w:eastAsia="en-GB"/>
              </w:rPr>
            </w:pPr>
          </w:p>
        </w:tc>
      </w:tr>
    </w:tbl>
    <w:p w:rsidR="004A397C" w:rsidRPr="009B3747" w:rsidRDefault="004A397C" w:rsidP="004A397C">
      <w:pPr>
        <w:rPr>
          <w:rFonts w:eastAsia="Arial" w:cstheme="minorHAnsi"/>
        </w:rPr>
      </w:pPr>
    </w:p>
    <w:p w:rsidR="004A397C" w:rsidRPr="009B3747" w:rsidRDefault="004A397C" w:rsidP="00C27072">
      <w:pPr>
        <w:pStyle w:val="ListParagraph"/>
        <w:numPr>
          <w:ilvl w:val="2"/>
          <w:numId w:val="134"/>
        </w:numPr>
        <w:spacing w:line="276" w:lineRule="auto"/>
        <w:ind w:left="284" w:hanging="284"/>
        <w:rPr>
          <w:rFonts w:eastAsia="Arial" w:cstheme="minorHAnsi"/>
        </w:rPr>
      </w:pPr>
      <w:r w:rsidRPr="009B3747">
        <w:rPr>
          <w:rFonts w:eastAsia="Arial" w:cstheme="minorHAnsi"/>
        </w:rPr>
        <w:t>I believe that secondary school pupils from my school in general –</w:t>
      </w:r>
    </w:p>
    <w:p w:rsidR="004A397C" w:rsidRPr="009B3747" w:rsidRDefault="004A397C" w:rsidP="004A397C">
      <w:pPr>
        <w:rPr>
          <w:rFonts w:eastAsia="Arial"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4349"/>
        <w:gridCol w:w="994"/>
        <w:gridCol w:w="994"/>
        <w:gridCol w:w="973"/>
        <w:gridCol w:w="738"/>
        <w:gridCol w:w="958"/>
      </w:tblGrid>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p>
        </w:tc>
        <w:tc>
          <w:tcPr>
            <w:tcW w:w="99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Strongly Disagree</w:t>
            </w:r>
          </w:p>
          <w:p w:rsidR="004A397C" w:rsidRPr="009B3747" w:rsidRDefault="004A397C" w:rsidP="00846B21">
            <w:pPr>
              <w:spacing w:line="240" w:lineRule="auto"/>
              <w:jc w:val="center"/>
              <w:rPr>
                <w:rFonts w:eastAsia="Times New Roman" w:cstheme="minorHAnsi"/>
                <w:sz w:val="24"/>
                <w:szCs w:val="24"/>
                <w:lang w:eastAsia="en-GB"/>
              </w:rPr>
            </w:pPr>
          </w:p>
        </w:tc>
        <w:tc>
          <w:tcPr>
            <w:tcW w:w="99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Disagree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Neither agree or disagree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Strongly agree</w:t>
            </w:r>
          </w:p>
          <w:p w:rsidR="004A397C" w:rsidRPr="009B3747" w:rsidRDefault="004A397C" w:rsidP="00846B21">
            <w:pPr>
              <w:spacing w:line="240" w:lineRule="auto"/>
              <w:jc w:val="center"/>
              <w:rPr>
                <w:rFonts w:eastAsia="Times New Roman" w:cstheme="minorHAnsi"/>
                <w:sz w:val="24"/>
                <w:szCs w:val="24"/>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Consume too much junk food</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Eat a healthy breakfast</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Undertake enough physical activity</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Consume too many sugary drinks</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Spend too long being sedentary</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bl>
    <w:p w:rsidR="004A397C" w:rsidRPr="009B3747" w:rsidRDefault="004A397C" w:rsidP="004A397C">
      <w:pPr>
        <w:rPr>
          <w:rFonts w:eastAsia="Arial" w:cstheme="minorHAnsi"/>
        </w:rPr>
      </w:pPr>
    </w:p>
    <w:p w:rsidR="004A397C" w:rsidRPr="009B3747" w:rsidRDefault="004A397C" w:rsidP="004A397C">
      <w:pPr>
        <w:rPr>
          <w:rFonts w:eastAsia="Arial" w:cstheme="minorHAnsi"/>
        </w:rPr>
      </w:pPr>
    </w:p>
    <w:p w:rsidR="0082594B" w:rsidRPr="009B3747" w:rsidRDefault="004A397C" w:rsidP="0082594B">
      <w:pPr>
        <w:pStyle w:val="ListParagraph"/>
        <w:numPr>
          <w:ilvl w:val="2"/>
          <w:numId w:val="134"/>
        </w:numPr>
        <w:spacing w:line="276" w:lineRule="auto"/>
        <w:ind w:left="284" w:hanging="284"/>
        <w:rPr>
          <w:rFonts w:eastAsia="Arial" w:cstheme="minorHAnsi"/>
        </w:rPr>
      </w:pPr>
      <w:r w:rsidRPr="009B3747">
        <w:rPr>
          <w:rFonts w:eastAsia="Arial" w:cstheme="minorHAnsi"/>
        </w:rPr>
        <w:t xml:space="preserve">Do you think pupils who receive free school meals (FSM) compared to those who don't </w:t>
      </w:r>
      <w:r w:rsidR="0082594B" w:rsidRPr="009B3747">
        <w:rPr>
          <w:rFonts w:eastAsia="Arial" w:cstheme="minorHAnsi"/>
        </w:rPr>
        <w:t>–</w:t>
      </w:r>
    </w:p>
    <w:p w:rsidR="004A397C" w:rsidRPr="009B3747" w:rsidRDefault="004A397C" w:rsidP="004A397C">
      <w:pPr>
        <w:rPr>
          <w:rFonts w:eastAsia="Arial"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4349"/>
        <w:gridCol w:w="994"/>
        <w:gridCol w:w="994"/>
        <w:gridCol w:w="973"/>
        <w:gridCol w:w="738"/>
        <w:gridCol w:w="958"/>
      </w:tblGrid>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p>
        </w:tc>
        <w:tc>
          <w:tcPr>
            <w:tcW w:w="99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Strongly Disagree</w:t>
            </w:r>
          </w:p>
          <w:p w:rsidR="004A397C" w:rsidRPr="009B3747" w:rsidRDefault="004A397C" w:rsidP="00846B21">
            <w:pPr>
              <w:spacing w:line="240" w:lineRule="auto"/>
              <w:jc w:val="center"/>
              <w:rPr>
                <w:rFonts w:eastAsia="Times New Roman" w:cstheme="minorHAnsi"/>
                <w:sz w:val="24"/>
                <w:szCs w:val="24"/>
                <w:lang w:eastAsia="en-GB"/>
              </w:rPr>
            </w:pPr>
          </w:p>
        </w:tc>
        <w:tc>
          <w:tcPr>
            <w:tcW w:w="99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Disagree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Neither agree or disagree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Strongly agree</w:t>
            </w:r>
          </w:p>
          <w:p w:rsidR="004A397C" w:rsidRPr="009B3747" w:rsidRDefault="004A397C" w:rsidP="00846B21">
            <w:pPr>
              <w:spacing w:line="240" w:lineRule="auto"/>
              <w:jc w:val="center"/>
              <w:rPr>
                <w:rFonts w:eastAsia="Times New Roman" w:cstheme="minorHAnsi"/>
                <w:sz w:val="24"/>
                <w:szCs w:val="24"/>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Are more likely to be of excess weight</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Have unhealthier dietary habits</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Do less physical activity</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bl>
    <w:p w:rsidR="004A397C" w:rsidRPr="009B3747" w:rsidRDefault="004A397C" w:rsidP="004A397C">
      <w:pPr>
        <w:rPr>
          <w:rFonts w:eastAsia="Arial" w:cstheme="minorHAnsi"/>
        </w:rPr>
      </w:pPr>
    </w:p>
    <w:p w:rsidR="004A397C" w:rsidRPr="009B3747" w:rsidRDefault="004A397C" w:rsidP="004A397C">
      <w:pPr>
        <w:rPr>
          <w:rFonts w:eastAsia="Arial" w:cstheme="minorHAnsi"/>
          <w:u w:val="single"/>
        </w:rPr>
      </w:pPr>
      <w:r w:rsidRPr="009B3747">
        <w:rPr>
          <w:rFonts w:eastAsia="Arial" w:cstheme="minorHAnsi"/>
          <w:u w:val="single"/>
        </w:rPr>
        <w:t>Section four</w:t>
      </w:r>
    </w:p>
    <w:p w:rsidR="004A397C" w:rsidRPr="009B3747" w:rsidRDefault="004A397C" w:rsidP="004A397C">
      <w:pPr>
        <w:rPr>
          <w:rFonts w:eastAsia="Arial" w:cstheme="minorHAnsi"/>
        </w:rPr>
      </w:pPr>
    </w:p>
    <w:p w:rsidR="004A397C" w:rsidRPr="009B3747" w:rsidRDefault="004A397C" w:rsidP="004A397C">
      <w:pPr>
        <w:rPr>
          <w:rFonts w:eastAsia="Arial" w:cstheme="minorHAnsi"/>
        </w:rPr>
      </w:pPr>
      <w:r w:rsidRPr="009B3747">
        <w:rPr>
          <w:rFonts w:eastAsia="Arial" w:cstheme="minorHAnsi"/>
        </w:rPr>
        <w:t>Please select responses which best describe your views of the following statements:</w:t>
      </w:r>
    </w:p>
    <w:p w:rsidR="004A397C" w:rsidRPr="009B3747" w:rsidRDefault="004A397C" w:rsidP="004A397C">
      <w:pPr>
        <w:rPr>
          <w:rFonts w:eastAsia="Arial" w:cstheme="minorHAnsi"/>
        </w:rPr>
      </w:pPr>
    </w:p>
    <w:p w:rsidR="0082594B" w:rsidRPr="009B3747" w:rsidRDefault="004A397C" w:rsidP="0082594B">
      <w:pPr>
        <w:pStyle w:val="ListParagraph"/>
        <w:numPr>
          <w:ilvl w:val="0"/>
          <w:numId w:val="148"/>
        </w:numPr>
        <w:spacing w:line="276" w:lineRule="auto"/>
        <w:ind w:left="284" w:hanging="284"/>
        <w:rPr>
          <w:rFonts w:eastAsia="Arial" w:cstheme="minorHAnsi"/>
        </w:rPr>
      </w:pPr>
      <w:r w:rsidRPr="009B3747">
        <w:rPr>
          <w:rFonts w:eastAsia="Arial" w:cstheme="minorHAnsi"/>
        </w:rPr>
        <w:t xml:space="preserve">Within my secondary school </w:t>
      </w:r>
      <w:r w:rsidR="0082594B" w:rsidRPr="009B3747">
        <w:rPr>
          <w:rFonts w:eastAsia="Arial" w:cstheme="minorHAnsi"/>
        </w:rPr>
        <w:t>–</w:t>
      </w:r>
    </w:p>
    <w:p w:rsidR="004A397C" w:rsidRPr="009B3747" w:rsidRDefault="004A397C" w:rsidP="004A397C">
      <w:pPr>
        <w:rPr>
          <w:rFonts w:eastAsia="Arial"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4349"/>
        <w:gridCol w:w="994"/>
        <w:gridCol w:w="994"/>
        <w:gridCol w:w="973"/>
        <w:gridCol w:w="738"/>
        <w:gridCol w:w="958"/>
      </w:tblGrid>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p>
        </w:tc>
        <w:tc>
          <w:tcPr>
            <w:tcW w:w="99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Strongly Disagree</w:t>
            </w:r>
          </w:p>
          <w:p w:rsidR="004A397C" w:rsidRPr="009B3747" w:rsidRDefault="004A397C" w:rsidP="00846B21">
            <w:pPr>
              <w:spacing w:line="240" w:lineRule="auto"/>
              <w:jc w:val="center"/>
              <w:rPr>
                <w:rFonts w:eastAsia="Times New Roman" w:cstheme="minorHAnsi"/>
                <w:sz w:val="24"/>
                <w:szCs w:val="24"/>
                <w:lang w:eastAsia="en-GB"/>
              </w:rPr>
            </w:pPr>
          </w:p>
        </w:tc>
        <w:tc>
          <w:tcPr>
            <w:tcW w:w="99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Disagree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Neither agree or disagree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Strongly agree</w:t>
            </w:r>
          </w:p>
          <w:p w:rsidR="004A397C" w:rsidRPr="009B3747" w:rsidRDefault="004A397C" w:rsidP="00846B21">
            <w:pPr>
              <w:spacing w:line="240" w:lineRule="auto"/>
              <w:jc w:val="center"/>
              <w:rPr>
                <w:rFonts w:eastAsia="Times New Roman" w:cstheme="minorHAnsi"/>
                <w:sz w:val="24"/>
                <w:szCs w:val="24"/>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Preventing excess weight gain in secondary school pupils is a priority</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Improving dietary habits of secondary school pupils is a priority</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There are more important issues to deal with than preventing excess weight gain in secondary school pupils</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Improving physical activity habits of secondary school pupils is a priority</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School staff should role model healthy lifestyles to secondary school pupils</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bl>
    <w:p w:rsidR="004A397C" w:rsidRPr="009B3747" w:rsidRDefault="004A397C" w:rsidP="004A397C">
      <w:pPr>
        <w:rPr>
          <w:rFonts w:eastAsia="Arial" w:cstheme="minorHAnsi"/>
        </w:rPr>
      </w:pPr>
    </w:p>
    <w:p w:rsidR="004A397C" w:rsidRPr="009B3747" w:rsidRDefault="004A397C" w:rsidP="00C27072">
      <w:pPr>
        <w:pStyle w:val="ListParagraph"/>
        <w:numPr>
          <w:ilvl w:val="0"/>
          <w:numId w:val="148"/>
        </w:numPr>
        <w:spacing w:line="276" w:lineRule="auto"/>
        <w:ind w:left="284" w:hanging="284"/>
        <w:rPr>
          <w:rFonts w:eastAsia="Arial" w:cstheme="minorHAnsi"/>
        </w:rPr>
      </w:pPr>
      <w:r w:rsidRPr="009B3747">
        <w:rPr>
          <w:rFonts w:eastAsia="Arial" w:cstheme="minorHAnsi"/>
        </w:rPr>
        <w:t>I believe that secondary schools –</w:t>
      </w:r>
    </w:p>
    <w:p w:rsidR="004A397C" w:rsidRPr="009B3747" w:rsidRDefault="004A397C" w:rsidP="004A397C">
      <w:pPr>
        <w:rPr>
          <w:rFonts w:eastAsia="Arial"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4349"/>
        <w:gridCol w:w="994"/>
        <w:gridCol w:w="994"/>
        <w:gridCol w:w="973"/>
        <w:gridCol w:w="738"/>
        <w:gridCol w:w="958"/>
      </w:tblGrid>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p>
        </w:tc>
        <w:tc>
          <w:tcPr>
            <w:tcW w:w="99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Strongly Disagree</w:t>
            </w:r>
          </w:p>
          <w:p w:rsidR="004A397C" w:rsidRPr="009B3747" w:rsidRDefault="004A397C" w:rsidP="00846B21">
            <w:pPr>
              <w:spacing w:line="240" w:lineRule="auto"/>
              <w:jc w:val="center"/>
              <w:rPr>
                <w:rFonts w:eastAsia="Times New Roman" w:cstheme="minorHAnsi"/>
                <w:sz w:val="24"/>
                <w:szCs w:val="24"/>
                <w:lang w:eastAsia="en-GB"/>
              </w:rPr>
            </w:pPr>
          </w:p>
        </w:tc>
        <w:tc>
          <w:tcPr>
            <w:tcW w:w="99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Disagree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Neither agree or disagree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Strongly agree</w:t>
            </w:r>
          </w:p>
          <w:p w:rsidR="004A397C" w:rsidRPr="009B3747" w:rsidRDefault="004A397C" w:rsidP="00846B21">
            <w:pPr>
              <w:spacing w:line="240" w:lineRule="auto"/>
              <w:jc w:val="center"/>
              <w:rPr>
                <w:rFonts w:eastAsia="Times New Roman" w:cstheme="minorHAnsi"/>
                <w:sz w:val="24"/>
                <w:szCs w:val="24"/>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Are an important setting for preventing excess weight gain in secondary school pupils</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Should prioritise improving children and young people’s diet and activity levels to help prevent excess weight gain</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Are not able to prevent excess weight gain in secondary school pupils</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Should use a whole-school approach to develop life-long healthy eating and physical activity practices</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Are able to positively influence the dietary habits of secondary school pupils</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bl>
    <w:p w:rsidR="004A397C" w:rsidRPr="009B3747" w:rsidRDefault="004A397C" w:rsidP="004A397C">
      <w:pPr>
        <w:rPr>
          <w:rFonts w:eastAsia="Arial" w:cstheme="minorHAnsi"/>
        </w:rPr>
      </w:pPr>
    </w:p>
    <w:p w:rsidR="004A397C" w:rsidRPr="009B3747" w:rsidRDefault="004A397C" w:rsidP="004A397C">
      <w:pPr>
        <w:rPr>
          <w:rFonts w:eastAsia="Arial" w:cstheme="minorHAnsi"/>
        </w:rPr>
      </w:pPr>
    </w:p>
    <w:p w:rsidR="0082594B" w:rsidRPr="009B3747" w:rsidRDefault="0082594B" w:rsidP="004A397C">
      <w:pPr>
        <w:rPr>
          <w:rFonts w:eastAsia="Arial" w:cstheme="minorHAnsi"/>
        </w:rPr>
      </w:pPr>
    </w:p>
    <w:p w:rsidR="0082594B" w:rsidRPr="009B3747" w:rsidRDefault="0082594B" w:rsidP="004A397C">
      <w:pPr>
        <w:rPr>
          <w:rFonts w:eastAsia="Arial" w:cstheme="minorHAnsi"/>
        </w:rPr>
      </w:pPr>
    </w:p>
    <w:p w:rsidR="004A397C" w:rsidRPr="009B3747" w:rsidRDefault="004A397C" w:rsidP="00C27072">
      <w:pPr>
        <w:pStyle w:val="ListParagraph"/>
        <w:numPr>
          <w:ilvl w:val="0"/>
          <w:numId w:val="148"/>
        </w:numPr>
        <w:spacing w:line="276" w:lineRule="auto"/>
        <w:ind w:left="284" w:hanging="284"/>
        <w:rPr>
          <w:rFonts w:eastAsia="Arial" w:cstheme="minorHAnsi"/>
        </w:rPr>
      </w:pPr>
      <w:r w:rsidRPr="009B3747">
        <w:rPr>
          <w:rFonts w:eastAsia="Arial" w:cstheme="minorHAnsi"/>
        </w:rPr>
        <w:t>As a headteacher or chair of governors I –</w:t>
      </w:r>
    </w:p>
    <w:p w:rsidR="004A397C" w:rsidRPr="009B3747" w:rsidRDefault="004A397C" w:rsidP="004A397C">
      <w:pPr>
        <w:rPr>
          <w:rFonts w:eastAsia="Arial"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4349"/>
        <w:gridCol w:w="994"/>
        <w:gridCol w:w="994"/>
        <w:gridCol w:w="973"/>
        <w:gridCol w:w="738"/>
        <w:gridCol w:w="958"/>
      </w:tblGrid>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p>
        </w:tc>
        <w:tc>
          <w:tcPr>
            <w:tcW w:w="99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Strongly Disagree</w:t>
            </w:r>
          </w:p>
          <w:p w:rsidR="004A397C" w:rsidRPr="009B3747" w:rsidRDefault="004A397C" w:rsidP="00846B21">
            <w:pPr>
              <w:spacing w:line="240" w:lineRule="auto"/>
              <w:jc w:val="center"/>
              <w:rPr>
                <w:rFonts w:eastAsia="Times New Roman" w:cstheme="minorHAnsi"/>
                <w:sz w:val="24"/>
                <w:szCs w:val="24"/>
                <w:lang w:eastAsia="en-GB"/>
              </w:rPr>
            </w:pPr>
          </w:p>
        </w:tc>
        <w:tc>
          <w:tcPr>
            <w:tcW w:w="99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Disagree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Neither agree or disagree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Strongly agree</w:t>
            </w:r>
          </w:p>
          <w:p w:rsidR="004A397C" w:rsidRPr="009B3747" w:rsidRDefault="004A397C" w:rsidP="00846B21">
            <w:pPr>
              <w:spacing w:line="240" w:lineRule="auto"/>
              <w:jc w:val="center"/>
              <w:rPr>
                <w:rFonts w:eastAsia="Times New Roman" w:cstheme="minorHAnsi"/>
                <w:sz w:val="24"/>
                <w:szCs w:val="24"/>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Should collaborate with parents and pupils to assess the whole school environment in order for children and young people to maintain a healthy weight</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Should ensure that the ethos of all school policies helps children and young people to maintain a healthy weight, eat a healthy diet and be physically active</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Am able to direct the school to take action to prevent excess weight gain in secondary school pupils</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Should ensure that teaching, support and catering staff receive training on the importance of healthy-school policies and how to support their implementation</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Have a responsibility for preventing excess weight gain in secondary school pupils</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Am able to positively contribute to the prevention of excess weight gain in secondary school pupils</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Attend meetings where preventing excess weight gain in secondary school pupils is discussed</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bl>
    <w:p w:rsidR="004A397C" w:rsidRPr="009B3747" w:rsidRDefault="004A397C" w:rsidP="004A397C">
      <w:pPr>
        <w:rPr>
          <w:rFonts w:eastAsia="Arial" w:cstheme="minorHAnsi"/>
        </w:rPr>
      </w:pPr>
    </w:p>
    <w:p w:rsidR="004A397C" w:rsidRPr="009B3747" w:rsidRDefault="004A397C" w:rsidP="00C27072">
      <w:pPr>
        <w:pStyle w:val="ListParagraph"/>
        <w:numPr>
          <w:ilvl w:val="0"/>
          <w:numId w:val="148"/>
        </w:numPr>
        <w:spacing w:line="276" w:lineRule="auto"/>
        <w:ind w:left="284" w:hanging="284"/>
        <w:rPr>
          <w:rFonts w:eastAsia="Arial" w:cstheme="minorHAnsi"/>
        </w:rPr>
      </w:pPr>
      <w:r w:rsidRPr="009B3747">
        <w:rPr>
          <w:rFonts w:eastAsia="Arial" w:cstheme="minorHAnsi"/>
        </w:rPr>
        <w:t>Within my secondary school setting we –</w:t>
      </w:r>
    </w:p>
    <w:p w:rsidR="004A397C" w:rsidRPr="009B3747" w:rsidRDefault="004A397C" w:rsidP="004A397C">
      <w:pPr>
        <w:rPr>
          <w:rFonts w:eastAsia="Arial"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4349"/>
        <w:gridCol w:w="994"/>
        <w:gridCol w:w="994"/>
        <w:gridCol w:w="973"/>
        <w:gridCol w:w="738"/>
        <w:gridCol w:w="958"/>
      </w:tblGrid>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p>
        </w:tc>
        <w:tc>
          <w:tcPr>
            <w:tcW w:w="99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Strongly Disagree</w:t>
            </w:r>
          </w:p>
          <w:p w:rsidR="004A397C" w:rsidRPr="009B3747" w:rsidRDefault="004A397C" w:rsidP="00846B21">
            <w:pPr>
              <w:spacing w:line="240" w:lineRule="auto"/>
              <w:jc w:val="center"/>
              <w:rPr>
                <w:rFonts w:eastAsia="Times New Roman" w:cstheme="minorHAnsi"/>
                <w:sz w:val="24"/>
                <w:szCs w:val="24"/>
                <w:lang w:eastAsia="en-GB"/>
              </w:rPr>
            </w:pPr>
          </w:p>
        </w:tc>
        <w:tc>
          <w:tcPr>
            <w:tcW w:w="99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Disagree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Neither agree or disagree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Strongly agree</w:t>
            </w:r>
          </w:p>
          <w:p w:rsidR="004A397C" w:rsidRPr="009B3747" w:rsidRDefault="004A397C" w:rsidP="00846B21">
            <w:pPr>
              <w:spacing w:line="240" w:lineRule="auto"/>
              <w:jc w:val="center"/>
              <w:rPr>
                <w:rFonts w:eastAsia="Times New Roman" w:cstheme="minorHAnsi"/>
                <w:sz w:val="24"/>
                <w:szCs w:val="24"/>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Meet the requirements of the school food plan</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Provide extra-curricular physical activity opportunities</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Embed healthy lifestyle education in the taught curriculum</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Have a ‘locked gate’ policy at lunchtime</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862DC" w:rsidP="00846B21">
            <w:pPr>
              <w:spacing w:line="240" w:lineRule="auto"/>
              <w:rPr>
                <w:rFonts w:eastAsia="Times New Roman" w:cstheme="minorHAnsi"/>
                <w:sz w:val="20"/>
                <w:szCs w:val="20"/>
                <w:lang w:eastAsia="en-GB"/>
              </w:rPr>
            </w:pPr>
            <w:r>
              <w:rPr>
                <w:rFonts w:eastAsia="Times New Roman" w:cstheme="minorHAnsi"/>
                <w:sz w:val="20"/>
                <w:szCs w:val="20"/>
                <w:lang w:eastAsia="en-GB"/>
              </w:rPr>
              <w:lastRenderedPageBreak/>
              <w:t xml:space="preserve">Promote active travel, </w:t>
            </w:r>
            <w:r w:rsidR="004A397C" w:rsidRPr="009B3747">
              <w:rPr>
                <w:rFonts w:eastAsia="Times New Roman" w:cstheme="minorHAnsi"/>
                <w:sz w:val="20"/>
                <w:szCs w:val="20"/>
                <w:lang w:eastAsia="en-GB"/>
              </w:rPr>
              <w:t>e.g. walking/cycling to school</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Have a policy for preventing excess weight gain in secondary school pupils</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Provide healthy catering options</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Focus on healthy lifestyles in Personal, Social and Health Education</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Restrict the consumption of energy drinks</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bl>
    <w:p w:rsidR="004A397C" w:rsidRPr="009B3747" w:rsidRDefault="004A397C" w:rsidP="004A397C">
      <w:pPr>
        <w:rPr>
          <w:rFonts w:eastAsia="Arial" w:cstheme="minorHAnsi"/>
        </w:rPr>
      </w:pPr>
    </w:p>
    <w:p w:rsidR="004A397C" w:rsidRPr="009B3747" w:rsidRDefault="004A397C" w:rsidP="00C27072">
      <w:pPr>
        <w:pStyle w:val="ListParagraph"/>
        <w:numPr>
          <w:ilvl w:val="0"/>
          <w:numId w:val="148"/>
        </w:numPr>
        <w:spacing w:line="276" w:lineRule="auto"/>
        <w:ind w:left="284" w:hanging="284"/>
        <w:rPr>
          <w:rFonts w:eastAsia="Arial" w:cstheme="minorHAnsi"/>
        </w:rPr>
      </w:pPr>
      <w:r w:rsidRPr="009B3747">
        <w:rPr>
          <w:rFonts w:eastAsia="Arial" w:cstheme="minorHAnsi"/>
        </w:rPr>
        <w:t>Barriers to my school preventing excess weight gain in secondary school pupils include the –</w:t>
      </w:r>
    </w:p>
    <w:p w:rsidR="004A397C" w:rsidRPr="009B3747" w:rsidRDefault="004A397C" w:rsidP="004A397C">
      <w:pPr>
        <w:rPr>
          <w:rFonts w:eastAsia="Arial"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4349"/>
        <w:gridCol w:w="994"/>
        <w:gridCol w:w="994"/>
        <w:gridCol w:w="973"/>
        <w:gridCol w:w="738"/>
        <w:gridCol w:w="958"/>
      </w:tblGrid>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p>
        </w:tc>
        <w:tc>
          <w:tcPr>
            <w:tcW w:w="99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Strongly Disagree</w:t>
            </w:r>
          </w:p>
          <w:p w:rsidR="004A397C" w:rsidRPr="009B3747" w:rsidRDefault="004A397C" w:rsidP="00846B21">
            <w:pPr>
              <w:spacing w:line="240" w:lineRule="auto"/>
              <w:jc w:val="center"/>
              <w:rPr>
                <w:rFonts w:eastAsia="Times New Roman" w:cstheme="minorHAnsi"/>
                <w:sz w:val="24"/>
                <w:szCs w:val="24"/>
                <w:lang w:eastAsia="en-GB"/>
              </w:rPr>
            </w:pPr>
          </w:p>
        </w:tc>
        <w:tc>
          <w:tcPr>
            <w:tcW w:w="99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Disagree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Neither agree or disagree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Strongly agree</w:t>
            </w:r>
          </w:p>
          <w:p w:rsidR="004A397C" w:rsidRPr="009B3747" w:rsidRDefault="004A397C" w:rsidP="00846B21">
            <w:pPr>
              <w:spacing w:line="240" w:lineRule="auto"/>
              <w:jc w:val="center"/>
              <w:rPr>
                <w:rFonts w:eastAsia="Times New Roman" w:cstheme="minorHAnsi"/>
                <w:sz w:val="24"/>
                <w:szCs w:val="24"/>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Government's focus on academic progress</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Availability of junk food near your school</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Limited budget for school catering</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School not being inspected by Ofsted on excess weight prevention</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Lack of facilities for physical activity</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School staff not role modelling healthy lifestyles</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Parental influence undermining school action which contributes to the prevention of excess weight gain</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bl>
    <w:p w:rsidR="004A397C" w:rsidRPr="009B3747" w:rsidRDefault="004A397C" w:rsidP="004A397C">
      <w:pPr>
        <w:rPr>
          <w:rFonts w:eastAsia="Arial" w:cstheme="minorHAnsi"/>
        </w:rPr>
      </w:pPr>
    </w:p>
    <w:p w:rsidR="0082594B" w:rsidRPr="009B3747" w:rsidRDefault="0082594B" w:rsidP="004A397C">
      <w:pPr>
        <w:rPr>
          <w:rFonts w:eastAsia="Arial" w:cstheme="minorHAnsi"/>
        </w:rPr>
      </w:pPr>
    </w:p>
    <w:p w:rsidR="004A397C" w:rsidRPr="009B3747" w:rsidRDefault="004A397C" w:rsidP="00C27072">
      <w:pPr>
        <w:pStyle w:val="ListParagraph"/>
        <w:numPr>
          <w:ilvl w:val="0"/>
          <w:numId w:val="148"/>
        </w:numPr>
        <w:spacing w:line="276" w:lineRule="auto"/>
        <w:ind w:left="284" w:hanging="284"/>
        <w:rPr>
          <w:rFonts w:eastAsia="Arial" w:cstheme="minorHAnsi"/>
        </w:rPr>
      </w:pPr>
      <w:r w:rsidRPr="009B3747">
        <w:rPr>
          <w:rFonts w:eastAsia="Arial" w:cstheme="minorHAnsi"/>
        </w:rPr>
        <w:t>Please describe any other barriers to your school for preventing excess weight gain in secondary school pupils</w:t>
      </w:r>
    </w:p>
    <w:p w:rsidR="004A397C" w:rsidRPr="009B3747" w:rsidRDefault="004A397C" w:rsidP="004A397C">
      <w:pPr>
        <w:rPr>
          <w:rFonts w:eastAsia="Arial" w:cstheme="minorHAnsi"/>
        </w:rPr>
      </w:pPr>
    </w:p>
    <w:p w:rsidR="0082594B" w:rsidRPr="009B3747" w:rsidRDefault="0082594B" w:rsidP="004A397C">
      <w:pPr>
        <w:rPr>
          <w:rFonts w:eastAsia="Arial" w:cstheme="minorHAnsi"/>
        </w:rPr>
      </w:pPr>
    </w:p>
    <w:p w:rsidR="004A397C" w:rsidRPr="009B3747" w:rsidRDefault="004A397C" w:rsidP="00C27072">
      <w:pPr>
        <w:pStyle w:val="ListParagraph"/>
        <w:numPr>
          <w:ilvl w:val="0"/>
          <w:numId w:val="148"/>
        </w:numPr>
        <w:spacing w:line="276" w:lineRule="auto"/>
        <w:ind w:left="284" w:hanging="284"/>
        <w:rPr>
          <w:rFonts w:eastAsia="Arial" w:cstheme="minorHAnsi"/>
        </w:rPr>
      </w:pPr>
      <w:r w:rsidRPr="009B3747">
        <w:rPr>
          <w:rFonts w:eastAsia="Arial" w:cstheme="minorHAnsi"/>
        </w:rPr>
        <w:t>The following facilitators would help my secondary school to prevent excess weight gain in secondary school pupils –</w:t>
      </w:r>
    </w:p>
    <w:p w:rsidR="004A397C" w:rsidRPr="009B3747" w:rsidRDefault="004A397C" w:rsidP="004A397C">
      <w:pPr>
        <w:pStyle w:val="ListParagraph"/>
        <w:rPr>
          <w:rFonts w:eastAsia="Arial" w:cstheme="minorHAnsi"/>
        </w:rPr>
      </w:pPr>
    </w:p>
    <w:p w:rsidR="0082594B" w:rsidRPr="009B3747" w:rsidRDefault="0082594B" w:rsidP="004A397C">
      <w:pPr>
        <w:pStyle w:val="ListParagraph"/>
        <w:rPr>
          <w:rFonts w:eastAsia="Arial"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4349"/>
        <w:gridCol w:w="994"/>
        <w:gridCol w:w="994"/>
        <w:gridCol w:w="973"/>
        <w:gridCol w:w="738"/>
        <w:gridCol w:w="958"/>
      </w:tblGrid>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p>
        </w:tc>
        <w:tc>
          <w:tcPr>
            <w:tcW w:w="99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Strongly Disagree</w:t>
            </w:r>
          </w:p>
          <w:p w:rsidR="004A397C" w:rsidRPr="009B3747" w:rsidRDefault="004A397C" w:rsidP="00846B21">
            <w:pPr>
              <w:spacing w:line="240" w:lineRule="auto"/>
              <w:jc w:val="center"/>
              <w:rPr>
                <w:rFonts w:eastAsia="Times New Roman" w:cstheme="minorHAnsi"/>
                <w:sz w:val="24"/>
                <w:szCs w:val="24"/>
                <w:lang w:eastAsia="en-GB"/>
              </w:rPr>
            </w:pPr>
          </w:p>
        </w:tc>
        <w:tc>
          <w:tcPr>
            <w:tcW w:w="99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Disagree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Neither agree or disagree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Strongly agree</w:t>
            </w:r>
          </w:p>
          <w:p w:rsidR="004A397C" w:rsidRPr="009B3747" w:rsidRDefault="004A397C" w:rsidP="00846B21">
            <w:pPr>
              <w:spacing w:line="240" w:lineRule="auto"/>
              <w:jc w:val="center"/>
              <w:rPr>
                <w:rFonts w:eastAsia="Times New Roman" w:cstheme="minorHAnsi"/>
                <w:sz w:val="24"/>
                <w:szCs w:val="24"/>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Training about excess weight prevention for school staff</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Ofsted monitoring of school action that contributes to prevention of excess weight gain</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Government funding for action contributing to excess weight prevention</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Greater ability to determine my school priorities</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National guidelines for preventing excess weight gain in secondary school pupils</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bl>
    <w:p w:rsidR="004A397C" w:rsidRPr="009B3747" w:rsidRDefault="004A397C" w:rsidP="004A397C">
      <w:pPr>
        <w:rPr>
          <w:rFonts w:eastAsia="Arial" w:cstheme="minorHAnsi"/>
        </w:rPr>
      </w:pPr>
    </w:p>
    <w:p w:rsidR="004A397C" w:rsidRPr="009B3747" w:rsidRDefault="004A397C" w:rsidP="0082594B">
      <w:pPr>
        <w:pStyle w:val="ListParagraph"/>
        <w:numPr>
          <w:ilvl w:val="0"/>
          <w:numId w:val="148"/>
        </w:numPr>
        <w:spacing w:line="276" w:lineRule="auto"/>
        <w:ind w:left="284" w:hanging="284"/>
        <w:rPr>
          <w:rFonts w:eastAsia="Arial" w:cstheme="minorHAnsi"/>
        </w:rPr>
      </w:pPr>
      <w:r w:rsidRPr="009B3747">
        <w:rPr>
          <w:rFonts w:eastAsia="Arial" w:cstheme="minorHAnsi"/>
        </w:rPr>
        <w:t>Please describe any other facilitators that would help your school to prevent excess weight gain in secondary school pupils</w:t>
      </w:r>
    </w:p>
    <w:p w:rsidR="004A397C" w:rsidRPr="009B3747" w:rsidRDefault="004A397C" w:rsidP="004A397C">
      <w:pPr>
        <w:rPr>
          <w:rFonts w:eastAsia="Arial" w:cstheme="minorHAnsi"/>
          <w:u w:val="single"/>
        </w:rPr>
      </w:pPr>
    </w:p>
    <w:p w:rsidR="004A397C" w:rsidRPr="009B3747" w:rsidRDefault="004A397C" w:rsidP="004A397C">
      <w:pPr>
        <w:rPr>
          <w:rFonts w:eastAsia="Arial" w:cstheme="minorHAnsi"/>
          <w:u w:val="single"/>
        </w:rPr>
      </w:pPr>
      <w:r w:rsidRPr="009B3747">
        <w:rPr>
          <w:rFonts w:eastAsia="Arial" w:cstheme="minorHAnsi"/>
          <w:u w:val="single"/>
        </w:rPr>
        <w:t>Section five</w:t>
      </w:r>
    </w:p>
    <w:p w:rsidR="004A397C" w:rsidRPr="009B3747" w:rsidRDefault="004A397C" w:rsidP="004A397C">
      <w:pPr>
        <w:rPr>
          <w:rFonts w:eastAsia="Arial" w:cstheme="minorHAnsi"/>
          <w:u w:val="single"/>
        </w:rPr>
      </w:pPr>
    </w:p>
    <w:p w:rsidR="004A397C" w:rsidRPr="009B3747" w:rsidRDefault="004A397C" w:rsidP="004A397C">
      <w:pPr>
        <w:rPr>
          <w:rFonts w:eastAsia="Arial" w:cstheme="minorHAnsi"/>
        </w:rPr>
      </w:pPr>
      <w:r w:rsidRPr="009B3747">
        <w:rPr>
          <w:rFonts w:eastAsia="Arial" w:cstheme="minorHAnsi"/>
        </w:rPr>
        <w:t>Please select responses which best describe</w:t>
      </w:r>
      <w:r w:rsidR="00281979">
        <w:rPr>
          <w:rFonts w:eastAsia="Arial" w:cstheme="minorHAnsi"/>
        </w:rPr>
        <w:t>s</w:t>
      </w:r>
      <w:r w:rsidRPr="009B3747">
        <w:rPr>
          <w:rFonts w:eastAsia="Arial" w:cstheme="minorHAnsi"/>
        </w:rPr>
        <w:t xml:space="preserve"> your views of the following statements:</w:t>
      </w:r>
    </w:p>
    <w:p w:rsidR="004A397C" w:rsidRPr="009B3747" w:rsidRDefault="004A397C" w:rsidP="004A397C">
      <w:pPr>
        <w:rPr>
          <w:rFonts w:eastAsia="Arial" w:cstheme="minorHAnsi"/>
        </w:rPr>
      </w:pPr>
    </w:p>
    <w:p w:rsidR="004A397C" w:rsidRPr="009B3747" w:rsidRDefault="004A397C" w:rsidP="00C27072">
      <w:pPr>
        <w:pStyle w:val="ListParagraph"/>
        <w:numPr>
          <w:ilvl w:val="0"/>
          <w:numId w:val="149"/>
        </w:numPr>
        <w:spacing w:line="276" w:lineRule="auto"/>
        <w:ind w:left="284" w:hanging="284"/>
        <w:rPr>
          <w:rFonts w:eastAsia="Arial" w:cstheme="minorHAnsi"/>
        </w:rPr>
      </w:pPr>
      <w:r w:rsidRPr="009B3747">
        <w:rPr>
          <w:rFonts w:eastAsia="Arial" w:cstheme="minorHAnsi"/>
        </w:rPr>
        <w:t>From my perspective, I believe that –</w:t>
      </w:r>
    </w:p>
    <w:p w:rsidR="004A397C" w:rsidRPr="009B3747" w:rsidRDefault="004A397C" w:rsidP="004A397C">
      <w:pPr>
        <w:pStyle w:val="ListParagraph"/>
        <w:ind w:left="284"/>
        <w:rPr>
          <w:rFonts w:eastAsia="Arial"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4349"/>
        <w:gridCol w:w="994"/>
        <w:gridCol w:w="994"/>
        <w:gridCol w:w="973"/>
        <w:gridCol w:w="738"/>
        <w:gridCol w:w="958"/>
      </w:tblGrid>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p>
        </w:tc>
        <w:tc>
          <w:tcPr>
            <w:tcW w:w="99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Strongly Disagree</w:t>
            </w:r>
          </w:p>
          <w:p w:rsidR="004A397C" w:rsidRPr="009B3747" w:rsidRDefault="004A397C" w:rsidP="00846B21">
            <w:pPr>
              <w:spacing w:line="240" w:lineRule="auto"/>
              <w:jc w:val="center"/>
              <w:rPr>
                <w:rFonts w:eastAsia="Times New Roman" w:cstheme="minorHAnsi"/>
                <w:sz w:val="24"/>
                <w:szCs w:val="24"/>
                <w:lang w:eastAsia="en-GB"/>
              </w:rPr>
            </w:pPr>
          </w:p>
        </w:tc>
        <w:tc>
          <w:tcPr>
            <w:tcW w:w="99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Disagree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Neither agree or disagree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Strongly agree</w:t>
            </w:r>
          </w:p>
          <w:p w:rsidR="004A397C" w:rsidRPr="009B3747" w:rsidRDefault="004A397C" w:rsidP="00846B21">
            <w:pPr>
              <w:spacing w:line="240" w:lineRule="auto"/>
              <w:jc w:val="center"/>
              <w:rPr>
                <w:rFonts w:eastAsia="Times New Roman" w:cstheme="minorHAnsi"/>
                <w:sz w:val="24"/>
                <w:szCs w:val="24"/>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A secondary school pupil’s home environment is more influential in the prevention of excess weight gain than the school environment</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A secondary school pupil is more likely to be of excess weight if their parents are</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Parents have the required knowledge to prevent excess weight gain in their children</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Parents are aware of the risks of excess weight gain in secondary school pupils</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If a secondary school pupil is of excess weight, it is their parents' fault</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lastRenderedPageBreak/>
              <w:t>If a secondary school pupil is of excess weight it is society's fault</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bl>
    <w:p w:rsidR="004A397C" w:rsidRPr="009B3747" w:rsidRDefault="004A397C" w:rsidP="004A397C">
      <w:pPr>
        <w:rPr>
          <w:rFonts w:eastAsia="Arial" w:cstheme="minorHAnsi"/>
        </w:rPr>
      </w:pPr>
    </w:p>
    <w:p w:rsidR="0082594B" w:rsidRPr="009B3747" w:rsidRDefault="004A397C" w:rsidP="0082594B">
      <w:pPr>
        <w:pStyle w:val="ListParagraph"/>
        <w:numPr>
          <w:ilvl w:val="0"/>
          <w:numId w:val="149"/>
        </w:numPr>
        <w:spacing w:line="276" w:lineRule="auto"/>
        <w:ind w:left="284" w:hanging="284"/>
        <w:rPr>
          <w:rFonts w:eastAsia="Arial" w:cstheme="minorHAnsi"/>
        </w:rPr>
      </w:pPr>
      <w:r w:rsidRPr="009B3747">
        <w:rPr>
          <w:rFonts w:eastAsia="Arial" w:cstheme="minorHAnsi"/>
        </w:rPr>
        <w:t xml:space="preserve">To what extent do you agree or disagree with the following statements </w:t>
      </w:r>
      <w:r w:rsidR="0082594B" w:rsidRPr="009B3747">
        <w:rPr>
          <w:rFonts w:eastAsia="Arial" w:cstheme="minorHAnsi"/>
        </w:rPr>
        <w:t>–</w:t>
      </w:r>
    </w:p>
    <w:p w:rsidR="004A397C" w:rsidRPr="009B3747" w:rsidRDefault="004A397C" w:rsidP="004A397C">
      <w:pPr>
        <w:rPr>
          <w:rFonts w:eastAsia="Arial"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4349"/>
        <w:gridCol w:w="994"/>
        <w:gridCol w:w="994"/>
        <w:gridCol w:w="973"/>
        <w:gridCol w:w="738"/>
        <w:gridCol w:w="958"/>
      </w:tblGrid>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p>
        </w:tc>
        <w:tc>
          <w:tcPr>
            <w:tcW w:w="99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Strongly Disagree</w:t>
            </w:r>
          </w:p>
          <w:p w:rsidR="004A397C" w:rsidRPr="009B3747" w:rsidRDefault="004A397C" w:rsidP="00846B21">
            <w:pPr>
              <w:spacing w:line="240" w:lineRule="auto"/>
              <w:jc w:val="center"/>
              <w:rPr>
                <w:rFonts w:eastAsia="Times New Roman" w:cstheme="minorHAnsi"/>
                <w:sz w:val="24"/>
                <w:szCs w:val="24"/>
                <w:lang w:eastAsia="en-GB"/>
              </w:rPr>
            </w:pPr>
          </w:p>
        </w:tc>
        <w:tc>
          <w:tcPr>
            <w:tcW w:w="99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Disagree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Neither agree or disagree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Strongly agree</w:t>
            </w:r>
          </w:p>
          <w:p w:rsidR="004A397C" w:rsidRPr="009B3747" w:rsidRDefault="004A397C" w:rsidP="00846B21">
            <w:pPr>
              <w:spacing w:line="240" w:lineRule="auto"/>
              <w:jc w:val="center"/>
              <w:rPr>
                <w:rFonts w:eastAsia="Times New Roman" w:cstheme="minorHAnsi"/>
                <w:sz w:val="24"/>
                <w:szCs w:val="24"/>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I am concerned about the availability of junk near to my secondary school</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I believe that unhealthy food costs less than healthy food</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I am concerned about the marketing of junk food to children and young people</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The food industry prioritises profits over the health of children and young people</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Unhealthy eating is associated with poverty</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bl>
    <w:p w:rsidR="004A397C" w:rsidRPr="009B3747" w:rsidRDefault="004A397C" w:rsidP="004A397C">
      <w:pPr>
        <w:rPr>
          <w:rFonts w:eastAsia="Arial" w:cstheme="minorHAnsi"/>
        </w:rPr>
      </w:pPr>
    </w:p>
    <w:p w:rsidR="004A397C" w:rsidRPr="009B3747" w:rsidRDefault="004A397C" w:rsidP="00C27072">
      <w:pPr>
        <w:pStyle w:val="ListParagraph"/>
        <w:numPr>
          <w:ilvl w:val="0"/>
          <w:numId w:val="149"/>
        </w:numPr>
        <w:spacing w:line="276" w:lineRule="auto"/>
        <w:ind w:left="284" w:hanging="284"/>
        <w:rPr>
          <w:rFonts w:eastAsia="Arial" w:cstheme="minorHAnsi"/>
        </w:rPr>
      </w:pPr>
      <w:r w:rsidRPr="009B3747">
        <w:rPr>
          <w:rFonts w:eastAsia="Arial" w:cstheme="minorHAnsi"/>
        </w:rPr>
        <w:t>The following have a responsibility for preventing excess weight gain in secondary school pupils?</w:t>
      </w:r>
    </w:p>
    <w:p w:rsidR="004A397C" w:rsidRPr="009B3747" w:rsidRDefault="004A397C" w:rsidP="004A397C">
      <w:pPr>
        <w:pStyle w:val="ListParagraph"/>
        <w:ind w:left="284"/>
        <w:rPr>
          <w:rFonts w:eastAsia="Arial"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4349"/>
        <w:gridCol w:w="994"/>
        <w:gridCol w:w="994"/>
        <w:gridCol w:w="973"/>
        <w:gridCol w:w="738"/>
        <w:gridCol w:w="958"/>
      </w:tblGrid>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p>
        </w:tc>
        <w:tc>
          <w:tcPr>
            <w:tcW w:w="99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Strongly Disagree</w:t>
            </w:r>
          </w:p>
          <w:p w:rsidR="004A397C" w:rsidRPr="009B3747" w:rsidRDefault="004A397C" w:rsidP="00846B21">
            <w:pPr>
              <w:spacing w:line="240" w:lineRule="auto"/>
              <w:jc w:val="center"/>
              <w:rPr>
                <w:rFonts w:eastAsia="Times New Roman" w:cstheme="minorHAnsi"/>
                <w:sz w:val="24"/>
                <w:szCs w:val="24"/>
                <w:lang w:eastAsia="en-GB"/>
              </w:rPr>
            </w:pPr>
          </w:p>
        </w:tc>
        <w:tc>
          <w:tcPr>
            <w:tcW w:w="99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Disagree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Neither agree or disagree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Strongly agree</w:t>
            </w:r>
          </w:p>
          <w:p w:rsidR="004A397C" w:rsidRPr="009B3747" w:rsidRDefault="004A397C" w:rsidP="00846B21">
            <w:pPr>
              <w:spacing w:line="240" w:lineRule="auto"/>
              <w:jc w:val="center"/>
              <w:rPr>
                <w:rFonts w:eastAsia="Times New Roman" w:cstheme="minorHAnsi"/>
                <w:sz w:val="24"/>
                <w:szCs w:val="24"/>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Secondary schools</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Parents</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Secondary school pupils themselves</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 xml:space="preserve">Government </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Primary schools</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Food industry</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Society as a whole</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bl>
    <w:p w:rsidR="004A397C" w:rsidRPr="009B3747" w:rsidRDefault="004A397C" w:rsidP="004A397C">
      <w:pPr>
        <w:rPr>
          <w:rFonts w:eastAsia="Arial" w:cstheme="minorHAnsi"/>
        </w:rPr>
      </w:pPr>
    </w:p>
    <w:p w:rsidR="0082594B" w:rsidRPr="009B3747" w:rsidRDefault="0082594B" w:rsidP="004A397C">
      <w:pPr>
        <w:rPr>
          <w:rFonts w:eastAsia="Arial" w:cstheme="minorHAnsi"/>
        </w:rPr>
      </w:pPr>
    </w:p>
    <w:p w:rsidR="0082594B" w:rsidRPr="009B3747" w:rsidRDefault="0082594B" w:rsidP="004A397C">
      <w:pPr>
        <w:rPr>
          <w:rFonts w:eastAsia="Arial" w:cstheme="minorHAnsi"/>
        </w:rPr>
      </w:pPr>
    </w:p>
    <w:p w:rsidR="0082594B" w:rsidRPr="009B3747" w:rsidRDefault="0082594B" w:rsidP="004A397C">
      <w:pPr>
        <w:rPr>
          <w:rFonts w:eastAsia="Arial" w:cstheme="minorHAnsi"/>
        </w:rPr>
      </w:pPr>
    </w:p>
    <w:p w:rsidR="004A397C" w:rsidRPr="009B3747" w:rsidRDefault="004A397C" w:rsidP="00C27072">
      <w:pPr>
        <w:pStyle w:val="ListParagraph"/>
        <w:numPr>
          <w:ilvl w:val="0"/>
          <w:numId w:val="149"/>
        </w:numPr>
        <w:spacing w:line="276" w:lineRule="auto"/>
        <w:ind w:left="284" w:hanging="284"/>
        <w:rPr>
          <w:rFonts w:eastAsia="Arial" w:cstheme="minorHAnsi"/>
        </w:rPr>
      </w:pPr>
      <w:r w:rsidRPr="009B3747">
        <w:rPr>
          <w:rFonts w:eastAsia="Arial" w:cstheme="minorHAnsi"/>
        </w:rPr>
        <w:lastRenderedPageBreak/>
        <w:t xml:space="preserve">The following are effective for preventing excess weight gain in secondary school pupils </w:t>
      </w:r>
      <w:r w:rsidR="0082594B" w:rsidRPr="009B3747">
        <w:rPr>
          <w:rFonts w:eastAsia="Arial" w:cstheme="minorHAnsi"/>
        </w:rPr>
        <w:t>–</w:t>
      </w:r>
    </w:p>
    <w:p w:rsidR="004A397C" w:rsidRPr="009B3747" w:rsidRDefault="004A397C" w:rsidP="004A397C">
      <w:pPr>
        <w:rPr>
          <w:rFonts w:eastAsia="Arial"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4349"/>
        <w:gridCol w:w="994"/>
        <w:gridCol w:w="994"/>
        <w:gridCol w:w="973"/>
        <w:gridCol w:w="738"/>
        <w:gridCol w:w="958"/>
      </w:tblGrid>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p>
        </w:tc>
        <w:tc>
          <w:tcPr>
            <w:tcW w:w="99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Strongly Disagree</w:t>
            </w:r>
          </w:p>
          <w:p w:rsidR="004A397C" w:rsidRPr="009B3747" w:rsidRDefault="004A397C" w:rsidP="00846B21">
            <w:pPr>
              <w:spacing w:line="240" w:lineRule="auto"/>
              <w:jc w:val="center"/>
              <w:rPr>
                <w:rFonts w:eastAsia="Times New Roman" w:cstheme="minorHAnsi"/>
                <w:sz w:val="24"/>
                <w:szCs w:val="24"/>
                <w:lang w:eastAsia="en-GB"/>
              </w:rPr>
            </w:pPr>
          </w:p>
        </w:tc>
        <w:tc>
          <w:tcPr>
            <w:tcW w:w="99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Disagree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Neither agree or disagree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Strongly agree</w:t>
            </w:r>
          </w:p>
          <w:p w:rsidR="004A397C" w:rsidRPr="009B3747" w:rsidRDefault="004A397C" w:rsidP="00846B21">
            <w:pPr>
              <w:spacing w:line="240" w:lineRule="auto"/>
              <w:jc w:val="center"/>
              <w:rPr>
                <w:rFonts w:eastAsia="Times New Roman" w:cstheme="minorHAnsi"/>
                <w:sz w:val="24"/>
                <w:szCs w:val="24"/>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Providing education in schools</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National public awareness campaigns</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Providing opportunities to be active</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Restricting opportunities to be inactive</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Providing opportunities to develop healthy eating habits</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Restricting opportunities to develop unhealthy eating habits</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862DC" w:rsidP="00846B21">
            <w:pPr>
              <w:spacing w:line="240" w:lineRule="auto"/>
              <w:rPr>
                <w:rFonts w:eastAsia="Times New Roman" w:cstheme="minorHAnsi"/>
                <w:sz w:val="20"/>
                <w:szCs w:val="20"/>
                <w:lang w:eastAsia="en-GB"/>
              </w:rPr>
            </w:pPr>
            <w:r>
              <w:rPr>
                <w:rFonts w:eastAsia="Times New Roman" w:cstheme="minorHAnsi"/>
                <w:sz w:val="20"/>
                <w:szCs w:val="20"/>
                <w:lang w:eastAsia="en-GB"/>
              </w:rPr>
              <w:t xml:space="preserve">Taxation, </w:t>
            </w:r>
            <w:r w:rsidR="004A397C" w:rsidRPr="009B3747">
              <w:rPr>
                <w:rFonts w:eastAsia="Times New Roman" w:cstheme="minorHAnsi"/>
                <w:sz w:val="20"/>
                <w:szCs w:val="20"/>
                <w:lang w:eastAsia="en-GB"/>
              </w:rPr>
              <w:t>e.g. sugar tax on sugary drinks</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4862DC">
            <w:pPr>
              <w:spacing w:line="240" w:lineRule="auto"/>
              <w:rPr>
                <w:rFonts w:eastAsia="Times New Roman" w:cstheme="minorHAnsi"/>
                <w:sz w:val="20"/>
                <w:szCs w:val="20"/>
                <w:lang w:eastAsia="en-GB"/>
              </w:rPr>
            </w:pPr>
            <w:r w:rsidRPr="009B3747">
              <w:rPr>
                <w:rFonts w:eastAsia="Times New Roman" w:cstheme="minorHAnsi"/>
                <w:sz w:val="20"/>
                <w:szCs w:val="20"/>
                <w:lang w:eastAsia="en-GB"/>
              </w:rPr>
              <w:t>Legislation</w:t>
            </w:r>
            <w:r w:rsidR="004862DC">
              <w:rPr>
                <w:rFonts w:eastAsia="Times New Roman" w:cstheme="minorHAnsi"/>
                <w:sz w:val="20"/>
                <w:szCs w:val="20"/>
                <w:lang w:eastAsia="en-GB"/>
              </w:rPr>
              <w:t xml:space="preserve">, </w:t>
            </w:r>
            <w:r w:rsidRPr="009B3747">
              <w:rPr>
                <w:rFonts w:eastAsia="Times New Roman" w:cstheme="minorHAnsi"/>
                <w:sz w:val="20"/>
                <w:szCs w:val="20"/>
                <w:lang w:eastAsia="en-GB"/>
              </w:rPr>
              <w:t>e.g. ban adverts for junk food</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bl>
    <w:p w:rsidR="004A397C" w:rsidRPr="009B3747" w:rsidRDefault="004A397C" w:rsidP="004A397C">
      <w:pPr>
        <w:rPr>
          <w:rFonts w:eastAsia="Arial" w:cstheme="minorHAnsi"/>
        </w:rPr>
      </w:pPr>
    </w:p>
    <w:p w:rsidR="004A397C" w:rsidRPr="009B3747" w:rsidRDefault="004A397C" w:rsidP="00C27072">
      <w:pPr>
        <w:pStyle w:val="ListParagraph"/>
        <w:numPr>
          <w:ilvl w:val="0"/>
          <w:numId w:val="149"/>
        </w:numPr>
        <w:spacing w:line="276" w:lineRule="auto"/>
        <w:ind w:left="284" w:hanging="284"/>
        <w:rPr>
          <w:rFonts w:eastAsia="Arial" w:cstheme="minorHAnsi"/>
        </w:rPr>
      </w:pPr>
      <w:r w:rsidRPr="009B3747">
        <w:rPr>
          <w:rFonts w:eastAsia="Arial" w:cstheme="minorHAnsi"/>
        </w:rPr>
        <w:t>What other approaches to preventing excess weight gain in secondary school pupils are or could be effective?</w:t>
      </w:r>
    </w:p>
    <w:p w:rsidR="004A397C" w:rsidRPr="009B3747" w:rsidRDefault="004A397C" w:rsidP="004A397C">
      <w:pPr>
        <w:pStyle w:val="ListParagraph"/>
        <w:ind w:left="284"/>
        <w:rPr>
          <w:rFonts w:eastAsia="Arial" w:cstheme="minorHAnsi"/>
        </w:rPr>
      </w:pPr>
    </w:p>
    <w:p w:rsidR="004A397C" w:rsidRPr="009B3747" w:rsidRDefault="004A397C" w:rsidP="00C27072">
      <w:pPr>
        <w:pStyle w:val="ListParagraph"/>
        <w:numPr>
          <w:ilvl w:val="0"/>
          <w:numId w:val="149"/>
        </w:numPr>
        <w:spacing w:line="276" w:lineRule="auto"/>
        <w:ind w:left="284" w:hanging="284"/>
        <w:rPr>
          <w:rFonts w:eastAsia="Arial" w:cstheme="minorHAnsi"/>
        </w:rPr>
      </w:pPr>
      <w:r w:rsidRPr="009B3747">
        <w:rPr>
          <w:rFonts w:eastAsia="Arial" w:cstheme="minorHAnsi"/>
        </w:rPr>
        <w:t xml:space="preserve">To help prevent excess weight gain in secondary school pupils, schools should work in partnership with – </w:t>
      </w:r>
    </w:p>
    <w:p w:rsidR="004A397C" w:rsidRPr="009B3747" w:rsidRDefault="004A397C" w:rsidP="004A397C">
      <w:pPr>
        <w:rPr>
          <w:rFonts w:eastAsia="Arial"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4349"/>
        <w:gridCol w:w="994"/>
        <w:gridCol w:w="994"/>
        <w:gridCol w:w="973"/>
        <w:gridCol w:w="738"/>
        <w:gridCol w:w="958"/>
      </w:tblGrid>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p>
        </w:tc>
        <w:tc>
          <w:tcPr>
            <w:tcW w:w="99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Strongly Disagree</w:t>
            </w:r>
          </w:p>
          <w:p w:rsidR="004A397C" w:rsidRPr="009B3747" w:rsidRDefault="004A397C" w:rsidP="00846B21">
            <w:pPr>
              <w:spacing w:line="240" w:lineRule="auto"/>
              <w:jc w:val="center"/>
              <w:rPr>
                <w:rFonts w:eastAsia="Times New Roman" w:cstheme="minorHAnsi"/>
                <w:sz w:val="24"/>
                <w:szCs w:val="24"/>
                <w:lang w:eastAsia="en-GB"/>
              </w:rPr>
            </w:pPr>
          </w:p>
        </w:tc>
        <w:tc>
          <w:tcPr>
            <w:tcW w:w="99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Disagree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Neither agree or disagree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Agree</w:t>
            </w:r>
          </w:p>
          <w:p w:rsidR="004A397C" w:rsidRPr="009B3747" w:rsidRDefault="004A397C" w:rsidP="00846B21">
            <w:pPr>
              <w:spacing w:line="240" w:lineRule="auto"/>
              <w:jc w:val="center"/>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u w:val="single"/>
                <w:lang w:eastAsia="en-GB"/>
              </w:rPr>
              <w:t>Strongly agree</w:t>
            </w:r>
          </w:p>
          <w:p w:rsidR="004A397C" w:rsidRPr="009B3747" w:rsidRDefault="004A397C" w:rsidP="00846B21">
            <w:pPr>
              <w:spacing w:line="240" w:lineRule="auto"/>
              <w:jc w:val="center"/>
              <w:rPr>
                <w:rFonts w:eastAsia="Times New Roman" w:cstheme="minorHAnsi"/>
                <w:sz w:val="24"/>
                <w:szCs w:val="24"/>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School nurses</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General Practitioners (GPs)</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Department for Education</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Food Industry</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Celebrities</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Department of Health</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Local Authority Public Health teams</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r w:rsidR="004A397C" w:rsidRPr="009B3747" w:rsidTr="00846B21">
        <w:trPr>
          <w:trHeight w:val="227"/>
        </w:trPr>
        <w:tc>
          <w:tcPr>
            <w:tcW w:w="4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rPr>
                <w:rFonts w:eastAsia="Times New Roman" w:cstheme="minorHAnsi"/>
                <w:sz w:val="20"/>
                <w:szCs w:val="20"/>
                <w:lang w:eastAsia="en-GB"/>
              </w:rPr>
            </w:pPr>
            <w:r w:rsidRPr="009B3747">
              <w:rPr>
                <w:rFonts w:eastAsia="Times New Roman" w:cstheme="minorHAnsi"/>
                <w:sz w:val="20"/>
                <w:szCs w:val="20"/>
                <w:lang w:eastAsia="en-GB"/>
              </w:rPr>
              <w:t>Local community organisations</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A397C" w:rsidRPr="009B3747" w:rsidRDefault="004A397C" w:rsidP="00846B21">
            <w:pPr>
              <w:spacing w:line="240" w:lineRule="auto"/>
              <w:jc w:val="center"/>
              <w:rPr>
                <w:rFonts w:eastAsia="Times New Roman" w:cstheme="minorHAnsi"/>
                <w:sz w:val="20"/>
                <w:szCs w:val="20"/>
                <w:lang w:eastAsia="en-GB"/>
              </w:rPr>
            </w:pPr>
          </w:p>
        </w:tc>
      </w:tr>
    </w:tbl>
    <w:p w:rsidR="004A397C" w:rsidRPr="009B3747" w:rsidRDefault="004A397C" w:rsidP="00C27072">
      <w:pPr>
        <w:pStyle w:val="ListParagraph"/>
        <w:numPr>
          <w:ilvl w:val="0"/>
          <w:numId w:val="149"/>
        </w:numPr>
        <w:spacing w:after="200" w:line="276" w:lineRule="auto"/>
        <w:ind w:left="284" w:hanging="284"/>
        <w:rPr>
          <w:rFonts w:eastAsia="Arial" w:cstheme="minorHAnsi"/>
        </w:rPr>
      </w:pPr>
      <w:r w:rsidRPr="009B3747">
        <w:rPr>
          <w:rFonts w:eastAsia="Arial" w:cstheme="minorHAnsi"/>
        </w:rPr>
        <w:lastRenderedPageBreak/>
        <w:t>Please provide any further comments you have about the prevention of excess weight gain in secondary schools</w:t>
      </w:r>
    </w:p>
    <w:p w:rsidR="004A397C" w:rsidRPr="009B3747" w:rsidRDefault="004A397C" w:rsidP="004A397C">
      <w:pPr>
        <w:rPr>
          <w:rFonts w:eastAsia="Arial" w:cstheme="minorHAnsi"/>
          <w:u w:val="single"/>
        </w:rPr>
      </w:pPr>
    </w:p>
    <w:p w:rsidR="004A397C" w:rsidRPr="009B3747" w:rsidRDefault="004A397C" w:rsidP="004A397C">
      <w:pPr>
        <w:rPr>
          <w:rFonts w:eastAsia="Arial" w:cstheme="minorHAnsi"/>
          <w:u w:val="single"/>
        </w:rPr>
      </w:pPr>
      <w:r w:rsidRPr="009B3747">
        <w:rPr>
          <w:rFonts w:eastAsia="Arial" w:cstheme="minorHAnsi"/>
          <w:u w:val="single"/>
        </w:rPr>
        <w:t>Section six – About your school</w:t>
      </w:r>
    </w:p>
    <w:p w:rsidR="004A397C" w:rsidRPr="009B3747" w:rsidRDefault="004A397C" w:rsidP="004A397C">
      <w:pPr>
        <w:rPr>
          <w:rFonts w:eastAsia="Arial" w:cstheme="minorHAnsi"/>
          <w:u w:val="single"/>
        </w:rPr>
      </w:pPr>
    </w:p>
    <w:p w:rsidR="004A397C" w:rsidRPr="009B3747" w:rsidRDefault="004A397C" w:rsidP="00C27072">
      <w:pPr>
        <w:pStyle w:val="ListParagraph"/>
        <w:numPr>
          <w:ilvl w:val="0"/>
          <w:numId w:val="150"/>
        </w:numPr>
        <w:spacing w:after="200" w:line="276" w:lineRule="auto"/>
        <w:ind w:left="284" w:hanging="284"/>
        <w:rPr>
          <w:rFonts w:eastAsia="Arial" w:cstheme="minorHAnsi"/>
        </w:rPr>
      </w:pPr>
      <w:r w:rsidRPr="009B3747">
        <w:rPr>
          <w:rFonts w:eastAsia="Arial" w:cstheme="minorHAnsi"/>
        </w:rPr>
        <w:t>Which best describes your school type?</w:t>
      </w:r>
    </w:p>
    <w:p w:rsidR="004A397C" w:rsidRPr="009B3747" w:rsidRDefault="004A397C" w:rsidP="004A397C">
      <w:pPr>
        <w:pStyle w:val="ListParagraph"/>
        <w:ind w:left="284"/>
        <w:rPr>
          <w:rFonts w:eastAsia="Arial" w:cstheme="minorHAnsi"/>
        </w:rPr>
      </w:pPr>
    </w:p>
    <w:p w:rsidR="004A397C" w:rsidRPr="009B3747" w:rsidRDefault="004A397C" w:rsidP="00C27072">
      <w:pPr>
        <w:pStyle w:val="ListParagraph"/>
        <w:numPr>
          <w:ilvl w:val="0"/>
          <w:numId w:val="134"/>
        </w:numPr>
        <w:spacing w:after="200" w:line="276" w:lineRule="auto"/>
        <w:rPr>
          <w:rFonts w:eastAsia="Arial" w:cstheme="minorHAnsi"/>
        </w:rPr>
      </w:pPr>
      <w:r w:rsidRPr="009B3747">
        <w:rPr>
          <w:rFonts w:eastAsia="Arial" w:cstheme="minorHAnsi"/>
        </w:rPr>
        <w:t>Academy</w:t>
      </w:r>
    </w:p>
    <w:p w:rsidR="004A397C" w:rsidRPr="009B3747" w:rsidRDefault="004A397C" w:rsidP="00C27072">
      <w:pPr>
        <w:pStyle w:val="ListParagraph"/>
        <w:numPr>
          <w:ilvl w:val="0"/>
          <w:numId w:val="134"/>
        </w:numPr>
        <w:spacing w:after="200" w:line="276" w:lineRule="auto"/>
        <w:rPr>
          <w:rFonts w:eastAsia="Arial" w:cstheme="minorHAnsi"/>
        </w:rPr>
      </w:pPr>
      <w:r w:rsidRPr="009B3747">
        <w:rPr>
          <w:rFonts w:eastAsia="Arial" w:cstheme="minorHAnsi"/>
        </w:rPr>
        <w:t>Community</w:t>
      </w:r>
    </w:p>
    <w:p w:rsidR="004A397C" w:rsidRPr="009B3747" w:rsidRDefault="004A397C" w:rsidP="00C27072">
      <w:pPr>
        <w:pStyle w:val="ListParagraph"/>
        <w:numPr>
          <w:ilvl w:val="0"/>
          <w:numId w:val="134"/>
        </w:numPr>
        <w:spacing w:after="200" w:line="276" w:lineRule="auto"/>
        <w:rPr>
          <w:rFonts w:eastAsia="Arial" w:cstheme="minorHAnsi"/>
        </w:rPr>
      </w:pPr>
      <w:r w:rsidRPr="009B3747">
        <w:rPr>
          <w:rFonts w:eastAsia="Arial" w:cstheme="minorHAnsi"/>
        </w:rPr>
        <w:t>Foundation</w:t>
      </w:r>
    </w:p>
    <w:p w:rsidR="004A397C" w:rsidRPr="009B3747" w:rsidRDefault="004A397C" w:rsidP="00C27072">
      <w:pPr>
        <w:pStyle w:val="ListParagraph"/>
        <w:numPr>
          <w:ilvl w:val="0"/>
          <w:numId w:val="134"/>
        </w:numPr>
        <w:spacing w:after="200" w:line="276" w:lineRule="auto"/>
        <w:rPr>
          <w:rFonts w:eastAsia="Arial" w:cstheme="minorHAnsi"/>
        </w:rPr>
      </w:pPr>
      <w:r w:rsidRPr="009B3747">
        <w:rPr>
          <w:rFonts w:eastAsia="Arial" w:cstheme="minorHAnsi"/>
        </w:rPr>
        <w:t>Free</w:t>
      </w:r>
    </w:p>
    <w:p w:rsidR="004A397C" w:rsidRPr="009B3747" w:rsidRDefault="004A397C" w:rsidP="00C27072">
      <w:pPr>
        <w:pStyle w:val="ListParagraph"/>
        <w:numPr>
          <w:ilvl w:val="0"/>
          <w:numId w:val="134"/>
        </w:numPr>
        <w:spacing w:after="200" w:line="276" w:lineRule="auto"/>
        <w:rPr>
          <w:rFonts w:eastAsia="Arial" w:cstheme="minorHAnsi"/>
        </w:rPr>
      </w:pPr>
      <w:r w:rsidRPr="009B3747">
        <w:rPr>
          <w:rFonts w:eastAsia="Arial" w:cstheme="minorHAnsi"/>
        </w:rPr>
        <w:t>Grammar school</w:t>
      </w:r>
    </w:p>
    <w:p w:rsidR="004A397C" w:rsidRPr="009B3747" w:rsidRDefault="004A397C" w:rsidP="00C27072">
      <w:pPr>
        <w:pStyle w:val="ListParagraph"/>
        <w:numPr>
          <w:ilvl w:val="0"/>
          <w:numId w:val="134"/>
        </w:numPr>
        <w:spacing w:after="200" w:line="276" w:lineRule="auto"/>
        <w:rPr>
          <w:rFonts w:eastAsia="Arial" w:cstheme="minorHAnsi"/>
        </w:rPr>
      </w:pPr>
      <w:r w:rsidRPr="009B3747">
        <w:rPr>
          <w:rFonts w:eastAsia="Arial" w:cstheme="minorHAnsi"/>
        </w:rPr>
        <w:t>Independent</w:t>
      </w:r>
    </w:p>
    <w:p w:rsidR="004A397C" w:rsidRPr="009B3747" w:rsidRDefault="004A397C" w:rsidP="00C27072">
      <w:pPr>
        <w:pStyle w:val="ListParagraph"/>
        <w:numPr>
          <w:ilvl w:val="0"/>
          <w:numId w:val="134"/>
        </w:numPr>
        <w:spacing w:after="200" w:line="276" w:lineRule="auto"/>
        <w:rPr>
          <w:rFonts w:eastAsia="Arial" w:cstheme="minorHAnsi"/>
        </w:rPr>
      </w:pPr>
      <w:r w:rsidRPr="009B3747">
        <w:rPr>
          <w:rFonts w:eastAsia="Arial" w:cstheme="minorHAnsi"/>
        </w:rPr>
        <w:t>Voluntary aided</w:t>
      </w:r>
    </w:p>
    <w:p w:rsidR="004A397C" w:rsidRPr="009B3747" w:rsidRDefault="004A397C" w:rsidP="00C27072">
      <w:pPr>
        <w:pStyle w:val="ListParagraph"/>
        <w:numPr>
          <w:ilvl w:val="0"/>
          <w:numId w:val="134"/>
        </w:numPr>
        <w:spacing w:after="200" w:line="276" w:lineRule="auto"/>
        <w:rPr>
          <w:rFonts w:eastAsia="Arial" w:cstheme="minorHAnsi"/>
        </w:rPr>
      </w:pPr>
      <w:r w:rsidRPr="009B3747">
        <w:rPr>
          <w:rFonts w:eastAsia="Arial" w:cstheme="minorHAnsi"/>
        </w:rPr>
        <w:t>Voluntary controlled</w:t>
      </w:r>
    </w:p>
    <w:p w:rsidR="004A397C" w:rsidRPr="009B3747" w:rsidRDefault="004A397C" w:rsidP="00C27072">
      <w:pPr>
        <w:pStyle w:val="ListParagraph"/>
        <w:numPr>
          <w:ilvl w:val="0"/>
          <w:numId w:val="134"/>
        </w:numPr>
        <w:spacing w:after="200" w:line="276" w:lineRule="auto"/>
        <w:rPr>
          <w:rFonts w:eastAsia="Arial" w:cstheme="minorHAnsi"/>
        </w:rPr>
      </w:pPr>
      <w:r w:rsidRPr="009B3747">
        <w:rPr>
          <w:rFonts w:eastAsia="Arial" w:cstheme="minorHAnsi"/>
        </w:rPr>
        <w:t>Other</w:t>
      </w:r>
    </w:p>
    <w:p w:rsidR="004A397C" w:rsidRPr="009B3747" w:rsidRDefault="004A397C" w:rsidP="004A397C">
      <w:pPr>
        <w:pStyle w:val="ListParagraph"/>
        <w:ind w:left="284"/>
        <w:rPr>
          <w:rFonts w:eastAsia="Arial" w:cstheme="minorHAnsi"/>
        </w:rPr>
      </w:pPr>
    </w:p>
    <w:p w:rsidR="004A397C" w:rsidRPr="009B3747" w:rsidRDefault="004A397C" w:rsidP="00C27072">
      <w:pPr>
        <w:pStyle w:val="ListParagraph"/>
        <w:numPr>
          <w:ilvl w:val="0"/>
          <w:numId w:val="150"/>
        </w:numPr>
        <w:spacing w:after="200" w:line="276" w:lineRule="auto"/>
        <w:ind w:left="284" w:hanging="284"/>
        <w:rPr>
          <w:rFonts w:eastAsia="Arial" w:cstheme="minorHAnsi"/>
        </w:rPr>
      </w:pPr>
      <w:r w:rsidRPr="009B3747">
        <w:rPr>
          <w:rFonts w:eastAsia="Arial" w:cstheme="minorHAnsi"/>
        </w:rPr>
        <w:t>What percentage of your pupils currently receive free school meals (FSM)?</w:t>
      </w:r>
    </w:p>
    <w:p w:rsidR="004A397C" w:rsidRPr="009B3747" w:rsidRDefault="004A397C" w:rsidP="004A397C">
      <w:pPr>
        <w:pStyle w:val="ListParagraph"/>
        <w:ind w:left="284"/>
        <w:rPr>
          <w:rFonts w:eastAsia="Arial" w:cstheme="minorHAnsi"/>
        </w:rPr>
      </w:pPr>
    </w:p>
    <w:p w:rsidR="004A397C" w:rsidRPr="009B3747" w:rsidRDefault="004A397C" w:rsidP="00C27072">
      <w:pPr>
        <w:pStyle w:val="ListParagraph"/>
        <w:numPr>
          <w:ilvl w:val="0"/>
          <w:numId w:val="151"/>
        </w:numPr>
        <w:spacing w:after="200" w:line="276" w:lineRule="auto"/>
        <w:rPr>
          <w:rFonts w:eastAsia="Arial" w:cstheme="minorHAnsi"/>
        </w:rPr>
      </w:pPr>
      <w:r w:rsidRPr="009B3747">
        <w:rPr>
          <w:rFonts w:eastAsia="Arial" w:cstheme="minorHAnsi"/>
        </w:rPr>
        <w:t>0-5%</w:t>
      </w:r>
    </w:p>
    <w:p w:rsidR="004A397C" w:rsidRPr="009B3747" w:rsidRDefault="004A397C" w:rsidP="00C27072">
      <w:pPr>
        <w:pStyle w:val="ListParagraph"/>
        <w:numPr>
          <w:ilvl w:val="0"/>
          <w:numId w:val="151"/>
        </w:numPr>
        <w:spacing w:after="200" w:line="276" w:lineRule="auto"/>
        <w:rPr>
          <w:rFonts w:eastAsia="Arial" w:cstheme="minorHAnsi"/>
        </w:rPr>
      </w:pPr>
      <w:r w:rsidRPr="009B3747">
        <w:rPr>
          <w:rFonts w:eastAsia="Arial" w:cstheme="minorHAnsi"/>
        </w:rPr>
        <w:t>6-10%</w:t>
      </w:r>
    </w:p>
    <w:p w:rsidR="004A397C" w:rsidRPr="009B3747" w:rsidRDefault="004A397C" w:rsidP="00C27072">
      <w:pPr>
        <w:pStyle w:val="ListParagraph"/>
        <w:numPr>
          <w:ilvl w:val="0"/>
          <w:numId w:val="151"/>
        </w:numPr>
        <w:spacing w:after="200" w:line="276" w:lineRule="auto"/>
        <w:rPr>
          <w:rFonts w:eastAsia="Arial" w:cstheme="minorHAnsi"/>
        </w:rPr>
      </w:pPr>
      <w:r w:rsidRPr="009B3747">
        <w:rPr>
          <w:rFonts w:eastAsia="Arial" w:cstheme="minorHAnsi"/>
        </w:rPr>
        <w:t>11-15%</w:t>
      </w:r>
    </w:p>
    <w:p w:rsidR="004A397C" w:rsidRPr="009B3747" w:rsidRDefault="004A397C" w:rsidP="00C27072">
      <w:pPr>
        <w:pStyle w:val="ListParagraph"/>
        <w:numPr>
          <w:ilvl w:val="0"/>
          <w:numId w:val="151"/>
        </w:numPr>
        <w:spacing w:after="200" w:line="276" w:lineRule="auto"/>
        <w:rPr>
          <w:rFonts w:eastAsia="Arial" w:cstheme="minorHAnsi"/>
        </w:rPr>
      </w:pPr>
      <w:r w:rsidRPr="009B3747">
        <w:rPr>
          <w:rFonts w:eastAsia="Arial" w:cstheme="minorHAnsi"/>
        </w:rPr>
        <w:t>16-20%</w:t>
      </w:r>
    </w:p>
    <w:p w:rsidR="004A397C" w:rsidRPr="009B3747" w:rsidRDefault="004A397C" w:rsidP="00C27072">
      <w:pPr>
        <w:pStyle w:val="ListParagraph"/>
        <w:numPr>
          <w:ilvl w:val="0"/>
          <w:numId w:val="151"/>
        </w:numPr>
        <w:spacing w:after="200" w:line="276" w:lineRule="auto"/>
        <w:rPr>
          <w:rFonts w:eastAsia="Arial" w:cstheme="minorHAnsi"/>
        </w:rPr>
      </w:pPr>
      <w:r w:rsidRPr="009B3747">
        <w:rPr>
          <w:rFonts w:eastAsia="Arial" w:cstheme="minorHAnsi"/>
        </w:rPr>
        <w:t>21-25%</w:t>
      </w:r>
    </w:p>
    <w:p w:rsidR="004A397C" w:rsidRPr="009B3747" w:rsidRDefault="004A397C" w:rsidP="00C27072">
      <w:pPr>
        <w:pStyle w:val="ListParagraph"/>
        <w:numPr>
          <w:ilvl w:val="0"/>
          <w:numId w:val="151"/>
        </w:numPr>
        <w:spacing w:after="200" w:line="276" w:lineRule="auto"/>
        <w:rPr>
          <w:rFonts w:eastAsia="Arial" w:cstheme="minorHAnsi"/>
        </w:rPr>
      </w:pPr>
      <w:r w:rsidRPr="009B3747">
        <w:rPr>
          <w:rFonts w:eastAsia="Arial" w:cstheme="minorHAnsi"/>
        </w:rPr>
        <w:t>26-30%</w:t>
      </w:r>
    </w:p>
    <w:p w:rsidR="004A397C" w:rsidRPr="009B3747" w:rsidRDefault="004A397C" w:rsidP="00C27072">
      <w:pPr>
        <w:pStyle w:val="ListParagraph"/>
        <w:numPr>
          <w:ilvl w:val="0"/>
          <w:numId w:val="151"/>
        </w:numPr>
        <w:spacing w:after="200" w:line="276" w:lineRule="auto"/>
        <w:rPr>
          <w:rFonts w:eastAsia="Arial" w:cstheme="minorHAnsi"/>
        </w:rPr>
      </w:pPr>
      <w:r w:rsidRPr="009B3747">
        <w:rPr>
          <w:rFonts w:eastAsia="Arial" w:cstheme="minorHAnsi"/>
        </w:rPr>
        <w:t>31-35%</w:t>
      </w:r>
    </w:p>
    <w:p w:rsidR="004A397C" w:rsidRPr="009B3747" w:rsidRDefault="004A397C" w:rsidP="00C27072">
      <w:pPr>
        <w:pStyle w:val="ListParagraph"/>
        <w:numPr>
          <w:ilvl w:val="0"/>
          <w:numId w:val="151"/>
        </w:numPr>
        <w:spacing w:after="200" w:line="276" w:lineRule="auto"/>
        <w:rPr>
          <w:rFonts w:eastAsia="Arial" w:cstheme="minorHAnsi"/>
        </w:rPr>
      </w:pPr>
      <w:r w:rsidRPr="009B3747">
        <w:rPr>
          <w:rFonts w:eastAsia="Arial" w:cstheme="minorHAnsi"/>
        </w:rPr>
        <w:t>36-40%</w:t>
      </w:r>
    </w:p>
    <w:p w:rsidR="004A397C" w:rsidRPr="009B3747" w:rsidRDefault="004A397C" w:rsidP="00C27072">
      <w:pPr>
        <w:pStyle w:val="ListParagraph"/>
        <w:numPr>
          <w:ilvl w:val="0"/>
          <w:numId w:val="151"/>
        </w:numPr>
        <w:spacing w:after="200" w:line="276" w:lineRule="auto"/>
        <w:rPr>
          <w:rFonts w:eastAsia="Arial" w:cstheme="minorHAnsi"/>
        </w:rPr>
      </w:pPr>
      <w:r w:rsidRPr="009B3747">
        <w:rPr>
          <w:rFonts w:eastAsia="Arial" w:cstheme="minorHAnsi"/>
        </w:rPr>
        <w:t>41-45%</w:t>
      </w:r>
    </w:p>
    <w:p w:rsidR="004A397C" w:rsidRPr="009B3747" w:rsidRDefault="004A397C" w:rsidP="00C27072">
      <w:pPr>
        <w:pStyle w:val="ListParagraph"/>
        <w:numPr>
          <w:ilvl w:val="0"/>
          <w:numId w:val="151"/>
        </w:numPr>
        <w:spacing w:after="200" w:line="276" w:lineRule="auto"/>
        <w:rPr>
          <w:rFonts w:eastAsia="Arial" w:cstheme="minorHAnsi"/>
        </w:rPr>
      </w:pPr>
      <w:r w:rsidRPr="009B3747">
        <w:rPr>
          <w:rFonts w:eastAsia="Arial" w:cstheme="minorHAnsi"/>
        </w:rPr>
        <w:t>46-50%</w:t>
      </w:r>
    </w:p>
    <w:p w:rsidR="004A397C" w:rsidRPr="009B3747" w:rsidRDefault="004A397C" w:rsidP="00C27072">
      <w:pPr>
        <w:pStyle w:val="ListParagraph"/>
        <w:numPr>
          <w:ilvl w:val="0"/>
          <w:numId w:val="151"/>
        </w:numPr>
        <w:spacing w:after="200" w:line="276" w:lineRule="auto"/>
        <w:rPr>
          <w:rFonts w:eastAsia="Arial" w:cstheme="minorHAnsi"/>
        </w:rPr>
      </w:pPr>
      <w:r w:rsidRPr="009B3747">
        <w:rPr>
          <w:rFonts w:eastAsia="Arial" w:cstheme="minorHAnsi"/>
        </w:rPr>
        <w:t>51%+</w:t>
      </w:r>
    </w:p>
    <w:p w:rsidR="004A397C" w:rsidRPr="009B3747" w:rsidRDefault="004A397C" w:rsidP="00C27072">
      <w:pPr>
        <w:pStyle w:val="ListParagraph"/>
        <w:numPr>
          <w:ilvl w:val="0"/>
          <w:numId w:val="151"/>
        </w:numPr>
        <w:spacing w:after="200" w:line="276" w:lineRule="auto"/>
        <w:rPr>
          <w:rFonts w:eastAsia="Arial" w:cstheme="minorHAnsi"/>
        </w:rPr>
      </w:pPr>
      <w:r w:rsidRPr="009B3747">
        <w:rPr>
          <w:rFonts w:eastAsia="Arial" w:cstheme="minorHAnsi"/>
        </w:rPr>
        <w:t>Unsure</w:t>
      </w:r>
    </w:p>
    <w:p w:rsidR="004A397C" w:rsidRPr="009B3747" w:rsidRDefault="004A397C" w:rsidP="004A397C">
      <w:pPr>
        <w:pStyle w:val="ListParagraph"/>
        <w:ind w:left="284"/>
        <w:rPr>
          <w:rFonts w:eastAsia="Arial" w:cstheme="minorHAnsi"/>
        </w:rPr>
      </w:pPr>
    </w:p>
    <w:p w:rsidR="004A397C" w:rsidRPr="009B3747" w:rsidRDefault="004A397C" w:rsidP="00C27072">
      <w:pPr>
        <w:pStyle w:val="ListParagraph"/>
        <w:numPr>
          <w:ilvl w:val="0"/>
          <w:numId w:val="150"/>
        </w:numPr>
        <w:spacing w:after="200" w:line="276" w:lineRule="auto"/>
        <w:ind w:left="284" w:hanging="284"/>
        <w:rPr>
          <w:rFonts w:eastAsia="Arial" w:cstheme="minorHAnsi"/>
        </w:rPr>
      </w:pPr>
      <w:r w:rsidRPr="009B3747">
        <w:rPr>
          <w:rFonts w:eastAsia="Arial" w:cstheme="minorHAnsi"/>
        </w:rPr>
        <w:t>What percentage of pupils have been eligible for free school meals (FSM) at any time during the past 6 years (known as 'ever 6 FSM pupils) –</w:t>
      </w:r>
    </w:p>
    <w:p w:rsidR="004A397C" w:rsidRPr="009B3747" w:rsidRDefault="004A397C" w:rsidP="004A397C">
      <w:pPr>
        <w:pStyle w:val="ListParagraph"/>
        <w:ind w:left="284"/>
        <w:rPr>
          <w:rFonts w:eastAsia="Arial" w:cstheme="minorHAnsi"/>
        </w:rPr>
      </w:pPr>
    </w:p>
    <w:p w:rsidR="004A397C" w:rsidRPr="009B3747" w:rsidRDefault="004A397C" w:rsidP="00C27072">
      <w:pPr>
        <w:pStyle w:val="ListParagraph"/>
        <w:numPr>
          <w:ilvl w:val="0"/>
          <w:numId w:val="151"/>
        </w:numPr>
        <w:spacing w:after="200" w:line="276" w:lineRule="auto"/>
        <w:rPr>
          <w:rFonts w:eastAsia="Arial" w:cstheme="minorHAnsi"/>
        </w:rPr>
      </w:pPr>
      <w:r w:rsidRPr="009B3747">
        <w:rPr>
          <w:rFonts w:eastAsia="Arial" w:cstheme="minorHAnsi"/>
        </w:rPr>
        <w:t>0-10%</w:t>
      </w:r>
    </w:p>
    <w:p w:rsidR="004A397C" w:rsidRPr="009B3747" w:rsidRDefault="004A397C" w:rsidP="00C27072">
      <w:pPr>
        <w:pStyle w:val="ListParagraph"/>
        <w:numPr>
          <w:ilvl w:val="0"/>
          <w:numId w:val="151"/>
        </w:numPr>
        <w:spacing w:after="200" w:line="276" w:lineRule="auto"/>
        <w:rPr>
          <w:rFonts w:eastAsia="Arial" w:cstheme="minorHAnsi"/>
        </w:rPr>
      </w:pPr>
      <w:r w:rsidRPr="009B3747">
        <w:rPr>
          <w:rFonts w:eastAsia="Arial" w:cstheme="minorHAnsi"/>
        </w:rPr>
        <w:t>11-20%</w:t>
      </w:r>
    </w:p>
    <w:p w:rsidR="004A397C" w:rsidRPr="009B3747" w:rsidRDefault="004A397C" w:rsidP="00C27072">
      <w:pPr>
        <w:pStyle w:val="ListParagraph"/>
        <w:numPr>
          <w:ilvl w:val="0"/>
          <w:numId w:val="151"/>
        </w:numPr>
        <w:spacing w:after="200" w:line="276" w:lineRule="auto"/>
        <w:rPr>
          <w:rFonts w:eastAsia="Arial" w:cstheme="minorHAnsi"/>
        </w:rPr>
      </w:pPr>
      <w:r w:rsidRPr="009B3747">
        <w:rPr>
          <w:rFonts w:eastAsia="Arial" w:cstheme="minorHAnsi"/>
        </w:rPr>
        <w:t>21-30%</w:t>
      </w:r>
    </w:p>
    <w:p w:rsidR="004A397C" w:rsidRPr="009B3747" w:rsidRDefault="004A397C" w:rsidP="00C27072">
      <w:pPr>
        <w:pStyle w:val="ListParagraph"/>
        <w:numPr>
          <w:ilvl w:val="0"/>
          <w:numId w:val="151"/>
        </w:numPr>
        <w:spacing w:after="200" w:line="276" w:lineRule="auto"/>
        <w:rPr>
          <w:rFonts w:eastAsia="Arial" w:cstheme="minorHAnsi"/>
        </w:rPr>
      </w:pPr>
      <w:r w:rsidRPr="009B3747">
        <w:rPr>
          <w:rFonts w:eastAsia="Arial" w:cstheme="minorHAnsi"/>
        </w:rPr>
        <w:t>31-40%</w:t>
      </w:r>
    </w:p>
    <w:p w:rsidR="004A397C" w:rsidRPr="009B3747" w:rsidRDefault="004A397C" w:rsidP="00C27072">
      <w:pPr>
        <w:pStyle w:val="ListParagraph"/>
        <w:numPr>
          <w:ilvl w:val="0"/>
          <w:numId w:val="151"/>
        </w:numPr>
        <w:spacing w:after="200" w:line="276" w:lineRule="auto"/>
        <w:rPr>
          <w:rFonts w:eastAsia="Arial" w:cstheme="minorHAnsi"/>
        </w:rPr>
      </w:pPr>
      <w:r w:rsidRPr="009B3747">
        <w:rPr>
          <w:rFonts w:eastAsia="Arial" w:cstheme="minorHAnsi"/>
        </w:rPr>
        <w:t>41-50%</w:t>
      </w:r>
    </w:p>
    <w:p w:rsidR="004A397C" w:rsidRPr="009B3747" w:rsidRDefault="004A397C" w:rsidP="00C27072">
      <w:pPr>
        <w:pStyle w:val="ListParagraph"/>
        <w:numPr>
          <w:ilvl w:val="0"/>
          <w:numId w:val="151"/>
        </w:numPr>
        <w:spacing w:after="200" w:line="276" w:lineRule="auto"/>
        <w:rPr>
          <w:rFonts w:eastAsia="Arial" w:cstheme="minorHAnsi"/>
        </w:rPr>
      </w:pPr>
      <w:r w:rsidRPr="009B3747">
        <w:rPr>
          <w:rFonts w:eastAsia="Arial" w:cstheme="minorHAnsi"/>
        </w:rPr>
        <w:t>51%+</w:t>
      </w:r>
    </w:p>
    <w:p w:rsidR="004A397C" w:rsidRPr="009B3747" w:rsidRDefault="004A397C" w:rsidP="00C27072">
      <w:pPr>
        <w:pStyle w:val="ListParagraph"/>
        <w:numPr>
          <w:ilvl w:val="0"/>
          <w:numId w:val="151"/>
        </w:numPr>
        <w:spacing w:after="200" w:line="276" w:lineRule="auto"/>
        <w:rPr>
          <w:rFonts w:eastAsia="Arial" w:cstheme="minorHAnsi"/>
        </w:rPr>
      </w:pPr>
      <w:r w:rsidRPr="009B3747">
        <w:rPr>
          <w:rFonts w:eastAsia="Arial" w:cstheme="minorHAnsi"/>
        </w:rPr>
        <w:lastRenderedPageBreak/>
        <w:t>Unsure</w:t>
      </w:r>
    </w:p>
    <w:p w:rsidR="004A397C" w:rsidRPr="009B3747" w:rsidRDefault="004A397C" w:rsidP="004A397C">
      <w:pPr>
        <w:pStyle w:val="ListParagraph"/>
        <w:ind w:left="284"/>
        <w:rPr>
          <w:rFonts w:eastAsia="Arial" w:cstheme="minorHAnsi"/>
        </w:rPr>
      </w:pPr>
    </w:p>
    <w:p w:rsidR="004A397C" w:rsidRPr="009B3747" w:rsidRDefault="004A397C" w:rsidP="00C27072">
      <w:pPr>
        <w:pStyle w:val="ListParagraph"/>
        <w:numPr>
          <w:ilvl w:val="0"/>
          <w:numId w:val="150"/>
        </w:numPr>
        <w:spacing w:after="200" w:line="276" w:lineRule="auto"/>
        <w:ind w:left="284" w:hanging="284"/>
        <w:rPr>
          <w:rFonts w:eastAsia="Arial" w:cstheme="minorHAnsi"/>
        </w:rPr>
      </w:pPr>
      <w:r w:rsidRPr="009B3747">
        <w:rPr>
          <w:rFonts w:eastAsia="Arial" w:cstheme="minorHAnsi"/>
        </w:rPr>
        <w:t>What is your school's most recent Ofsted rating?</w:t>
      </w:r>
    </w:p>
    <w:p w:rsidR="004A397C" w:rsidRPr="009B3747" w:rsidRDefault="004A397C" w:rsidP="004A397C">
      <w:pPr>
        <w:pStyle w:val="ListParagraph"/>
        <w:ind w:left="284"/>
        <w:rPr>
          <w:rFonts w:eastAsia="Arial" w:cstheme="minorHAnsi"/>
        </w:rPr>
      </w:pPr>
    </w:p>
    <w:p w:rsidR="004A397C" w:rsidRPr="009B3747" w:rsidRDefault="004A397C" w:rsidP="00C27072">
      <w:pPr>
        <w:pStyle w:val="ListParagraph"/>
        <w:numPr>
          <w:ilvl w:val="0"/>
          <w:numId w:val="152"/>
        </w:numPr>
        <w:spacing w:after="200" w:line="276" w:lineRule="auto"/>
        <w:rPr>
          <w:rFonts w:eastAsia="Arial" w:cstheme="minorHAnsi"/>
        </w:rPr>
      </w:pPr>
      <w:r w:rsidRPr="009B3747">
        <w:rPr>
          <w:rFonts w:eastAsia="Arial" w:cstheme="minorHAnsi"/>
        </w:rPr>
        <w:t>1 – Outstanding</w:t>
      </w:r>
    </w:p>
    <w:p w:rsidR="004A397C" w:rsidRPr="009B3747" w:rsidRDefault="004A397C" w:rsidP="00C27072">
      <w:pPr>
        <w:pStyle w:val="ListParagraph"/>
        <w:numPr>
          <w:ilvl w:val="0"/>
          <w:numId w:val="152"/>
        </w:numPr>
        <w:spacing w:after="200" w:line="276" w:lineRule="auto"/>
        <w:rPr>
          <w:rFonts w:eastAsia="Arial" w:cstheme="minorHAnsi"/>
        </w:rPr>
      </w:pPr>
      <w:r w:rsidRPr="009B3747">
        <w:rPr>
          <w:rFonts w:eastAsia="Arial" w:cstheme="minorHAnsi"/>
        </w:rPr>
        <w:t>2 – Good</w:t>
      </w:r>
    </w:p>
    <w:p w:rsidR="004A397C" w:rsidRPr="009B3747" w:rsidRDefault="004A397C" w:rsidP="00C27072">
      <w:pPr>
        <w:pStyle w:val="ListParagraph"/>
        <w:numPr>
          <w:ilvl w:val="0"/>
          <w:numId w:val="152"/>
        </w:numPr>
        <w:spacing w:after="200" w:line="276" w:lineRule="auto"/>
        <w:rPr>
          <w:rFonts w:eastAsia="Arial" w:cstheme="minorHAnsi"/>
        </w:rPr>
      </w:pPr>
      <w:r w:rsidRPr="009B3747">
        <w:rPr>
          <w:rFonts w:eastAsia="Arial" w:cstheme="minorHAnsi"/>
        </w:rPr>
        <w:t>3 – Requires improvement</w:t>
      </w:r>
    </w:p>
    <w:p w:rsidR="004A397C" w:rsidRPr="009B3747" w:rsidRDefault="004A397C" w:rsidP="00C27072">
      <w:pPr>
        <w:pStyle w:val="ListParagraph"/>
        <w:numPr>
          <w:ilvl w:val="0"/>
          <w:numId w:val="152"/>
        </w:numPr>
        <w:spacing w:after="200" w:line="276" w:lineRule="auto"/>
        <w:rPr>
          <w:rFonts w:eastAsia="Arial" w:cstheme="minorHAnsi"/>
        </w:rPr>
      </w:pPr>
      <w:r w:rsidRPr="009B3747">
        <w:rPr>
          <w:rFonts w:eastAsia="Arial" w:cstheme="minorHAnsi"/>
        </w:rPr>
        <w:t xml:space="preserve">4 – Inadequate </w:t>
      </w:r>
    </w:p>
    <w:p w:rsidR="004A397C" w:rsidRPr="009B3747" w:rsidRDefault="004A397C" w:rsidP="00C27072">
      <w:pPr>
        <w:pStyle w:val="ListParagraph"/>
        <w:numPr>
          <w:ilvl w:val="0"/>
          <w:numId w:val="152"/>
        </w:numPr>
        <w:spacing w:after="200" w:line="276" w:lineRule="auto"/>
        <w:rPr>
          <w:rFonts w:eastAsia="Arial" w:cstheme="minorHAnsi"/>
        </w:rPr>
      </w:pPr>
      <w:r w:rsidRPr="009B3747">
        <w:rPr>
          <w:rFonts w:eastAsia="Arial" w:cstheme="minorHAnsi"/>
        </w:rPr>
        <w:t>Yet to be inspected</w:t>
      </w:r>
    </w:p>
    <w:p w:rsidR="004A397C" w:rsidRPr="009B3747" w:rsidRDefault="004A397C" w:rsidP="00C27072">
      <w:pPr>
        <w:pStyle w:val="ListParagraph"/>
        <w:numPr>
          <w:ilvl w:val="0"/>
          <w:numId w:val="152"/>
        </w:numPr>
        <w:spacing w:after="200" w:line="276" w:lineRule="auto"/>
        <w:rPr>
          <w:rFonts w:eastAsia="Arial" w:cstheme="minorHAnsi"/>
        </w:rPr>
      </w:pPr>
      <w:r w:rsidRPr="009B3747">
        <w:rPr>
          <w:rFonts w:eastAsia="Arial" w:cstheme="minorHAnsi"/>
        </w:rPr>
        <w:t>Unsure</w:t>
      </w:r>
    </w:p>
    <w:p w:rsidR="004A397C" w:rsidRPr="009B3747" w:rsidRDefault="004A397C" w:rsidP="004A397C">
      <w:pPr>
        <w:pStyle w:val="ListParagraph"/>
        <w:ind w:left="284"/>
        <w:rPr>
          <w:rFonts w:eastAsia="Arial" w:cstheme="minorHAnsi"/>
        </w:rPr>
      </w:pPr>
    </w:p>
    <w:p w:rsidR="004A397C" w:rsidRPr="009B3747" w:rsidRDefault="004A397C" w:rsidP="00C27072">
      <w:pPr>
        <w:pStyle w:val="ListParagraph"/>
        <w:numPr>
          <w:ilvl w:val="0"/>
          <w:numId w:val="150"/>
        </w:numPr>
        <w:spacing w:after="200" w:line="276" w:lineRule="auto"/>
        <w:ind w:left="284" w:hanging="284"/>
        <w:rPr>
          <w:rFonts w:eastAsia="Arial" w:cstheme="minorHAnsi"/>
        </w:rPr>
      </w:pPr>
      <w:r w:rsidRPr="009B3747">
        <w:rPr>
          <w:rFonts w:eastAsia="Arial" w:cstheme="minorHAnsi"/>
        </w:rPr>
        <w:t>Approximately how many pupils currently attend your secondary school?</w:t>
      </w:r>
    </w:p>
    <w:p w:rsidR="004A397C" w:rsidRPr="009B3747" w:rsidRDefault="004A397C" w:rsidP="004A397C">
      <w:pPr>
        <w:pStyle w:val="ListParagraph"/>
        <w:ind w:left="1004"/>
        <w:rPr>
          <w:rFonts w:eastAsia="Arial" w:cstheme="minorHAnsi"/>
        </w:rPr>
      </w:pPr>
    </w:p>
    <w:p w:rsidR="004A397C" w:rsidRPr="009B3747" w:rsidRDefault="004A397C" w:rsidP="00C27072">
      <w:pPr>
        <w:pStyle w:val="ListParagraph"/>
        <w:numPr>
          <w:ilvl w:val="0"/>
          <w:numId w:val="152"/>
        </w:numPr>
        <w:spacing w:after="200" w:line="276" w:lineRule="auto"/>
        <w:rPr>
          <w:rFonts w:eastAsia="Arial" w:cstheme="minorHAnsi"/>
        </w:rPr>
      </w:pPr>
      <w:r w:rsidRPr="009B3747">
        <w:rPr>
          <w:rFonts w:eastAsia="Arial" w:cstheme="minorHAnsi"/>
        </w:rPr>
        <w:t>0-250 pupils</w:t>
      </w:r>
    </w:p>
    <w:p w:rsidR="004A397C" w:rsidRPr="009B3747" w:rsidRDefault="004A397C" w:rsidP="00C27072">
      <w:pPr>
        <w:pStyle w:val="ListParagraph"/>
        <w:numPr>
          <w:ilvl w:val="0"/>
          <w:numId w:val="152"/>
        </w:numPr>
        <w:spacing w:after="200" w:line="276" w:lineRule="auto"/>
        <w:rPr>
          <w:rFonts w:eastAsia="Arial" w:cstheme="minorHAnsi"/>
        </w:rPr>
      </w:pPr>
      <w:r w:rsidRPr="009B3747">
        <w:rPr>
          <w:rFonts w:eastAsia="Arial" w:cstheme="minorHAnsi"/>
        </w:rPr>
        <w:t>251-500 pupils</w:t>
      </w:r>
    </w:p>
    <w:p w:rsidR="004A397C" w:rsidRPr="009B3747" w:rsidRDefault="004A397C" w:rsidP="00C27072">
      <w:pPr>
        <w:pStyle w:val="ListParagraph"/>
        <w:numPr>
          <w:ilvl w:val="0"/>
          <w:numId w:val="152"/>
        </w:numPr>
        <w:spacing w:after="200" w:line="276" w:lineRule="auto"/>
        <w:rPr>
          <w:rFonts w:eastAsia="Arial" w:cstheme="minorHAnsi"/>
        </w:rPr>
      </w:pPr>
      <w:r w:rsidRPr="009B3747">
        <w:rPr>
          <w:rFonts w:eastAsia="Arial" w:cstheme="minorHAnsi"/>
        </w:rPr>
        <w:t>501-1000 pupils</w:t>
      </w:r>
    </w:p>
    <w:p w:rsidR="004A397C" w:rsidRPr="009B3747" w:rsidRDefault="004A397C" w:rsidP="00C27072">
      <w:pPr>
        <w:pStyle w:val="ListParagraph"/>
        <w:numPr>
          <w:ilvl w:val="0"/>
          <w:numId w:val="152"/>
        </w:numPr>
        <w:spacing w:after="200" w:line="276" w:lineRule="auto"/>
        <w:rPr>
          <w:rFonts w:eastAsia="Arial" w:cstheme="minorHAnsi"/>
        </w:rPr>
      </w:pPr>
      <w:r w:rsidRPr="009B3747">
        <w:rPr>
          <w:rFonts w:eastAsia="Arial" w:cstheme="minorHAnsi"/>
        </w:rPr>
        <w:t>1001 – 1500 pupils</w:t>
      </w:r>
    </w:p>
    <w:p w:rsidR="004A397C" w:rsidRPr="009B3747" w:rsidRDefault="004A397C" w:rsidP="00C27072">
      <w:pPr>
        <w:pStyle w:val="ListParagraph"/>
        <w:numPr>
          <w:ilvl w:val="0"/>
          <w:numId w:val="152"/>
        </w:numPr>
        <w:spacing w:after="200" w:line="276" w:lineRule="auto"/>
        <w:rPr>
          <w:rFonts w:eastAsia="Arial" w:cstheme="minorHAnsi"/>
        </w:rPr>
      </w:pPr>
      <w:r w:rsidRPr="009B3747">
        <w:rPr>
          <w:rFonts w:eastAsia="Arial" w:cstheme="minorHAnsi"/>
        </w:rPr>
        <w:t>1501 – 2000 pupils</w:t>
      </w:r>
    </w:p>
    <w:p w:rsidR="004A397C" w:rsidRPr="009B3747" w:rsidRDefault="004A397C" w:rsidP="00C27072">
      <w:pPr>
        <w:pStyle w:val="ListParagraph"/>
        <w:numPr>
          <w:ilvl w:val="0"/>
          <w:numId w:val="152"/>
        </w:numPr>
        <w:spacing w:line="276" w:lineRule="auto"/>
        <w:rPr>
          <w:rFonts w:eastAsia="Arial" w:cstheme="minorHAnsi"/>
        </w:rPr>
      </w:pPr>
      <w:r w:rsidRPr="009B3747">
        <w:rPr>
          <w:rFonts w:eastAsia="Arial" w:cstheme="minorHAnsi"/>
        </w:rPr>
        <w:t>2000 + pupils</w:t>
      </w:r>
    </w:p>
    <w:p w:rsidR="004A397C" w:rsidRPr="009B3747" w:rsidRDefault="004A397C" w:rsidP="004A397C">
      <w:pPr>
        <w:rPr>
          <w:rFonts w:eastAsia="Arial" w:cstheme="minorHAnsi"/>
        </w:rPr>
        <w:sectPr w:rsidR="004A397C" w:rsidRPr="009B3747" w:rsidSect="00846B21">
          <w:pgSz w:w="11906" w:h="16838"/>
          <w:pgMar w:top="1440" w:right="1440" w:bottom="1440" w:left="1440" w:header="709" w:footer="709" w:gutter="0"/>
          <w:cols w:space="708"/>
          <w:docGrid w:linePitch="360"/>
        </w:sectPr>
      </w:pPr>
    </w:p>
    <w:p w:rsidR="004A397C" w:rsidRPr="009B3747" w:rsidRDefault="003F4A2E" w:rsidP="004A397C">
      <w:pPr>
        <w:spacing w:line="240" w:lineRule="auto"/>
        <w:rPr>
          <w:rFonts w:eastAsia="Times New Roman" w:cstheme="minorHAnsi"/>
          <w:sz w:val="28"/>
          <w:szCs w:val="28"/>
          <w:lang w:eastAsia="en-GB"/>
        </w:rPr>
      </w:pPr>
      <w:r w:rsidRPr="009B3747">
        <w:rPr>
          <w:rFonts w:eastAsia="Times New Roman" w:cstheme="minorHAnsi"/>
          <w:b/>
          <w:bCs/>
          <w:color w:val="000000"/>
          <w:sz w:val="28"/>
          <w:szCs w:val="28"/>
          <w:u w:val="single"/>
          <w:lang w:eastAsia="en-GB"/>
        </w:rPr>
        <w:lastRenderedPageBreak/>
        <w:t>Appendix L</w:t>
      </w:r>
      <w:r w:rsidR="004A397C" w:rsidRPr="009B3747">
        <w:rPr>
          <w:rFonts w:eastAsia="Times New Roman" w:cstheme="minorHAnsi"/>
          <w:b/>
          <w:bCs/>
          <w:color w:val="000000"/>
          <w:sz w:val="28"/>
          <w:szCs w:val="28"/>
          <w:u w:val="single"/>
          <w:lang w:eastAsia="en-GB"/>
        </w:rPr>
        <w:t xml:space="preserve"> - Statistical test results </w:t>
      </w:r>
    </w:p>
    <w:p w:rsidR="004A397C" w:rsidRPr="009B3747" w:rsidRDefault="004A397C" w:rsidP="004A397C">
      <w:pPr>
        <w:spacing w:line="240" w:lineRule="auto"/>
        <w:rPr>
          <w:rFonts w:eastAsia="Times New Roman" w:cstheme="minorHAnsi"/>
          <w:sz w:val="24"/>
          <w:szCs w:val="24"/>
          <w:lang w:eastAsia="en-GB"/>
        </w:rPr>
      </w:pPr>
    </w:p>
    <w:p w:rsidR="004A397C" w:rsidRPr="009B3747" w:rsidRDefault="004A397C" w:rsidP="004A397C">
      <w:pPr>
        <w:rPr>
          <w:rFonts w:eastAsia="Times New Roman" w:cstheme="minorHAnsi"/>
          <w:sz w:val="24"/>
          <w:szCs w:val="24"/>
          <w:lang w:eastAsia="en-GB"/>
        </w:rPr>
      </w:pPr>
      <w:r w:rsidRPr="009B3747">
        <w:rPr>
          <w:rFonts w:eastAsia="Times New Roman" w:cstheme="minorHAnsi"/>
          <w:color w:val="000000"/>
          <w:lang w:eastAsia="en-GB"/>
        </w:rPr>
        <w:t>Presented within this appendix are the results from conducting three non-parametric statistical test</w:t>
      </w:r>
      <w:r w:rsidR="00982F16" w:rsidRPr="009B3747">
        <w:rPr>
          <w:rFonts w:eastAsia="Times New Roman" w:cstheme="minorHAnsi"/>
          <w:color w:val="000000"/>
          <w:lang w:eastAsia="en-GB"/>
        </w:rPr>
        <w:t>s - Man</w:t>
      </w:r>
      <w:r w:rsidRPr="009B3747">
        <w:rPr>
          <w:rFonts w:eastAsia="Times New Roman" w:cstheme="minorHAnsi"/>
          <w:color w:val="000000"/>
          <w:lang w:eastAsia="en-GB"/>
        </w:rPr>
        <w:t xml:space="preserve">n-Whitney U, Chi-squared and Spearman’s correlation coefficient on the quantitative data obtained.   Separate tables are presented, with the first, second and third reporting the resultant p values from conducting Mann-Whitney U and Chi-squared tests on relevant questions or statements and the independent variables of interest.  The fourth table provides both the outcome value and p value following the use of Spearman’s correlation coefficient.  For all three tests and associated tables, statistically significant results are indicated by a p value of &lt; 0.05 (and the cell highlighted as per below) - </w:t>
      </w:r>
    </w:p>
    <w:p w:rsidR="004A397C" w:rsidRPr="009B3747" w:rsidRDefault="004A397C" w:rsidP="004A397C">
      <w:pPr>
        <w:rPr>
          <w:rFonts w:eastAsia="Times New Roman" w:cstheme="minorHAnsi"/>
          <w:sz w:val="24"/>
          <w:szCs w:val="24"/>
          <w:lang w:eastAsia="en-GB"/>
        </w:rPr>
      </w:pPr>
      <w:r w:rsidRPr="009B3747">
        <w:rPr>
          <w:rFonts w:eastAsia="Times New Roman" w:cstheme="minorHAnsi"/>
          <w:sz w:val="24"/>
          <w:szCs w:val="24"/>
          <w:lang w:eastAsia="en-GB"/>
        </w:rPr>
        <w:br/>
      </w:r>
      <w:r w:rsidRPr="009B3747">
        <w:rPr>
          <w:rFonts w:eastAsia="Times New Roman" w:cstheme="minorHAnsi"/>
          <w:noProof/>
          <w:sz w:val="24"/>
          <w:szCs w:val="24"/>
          <w:lang w:eastAsia="en-GB"/>
        </w:rPr>
        <mc:AlternateContent>
          <mc:Choice Requires="wps">
            <w:drawing>
              <wp:inline distT="0" distB="0" distL="0" distR="0" wp14:anchorId="78F6AE4C" wp14:editId="2A898BE0">
                <wp:extent cx="733425" cy="390525"/>
                <wp:effectExtent l="0" t="0" r="9525" b="9525"/>
                <wp:docPr id="62" name="Rectangle 62" descr="https://docs.google.com/drawings/u/2/d/smO2I3wzz63WpygDkirJscg/image?w=77&amp;h=41&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33425" cy="390525"/>
                        </a:xfrm>
                        <a:prstGeom prst="rect">
                          <a:avLst/>
                        </a:prstGeom>
                        <a:solidFill>
                          <a:srgbClr val="00FF00"/>
                        </a:solidFill>
                        <a:ln>
                          <a:noFill/>
                        </a:ln>
                      </wps:spPr>
                      <wps:bodyPr rot="0" vert="horz" wrap="square" lIns="91440" tIns="45720" rIns="91440" bIns="45720" anchor="t" anchorCtr="0" upright="1">
                        <a:noAutofit/>
                      </wps:bodyPr>
                    </wps:wsp>
                  </a:graphicData>
                </a:graphic>
              </wp:inline>
            </w:drawing>
          </mc:Choice>
          <mc:Fallback>
            <w:pict>
              <v:rect w14:anchorId="3A89D66B" id="Rectangle 62" o:spid="_x0000_s1026" alt="https://docs.google.com/drawings/u/2/d/smO2I3wzz63WpygDkirJscg/image?w=77&amp;h=41&amp;rev=1&amp;ac=1" style="width:57.7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" fillcolor="lime" stroked="f">
                <o:lock v:ext="edit" aspectratio="t"/>
                <w10:anchorlock/>
              </v:rect>
            </w:pict>
          </mc:Fallback>
        </mc:AlternateContent>
      </w:r>
    </w:p>
    <w:p w:rsidR="004A397C" w:rsidRPr="009B3747" w:rsidRDefault="004A397C" w:rsidP="004A397C">
      <w:pPr>
        <w:rPr>
          <w:rFonts w:eastAsia="Times New Roman" w:cstheme="minorHAnsi"/>
          <w:sz w:val="24"/>
          <w:szCs w:val="24"/>
          <w:lang w:eastAsia="en-GB"/>
        </w:rPr>
      </w:pPr>
      <w:r w:rsidRPr="009B3747">
        <w:rPr>
          <w:rFonts w:eastAsia="Times New Roman" w:cstheme="minorHAnsi"/>
          <w:color w:val="000000"/>
          <w:sz w:val="20"/>
          <w:szCs w:val="20"/>
          <w:lang w:eastAsia="en-GB"/>
        </w:rPr>
        <w:t>= s</w:t>
      </w:r>
      <w:r w:rsidR="004862DC">
        <w:rPr>
          <w:rFonts w:eastAsia="Times New Roman" w:cstheme="minorHAnsi"/>
          <w:color w:val="000000"/>
          <w:sz w:val="20"/>
          <w:szCs w:val="20"/>
          <w:lang w:eastAsia="en-GB"/>
        </w:rPr>
        <w:t xml:space="preserve">tatistically significant result, </w:t>
      </w:r>
      <w:r w:rsidRPr="009B3747">
        <w:rPr>
          <w:rFonts w:eastAsia="Times New Roman" w:cstheme="minorHAnsi"/>
          <w:color w:val="000000"/>
          <w:sz w:val="20"/>
          <w:szCs w:val="20"/>
          <w:lang w:eastAsia="en-GB"/>
        </w:rPr>
        <w:t>i.e. P value = &lt; 0.05</w:t>
      </w:r>
    </w:p>
    <w:p w:rsidR="004A397C" w:rsidRPr="009B3747" w:rsidRDefault="004A397C" w:rsidP="004A397C">
      <w:pPr>
        <w:spacing w:line="240" w:lineRule="auto"/>
        <w:rPr>
          <w:rFonts w:eastAsia="Times New Roman" w:cstheme="minorHAnsi"/>
          <w:color w:val="000000"/>
          <w:sz w:val="24"/>
          <w:szCs w:val="24"/>
          <w:u w:val="single"/>
          <w:lang w:eastAsia="en-GB"/>
        </w:rPr>
      </w:pPr>
    </w:p>
    <w:p w:rsidR="004A397C" w:rsidRPr="009B3747" w:rsidRDefault="004A397C" w:rsidP="004A397C">
      <w:pPr>
        <w:spacing w:line="240" w:lineRule="auto"/>
        <w:rPr>
          <w:rFonts w:eastAsia="Times New Roman" w:cstheme="minorHAnsi"/>
          <w:sz w:val="24"/>
          <w:szCs w:val="24"/>
          <w:lang w:eastAsia="en-GB"/>
        </w:rPr>
      </w:pPr>
      <w:r w:rsidRPr="009B3747">
        <w:rPr>
          <w:rFonts w:eastAsia="Times New Roman" w:cstheme="minorHAnsi"/>
          <w:color w:val="000000"/>
          <w:sz w:val="24"/>
          <w:szCs w:val="24"/>
          <w:u w:val="single"/>
          <w:lang w:eastAsia="en-GB"/>
        </w:rPr>
        <w:t>Results from Mann-Whitney U tests</w:t>
      </w:r>
    </w:p>
    <w:p w:rsidR="004A397C" w:rsidRPr="009B3747" w:rsidRDefault="004A397C" w:rsidP="004A397C">
      <w:pPr>
        <w:spacing w:line="240" w:lineRule="auto"/>
        <w:rPr>
          <w:rFonts w:eastAsia="Times New Roman" w:cstheme="minorHAnsi"/>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4030"/>
        <w:gridCol w:w="5670"/>
        <w:gridCol w:w="2287"/>
        <w:gridCol w:w="1093"/>
        <w:gridCol w:w="858"/>
      </w:tblGrid>
      <w:tr w:rsidR="004A397C" w:rsidRPr="009B3747" w:rsidTr="00846B21">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Questions and opinion statements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862DC" w:rsidP="00846B21">
            <w:pPr>
              <w:spacing w:line="240" w:lineRule="auto"/>
              <w:jc w:val="center"/>
              <w:rPr>
                <w:rFonts w:eastAsia="Times New Roman" w:cstheme="minorHAnsi"/>
                <w:sz w:val="24"/>
                <w:szCs w:val="24"/>
                <w:lang w:eastAsia="en-GB"/>
              </w:rPr>
            </w:pPr>
            <w:r>
              <w:rPr>
                <w:rFonts w:eastAsia="Times New Roman" w:cstheme="minorHAnsi"/>
                <w:color w:val="000000"/>
                <w:sz w:val="20"/>
                <w:szCs w:val="20"/>
                <w:lang w:eastAsia="en-GB"/>
              </w:rPr>
              <w:t xml:space="preserve">Role type, </w:t>
            </w:r>
            <w:r w:rsidR="004A397C" w:rsidRPr="009B3747">
              <w:rPr>
                <w:rFonts w:eastAsia="Times New Roman" w:cstheme="minorHAnsi"/>
                <w:color w:val="000000"/>
                <w:sz w:val="20"/>
                <w:szCs w:val="20"/>
                <w:lang w:eastAsia="en-GB"/>
              </w:rPr>
              <w:t>i.e. headteacher and chair of governor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School type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 xml:space="preserve">Gender </w:t>
            </w:r>
          </w:p>
        </w:tc>
      </w:tr>
      <w:tr w:rsidR="004A397C" w:rsidRPr="009B3747" w:rsidTr="00846B21">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Generally speaking, in relation to pupils at my secondary school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I am concerned about levels of excess weight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.899 (Retain Null)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.198 (Retain)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0.068</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I am concerned about unhealthy dietary habits</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0.01 (Reject)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.577 (Retain)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0.352</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Unhealthy dietary habits are a greater concern to me than levels of excess weight</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0.03 (Reject)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.980 (Retain)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0.548</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I am concerned about levels of sedentary behaviour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0.570 (Retain)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.129 (Retain)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0.326</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Sedentary behaviour is a greater concern to me than levels of excess weight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0.768 (Retain)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.198 (Retain)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0.338</w:t>
            </w:r>
          </w:p>
        </w:tc>
      </w:tr>
      <w:tr w:rsidR="004A397C" w:rsidRPr="009B3747" w:rsidTr="00846B21">
        <w:trPr>
          <w:trHeight w:val="44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What percentage of pupils at your secondary school do you estimate to be of excess weight?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0.892 (Retain)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0.078</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0.007</w:t>
            </w:r>
          </w:p>
        </w:tc>
      </w:tr>
      <w:tr w:rsidR="004A397C" w:rsidRPr="009B3747" w:rsidTr="00846B21">
        <w:trPr>
          <w:trHeight w:val="44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p>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sz w:val="20"/>
                <w:szCs w:val="20"/>
                <w:shd w:val="clear" w:color="auto" w:fill="FFFFFF"/>
                <w:lang w:eastAsia="en-GB"/>
              </w:rPr>
              <w:t>Visual assessment is an accurate method to identify excess weight in secondary school pupils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P = .513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0.900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0.798</w:t>
            </w:r>
          </w:p>
        </w:tc>
      </w:tr>
      <w:tr w:rsidR="004A397C" w:rsidRPr="009B3747" w:rsidTr="00846B21">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I believe that secondary school pupils from my school in general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shd w:val="clear" w:color="auto" w:fill="FFFFFF"/>
                <w:lang w:eastAsia="en-GB"/>
              </w:rPr>
              <w:t>Consume too much junk food</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P = 0.05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0.489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0.611</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shd w:val="clear" w:color="auto" w:fill="FFFFFF"/>
                <w:lang w:eastAsia="en-GB"/>
              </w:rPr>
              <w:t>Eat a healthy breakfast</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0.02</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0.718</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shd w:val="clear" w:color="auto" w:fill="FFFFFF"/>
                <w:lang w:eastAsia="en-GB"/>
              </w:rPr>
              <w:t>Undertake enough physical activity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.872</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0.843</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shd w:val="clear" w:color="auto" w:fill="FFFFFF"/>
                <w:lang w:eastAsia="en-GB"/>
              </w:rPr>
              <w:t>Consume too many sugary drinks</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P = 0.018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.830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0.705</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shd w:val="clear" w:color="auto" w:fill="FFFFFF"/>
                <w:lang w:eastAsia="en-GB"/>
              </w:rPr>
              <w:t>Spend too long being sedentary</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0.038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.627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0.681</w:t>
            </w:r>
          </w:p>
        </w:tc>
      </w:tr>
      <w:tr w:rsidR="004A397C" w:rsidRPr="009B3747" w:rsidTr="00846B21">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Do you think pupils who receive free school meals (FSM) compared to those who don't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Are more likely to be of excess weight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0.695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0.126</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0.006</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shd w:val="clear" w:color="auto" w:fill="FFFFFF"/>
                <w:lang w:eastAsia="en-GB"/>
              </w:rPr>
              <w:t>Have unhealthier dietary habits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0.154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0.471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0.346</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shd w:val="clear" w:color="auto" w:fill="FFFFFF"/>
                <w:lang w:eastAsia="en-GB"/>
              </w:rPr>
              <w:t>Do less physical activity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0.969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0.178</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0.003</w:t>
            </w:r>
          </w:p>
        </w:tc>
      </w:tr>
      <w:tr w:rsidR="004A397C" w:rsidRPr="009B3747" w:rsidTr="00846B21">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 xml:space="preserve">From my perspective, I believe that -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A secondary school pupil’s home environment is more influential in the prevention of excess weight gain than the school environment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.203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0.88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0.188</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shd w:val="clear" w:color="auto" w:fill="FFFFFF"/>
                <w:lang w:eastAsia="en-GB"/>
              </w:rPr>
              <w:t>A secondary school pupil is more likely to be of excess weight if their parents are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0.293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0.205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0.962</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Parents have the required knowledge to prevent excess weight gain in their children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0.338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0.711</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Parents are aware of the risks of excess weight gain in secondary school pupils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0.166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0.132</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If a secondary school pupil is of excess weight, it is their parents' fault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0.104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0.330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0.269</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If a secondary school pupil is of excess weight it is society's fault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0.264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0.831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0.265</w:t>
            </w:r>
          </w:p>
        </w:tc>
      </w:tr>
      <w:tr w:rsidR="004A397C" w:rsidRPr="009B3747" w:rsidTr="00846B21">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 xml:space="preserve">To what extent do you agree or disagree with the following statements -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I am concerned about the availability of junk near to my secondary school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0.094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0.968</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shd w:val="clear" w:color="auto" w:fill="FFFFFF"/>
                <w:lang w:eastAsia="en-GB"/>
              </w:rPr>
              <w:t>I believe that unhealthy food costs less than healthy food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0.222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0.535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0.385</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I am concerned about the marketing of junk food to children and young people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0.327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0.645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0.828</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The food industry prioritises profits over the health of children and young people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0.500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0.923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0.846</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Unhealthy eating is associated with poverty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0.767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0.659</w:t>
            </w:r>
          </w:p>
        </w:tc>
      </w:tr>
      <w:tr w:rsidR="004A397C" w:rsidRPr="009B3747" w:rsidTr="00846B21">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 xml:space="preserve">The following have a responsibility for preventing excess weight gain in secondary school pupils? -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Secondary schools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0.864</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shd w:val="clear" w:color="auto" w:fill="FFFFFF"/>
                <w:lang w:eastAsia="en-GB"/>
              </w:rPr>
              <w:t>Parents</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0.286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0.619</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Secondary school pupils themselves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0.594</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0.123</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Government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0.109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0.563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0.398</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Primary schools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0.360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0.158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0.322</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Food industry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0.522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0.678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0.203</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Society as a whole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0.663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0.957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0.162</w:t>
            </w:r>
          </w:p>
        </w:tc>
      </w:tr>
      <w:tr w:rsidR="004A397C" w:rsidRPr="009B3747" w:rsidTr="00846B21">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 xml:space="preserve">The following are effective for preventing excess weight gain in secondary school pupils -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Providing education in schools</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0.853</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shd w:val="clear" w:color="auto" w:fill="FFFFFF"/>
                <w:lang w:eastAsia="en-GB"/>
              </w:rPr>
              <w:t>National public awareness campaigns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0.222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0.064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0.763</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Providing opportunities to be active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0.128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0.109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0.786</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Restricting opportunities to be inactive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0.816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0.261</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Providing opportunities to develop healthy eating habits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0.383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0.131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0.680</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Restricting opportunities to develop unhealthy eating habits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0.213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0.096</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0.046</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4862DC">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Taxation</w:t>
            </w:r>
            <w:r w:rsidR="004862DC">
              <w:rPr>
                <w:rFonts w:eastAsia="Times New Roman" w:cstheme="minorHAnsi"/>
                <w:color w:val="000000"/>
                <w:sz w:val="20"/>
                <w:szCs w:val="20"/>
                <w:lang w:eastAsia="en-GB"/>
              </w:rPr>
              <w:t xml:space="preserve">, </w:t>
            </w:r>
            <w:r w:rsidRPr="009B3747">
              <w:rPr>
                <w:rFonts w:eastAsia="Times New Roman" w:cstheme="minorHAnsi"/>
                <w:color w:val="000000"/>
                <w:sz w:val="20"/>
                <w:szCs w:val="20"/>
                <w:lang w:eastAsia="en-GB"/>
              </w:rPr>
              <w:t>e.g. sugar tax on sugary drinks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0.779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0.854</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4862DC">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Legislation</w:t>
            </w:r>
            <w:r w:rsidR="004862DC">
              <w:rPr>
                <w:rFonts w:eastAsia="Times New Roman" w:cstheme="minorHAnsi"/>
                <w:color w:val="000000"/>
                <w:sz w:val="20"/>
                <w:szCs w:val="20"/>
                <w:lang w:eastAsia="en-GB"/>
              </w:rPr>
              <w:t xml:space="preserve">, </w:t>
            </w:r>
            <w:r w:rsidRPr="009B3747">
              <w:rPr>
                <w:rFonts w:eastAsia="Times New Roman" w:cstheme="minorHAnsi"/>
                <w:color w:val="000000"/>
                <w:sz w:val="20"/>
                <w:szCs w:val="20"/>
                <w:lang w:eastAsia="en-GB"/>
              </w:rPr>
              <w:t>e.g. ban adverts for junk food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0.119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0.661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0.541</w:t>
            </w:r>
          </w:p>
        </w:tc>
      </w:tr>
      <w:tr w:rsidR="004A397C" w:rsidRPr="009B3747" w:rsidTr="00846B21">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 xml:space="preserve">To help prevent excess weight gain in secondary school pupils, schools should work in partnership with -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School nurses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0.919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0.708</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shd w:val="clear" w:color="auto" w:fill="FFFFFF"/>
                <w:lang w:eastAsia="en-GB"/>
              </w:rPr>
              <w:t>General Practitioners (GPs)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0.110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0.506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P = 0.251 </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Department for Education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0.053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0.155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0.192</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Food Industry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0.329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0.309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0.132</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Celebrities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0.434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0.466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0.331</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Department of Health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0.619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0.133</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0.035</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Local Authority Public Health teams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0.548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0.230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0.253</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Local community organisations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0.242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0.298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0.555</w:t>
            </w:r>
          </w:p>
        </w:tc>
      </w:tr>
      <w:tr w:rsidR="004A397C" w:rsidRPr="009B3747" w:rsidTr="00846B21">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Within my secondary school -</w:t>
            </w:r>
            <w:r w:rsidRPr="009B3747">
              <w:rPr>
                <w:rFonts w:eastAsia="Times New Roman" w:cstheme="minorHAnsi"/>
                <w:b/>
                <w:bCs/>
                <w:color w:val="000000"/>
                <w:sz w:val="20"/>
                <w:szCs w:val="20"/>
                <w:lang w:eastAsia="en-GB"/>
              </w:rPr>
              <w:br/>
            </w:r>
            <w:r w:rsidRPr="009B3747">
              <w:rPr>
                <w:rFonts w:eastAsia="Times New Roman" w:cstheme="minorHAnsi"/>
                <w:b/>
                <w:bCs/>
                <w:color w:val="000000"/>
                <w:sz w:val="20"/>
                <w:szCs w:val="20"/>
                <w:lang w:eastAsia="en-GB"/>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Preventing excess weight gain in secondary school pupils is a priority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0.790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0.125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0.419</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shd w:val="clear" w:color="auto" w:fill="FFFFFF"/>
                <w:lang w:eastAsia="en-GB"/>
              </w:rPr>
              <w:t>Improving dietary habits of secondary school pupils is a priority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0.704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0.739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0.770</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There are more important issues to deal with than preventing excess weight gain in secondary school pupils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0.173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0.828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0.228</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Improving physical activity habits of secondary school pupils is a priority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0.662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0.556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0.844</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School staff should role model healthy lifestyles to secondary school pupils</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0.201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0.200</w:t>
            </w:r>
          </w:p>
        </w:tc>
      </w:tr>
      <w:tr w:rsidR="004A397C" w:rsidRPr="009B3747" w:rsidTr="00846B21">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I believe that secondary schools -</w:t>
            </w:r>
            <w:r w:rsidRPr="009B3747">
              <w:rPr>
                <w:rFonts w:eastAsia="Times New Roman" w:cstheme="minorHAnsi"/>
                <w:b/>
                <w:bCs/>
                <w:color w:val="000000"/>
                <w:sz w:val="20"/>
                <w:szCs w:val="20"/>
                <w:lang w:eastAsia="en-GB"/>
              </w:rPr>
              <w:br/>
            </w:r>
            <w:r w:rsidRPr="009B3747">
              <w:rPr>
                <w:rFonts w:eastAsia="Times New Roman" w:cstheme="minorHAnsi"/>
                <w:b/>
                <w:bCs/>
                <w:color w:val="000000"/>
                <w:sz w:val="20"/>
                <w:szCs w:val="20"/>
                <w:lang w:eastAsia="en-GB"/>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Are an important setting for preventing excess weight gain in secondary school pupils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0.758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0.170</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0.033</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shd w:val="clear" w:color="auto" w:fill="FFFFFF"/>
                <w:lang w:eastAsia="en-GB"/>
              </w:rPr>
              <w:t>Should prioritise improving children and young people’s diet and activity levels to help prevent excess weight gain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0.427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0.137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0.870</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Are not able to prevent excess weight gain in secondary school pupils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0.255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0.344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0.358</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Should use a whole-school approach to develop life-long healthy eating and physical activity practices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0.667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0.701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0.823</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Are able to positively influence the dietary habits of secondary school pupils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0.259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0.285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0.174</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Are able to positively influence the physical activity behaviours of secondary school pupils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0.565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0.134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0.698</w:t>
            </w:r>
          </w:p>
        </w:tc>
      </w:tr>
      <w:tr w:rsidR="004A397C" w:rsidRPr="009B3747" w:rsidTr="00846B21">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As a headteacher or chair of governors 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Should collaborate with parents and pupils to assess the whole school environment in order for children and young people to maintain a healthy weight</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0.011</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0.465</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shd w:val="clear" w:color="auto" w:fill="FFFFFF"/>
                <w:lang w:eastAsia="en-GB"/>
              </w:rPr>
              <w:t>Should ensure that the ethos of all school policies helps children and young people to maintain a healthy weight, eat a healthy diet and be physically active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0.204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0.386</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Am able to direct the school to take action to prevent excess weight gain in secondary school pupils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0.167</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0.316</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Should ensure that teaching, support and catering staff receive training on the importance of healthy-school policies and how to support their implementation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0.668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0.128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0.825</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Have a responsibility for preventing excess weight gain in secondary school pupils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0.496</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0.618</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Am able to positively contribute to the prevention of excess weight gain in secondary school pupils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0.312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0.72</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0.02</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Attend meetings where preventing excess weight gain in secondary school pupils is discussed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0.897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0.659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0.460</w:t>
            </w:r>
          </w:p>
        </w:tc>
      </w:tr>
      <w:tr w:rsidR="004A397C" w:rsidRPr="009B3747" w:rsidTr="00846B21">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 xml:space="preserve">Barriers to my school preventing excess weight gain in secondary school pupils include the -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Government's focus on academic progress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0.456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.106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0.688</w:t>
            </w:r>
          </w:p>
        </w:tc>
      </w:tr>
      <w:tr w:rsidR="004A397C" w:rsidRPr="009B3747" w:rsidTr="00846B21">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shd w:val="clear" w:color="auto" w:fill="FFFFFF"/>
                <w:lang w:eastAsia="en-GB"/>
              </w:rPr>
              <w:t>Availability of junk food near your school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0.309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0.147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0.277</w:t>
            </w:r>
          </w:p>
        </w:tc>
      </w:tr>
      <w:tr w:rsidR="004A397C" w:rsidRPr="009B3747" w:rsidTr="00846B21">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Limited budget for school catering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0.149</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0.798</w:t>
            </w:r>
          </w:p>
        </w:tc>
      </w:tr>
      <w:tr w:rsidR="004A397C" w:rsidRPr="009B3747" w:rsidTr="00846B21">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School not being inspected by Ofsted on excess weight prevention</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0.801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0.557</w:t>
            </w:r>
          </w:p>
        </w:tc>
      </w:tr>
      <w:tr w:rsidR="004A397C" w:rsidRPr="009B3747" w:rsidTr="00846B21">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Lack of facilities for physical activity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0.783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0.141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0.967</w:t>
            </w:r>
          </w:p>
        </w:tc>
      </w:tr>
      <w:tr w:rsidR="004A397C" w:rsidRPr="009B3747" w:rsidTr="00846B21">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School staff not role modelling healthy lifestyles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0.560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0.483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0.404</w:t>
            </w:r>
          </w:p>
        </w:tc>
      </w:tr>
      <w:tr w:rsidR="004A397C" w:rsidRPr="009B3747" w:rsidTr="00846B21">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Parental influence undermining school action</w:t>
            </w:r>
            <w:r w:rsidR="00281979">
              <w:rPr>
                <w:rFonts w:eastAsia="Times New Roman" w:cstheme="minorHAnsi"/>
                <w:color w:val="000000"/>
                <w:sz w:val="20"/>
                <w:szCs w:val="20"/>
                <w:lang w:eastAsia="en-GB"/>
              </w:rPr>
              <w:t>,</w:t>
            </w:r>
            <w:r w:rsidRPr="009B3747">
              <w:rPr>
                <w:rFonts w:eastAsia="Times New Roman" w:cstheme="minorHAnsi"/>
                <w:color w:val="000000"/>
                <w:sz w:val="20"/>
                <w:szCs w:val="20"/>
                <w:lang w:eastAsia="en-GB"/>
              </w:rPr>
              <w:t xml:space="preserve"> which contributes to the prevention of excess weight gain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0.200</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0.656</w:t>
            </w:r>
          </w:p>
        </w:tc>
      </w:tr>
    </w:tbl>
    <w:p w:rsidR="004A397C" w:rsidRPr="009B3747" w:rsidRDefault="004A397C" w:rsidP="004A397C">
      <w:pPr>
        <w:spacing w:line="240" w:lineRule="auto"/>
        <w:rPr>
          <w:rFonts w:eastAsia="Times New Roman" w:cstheme="minorHAnsi"/>
          <w:sz w:val="24"/>
          <w:szCs w:val="24"/>
          <w:lang w:eastAsia="en-GB"/>
        </w:rPr>
      </w:pPr>
      <w:r w:rsidRPr="009B3747">
        <w:rPr>
          <w:rFonts w:eastAsia="Times New Roman" w:cstheme="minorHAnsi"/>
          <w:sz w:val="24"/>
          <w:szCs w:val="24"/>
          <w:lang w:eastAsia="en-GB"/>
        </w:rPr>
        <w:br/>
      </w:r>
      <w:r w:rsidRPr="009B3747">
        <w:rPr>
          <w:rFonts w:eastAsia="Times New Roman" w:cstheme="minorHAnsi"/>
          <w:sz w:val="24"/>
          <w:szCs w:val="24"/>
          <w:lang w:eastAsia="en-GB"/>
        </w:rPr>
        <w:br/>
      </w:r>
      <w:r w:rsidRPr="009B3747">
        <w:rPr>
          <w:rFonts w:eastAsia="Times New Roman" w:cstheme="minorHAnsi"/>
          <w:sz w:val="24"/>
          <w:szCs w:val="24"/>
          <w:lang w:eastAsia="en-GB"/>
        </w:rPr>
        <w:lastRenderedPageBreak/>
        <w:br/>
      </w:r>
      <w:r w:rsidRPr="009B3747">
        <w:rPr>
          <w:rFonts w:eastAsia="Times New Roman" w:cstheme="minorHAnsi"/>
          <w:color w:val="000000"/>
          <w:sz w:val="24"/>
          <w:szCs w:val="24"/>
          <w:u w:val="single"/>
          <w:lang w:eastAsia="en-GB"/>
        </w:rPr>
        <w:t>Results from Chi-squared test</w:t>
      </w:r>
    </w:p>
    <w:p w:rsidR="004A397C" w:rsidRPr="009B3747" w:rsidRDefault="004A397C" w:rsidP="004A397C">
      <w:pPr>
        <w:spacing w:line="240" w:lineRule="auto"/>
        <w:rPr>
          <w:rFonts w:eastAsia="Times New Roman" w:cstheme="minorHAnsi"/>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5695"/>
        <w:gridCol w:w="6216"/>
        <w:gridCol w:w="1146"/>
      </w:tblGrid>
      <w:tr w:rsidR="004A397C" w:rsidRPr="009B3747" w:rsidTr="00846B21">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Question and opinion statements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School type</w:t>
            </w:r>
          </w:p>
        </w:tc>
      </w:tr>
      <w:tr w:rsidR="004A397C" w:rsidRPr="009B3747" w:rsidTr="00846B21">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Generally speaking, in relation to pupils at my secondary school*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Meet the requirements of the school food plan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0.273</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shd w:val="clear" w:color="auto" w:fill="FFFFFF"/>
                <w:lang w:eastAsia="en-GB"/>
              </w:rPr>
              <w:t>Provide extra-curricular physical activity opportunities</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P = 0.015 </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Embed healthy lifestyle education in the taught curriculum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0.188</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Have a ‘locked gate’ policy at lunchtime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0.095</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862DC" w:rsidP="00846B21">
            <w:pPr>
              <w:spacing w:line="240" w:lineRule="auto"/>
              <w:rPr>
                <w:rFonts w:eastAsia="Times New Roman" w:cstheme="minorHAnsi"/>
                <w:sz w:val="24"/>
                <w:szCs w:val="24"/>
                <w:lang w:eastAsia="en-GB"/>
              </w:rPr>
            </w:pPr>
            <w:r>
              <w:rPr>
                <w:rFonts w:eastAsia="Times New Roman" w:cstheme="minorHAnsi"/>
                <w:color w:val="000000"/>
                <w:sz w:val="20"/>
                <w:szCs w:val="20"/>
                <w:lang w:eastAsia="en-GB"/>
              </w:rPr>
              <w:t xml:space="preserve">Promote active travel, </w:t>
            </w:r>
            <w:r w:rsidR="004A397C" w:rsidRPr="009B3747">
              <w:rPr>
                <w:rFonts w:eastAsia="Times New Roman" w:cstheme="minorHAnsi"/>
                <w:color w:val="000000"/>
                <w:sz w:val="20"/>
                <w:szCs w:val="20"/>
                <w:lang w:eastAsia="en-GB"/>
              </w:rPr>
              <w:t>e.g. walking/cycling to school</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0.029</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Have a policy for preventing excess weight gain in secondary school pupils</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P = 0.046 </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Provide healthy catering options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0.672</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Focus on healthy lifestyles in Personal, Social and Health Education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0.673</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Restrict the consumption of energy drinks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0.507</w:t>
            </w:r>
          </w:p>
        </w:tc>
      </w:tr>
    </w:tbl>
    <w:p w:rsidR="004A397C" w:rsidRPr="009B3747" w:rsidRDefault="004A397C" w:rsidP="004A397C">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 For this test, ‘Unsure’ responses were removed from the calculations in order to identify associations between participants who said either ‘Yes’ or ‘No’ and their school type </w:t>
      </w:r>
    </w:p>
    <w:p w:rsidR="004A397C" w:rsidRPr="009B3747" w:rsidRDefault="004A397C" w:rsidP="004A397C">
      <w:pPr>
        <w:spacing w:line="240" w:lineRule="auto"/>
        <w:rPr>
          <w:rFonts w:eastAsia="Times New Roman" w:cstheme="minorHAnsi"/>
          <w:sz w:val="24"/>
          <w:szCs w:val="24"/>
          <w:lang w:eastAsia="en-GB"/>
        </w:rPr>
      </w:pPr>
      <w:r w:rsidRPr="009B3747">
        <w:rPr>
          <w:rFonts w:eastAsia="Times New Roman" w:cstheme="minorHAnsi"/>
          <w:sz w:val="24"/>
          <w:szCs w:val="24"/>
          <w:lang w:eastAsia="en-GB"/>
        </w:rPr>
        <w:br/>
      </w:r>
    </w:p>
    <w:p w:rsidR="004A397C" w:rsidRPr="009B3747" w:rsidRDefault="004A397C" w:rsidP="004A397C">
      <w:pPr>
        <w:spacing w:line="240" w:lineRule="auto"/>
        <w:rPr>
          <w:rFonts w:eastAsia="Times New Roman" w:cstheme="minorHAnsi"/>
          <w:sz w:val="24"/>
          <w:szCs w:val="24"/>
          <w:lang w:eastAsia="en-GB"/>
        </w:rPr>
      </w:pPr>
    </w:p>
    <w:p w:rsidR="004A397C" w:rsidRPr="009B3747" w:rsidRDefault="004A397C" w:rsidP="004A397C">
      <w:pPr>
        <w:spacing w:line="240" w:lineRule="auto"/>
        <w:rPr>
          <w:rFonts w:eastAsia="Times New Roman" w:cstheme="minorHAnsi"/>
          <w:sz w:val="24"/>
          <w:szCs w:val="24"/>
          <w:lang w:eastAsia="en-GB"/>
        </w:rPr>
      </w:pPr>
      <w:r w:rsidRPr="009B3747">
        <w:rPr>
          <w:rFonts w:eastAsia="Times New Roman" w:cstheme="minorHAnsi"/>
          <w:color w:val="000000"/>
          <w:sz w:val="24"/>
          <w:szCs w:val="24"/>
          <w:u w:val="single"/>
          <w:lang w:eastAsia="en-GB"/>
        </w:rPr>
        <w:lastRenderedPageBreak/>
        <w:t>Results from Chi-squared test</w:t>
      </w:r>
    </w:p>
    <w:p w:rsidR="004A397C" w:rsidRPr="009B3747" w:rsidRDefault="004A397C" w:rsidP="004A397C">
      <w:pPr>
        <w:spacing w:line="240" w:lineRule="auto"/>
        <w:rPr>
          <w:rFonts w:eastAsia="Times New Roman" w:cstheme="minorHAnsi"/>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5795"/>
        <w:gridCol w:w="6216"/>
        <w:gridCol w:w="967"/>
      </w:tblGrid>
      <w:tr w:rsidR="004A397C" w:rsidRPr="009B3747" w:rsidTr="00846B21">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Question and opinion statements</w:t>
            </w:r>
          </w:p>
        </w:tc>
        <w:tc>
          <w:tcPr>
            <w:tcW w:w="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color w:val="000000"/>
                <w:sz w:val="20"/>
                <w:szCs w:val="20"/>
                <w:lang w:eastAsia="en-GB"/>
              </w:rPr>
              <w:t>Role type</w:t>
            </w:r>
          </w:p>
        </w:tc>
      </w:tr>
      <w:tr w:rsidR="004A397C" w:rsidRPr="009B3747" w:rsidTr="00846B21">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Generally speaking, in relation to pupils at my secondary school**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Meet the requirements of the school food plan</w:t>
            </w:r>
          </w:p>
        </w:tc>
        <w:tc>
          <w:tcPr>
            <w:tcW w:w="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0.134</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shd w:val="clear" w:color="auto" w:fill="FFFFFF"/>
                <w:lang w:eastAsia="en-GB"/>
              </w:rPr>
              <w:t>Provide extra-curricular physical activity opportunities</w:t>
            </w:r>
          </w:p>
        </w:tc>
        <w:tc>
          <w:tcPr>
            <w:tcW w:w="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0.513</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Embed healthy lifestyle education in the taught curriculum</w:t>
            </w:r>
          </w:p>
        </w:tc>
        <w:tc>
          <w:tcPr>
            <w:tcW w:w="967" w:type="dxa"/>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0.010</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Have a ‘locked gate’ policy at lunchtime</w:t>
            </w:r>
          </w:p>
        </w:tc>
        <w:tc>
          <w:tcPr>
            <w:tcW w:w="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0.095</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862DC" w:rsidP="00846B21">
            <w:pPr>
              <w:spacing w:line="240" w:lineRule="auto"/>
              <w:rPr>
                <w:rFonts w:eastAsia="Times New Roman" w:cstheme="minorHAnsi"/>
                <w:sz w:val="24"/>
                <w:szCs w:val="24"/>
                <w:lang w:eastAsia="en-GB"/>
              </w:rPr>
            </w:pPr>
            <w:r>
              <w:rPr>
                <w:rFonts w:eastAsia="Times New Roman" w:cstheme="minorHAnsi"/>
                <w:color w:val="000000"/>
                <w:sz w:val="20"/>
                <w:szCs w:val="20"/>
                <w:lang w:eastAsia="en-GB"/>
              </w:rPr>
              <w:t xml:space="preserve">Promote active travel, </w:t>
            </w:r>
            <w:r w:rsidR="004A397C" w:rsidRPr="009B3747">
              <w:rPr>
                <w:rFonts w:eastAsia="Times New Roman" w:cstheme="minorHAnsi"/>
                <w:color w:val="000000"/>
                <w:sz w:val="20"/>
                <w:szCs w:val="20"/>
                <w:lang w:eastAsia="en-GB"/>
              </w:rPr>
              <w:t>e.g. walking/cycling to school</w:t>
            </w:r>
          </w:p>
        </w:tc>
        <w:tc>
          <w:tcPr>
            <w:tcW w:w="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0.294</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Have a policy for preventing excess weight gain in secondary school pupils</w:t>
            </w:r>
          </w:p>
        </w:tc>
        <w:tc>
          <w:tcPr>
            <w:tcW w:w="967" w:type="dxa"/>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0.000</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Provide healthy catering options</w:t>
            </w:r>
          </w:p>
        </w:tc>
        <w:tc>
          <w:tcPr>
            <w:tcW w:w="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.180</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Focus on healthy lifestyles in Personal, Social and Health Education</w:t>
            </w:r>
          </w:p>
        </w:tc>
        <w:tc>
          <w:tcPr>
            <w:tcW w:w="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 = 0.093</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Restrict the consumption of energy drinks </w:t>
            </w:r>
          </w:p>
        </w:tc>
        <w:tc>
          <w:tcPr>
            <w:tcW w:w="967" w:type="dxa"/>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P = 0.000 </w:t>
            </w:r>
          </w:p>
        </w:tc>
      </w:tr>
    </w:tbl>
    <w:p w:rsidR="004A397C" w:rsidRPr="009B3747" w:rsidRDefault="004A397C" w:rsidP="004A397C">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 For this test, responses were dichotomoised into ‘Unsure’ versus ‘Yes’/’No’, in order to identify associations between participant type and </w:t>
      </w:r>
    </w:p>
    <w:p w:rsidR="004A397C" w:rsidRPr="009B3747" w:rsidRDefault="004A397C" w:rsidP="004A397C">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the chosen response. </w:t>
      </w:r>
    </w:p>
    <w:p w:rsidR="004A397C" w:rsidRPr="009B3747" w:rsidRDefault="004A397C" w:rsidP="004A397C">
      <w:pPr>
        <w:spacing w:line="240" w:lineRule="auto"/>
        <w:rPr>
          <w:rFonts w:eastAsia="Times New Roman" w:cstheme="minorHAnsi"/>
          <w:sz w:val="24"/>
          <w:szCs w:val="24"/>
          <w:lang w:eastAsia="en-GB"/>
        </w:rPr>
      </w:pPr>
    </w:p>
    <w:p w:rsidR="004A397C" w:rsidRPr="009B3747" w:rsidRDefault="004A397C" w:rsidP="004A397C">
      <w:pPr>
        <w:spacing w:line="240" w:lineRule="auto"/>
        <w:rPr>
          <w:rFonts w:eastAsia="Times New Roman" w:cstheme="minorHAnsi"/>
          <w:color w:val="000000"/>
          <w:sz w:val="24"/>
          <w:szCs w:val="24"/>
          <w:u w:val="single"/>
          <w:lang w:eastAsia="en-GB"/>
        </w:rPr>
      </w:pPr>
    </w:p>
    <w:p w:rsidR="004A397C" w:rsidRPr="009B3747" w:rsidRDefault="004A397C" w:rsidP="004A397C">
      <w:pPr>
        <w:spacing w:line="240" w:lineRule="auto"/>
        <w:rPr>
          <w:rFonts w:eastAsia="Times New Roman" w:cstheme="minorHAnsi"/>
          <w:color w:val="000000"/>
          <w:sz w:val="24"/>
          <w:szCs w:val="24"/>
          <w:u w:val="single"/>
          <w:lang w:eastAsia="en-GB"/>
        </w:rPr>
      </w:pPr>
    </w:p>
    <w:p w:rsidR="004A397C" w:rsidRPr="009B3747" w:rsidRDefault="004A397C" w:rsidP="004A397C">
      <w:pPr>
        <w:spacing w:line="240" w:lineRule="auto"/>
        <w:rPr>
          <w:rFonts w:eastAsia="Times New Roman" w:cstheme="minorHAnsi"/>
          <w:color w:val="000000"/>
          <w:sz w:val="24"/>
          <w:szCs w:val="24"/>
          <w:u w:val="single"/>
          <w:lang w:eastAsia="en-GB"/>
        </w:rPr>
      </w:pPr>
    </w:p>
    <w:p w:rsidR="004A397C" w:rsidRPr="009B3747" w:rsidRDefault="004A397C" w:rsidP="004A397C">
      <w:pPr>
        <w:rPr>
          <w:rFonts w:eastAsia="Times New Roman" w:cstheme="minorHAnsi"/>
          <w:sz w:val="24"/>
          <w:szCs w:val="24"/>
          <w:lang w:eastAsia="en-GB"/>
        </w:rPr>
      </w:pPr>
      <w:r w:rsidRPr="009B3747">
        <w:rPr>
          <w:rFonts w:eastAsia="Times New Roman" w:cstheme="minorHAnsi"/>
          <w:color w:val="000000"/>
          <w:sz w:val="24"/>
          <w:szCs w:val="24"/>
          <w:u w:val="single"/>
          <w:lang w:eastAsia="en-GB"/>
        </w:rPr>
        <w:lastRenderedPageBreak/>
        <w:t>Results from Spearman’s correlation coefficient</w:t>
      </w:r>
    </w:p>
    <w:p w:rsidR="004A397C" w:rsidRPr="009B3747" w:rsidRDefault="004A397C" w:rsidP="004A397C">
      <w:pPr>
        <w:rPr>
          <w:rFonts w:eastAsia="Times New Roman" w:cstheme="minorHAnsi"/>
          <w:sz w:val="24"/>
          <w:szCs w:val="24"/>
          <w:lang w:eastAsia="en-GB"/>
        </w:rPr>
      </w:pPr>
    </w:p>
    <w:p w:rsidR="004A397C" w:rsidRPr="009B3747" w:rsidRDefault="004A397C" w:rsidP="004A397C">
      <w:pPr>
        <w:rPr>
          <w:rFonts w:eastAsia="Times New Roman" w:cstheme="minorHAnsi"/>
          <w:sz w:val="24"/>
          <w:szCs w:val="24"/>
          <w:lang w:eastAsia="en-GB"/>
        </w:rPr>
      </w:pPr>
      <w:r w:rsidRPr="009B3747">
        <w:rPr>
          <w:rFonts w:eastAsia="Times New Roman" w:cstheme="minorHAnsi"/>
          <w:color w:val="000000"/>
          <w:sz w:val="24"/>
          <w:szCs w:val="24"/>
          <w:lang w:eastAsia="en-GB"/>
        </w:rPr>
        <w:t xml:space="preserve">In addition to the p values being reported, </w:t>
      </w:r>
      <w:r w:rsidR="00821B2E" w:rsidRPr="009B3747">
        <w:rPr>
          <w:rFonts w:eastAsia="Times New Roman" w:cstheme="minorHAnsi"/>
          <w:color w:val="000000"/>
          <w:sz w:val="24"/>
          <w:szCs w:val="24"/>
          <w:lang w:eastAsia="en-GB"/>
        </w:rPr>
        <w:t>the table below also</w:t>
      </w:r>
      <w:r w:rsidRPr="009B3747">
        <w:rPr>
          <w:rFonts w:eastAsia="Times New Roman" w:cstheme="minorHAnsi"/>
          <w:color w:val="000000"/>
          <w:sz w:val="24"/>
          <w:szCs w:val="24"/>
          <w:lang w:eastAsia="en-GB"/>
        </w:rPr>
        <w:t xml:space="preserve"> provides the Spearman’s correlation coefficient value for each </w:t>
      </w:r>
    </w:p>
    <w:p w:rsidR="004A397C" w:rsidRPr="009B3747" w:rsidRDefault="00821B2E" w:rsidP="004A397C">
      <w:pPr>
        <w:rPr>
          <w:rFonts w:eastAsia="Times New Roman" w:cstheme="minorHAnsi"/>
          <w:sz w:val="24"/>
          <w:szCs w:val="24"/>
          <w:lang w:eastAsia="en-GB"/>
        </w:rPr>
      </w:pPr>
      <w:r w:rsidRPr="009B3747">
        <w:rPr>
          <w:rFonts w:eastAsia="Times New Roman" w:cstheme="minorHAnsi"/>
          <w:color w:val="000000"/>
          <w:sz w:val="24"/>
          <w:szCs w:val="24"/>
          <w:lang w:eastAsia="en-GB"/>
        </w:rPr>
        <w:t>t</w:t>
      </w:r>
      <w:r w:rsidR="004A397C" w:rsidRPr="009B3747">
        <w:rPr>
          <w:rFonts w:eastAsia="Times New Roman" w:cstheme="minorHAnsi"/>
          <w:color w:val="000000"/>
          <w:sz w:val="24"/>
          <w:szCs w:val="24"/>
          <w:lang w:eastAsia="en-GB"/>
        </w:rPr>
        <w:t xml:space="preserve">est undertaken.  As with the two previous tests, statistically significant results are those p values &lt; 0.05.  Two cell </w:t>
      </w:r>
    </w:p>
    <w:p w:rsidR="004A397C" w:rsidRPr="009B3747" w:rsidRDefault="004A397C" w:rsidP="004A397C">
      <w:pPr>
        <w:rPr>
          <w:rFonts w:eastAsia="Times New Roman" w:cstheme="minorHAnsi"/>
          <w:sz w:val="24"/>
          <w:szCs w:val="24"/>
          <w:lang w:eastAsia="en-GB"/>
        </w:rPr>
      </w:pPr>
      <w:r w:rsidRPr="009B3747">
        <w:rPr>
          <w:rFonts w:eastAsia="Times New Roman" w:cstheme="minorHAnsi"/>
          <w:color w:val="000000"/>
          <w:sz w:val="24"/>
          <w:szCs w:val="24"/>
          <w:lang w:eastAsia="en-GB"/>
        </w:rPr>
        <w:t xml:space="preserve">Colours are used within this table to indicate - </w:t>
      </w:r>
      <w:r w:rsidRPr="009B3747">
        <w:rPr>
          <w:rFonts w:eastAsia="Times New Roman" w:cstheme="minorHAnsi"/>
          <w:color w:val="000000"/>
          <w:lang w:eastAsia="en-GB"/>
        </w:rPr>
        <w:t xml:space="preserve">-0.3 to +0.3 weak correlation </w:t>
      </w:r>
    </w:p>
    <w:p w:rsidR="004A397C" w:rsidRPr="009B3747" w:rsidRDefault="004A397C" w:rsidP="004A397C">
      <w:pPr>
        <w:rPr>
          <w:rFonts w:eastAsia="Times New Roman" w:cstheme="minorHAnsi"/>
          <w:sz w:val="24"/>
          <w:szCs w:val="24"/>
          <w:lang w:eastAsia="en-GB"/>
        </w:rPr>
      </w:pPr>
      <w:r w:rsidRPr="009B3747">
        <w:rPr>
          <w:rFonts w:eastAsia="Times New Roman" w:cstheme="minorHAnsi"/>
          <w:sz w:val="24"/>
          <w:szCs w:val="24"/>
          <w:lang w:eastAsia="en-GB"/>
        </w:rPr>
        <w:br/>
      </w:r>
      <w:r w:rsidRPr="009B3747">
        <w:rPr>
          <w:rFonts w:eastAsia="Times New Roman" w:cstheme="minorHAnsi"/>
          <w:noProof/>
          <w:sz w:val="24"/>
          <w:szCs w:val="24"/>
          <w:lang w:eastAsia="en-GB"/>
        </w:rPr>
        <mc:AlternateContent>
          <mc:Choice Requires="wps">
            <w:drawing>
              <wp:inline distT="0" distB="0" distL="0" distR="0" wp14:anchorId="79C7EA5C" wp14:editId="0576D166">
                <wp:extent cx="523875" cy="279400"/>
                <wp:effectExtent l="0" t="0" r="9525" b="6350"/>
                <wp:docPr id="61" name="Rectangle 61" descr="https://docs.google.com/drawings/u/2/d/se7qSUvJFMvZsQRO9413HiQ/image?w=60&amp;h=32&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3875" cy="279400"/>
                        </a:xfrm>
                        <a:prstGeom prst="rect">
                          <a:avLst/>
                        </a:prstGeom>
                        <a:solidFill>
                          <a:srgbClr val="00FF00"/>
                        </a:solidFill>
                        <a:ln>
                          <a:noFill/>
                        </a:ln>
                      </wps:spPr>
                      <wps:bodyPr rot="0" vert="horz" wrap="square" lIns="91440" tIns="45720" rIns="91440" bIns="45720" anchor="t" anchorCtr="0" upright="1">
                        <a:noAutofit/>
                      </wps:bodyPr>
                    </wps:wsp>
                  </a:graphicData>
                </a:graphic>
              </wp:inline>
            </w:drawing>
          </mc:Choice>
          <mc:Fallback>
            <w:pict>
              <v:rect w14:anchorId="5564EAA5" id="Rectangle 61" o:spid="_x0000_s1026" alt="https://docs.google.com/drawings/u/2/d/se7qSUvJFMvZsQRO9413HiQ/image?w=60&amp;h=32&amp;rev=1&amp;ac=1" style="width:41.25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" fillcolor="lime" stroked="f">
                <o:lock v:ext="edit" aspectratio="t"/>
                <w10:anchorlock/>
              </v:rect>
            </w:pict>
          </mc:Fallback>
        </mc:AlternateContent>
      </w:r>
    </w:p>
    <w:p w:rsidR="004A397C" w:rsidRPr="009B3747" w:rsidRDefault="004A397C" w:rsidP="004A397C">
      <w:pPr>
        <w:rPr>
          <w:rFonts w:eastAsia="Times New Roman" w:cstheme="minorHAnsi"/>
          <w:sz w:val="24"/>
          <w:szCs w:val="24"/>
          <w:lang w:eastAsia="en-GB"/>
        </w:rPr>
      </w:pPr>
      <w:r w:rsidRPr="009B3747">
        <w:rPr>
          <w:rFonts w:eastAsia="Times New Roman" w:cstheme="minorHAnsi"/>
          <w:color w:val="000000"/>
          <w:sz w:val="20"/>
          <w:szCs w:val="20"/>
          <w:lang w:eastAsia="en-GB"/>
        </w:rPr>
        <w:t xml:space="preserve">= Statistically significant </w:t>
      </w:r>
      <w:r w:rsidRPr="009B3747">
        <w:rPr>
          <w:rFonts w:eastAsia="Times New Roman" w:cstheme="minorHAnsi"/>
          <w:b/>
          <w:bCs/>
          <w:color w:val="000000"/>
          <w:sz w:val="20"/>
          <w:szCs w:val="20"/>
          <w:lang w:eastAsia="en-GB"/>
        </w:rPr>
        <w:t>moderate</w:t>
      </w:r>
      <w:r w:rsidR="004862DC">
        <w:rPr>
          <w:rFonts w:eastAsia="Times New Roman" w:cstheme="minorHAnsi"/>
          <w:color w:val="000000"/>
          <w:sz w:val="20"/>
          <w:szCs w:val="20"/>
          <w:lang w:eastAsia="en-GB"/>
        </w:rPr>
        <w:t xml:space="preserve"> correlation, </w:t>
      </w:r>
      <w:r w:rsidRPr="009B3747">
        <w:rPr>
          <w:rFonts w:eastAsia="Times New Roman" w:cstheme="minorHAnsi"/>
          <w:color w:val="000000"/>
          <w:sz w:val="20"/>
          <w:szCs w:val="20"/>
          <w:lang w:eastAsia="en-GB"/>
        </w:rPr>
        <w:t>i.e. -0.5 to -0.3 or 0.3 to 0.5 (P value = &lt; 0.05)</w:t>
      </w:r>
    </w:p>
    <w:p w:rsidR="004A397C" w:rsidRPr="009B3747" w:rsidRDefault="004A397C" w:rsidP="004A397C">
      <w:pPr>
        <w:rPr>
          <w:rFonts w:eastAsia="Times New Roman" w:cstheme="minorHAnsi"/>
          <w:sz w:val="24"/>
          <w:szCs w:val="24"/>
          <w:lang w:eastAsia="en-GB"/>
        </w:rPr>
      </w:pPr>
      <w:r w:rsidRPr="009B3747">
        <w:rPr>
          <w:rFonts w:eastAsia="Times New Roman" w:cstheme="minorHAnsi"/>
          <w:noProof/>
          <w:sz w:val="24"/>
          <w:szCs w:val="24"/>
          <w:lang w:eastAsia="en-GB"/>
        </w:rPr>
        <mc:AlternateContent>
          <mc:Choice Requires="wps">
            <w:drawing>
              <wp:inline distT="0" distB="0" distL="0" distR="0" wp14:anchorId="3A4BE0D7" wp14:editId="0BFD6715">
                <wp:extent cx="523875" cy="305594"/>
                <wp:effectExtent l="0" t="0" r="9525" b="0"/>
                <wp:docPr id="60" name="Rectangle 60" descr="https://docs.google.com/drawings/u/2/d/sLRXq0VppTSteG82PTJH4gQ/image?w=60&amp;h=35&amp;rev=3&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3875" cy="305594"/>
                        </a:xfrm>
                        <a:prstGeom prst="rect">
                          <a:avLst/>
                        </a:prstGeom>
                        <a:solidFill>
                          <a:srgbClr val="00CC00"/>
                        </a:solidFill>
                        <a:ln>
                          <a:noFill/>
                        </a:ln>
                      </wps:spPr>
                      <wps:bodyPr rot="0" vert="horz" wrap="square" lIns="91440" tIns="45720" rIns="91440" bIns="45720" anchor="t" anchorCtr="0" upright="1">
                        <a:noAutofit/>
                      </wps:bodyPr>
                    </wps:wsp>
                  </a:graphicData>
                </a:graphic>
              </wp:inline>
            </w:drawing>
          </mc:Choice>
          <mc:Fallback>
            <w:pict>
              <v:rect w14:anchorId="1B1B8B03" id="Rectangle 60" o:spid="_x0000_s1026" alt="https://docs.google.com/drawings/u/2/d/sLRXq0VppTSteG82PTJH4gQ/image?w=60&amp;h=35&amp;rev=3&amp;ac=1" style="width:41.25pt;height:2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" fillcolor="#0c0" stroked="f">
                <o:lock v:ext="edit" aspectratio="t"/>
                <w10:anchorlock/>
              </v:rect>
            </w:pict>
          </mc:Fallback>
        </mc:AlternateContent>
      </w:r>
      <w:r w:rsidRPr="009B3747">
        <w:rPr>
          <w:rFonts w:eastAsia="Times New Roman" w:cstheme="minorHAnsi"/>
          <w:color w:val="000000"/>
          <w:sz w:val="20"/>
          <w:szCs w:val="20"/>
          <w:lang w:eastAsia="en-GB"/>
        </w:rPr>
        <w:t>  </w:t>
      </w:r>
    </w:p>
    <w:p w:rsidR="004A397C" w:rsidRPr="009B3747" w:rsidRDefault="004A397C" w:rsidP="004A397C">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 Statistically significant </w:t>
      </w:r>
      <w:r w:rsidRPr="009B3747">
        <w:rPr>
          <w:rFonts w:eastAsia="Times New Roman" w:cstheme="minorHAnsi"/>
          <w:b/>
          <w:bCs/>
          <w:color w:val="000000"/>
          <w:sz w:val="20"/>
          <w:szCs w:val="20"/>
          <w:lang w:eastAsia="en-GB"/>
        </w:rPr>
        <w:t>weak</w:t>
      </w:r>
      <w:r w:rsidR="004862DC">
        <w:rPr>
          <w:rFonts w:eastAsia="Times New Roman" w:cstheme="minorHAnsi"/>
          <w:color w:val="000000"/>
          <w:sz w:val="20"/>
          <w:szCs w:val="20"/>
          <w:lang w:eastAsia="en-GB"/>
        </w:rPr>
        <w:t xml:space="preserve"> correlation, </w:t>
      </w:r>
      <w:r w:rsidRPr="009B3747">
        <w:rPr>
          <w:rFonts w:eastAsia="Times New Roman" w:cstheme="minorHAnsi"/>
          <w:color w:val="000000"/>
          <w:sz w:val="20"/>
          <w:szCs w:val="20"/>
          <w:lang w:eastAsia="en-GB"/>
        </w:rPr>
        <w:t>i.e. -0.3 to +0.3 (P value = &lt; 0.05)</w:t>
      </w:r>
    </w:p>
    <w:p w:rsidR="004A397C" w:rsidRPr="009B3747" w:rsidRDefault="004A397C" w:rsidP="004A397C">
      <w:pPr>
        <w:spacing w:line="240" w:lineRule="auto"/>
        <w:rPr>
          <w:rFonts w:eastAsia="Times New Roman" w:cstheme="minorHAnsi"/>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3448"/>
        <w:gridCol w:w="4776"/>
        <w:gridCol w:w="1810"/>
        <w:gridCol w:w="2587"/>
        <w:gridCol w:w="1317"/>
      </w:tblGrid>
      <w:tr w:rsidR="004A397C" w:rsidRPr="009B3747" w:rsidTr="00846B21">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Questions and opinion statements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sz w:val="20"/>
                <w:szCs w:val="20"/>
                <w:lang w:eastAsia="en-GB"/>
              </w:rPr>
              <w:t>% pupils currently receiving free school meals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sz w:val="20"/>
                <w:szCs w:val="20"/>
                <w:lang w:eastAsia="en-GB"/>
              </w:rPr>
              <w:t>% pupils who have been eligible at any time for free school meals in the last 6 years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jc w:val="center"/>
              <w:rPr>
                <w:rFonts w:eastAsia="Times New Roman" w:cstheme="minorHAnsi"/>
                <w:sz w:val="24"/>
                <w:szCs w:val="24"/>
                <w:lang w:eastAsia="en-GB"/>
              </w:rPr>
            </w:pPr>
            <w:r w:rsidRPr="009B3747">
              <w:rPr>
                <w:rFonts w:eastAsia="Times New Roman" w:cstheme="minorHAnsi"/>
                <w:b/>
                <w:bCs/>
                <w:color w:val="000000"/>
                <w:sz w:val="20"/>
                <w:szCs w:val="20"/>
                <w:lang w:eastAsia="en-GB"/>
              </w:rPr>
              <w:t xml:space="preserve">Pupil population </w:t>
            </w:r>
          </w:p>
        </w:tc>
      </w:tr>
      <w:tr w:rsidR="004A397C" w:rsidRPr="009B3747" w:rsidTr="00846B21">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Generally speaking, in relation to pupils at my secondary school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I am concerned about levels of excess weight</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.329 (p = 0.01)</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.337 (p = 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.034 (p = 0.708)</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I am concerned about unhealthy dietary habits</w:t>
            </w:r>
          </w:p>
        </w:tc>
        <w:tc>
          <w:tcPr>
            <w:tcW w:w="0" w:type="auto"/>
            <w:tcBorders>
              <w:top w:val="single" w:sz="8" w:space="0" w:color="000000"/>
              <w:left w:val="single" w:sz="8" w:space="0" w:color="000000"/>
              <w:bottom w:val="single" w:sz="8" w:space="0" w:color="000000"/>
              <w:right w:val="single" w:sz="8" w:space="0" w:color="000000"/>
            </w:tcBorders>
            <w:shd w:val="clear" w:color="auto" w:fill="00CC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.244 (p = 0.01)</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.309 (p = 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.123 (p = 0.168)</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Unhealthy dietary habits are a greater concern to me than levels of excess weight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r = .104 (p = 0.284)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.120 (p = .197)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.033 (p = .711)</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I am concerned about levels of sedentary behaviour</w:t>
            </w:r>
          </w:p>
        </w:tc>
        <w:tc>
          <w:tcPr>
            <w:tcW w:w="0" w:type="auto"/>
            <w:tcBorders>
              <w:top w:val="single" w:sz="8" w:space="0" w:color="000000"/>
              <w:left w:val="single" w:sz="8" w:space="0" w:color="000000"/>
              <w:bottom w:val="single" w:sz="8" w:space="0" w:color="000000"/>
              <w:right w:val="single" w:sz="8" w:space="0" w:color="000000"/>
            </w:tcBorders>
            <w:shd w:val="clear" w:color="auto" w:fill="00CC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.244 (p = 0.02)</w:t>
            </w:r>
          </w:p>
        </w:tc>
        <w:tc>
          <w:tcPr>
            <w:tcW w:w="0" w:type="auto"/>
            <w:tcBorders>
              <w:top w:val="single" w:sz="8" w:space="0" w:color="000000"/>
              <w:left w:val="single" w:sz="8" w:space="0" w:color="000000"/>
              <w:bottom w:val="single" w:sz="8" w:space="0" w:color="000000"/>
              <w:right w:val="single" w:sz="8" w:space="0" w:color="000000"/>
            </w:tcBorders>
            <w:shd w:val="clear" w:color="auto" w:fill="00CC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.211 (p = 0.02)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-.051 (p = 0.565)</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Sedentary behaviour is a greater concern to me than levels of excess weight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.065 (p = 0.505)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.074 (p = 0.426)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.027 (p = 0.764)</w:t>
            </w:r>
          </w:p>
        </w:tc>
      </w:tr>
      <w:tr w:rsidR="004A397C" w:rsidRPr="009B3747" w:rsidTr="00846B21">
        <w:trPr>
          <w:trHeight w:val="44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What percentage of pupils at your secondary school do you estimate to be of excess weight?</w:t>
            </w:r>
          </w:p>
        </w:tc>
        <w:tc>
          <w:tcPr>
            <w:tcW w:w="0" w:type="auto"/>
            <w:tcBorders>
              <w:top w:val="single" w:sz="8" w:space="0" w:color="000000"/>
              <w:left w:val="single" w:sz="8" w:space="0" w:color="000000"/>
              <w:bottom w:val="single" w:sz="8" w:space="0" w:color="000000"/>
              <w:right w:val="single" w:sz="8" w:space="0" w:color="000000"/>
            </w:tcBorders>
            <w:shd w:val="clear" w:color="auto" w:fill="00CC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.270 (p = 0.005)</w:t>
            </w:r>
          </w:p>
        </w:tc>
        <w:tc>
          <w:tcPr>
            <w:tcW w:w="0" w:type="auto"/>
            <w:tcBorders>
              <w:top w:val="single" w:sz="8" w:space="0" w:color="000000"/>
              <w:left w:val="single" w:sz="8" w:space="0" w:color="000000"/>
              <w:bottom w:val="single" w:sz="8" w:space="0" w:color="000000"/>
              <w:right w:val="single" w:sz="8" w:space="0" w:color="000000"/>
            </w:tcBorders>
            <w:shd w:val="clear" w:color="auto" w:fill="00CC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.280 (p = 0.002)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.069 (p = 0.444)</w:t>
            </w:r>
          </w:p>
        </w:tc>
      </w:tr>
      <w:tr w:rsidR="004A397C" w:rsidRPr="009B3747" w:rsidTr="00846B21">
        <w:trPr>
          <w:trHeight w:val="44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sz w:val="20"/>
                <w:szCs w:val="20"/>
                <w:shd w:val="clear" w:color="auto" w:fill="FFFFFF"/>
                <w:lang w:eastAsia="en-GB"/>
              </w:rPr>
              <w:t>Visual assessment is an accurate method to identify excess weight in secondary school pupils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.106 (p = 0.273)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.028 (p = 0.761)</w:t>
            </w:r>
          </w:p>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-.050 (p = .574)</w:t>
            </w:r>
          </w:p>
        </w:tc>
      </w:tr>
      <w:tr w:rsidR="004A397C" w:rsidRPr="009B3747" w:rsidTr="00846B21">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I believe that secondary school pupils from my school in general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shd w:val="clear" w:color="auto" w:fill="FFFFFF"/>
                <w:lang w:eastAsia="en-GB"/>
              </w:rPr>
              <w:t>Consume too much junk food</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.313 (p = 0.001)</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.368 (p = 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-.071 (p = .908)</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shd w:val="clear" w:color="auto" w:fill="FFFFFF"/>
                <w:lang w:eastAsia="en-GB"/>
              </w:rPr>
              <w:t>Eat a healthy breakfast</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-.373 (p = 0.000)</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-.385 (p = 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-.080 (p = .370)</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shd w:val="clear" w:color="auto" w:fill="FFFFFF"/>
                <w:lang w:eastAsia="en-GB"/>
              </w:rPr>
              <w:t>Undertake enough physical activity</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-.309 (p = 0.001)</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-.323 (p = 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-.036 (p = .687)</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shd w:val="clear" w:color="auto" w:fill="FFFFFF"/>
                <w:lang w:eastAsia="en-GB"/>
              </w:rPr>
              <w:t>Consume too many sugary drinks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.139 (p = 0.151)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.166 (p = 0.07)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-.088 (p = 0.324)</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shd w:val="clear" w:color="auto" w:fill="FFFFFF"/>
                <w:lang w:eastAsia="en-GB"/>
              </w:rPr>
              <w:t>Spend too long being sedentary</w:t>
            </w:r>
          </w:p>
        </w:tc>
        <w:tc>
          <w:tcPr>
            <w:tcW w:w="0" w:type="auto"/>
            <w:tcBorders>
              <w:top w:val="single" w:sz="8" w:space="0" w:color="000000"/>
              <w:left w:val="single" w:sz="8" w:space="0" w:color="000000"/>
              <w:bottom w:val="single" w:sz="8" w:space="0" w:color="000000"/>
              <w:right w:val="single" w:sz="8" w:space="0" w:color="000000"/>
            </w:tcBorders>
            <w:shd w:val="clear" w:color="auto" w:fill="00CC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.235 (p = 0.01)</w:t>
            </w:r>
          </w:p>
        </w:tc>
        <w:tc>
          <w:tcPr>
            <w:tcW w:w="0" w:type="auto"/>
            <w:tcBorders>
              <w:top w:val="single" w:sz="8" w:space="0" w:color="000000"/>
              <w:left w:val="single" w:sz="8" w:space="0" w:color="000000"/>
              <w:bottom w:val="single" w:sz="8" w:space="0" w:color="000000"/>
              <w:right w:val="single" w:sz="8" w:space="0" w:color="000000"/>
            </w:tcBorders>
            <w:shd w:val="clear" w:color="auto" w:fill="00CC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.245 (p = 0.008)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-.111 (p = 0.215)</w:t>
            </w:r>
          </w:p>
        </w:tc>
      </w:tr>
      <w:tr w:rsidR="004A397C" w:rsidRPr="009B3747" w:rsidTr="00846B21">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Do you think pupils who receive free school meals (FSM) compared to those who don't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Are more likely to be of excess weight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-.127 (p = .191)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-.085 (p = 0.360)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.020 (p = 0.822)</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shd w:val="clear" w:color="auto" w:fill="FFFFFF"/>
                <w:lang w:eastAsia="en-GB"/>
              </w:rPr>
              <w:t>Have unhealthier dietary habits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0.85 (p = 0.385)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.121 (p = 0.193)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.123 (p = 0.168)</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shd w:val="clear" w:color="auto" w:fill="FFFFFF"/>
                <w:lang w:eastAsia="en-GB"/>
              </w:rPr>
              <w:t>Do less physical activity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-.085 (p = 0.380)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-.036 (p = 0.699)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-.011 (p = 0.902)</w:t>
            </w:r>
          </w:p>
        </w:tc>
      </w:tr>
      <w:tr w:rsidR="004A397C" w:rsidRPr="009B3747" w:rsidTr="00846B21">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 xml:space="preserve">From my perspective, I believe that -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A secondary school pupil’s home environment is more influential in the prevention of excess weight gain than the school environment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.164 (p = 0.091)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.158 (p = 0.090)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.035 (p - 0.699)</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shd w:val="clear" w:color="auto" w:fill="FFFFFF"/>
                <w:lang w:eastAsia="en-GB"/>
              </w:rPr>
              <w:t>A secondary school pupil is more likely to be of excess weight if their parents are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.075 (p = .439)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.113 (p = 0.227)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.093 (p = 0.699)</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Parents have the required knowledge to prevent excess weight gain in their children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-.140 (p = 0.150)</w:t>
            </w:r>
          </w:p>
        </w:tc>
        <w:tc>
          <w:tcPr>
            <w:tcW w:w="0" w:type="auto"/>
            <w:tcBorders>
              <w:top w:val="single" w:sz="8" w:space="0" w:color="000000"/>
              <w:left w:val="single" w:sz="8" w:space="0" w:color="000000"/>
              <w:bottom w:val="single" w:sz="8" w:space="0" w:color="000000"/>
              <w:right w:val="single" w:sz="8" w:space="0" w:color="000000"/>
            </w:tcBorders>
            <w:shd w:val="clear" w:color="auto" w:fill="00CC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-.185 (p = 0.04)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 .079 (p = 0.298)</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Parents are aware of the risks of excess weight gain in secondary school pupils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-.111 (p = 0.255)</w:t>
            </w:r>
          </w:p>
        </w:tc>
        <w:tc>
          <w:tcPr>
            <w:tcW w:w="0" w:type="auto"/>
            <w:tcBorders>
              <w:top w:val="single" w:sz="8" w:space="0" w:color="000000"/>
              <w:left w:val="single" w:sz="8" w:space="0" w:color="000000"/>
              <w:bottom w:val="single" w:sz="8" w:space="0" w:color="000000"/>
              <w:right w:val="single" w:sz="8" w:space="0" w:color="000000"/>
            </w:tcBorders>
            <w:shd w:val="clear" w:color="auto" w:fill="00CC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 .189 (p = 0.04)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-.111 (p = 0.214)</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If a secondary school pupil is of excess weight, it is their parents' fault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.064 (p = .508)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.047 (p = 0.616)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.047 (p = 0.603)</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If a secondary school pupil is of excess weight it is society's fault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.016 (p = 0.867)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.052 (p = 0.578)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.041 (p = 0.649)</w:t>
            </w:r>
          </w:p>
        </w:tc>
      </w:tr>
      <w:tr w:rsidR="004A397C" w:rsidRPr="009B3747" w:rsidTr="00846B21">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 xml:space="preserve">To what extent do you agree or disagree with the following statements -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I am concerned about the availability of junk near to my secondary school</w:t>
            </w:r>
          </w:p>
        </w:tc>
        <w:tc>
          <w:tcPr>
            <w:tcW w:w="0" w:type="auto"/>
            <w:tcBorders>
              <w:top w:val="single" w:sz="8" w:space="0" w:color="000000"/>
              <w:left w:val="single" w:sz="8" w:space="0" w:color="000000"/>
              <w:bottom w:val="single" w:sz="8" w:space="0" w:color="000000"/>
              <w:right w:val="single" w:sz="8" w:space="0" w:color="000000"/>
            </w:tcBorders>
            <w:shd w:val="clear" w:color="auto" w:fill="00CC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.234 (p = 0.001)</w:t>
            </w:r>
          </w:p>
        </w:tc>
        <w:tc>
          <w:tcPr>
            <w:tcW w:w="0" w:type="auto"/>
            <w:tcBorders>
              <w:top w:val="single" w:sz="8" w:space="0" w:color="000000"/>
              <w:left w:val="single" w:sz="8" w:space="0" w:color="000000"/>
              <w:bottom w:val="single" w:sz="8" w:space="0" w:color="000000"/>
              <w:right w:val="single" w:sz="8" w:space="0" w:color="000000"/>
            </w:tcBorders>
            <w:shd w:val="clear" w:color="auto" w:fill="00CC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.252 (p = 0.006)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.147 (p = 0.099)</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shd w:val="clear" w:color="auto" w:fill="FFFFFF"/>
                <w:lang w:eastAsia="en-GB"/>
              </w:rPr>
              <w:t>I believe that unhealthy food costs less than healthy food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.119 (p = 0.220)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.037 (p = 0.689)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-.039 (p = 0.660)</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I am concerned about the marketing of junk food to children and young people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-062 (p = 0.527)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-.039 (p = 0.679)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-.086 (p = 0.337)</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The food industry prioritises profits over the health of children and young people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.014 (p = 0.887)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.037 (p = 0.699)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-.080 (p = 0.373)</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Unhealthy eating is associated with poverty</w:t>
            </w:r>
          </w:p>
        </w:tc>
        <w:tc>
          <w:tcPr>
            <w:tcW w:w="0" w:type="auto"/>
            <w:tcBorders>
              <w:top w:val="single" w:sz="8" w:space="0" w:color="000000"/>
              <w:left w:val="single" w:sz="8" w:space="0" w:color="000000"/>
              <w:bottom w:val="single" w:sz="8" w:space="0" w:color="000000"/>
              <w:right w:val="single" w:sz="8" w:space="0" w:color="000000"/>
            </w:tcBorders>
            <w:shd w:val="clear" w:color="auto" w:fill="00CC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.231 (p = 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.151 (p = 0.104)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.095 (p = 0.287)</w:t>
            </w:r>
          </w:p>
        </w:tc>
      </w:tr>
      <w:tr w:rsidR="004A397C" w:rsidRPr="009B3747" w:rsidTr="00846B21">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 xml:space="preserve">The following have a responsibility for preventing excess weight gain in secondary school pupils? -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Secondary schools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.045 (p = 0.644)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.090 (p = 0.334)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-.049 (p = 0.584)</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shd w:val="clear" w:color="auto" w:fill="FFFFFF"/>
                <w:lang w:eastAsia="en-GB"/>
              </w:rPr>
              <w:t>Parents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-.154 (p = 0.112)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-.117 (p = 0.207)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-.118 (p = 0.186)</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Secondary school pupils themselves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-.063 (p = 0.520)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-.026 (p = 0.780)</w:t>
            </w:r>
          </w:p>
        </w:tc>
        <w:tc>
          <w:tcPr>
            <w:tcW w:w="0" w:type="auto"/>
            <w:tcBorders>
              <w:top w:val="single" w:sz="8" w:space="0" w:color="000000"/>
              <w:left w:val="single" w:sz="8" w:space="0" w:color="000000"/>
              <w:bottom w:val="single" w:sz="8" w:space="0" w:color="000000"/>
              <w:right w:val="single" w:sz="8" w:space="0" w:color="000000"/>
            </w:tcBorders>
            <w:shd w:val="clear" w:color="auto" w:fill="00CC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-.251 (p = 0.004)</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Government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-.067 (p = 0.494)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-.025 (p = 0.789)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-.059 (p = 0.508)</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Primary schools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.006 (p = 0.948)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.060 (p = 0.524)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-.155 (p = 0.082)</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Food industry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.016 (p = 0.871)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.040 (p = 0.670)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-.113 (p = 0.206)</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Society as a whole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.-012 (p = 0.901)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.045 (p = 0.632)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-.059 (p = 0.510)</w:t>
            </w:r>
          </w:p>
        </w:tc>
      </w:tr>
      <w:tr w:rsidR="004A397C" w:rsidRPr="009B3747" w:rsidTr="00846B21">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 xml:space="preserve">The following are effective for preventing excess weight gain in secondary school pupils -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Providing education in schools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-.079 (p = 0.416)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.023 (p = 0.807)</w:t>
            </w:r>
          </w:p>
        </w:tc>
        <w:tc>
          <w:tcPr>
            <w:tcW w:w="0" w:type="auto"/>
            <w:tcBorders>
              <w:top w:val="single" w:sz="8" w:space="0" w:color="000000"/>
              <w:left w:val="single" w:sz="8" w:space="0" w:color="000000"/>
              <w:bottom w:val="single" w:sz="8" w:space="0" w:color="000000"/>
              <w:right w:val="single" w:sz="8" w:space="0" w:color="000000"/>
            </w:tcBorders>
            <w:shd w:val="clear" w:color="auto" w:fill="00CC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-.184 (p = 0.038)</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shd w:val="clear" w:color="auto" w:fill="FFFFFF"/>
                <w:lang w:eastAsia="en-GB"/>
              </w:rPr>
              <w:t>National public awareness campaigns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-.060 (p = 0.535)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-.011 (p = 0.903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-.083 (p = 0.354)</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Providing opportunities to be active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-.032 (p = 0.745)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-.031 (p = 0.743)</w:t>
            </w:r>
          </w:p>
        </w:tc>
        <w:tc>
          <w:tcPr>
            <w:tcW w:w="0" w:type="auto"/>
            <w:tcBorders>
              <w:top w:val="single" w:sz="8" w:space="0" w:color="000000"/>
              <w:left w:val="single" w:sz="8" w:space="0" w:color="000000"/>
              <w:bottom w:val="single" w:sz="8" w:space="0" w:color="000000"/>
              <w:right w:val="single" w:sz="8" w:space="0" w:color="000000"/>
            </w:tcBorders>
            <w:shd w:val="clear" w:color="auto" w:fill="00CC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-.195 (p = 0.028)</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Restricting opportunities to be inactive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-.159 (p = 0.101)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-.109 (p = 0.242)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-.031 (p = 0.732)</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Providing opportunities to develop healthy eating habits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-.147 (p = 0.130)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-.083 (p = 0.376)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-.112 (p = 0.211)</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Restricting opportunities to develop unhealthy eating habits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-.059 (p = 0.545)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-.083 (p = 0.373)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.049 (p = 0.588)</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862DC" w:rsidP="00846B21">
            <w:pPr>
              <w:spacing w:line="240" w:lineRule="auto"/>
              <w:rPr>
                <w:rFonts w:eastAsia="Times New Roman" w:cstheme="minorHAnsi"/>
                <w:sz w:val="24"/>
                <w:szCs w:val="24"/>
                <w:lang w:eastAsia="en-GB"/>
              </w:rPr>
            </w:pPr>
            <w:r>
              <w:rPr>
                <w:rFonts w:eastAsia="Times New Roman" w:cstheme="minorHAnsi"/>
                <w:color w:val="000000"/>
                <w:sz w:val="20"/>
                <w:szCs w:val="20"/>
                <w:lang w:eastAsia="en-GB"/>
              </w:rPr>
              <w:t xml:space="preserve">Taxation, </w:t>
            </w:r>
            <w:r w:rsidR="004A397C" w:rsidRPr="009B3747">
              <w:rPr>
                <w:rFonts w:eastAsia="Times New Roman" w:cstheme="minorHAnsi"/>
                <w:color w:val="000000"/>
                <w:sz w:val="20"/>
                <w:szCs w:val="20"/>
                <w:lang w:eastAsia="en-GB"/>
              </w:rPr>
              <w:t>e.g. sugar tax on sugary drinks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.036 (p = 0.708)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.146 (p = 0.117)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-.078 (p = 0.386)</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862DC" w:rsidP="00846B21">
            <w:pPr>
              <w:spacing w:line="240" w:lineRule="auto"/>
              <w:rPr>
                <w:rFonts w:eastAsia="Times New Roman" w:cstheme="minorHAnsi"/>
                <w:sz w:val="24"/>
                <w:szCs w:val="24"/>
                <w:lang w:eastAsia="en-GB"/>
              </w:rPr>
            </w:pPr>
            <w:r>
              <w:rPr>
                <w:rFonts w:eastAsia="Times New Roman" w:cstheme="minorHAnsi"/>
                <w:color w:val="000000"/>
                <w:sz w:val="20"/>
                <w:szCs w:val="20"/>
                <w:lang w:eastAsia="en-GB"/>
              </w:rPr>
              <w:t xml:space="preserve">Legislation, </w:t>
            </w:r>
            <w:r w:rsidR="004A397C" w:rsidRPr="009B3747">
              <w:rPr>
                <w:rFonts w:eastAsia="Times New Roman" w:cstheme="minorHAnsi"/>
                <w:color w:val="000000"/>
                <w:sz w:val="20"/>
                <w:szCs w:val="20"/>
                <w:lang w:eastAsia="en-GB"/>
              </w:rPr>
              <w:t>e.g. ban adverts for junk food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.117 (p = 0.229)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.069 (p = 0.117)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-.032 (p = 0.721)</w:t>
            </w:r>
          </w:p>
        </w:tc>
      </w:tr>
      <w:tr w:rsidR="004A397C" w:rsidRPr="009B3747" w:rsidTr="00846B21">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 xml:space="preserve">To help prevent excess weight gain in secondary school pupils, schools should work in partnership with -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School nurses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.168 (p = 0.082)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.160 (p = 0.084)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.009 (p = 0.924)</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shd w:val="clear" w:color="auto" w:fill="FFFFFF"/>
                <w:lang w:eastAsia="en-GB"/>
              </w:rPr>
              <w:t>General Practitioners (GPs)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.103 (p = 0.289)</w:t>
            </w:r>
          </w:p>
        </w:tc>
        <w:tc>
          <w:tcPr>
            <w:tcW w:w="0" w:type="auto"/>
            <w:tcBorders>
              <w:top w:val="single" w:sz="8" w:space="0" w:color="000000"/>
              <w:left w:val="single" w:sz="8" w:space="0" w:color="000000"/>
              <w:bottom w:val="single" w:sz="8" w:space="0" w:color="000000"/>
              <w:right w:val="single" w:sz="8" w:space="0" w:color="000000"/>
            </w:tcBorders>
            <w:shd w:val="clear" w:color="auto" w:fill="00CC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.187 (p = 0.044)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.121 (p = 0.176)</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Department for Education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-.063 (p = 0.515)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-.033 (p = 0.721)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-.065 (p = 0.468)</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Food Industry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0.03 (p = 0.515)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-.007 (p = 0.941)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-.077 (p = 0.387)</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Celebrities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.091 (p = 0.350)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.075 (p = 0.421)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r = -.166 (p = 0.062) </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Department of Health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.047 (p = 0.626)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.020 (p = 0.832)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-.163 (p = 0.068)</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Local Authority Public Health teams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.044 (p = 0.652)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.005 (p = 0.954)</w:t>
            </w:r>
          </w:p>
        </w:tc>
        <w:tc>
          <w:tcPr>
            <w:tcW w:w="0" w:type="auto"/>
            <w:tcBorders>
              <w:top w:val="single" w:sz="8" w:space="0" w:color="000000"/>
              <w:left w:val="single" w:sz="8" w:space="0" w:color="000000"/>
              <w:bottom w:val="single" w:sz="8" w:space="0" w:color="000000"/>
              <w:right w:val="single" w:sz="8" w:space="0" w:color="000000"/>
            </w:tcBorders>
            <w:shd w:val="clear" w:color="auto" w:fill="00CC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-.207 (p = 0.020)</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Local community organisations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.109 (p = 0.262)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.046 (p = 0.620)</w:t>
            </w:r>
          </w:p>
        </w:tc>
        <w:tc>
          <w:tcPr>
            <w:tcW w:w="0" w:type="auto"/>
            <w:tcBorders>
              <w:top w:val="single" w:sz="8" w:space="0" w:color="000000"/>
              <w:left w:val="single" w:sz="8" w:space="0" w:color="000000"/>
              <w:bottom w:val="single" w:sz="8" w:space="0" w:color="000000"/>
              <w:right w:val="single" w:sz="8" w:space="0" w:color="000000"/>
            </w:tcBorders>
            <w:shd w:val="clear" w:color="auto" w:fill="00CC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-210 (p = 0.018)</w:t>
            </w:r>
          </w:p>
        </w:tc>
      </w:tr>
      <w:tr w:rsidR="004A397C" w:rsidRPr="009B3747" w:rsidTr="00846B21">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Within my secondary school -</w:t>
            </w:r>
            <w:r w:rsidRPr="009B3747">
              <w:rPr>
                <w:rFonts w:eastAsia="Times New Roman" w:cstheme="minorHAnsi"/>
                <w:b/>
                <w:bCs/>
                <w:color w:val="000000"/>
                <w:sz w:val="20"/>
                <w:szCs w:val="20"/>
                <w:lang w:eastAsia="en-GB"/>
              </w:rPr>
              <w:br/>
            </w:r>
            <w:r w:rsidRPr="009B3747">
              <w:rPr>
                <w:rFonts w:eastAsia="Times New Roman" w:cstheme="minorHAnsi"/>
                <w:b/>
                <w:bCs/>
                <w:color w:val="000000"/>
                <w:sz w:val="20"/>
                <w:szCs w:val="20"/>
                <w:lang w:eastAsia="en-GB"/>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Preventing excess weight gain in secondary school pupils is a priority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.016 (p = 0.869)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.022 (p = 0.814)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-..99 (p = 0.267)</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shd w:val="clear" w:color="auto" w:fill="FFFFFF"/>
                <w:lang w:eastAsia="en-GB"/>
              </w:rPr>
              <w:t>Improving dietary habits of secondary school pupils is a priority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-.158 (p = 0.102)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-.098 (p = 0.292)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.052 (p = 0.565)</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There are more important issues to deal with than preventing excess weight gain in secondary school pupils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.069 (p = 0.476)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.077 (p = 0.411)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.075 (p = 0.400)</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Improving physical activity habits of secondary school pupils is a priority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-.059 (p = 0.546)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-.015 (p = 0.875)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-.037 (p = 0.677</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School staff should role model healthy lifestyles to secondary school pupils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-.102 (p = 0.295)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.068 (p = 0.465)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-.091 (p = 0.308)</w:t>
            </w:r>
          </w:p>
        </w:tc>
      </w:tr>
      <w:tr w:rsidR="004A397C" w:rsidRPr="009B3747" w:rsidTr="00846B21">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I believe that secondary schools -</w:t>
            </w:r>
            <w:r w:rsidRPr="009B3747">
              <w:rPr>
                <w:rFonts w:eastAsia="Times New Roman" w:cstheme="minorHAnsi"/>
                <w:b/>
                <w:bCs/>
                <w:color w:val="000000"/>
                <w:sz w:val="20"/>
                <w:szCs w:val="20"/>
                <w:lang w:eastAsia="en-GB"/>
              </w:rPr>
              <w:br/>
            </w:r>
            <w:r w:rsidRPr="009B3747">
              <w:rPr>
                <w:rFonts w:eastAsia="Times New Roman" w:cstheme="minorHAnsi"/>
                <w:b/>
                <w:bCs/>
                <w:color w:val="000000"/>
                <w:sz w:val="20"/>
                <w:szCs w:val="20"/>
                <w:lang w:eastAsia="en-GB"/>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Are an important setting for preventing excess weight gain in secondary school pupils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-.050 (p = 0.610)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.005 (p = 0.959)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-.087 (p = 0.332)</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shd w:val="clear" w:color="auto" w:fill="FFFFFF"/>
                <w:lang w:eastAsia="en-GB"/>
              </w:rPr>
              <w:t>Should prioritise improving children and young people’s diet and activity levels to help prevent excess weight gain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-.129 (p = 0.184)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-.013 (p = 0.887)</w:t>
            </w:r>
          </w:p>
        </w:tc>
        <w:tc>
          <w:tcPr>
            <w:tcW w:w="0" w:type="auto"/>
            <w:tcBorders>
              <w:top w:val="single" w:sz="8" w:space="0" w:color="000000"/>
              <w:left w:val="single" w:sz="8" w:space="0" w:color="000000"/>
              <w:bottom w:val="single" w:sz="8" w:space="0" w:color="000000"/>
              <w:right w:val="single" w:sz="8" w:space="0" w:color="000000"/>
            </w:tcBorders>
            <w:shd w:val="clear" w:color="auto" w:fill="00CC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-.189 (p = 0.033)</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Are not able to prevent excess weight gain in secondary school pupils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-.051 (p = 0.602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-.060 (p = 0.518)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-.059 (p = 0.513)</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Should use a whole-school approach to develop life-long healthy eating and physical activity practices</w:t>
            </w:r>
          </w:p>
        </w:tc>
        <w:tc>
          <w:tcPr>
            <w:tcW w:w="0" w:type="auto"/>
            <w:tcBorders>
              <w:top w:val="single" w:sz="8" w:space="0" w:color="000000"/>
              <w:left w:val="single" w:sz="8" w:space="0" w:color="000000"/>
              <w:bottom w:val="single" w:sz="8" w:space="0" w:color="000000"/>
              <w:right w:val="single" w:sz="8" w:space="0" w:color="000000"/>
            </w:tcBorders>
            <w:shd w:val="clear" w:color="auto" w:fill="00CC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-.217 (p = 0.024)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r = -.086 (p = 0.354)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-.061 (p = 0.495)</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Are able to positively influence the dietary habits of secondary school pupils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 xml:space="preserve">r = .021 (p = 0.832)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-.045 (p = 0.631)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-.068 (p = 0.449)</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Are able to positively influence the physical activity behaviours of secondary school pupils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.017 (p = 0.862)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-.041 (p = 0.662)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-.100 (p = 0.261)</w:t>
            </w:r>
          </w:p>
        </w:tc>
      </w:tr>
      <w:tr w:rsidR="004A397C" w:rsidRPr="009B3747" w:rsidTr="00846B21">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As a headteacher or chair of governors 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Should collaborate with parents and pupils to assess the whole school environment in order for children and young people to maintain a healthy weight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-.077 (p = 0.427)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.013 (p = 0.891)</w:t>
            </w:r>
          </w:p>
        </w:tc>
        <w:tc>
          <w:tcPr>
            <w:tcW w:w="0" w:type="auto"/>
            <w:tcBorders>
              <w:top w:val="single" w:sz="8" w:space="0" w:color="000000"/>
              <w:left w:val="single" w:sz="8" w:space="0" w:color="000000"/>
              <w:bottom w:val="single" w:sz="8" w:space="0" w:color="000000"/>
              <w:right w:val="single" w:sz="8" w:space="0" w:color="000000"/>
            </w:tcBorders>
            <w:shd w:val="clear" w:color="auto" w:fill="00CC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.207 (p = 0.002)</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shd w:val="clear" w:color="auto" w:fill="FFFFFF"/>
                <w:lang w:eastAsia="en-GB"/>
              </w:rPr>
              <w:t>Should ensure that the ethos of all school policies helps children and young people to maintain a healthy weight, eat a healthy diet and be physically active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-.149 (p = 0.124)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.056 (p = 0.546)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-.129 (p = 0.149)</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Am able to direct the school to take action to prevent excess weight gain in secondary school pupils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-.107 (p = 0.270)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.063 (p = 0.502)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-.156 (p = 0.081)</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Should ensure that teaching, support and catering staff receive training on the importance of healthy-school policies and how to support their implementation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-.166 (p = 0.087)</w:t>
            </w:r>
          </w:p>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.049 (p = 0.599)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-.066 (p = 0.464)</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Have a responsibility for preventing excess weight gain in secondary school pupils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-.051 (p = 0.600)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.035 (p = 0.707)</w:t>
            </w:r>
          </w:p>
        </w:tc>
        <w:tc>
          <w:tcPr>
            <w:tcW w:w="0" w:type="auto"/>
            <w:tcBorders>
              <w:top w:val="single" w:sz="8" w:space="0" w:color="000000"/>
              <w:left w:val="single" w:sz="8" w:space="0" w:color="000000"/>
              <w:bottom w:val="single" w:sz="8" w:space="0" w:color="000000"/>
              <w:right w:val="single" w:sz="8" w:space="0" w:color="000000"/>
            </w:tcBorders>
            <w:shd w:val="clear" w:color="auto" w:fill="00CC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-.188 (p = 0.034)</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Am able to positively contribute to the prevention of excess weight gain in secondary school pupils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.077 (p = 0.175)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0.32 (p = 0.734)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-.040 (p = 0.652)</w:t>
            </w:r>
          </w:p>
        </w:tc>
      </w:tr>
      <w:tr w:rsidR="004A397C" w:rsidRPr="009B3747" w:rsidTr="00846B21">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Attend meetings where preventing excess weight gain in secondary school pupils is discussed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.175 (p = 0.070)</w:t>
            </w:r>
          </w:p>
        </w:tc>
        <w:tc>
          <w:tcPr>
            <w:tcW w:w="0" w:type="auto"/>
            <w:tcBorders>
              <w:top w:val="single" w:sz="8" w:space="0" w:color="000000"/>
              <w:left w:val="single" w:sz="8" w:space="0" w:color="000000"/>
              <w:bottom w:val="single" w:sz="8" w:space="0" w:color="000000"/>
              <w:right w:val="single" w:sz="8" w:space="0" w:color="000000"/>
            </w:tcBorders>
            <w:shd w:val="clear" w:color="auto" w:fill="00CC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.180 (p = 0.052)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-0.66 (p = 0.463)</w:t>
            </w:r>
          </w:p>
        </w:tc>
      </w:tr>
      <w:tr w:rsidR="004A397C" w:rsidRPr="009B3747" w:rsidTr="00846B21">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b/>
                <w:bCs/>
                <w:color w:val="000000"/>
                <w:sz w:val="20"/>
                <w:szCs w:val="20"/>
                <w:lang w:eastAsia="en-GB"/>
              </w:rPr>
              <w:t xml:space="preserve">Barriers to my school preventing excess weight gain in secondary school pupils include the -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Government's focus on academic progress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.176 (p = 0.068)</w:t>
            </w:r>
          </w:p>
        </w:tc>
        <w:tc>
          <w:tcPr>
            <w:tcW w:w="0" w:type="auto"/>
            <w:tcBorders>
              <w:top w:val="single" w:sz="8" w:space="0" w:color="000000"/>
              <w:left w:val="single" w:sz="8" w:space="0" w:color="000000"/>
              <w:bottom w:val="single" w:sz="8" w:space="0" w:color="000000"/>
              <w:right w:val="single" w:sz="8" w:space="0" w:color="000000"/>
            </w:tcBorders>
            <w:shd w:val="clear" w:color="auto" w:fill="00CC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.207 (p = 0.025)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.033 (p = 0.712)</w:t>
            </w:r>
          </w:p>
        </w:tc>
      </w:tr>
      <w:tr w:rsidR="004A397C" w:rsidRPr="009B3747" w:rsidTr="00846B21">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shd w:val="clear" w:color="auto" w:fill="FFFFFF"/>
                <w:lang w:eastAsia="en-GB"/>
              </w:rPr>
              <w:t>Availability of junk food near your school</w:t>
            </w:r>
          </w:p>
        </w:tc>
        <w:tc>
          <w:tcPr>
            <w:tcW w:w="0" w:type="auto"/>
            <w:tcBorders>
              <w:top w:val="single" w:sz="8" w:space="0" w:color="000000"/>
              <w:left w:val="single" w:sz="8" w:space="0" w:color="000000"/>
              <w:bottom w:val="single" w:sz="8" w:space="0" w:color="000000"/>
              <w:right w:val="single" w:sz="8" w:space="0" w:color="000000"/>
            </w:tcBorders>
            <w:shd w:val="clear" w:color="auto" w:fill="00CC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.182 (p = 0.059)</w:t>
            </w:r>
          </w:p>
        </w:tc>
        <w:tc>
          <w:tcPr>
            <w:tcW w:w="0" w:type="auto"/>
            <w:tcBorders>
              <w:top w:val="single" w:sz="8" w:space="0" w:color="000000"/>
              <w:left w:val="single" w:sz="8" w:space="0" w:color="000000"/>
              <w:bottom w:val="single" w:sz="8" w:space="0" w:color="000000"/>
              <w:right w:val="single" w:sz="8" w:space="0" w:color="000000"/>
            </w:tcBorders>
            <w:shd w:val="clear" w:color="auto" w:fill="00CC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.179 (p = 0.053)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.102 (p = 0.254)</w:t>
            </w:r>
          </w:p>
        </w:tc>
      </w:tr>
      <w:tr w:rsidR="004A397C" w:rsidRPr="009B3747" w:rsidTr="00846B21">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Limited budget for school catering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.176 (p = 0.069)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.158 (p = 0.090)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-.068 (p = 0.448)</w:t>
            </w:r>
          </w:p>
        </w:tc>
      </w:tr>
      <w:tr w:rsidR="004A397C" w:rsidRPr="009B3747" w:rsidTr="00846B21">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School not being inspected by Ofsted on excess weight prevention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.023 (p = 0.814)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.050 (p = 0.591)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-.162 (p = 0.069)</w:t>
            </w:r>
          </w:p>
        </w:tc>
      </w:tr>
      <w:tr w:rsidR="004A397C" w:rsidRPr="009B3747" w:rsidTr="00846B21">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Lack of facilities for physical activity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-.066 (p = 0.496)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-.086 (p = 0.359)</w:t>
            </w:r>
          </w:p>
        </w:tc>
        <w:tc>
          <w:tcPr>
            <w:tcW w:w="0" w:type="auto"/>
            <w:tcBorders>
              <w:top w:val="single" w:sz="8" w:space="0" w:color="000000"/>
              <w:left w:val="single" w:sz="8" w:space="0" w:color="000000"/>
              <w:bottom w:val="single" w:sz="8" w:space="0" w:color="000000"/>
              <w:right w:val="single" w:sz="8" w:space="0" w:color="000000"/>
            </w:tcBorders>
            <w:shd w:val="clear" w:color="auto" w:fill="00CC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-.258 (p = 0.003)</w:t>
            </w:r>
          </w:p>
        </w:tc>
      </w:tr>
      <w:tr w:rsidR="004A397C" w:rsidRPr="009B3747" w:rsidTr="00846B21">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School staff not role modelling healthy lifestyles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.145 (p = 0.134)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.152 (p = 0.101)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-.147 (p = 0.098)</w:t>
            </w:r>
          </w:p>
        </w:tc>
      </w:tr>
      <w:tr w:rsidR="004A397C" w:rsidRPr="009B3747" w:rsidTr="00846B21">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Parental influence undermining school action</w:t>
            </w:r>
            <w:r w:rsidR="00281979">
              <w:rPr>
                <w:rFonts w:eastAsia="Times New Roman" w:cstheme="minorHAnsi"/>
                <w:color w:val="000000"/>
                <w:sz w:val="20"/>
                <w:szCs w:val="20"/>
                <w:lang w:eastAsia="en-GB"/>
              </w:rPr>
              <w:t>,</w:t>
            </w:r>
            <w:r w:rsidRPr="009B3747">
              <w:rPr>
                <w:rFonts w:eastAsia="Times New Roman" w:cstheme="minorHAnsi"/>
                <w:color w:val="000000"/>
                <w:sz w:val="20"/>
                <w:szCs w:val="20"/>
                <w:lang w:eastAsia="en-GB"/>
              </w:rPr>
              <w:t xml:space="preserve"> which contributes to the prevention of excess weight gain</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.303 (p = 0.001)</w:t>
            </w:r>
          </w:p>
        </w:tc>
        <w:tc>
          <w:tcPr>
            <w:tcW w:w="0" w:type="auto"/>
            <w:tcBorders>
              <w:top w:val="single" w:sz="8" w:space="0" w:color="000000"/>
              <w:left w:val="single" w:sz="8" w:space="0" w:color="000000"/>
              <w:bottom w:val="single" w:sz="8" w:space="0" w:color="000000"/>
              <w:right w:val="single" w:sz="8" w:space="0" w:color="000000"/>
            </w:tcBorders>
            <w:shd w:val="clear" w:color="auto" w:fill="00CC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.216 (p = 0.019)</w:t>
            </w:r>
          </w:p>
        </w:tc>
        <w:tc>
          <w:tcPr>
            <w:tcW w:w="0" w:type="auto"/>
            <w:tcBorders>
              <w:top w:val="single" w:sz="8" w:space="0" w:color="000000"/>
              <w:left w:val="single" w:sz="8" w:space="0" w:color="000000"/>
              <w:bottom w:val="single" w:sz="8" w:space="0" w:color="000000"/>
              <w:right w:val="single" w:sz="8" w:space="0" w:color="000000"/>
            </w:tcBorders>
            <w:shd w:val="clear" w:color="auto" w:fill="00CC00"/>
            <w:tcMar>
              <w:top w:w="100" w:type="dxa"/>
              <w:left w:w="100" w:type="dxa"/>
              <w:bottom w:w="100" w:type="dxa"/>
              <w:right w:w="100" w:type="dxa"/>
            </w:tcMar>
            <w:hideMark/>
          </w:tcPr>
          <w:p w:rsidR="004A397C" w:rsidRPr="009B3747" w:rsidRDefault="004A397C" w:rsidP="00846B21">
            <w:pPr>
              <w:spacing w:line="240" w:lineRule="auto"/>
              <w:rPr>
                <w:rFonts w:eastAsia="Times New Roman" w:cstheme="minorHAnsi"/>
                <w:sz w:val="24"/>
                <w:szCs w:val="24"/>
                <w:lang w:eastAsia="en-GB"/>
              </w:rPr>
            </w:pPr>
            <w:r w:rsidRPr="009B3747">
              <w:rPr>
                <w:rFonts w:eastAsia="Times New Roman" w:cstheme="minorHAnsi"/>
                <w:color w:val="000000"/>
                <w:sz w:val="20"/>
                <w:szCs w:val="20"/>
                <w:lang w:eastAsia="en-GB"/>
              </w:rPr>
              <w:t>r = .170 (p = 0.057)</w:t>
            </w:r>
          </w:p>
        </w:tc>
      </w:tr>
    </w:tbl>
    <w:p w:rsidR="004A397C" w:rsidRPr="009B3747" w:rsidRDefault="004A397C" w:rsidP="004A397C">
      <w:pPr>
        <w:rPr>
          <w:rFonts w:eastAsia="Arial" w:cstheme="minorHAnsi"/>
        </w:rPr>
        <w:sectPr w:rsidR="004A397C" w:rsidRPr="009B3747" w:rsidSect="00846B21">
          <w:pgSz w:w="16838" w:h="11906" w:orient="landscape"/>
          <w:pgMar w:top="1440" w:right="1440" w:bottom="1440" w:left="1440" w:header="709" w:footer="709" w:gutter="0"/>
          <w:cols w:space="708"/>
          <w:docGrid w:linePitch="360"/>
        </w:sectPr>
      </w:pPr>
    </w:p>
    <w:p w:rsidR="006243F2" w:rsidRPr="009B3747" w:rsidRDefault="006243F2" w:rsidP="006243F2">
      <w:pPr>
        <w:rPr>
          <w:rFonts w:eastAsia="Times New Roman" w:cstheme="minorHAnsi"/>
          <w:sz w:val="28"/>
          <w:szCs w:val="28"/>
          <w:lang w:eastAsia="en-GB"/>
        </w:rPr>
      </w:pPr>
      <w:r w:rsidRPr="009B3747">
        <w:rPr>
          <w:rFonts w:eastAsia="Times New Roman" w:cstheme="minorHAnsi"/>
          <w:b/>
          <w:bCs/>
          <w:color w:val="000000"/>
          <w:sz w:val="28"/>
          <w:szCs w:val="28"/>
          <w:u w:val="single"/>
          <w:lang w:eastAsia="en-GB"/>
        </w:rPr>
        <w:lastRenderedPageBreak/>
        <w:t>Appendix M - Personal reflection of the research process</w:t>
      </w:r>
    </w:p>
    <w:p w:rsidR="006243F2" w:rsidRPr="009B3747" w:rsidRDefault="006243F2" w:rsidP="006243F2">
      <w:pPr>
        <w:rPr>
          <w:rFonts w:eastAsia="Times New Roman" w:cstheme="minorHAnsi"/>
          <w:sz w:val="24"/>
          <w:szCs w:val="24"/>
          <w:lang w:eastAsia="en-GB"/>
        </w:rPr>
      </w:pPr>
    </w:p>
    <w:p w:rsidR="006243F2" w:rsidRPr="009B3747" w:rsidRDefault="006243F2" w:rsidP="006243F2">
      <w:pPr>
        <w:rPr>
          <w:rFonts w:eastAsia="Times New Roman" w:cstheme="minorHAnsi"/>
          <w:sz w:val="24"/>
          <w:szCs w:val="24"/>
          <w:lang w:eastAsia="en-GB"/>
        </w:rPr>
      </w:pPr>
      <w:r w:rsidRPr="009B3747">
        <w:rPr>
          <w:rFonts w:eastAsia="Times New Roman" w:cstheme="minorHAnsi"/>
          <w:color w:val="000000"/>
          <w:lang w:eastAsia="en-GB"/>
        </w:rPr>
        <w:t xml:space="preserve">The purpose of </w:t>
      </w:r>
      <w:r w:rsidR="004237EA" w:rsidRPr="009B3747">
        <w:rPr>
          <w:rFonts w:eastAsia="Times New Roman" w:cstheme="minorHAnsi"/>
          <w:color w:val="000000"/>
          <w:lang w:eastAsia="en-GB"/>
        </w:rPr>
        <w:t>this appendix</w:t>
      </w:r>
      <w:r w:rsidRPr="009B3747">
        <w:rPr>
          <w:rFonts w:eastAsia="Times New Roman" w:cstheme="minorHAnsi"/>
          <w:color w:val="000000"/>
          <w:lang w:eastAsia="en-GB"/>
        </w:rPr>
        <w:t xml:space="preserve"> is to provide a reflective insight into the researcher’s experience of condu</w:t>
      </w:r>
      <w:r w:rsidR="004237EA" w:rsidRPr="009B3747">
        <w:rPr>
          <w:rFonts w:eastAsia="Times New Roman" w:cstheme="minorHAnsi"/>
          <w:color w:val="000000"/>
          <w:lang w:eastAsia="en-GB"/>
        </w:rPr>
        <w:t xml:space="preserve">cting this doctoral study.  This appendix </w:t>
      </w:r>
      <w:r w:rsidRPr="009B3747">
        <w:rPr>
          <w:rFonts w:eastAsia="Times New Roman" w:cstheme="minorHAnsi"/>
          <w:color w:val="000000"/>
          <w:lang w:eastAsia="en-GB"/>
        </w:rPr>
        <w:t xml:space="preserve">discusses what the researcher learnt throughout the journey of completing the research and reflects upon which aspects were particularly positive or especially challenging.  Whereas the third person has </w:t>
      </w:r>
      <w:r w:rsidR="004862DC">
        <w:rPr>
          <w:rFonts w:eastAsia="Times New Roman" w:cstheme="minorHAnsi"/>
          <w:color w:val="000000"/>
          <w:lang w:eastAsia="en-GB"/>
        </w:rPr>
        <w:t xml:space="preserve">been used throughout the thesis, </w:t>
      </w:r>
      <w:r w:rsidRPr="009B3747">
        <w:rPr>
          <w:rFonts w:eastAsia="Times New Roman" w:cstheme="minorHAnsi"/>
          <w:color w:val="000000"/>
          <w:lang w:eastAsia="en-GB"/>
        </w:rPr>
        <w:t>i.e. ‘the researcher’, given the personal nature of the account it was deemed more appropriate to utilis</w:t>
      </w:r>
      <w:r w:rsidR="004237EA" w:rsidRPr="009B3747">
        <w:rPr>
          <w:rFonts w:eastAsia="Times New Roman" w:cstheme="minorHAnsi"/>
          <w:color w:val="000000"/>
          <w:lang w:eastAsia="en-GB"/>
        </w:rPr>
        <w:t xml:space="preserve">e the first person within this appendix.  </w:t>
      </w:r>
    </w:p>
    <w:p w:rsidR="006243F2" w:rsidRPr="009B3747" w:rsidRDefault="006243F2" w:rsidP="006243F2">
      <w:pPr>
        <w:rPr>
          <w:rFonts w:eastAsia="Times New Roman" w:cstheme="minorHAnsi"/>
          <w:sz w:val="24"/>
          <w:szCs w:val="24"/>
          <w:lang w:eastAsia="en-GB"/>
        </w:rPr>
      </w:pPr>
    </w:p>
    <w:p w:rsidR="006243F2" w:rsidRPr="009B3747" w:rsidRDefault="006243F2" w:rsidP="006243F2">
      <w:pPr>
        <w:rPr>
          <w:rFonts w:eastAsia="Times New Roman" w:cstheme="minorHAnsi"/>
          <w:sz w:val="24"/>
          <w:szCs w:val="24"/>
          <w:lang w:eastAsia="en-GB"/>
        </w:rPr>
      </w:pPr>
      <w:r w:rsidRPr="009B3747">
        <w:rPr>
          <w:rFonts w:eastAsia="Times New Roman" w:cstheme="minorHAnsi"/>
          <w:color w:val="000000"/>
          <w:lang w:eastAsia="en-GB"/>
        </w:rPr>
        <w:t>When I first started the research, the first few months were much more challenging than I expected them to be.  Due to a significant change in my personal circumstances and the emotional impact which resulted, I found juggling both a professional role in public health (for 2 days a week) and a new research project (for 3 days a week) really difficult.  I didn’t feel I had the ‘head space’ to conceptualise the overarching purpose of the research or in fact what I was hoping this project would achieve.  After increasingly feeling disillusioned, I had a very open, reflective and in the end constructive couple of meetings with my supervisors.  Getting back to basics as to why I originally applied for the faculty scholarship and what my research passions were resulted in both myself and the project gaining a new sense of direction and focus.   </w:t>
      </w:r>
    </w:p>
    <w:p w:rsidR="006243F2" w:rsidRPr="009B3747" w:rsidRDefault="006243F2" w:rsidP="006243F2">
      <w:pPr>
        <w:rPr>
          <w:rFonts w:eastAsia="Times New Roman" w:cstheme="minorHAnsi"/>
          <w:sz w:val="24"/>
          <w:szCs w:val="24"/>
          <w:lang w:eastAsia="en-GB"/>
        </w:rPr>
      </w:pPr>
    </w:p>
    <w:p w:rsidR="006243F2" w:rsidRPr="009B3747" w:rsidRDefault="006243F2" w:rsidP="006243F2">
      <w:pPr>
        <w:rPr>
          <w:rFonts w:eastAsia="Times New Roman" w:cstheme="minorHAnsi"/>
          <w:sz w:val="24"/>
          <w:szCs w:val="24"/>
          <w:lang w:eastAsia="en-GB"/>
        </w:rPr>
      </w:pPr>
      <w:r w:rsidRPr="009B3747">
        <w:rPr>
          <w:rFonts w:eastAsia="Times New Roman" w:cstheme="minorHAnsi"/>
          <w:color w:val="000000"/>
          <w:lang w:eastAsia="en-GB"/>
        </w:rPr>
        <w:t>The adoption of a mixed methods approach and exploratory sequential design for the study wasn’t proposed at the point of starting the project.  Typically I have always leant towards a desire to undertake qualitative research as I have a genuine interest in exploring and understanding people’s beliefs, perspectives and experiences.  I had therefore envisaged (and originally planned) that this study would be a qualitative only research project.  Being completely honest, an additional reason for initially adopting a qualitative approach was due to a fear of anything numerical or statistical.  Having openly expressed this to my supervisors early in the design of the study they both encouraged me to see this research as an opportunity to develop my knowledge and skills related to quantitative methodologies.  This fact, coupled with the paucity of literature related to the research question provided a meaningful and pragmatic opportunity to undertake a mixed methods study, where the qualitative phase could still take priority</w:t>
      </w:r>
      <w:r w:rsidR="004862DC">
        <w:rPr>
          <w:rFonts w:eastAsia="Times New Roman" w:cstheme="minorHAnsi"/>
          <w:color w:val="000000"/>
          <w:lang w:eastAsia="en-GB"/>
        </w:rPr>
        <w:t xml:space="preserve"> (</w:t>
      </w:r>
      <w:r w:rsidRPr="009B3747">
        <w:rPr>
          <w:rFonts w:eastAsia="Times New Roman" w:cstheme="minorHAnsi"/>
          <w:color w:val="000000"/>
          <w:lang w:eastAsia="en-GB"/>
        </w:rPr>
        <w:t>i.e. exploratory sequential design</w:t>
      </w:r>
      <w:r w:rsidR="004862DC">
        <w:rPr>
          <w:rFonts w:eastAsia="Times New Roman" w:cstheme="minorHAnsi"/>
          <w:color w:val="000000"/>
          <w:lang w:eastAsia="en-GB"/>
        </w:rPr>
        <w:t>)</w:t>
      </w:r>
      <w:r w:rsidRPr="009B3747">
        <w:rPr>
          <w:rFonts w:eastAsia="Times New Roman" w:cstheme="minorHAnsi"/>
          <w:color w:val="000000"/>
          <w:lang w:eastAsia="en-GB"/>
        </w:rPr>
        <w:t>.  In hindsight, this was an excellent decision, as I gained really valuable new skills and experiences in both qualitative and quantitative methods and I was able to address the research question more comprehensively.</w:t>
      </w:r>
    </w:p>
    <w:p w:rsidR="006243F2" w:rsidRPr="009B3747" w:rsidRDefault="006243F2" w:rsidP="006243F2">
      <w:pPr>
        <w:rPr>
          <w:rFonts w:eastAsia="Times New Roman" w:cstheme="minorHAnsi"/>
          <w:sz w:val="24"/>
          <w:szCs w:val="24"/>
          <w:lang w:eastAsia="en-GB"/>
        </w:rPr>
      </w:pPr>
    </w:p>
    <w:p w:rsidR="006243F2" w:rsidRPr="009B3747" w:rsidRDefault="006243F2" w:rsidP="006243F2">
      <w:pPr>
        <w:rPr>
          <w:rFonts w:eastAsia="Times New Roman" w:cstheme="minorHAnsi"/>
          <w:sz w:val="24"/>
          <w:szCs w:val="24"/>
          <w:lang w:eastAsia="en-GB"/>
        </w:rPr>
      </w:pPr>
      <w:r w:rsidRPr="009B3747">
        <w:rPr>
          <w:rFonts w:eastAsia="Times New Roman" w:cstheme="minorHAnsi"/>
          <w:color w:val="000000"/>
          <w:lang w:eastAsia="en-GB"/>
        </w:rPr>
        <w:lastRenderedPageBreak/>
        <w:t>Perhaps unsurprisingly given my likeness for engaging with people, I really enjoyed conducting the semi-structured interviews.  I found it relatively easy to gain a rapport with participants and although I was initially concerned about whether I had the required interviewing skills, my confidence increased as the process continued.  I did feel really conscious however during the interviews about whether my pre-existing knowledge or beliefs around the topic under study was influencing the number and type of probing questions I posed to participants.  Despite this I reflected on the fact that having this self-awareness during each interview would hopefully minimise potential researcher bias.  </w:t>
      </w:r>
    </w:p>
    <w:p w:rsidR="006243F2" w:rsidRPr="009B3747" w:rsidRDefault="006243F2" w:rsidP="006243F2">
      <w:pPr>
        <w:rPr>
          <w:rFonts w:eastAsia="Times New Roman" w:cstheme="minorHAnsi"/>
          <w:sz w:val="24"/>
          <w:szCs w:val="24"/>
          <w:lang w:eastAsia="en-GB"/>
        </w:rPr>
      </w:pPr>
    </w:p>
    <w:p w:rsidR="006243F2" w:rsidRPr="009B3747" w:rsidRDefault="006243F2" w:rsidP="006243F2">
      <w:pPr>
        <w:rPr>
          <w:rFonts w:eastAsia="Times New Roman" w:cstheme="minorHAnsi"/>
          <w:sz w:val="24"/>
          <w:szCs w:val="24"/>
          <w:lang w:eastAsia="en-GB"/>
        </w:rPr>
      </w:pPr>
      <w:r w:rsidRPr="009B3747">
        <w:rPr>
          <w:rFonts w:eastAsia="Times New Roman" w:cstheme="minorHAnsi"/>
          <w:color w:val="000000"/>
          <w:lang w:eastAsia="en-GB"/>
        </w:rPr>
        <w:t>Whilst transcribing the audio tapes was extremely time intensive, the most challenging aspect of the qualitative phase related to conducting the thematic analysis.  Having reviewed a variety of analytical methods, I selected thematic analysis given the perception it was an accessible method for novice researchers.  However, with over 250 pages of data facing me at the start of the process, the thought of being able to produce a coherent whilst illuminating narrative of the qualitative findings seemed at times impossible.  One of the difficulties I encountered was learning to accept that there wasn’t a right way to conduct the thematic analysis and that it was perfectly legitimate methodologically speaking for two researchers to read the same set of data and come up with different conclusions or interpretations.  I think my perceived necessity to do things ‘correctly’, was driven by an overwhelming sense of responsibility to represent participants accurately, and ensure that I was being faithful to their perspectives.  Spending months thoroughly analysing the data set and having supportive dialogue with my supervisors assisted in my understanding that regardless of the analytical method employed, qualitative analysis is extremely time consuming, iterative and fundamentally subjective in nature.  Consequently, having completed the qualitative findings report, I felt extremely satisfied that I felt I had been able to make sense of the complex views and experiences shared by participants.</w:t>
      </w:r>
    </w:p>
    <w:p w:rsidR="006243F2" w:rsidRPr="009B3747" w:rsidRDefault="006243F2" w:rsidP="006243F2">
      <w:pPr>
        <w:rPr>
          <w:rFonts w:eastAsia="Times New Roman" w:cstheme="minorHAnsi"/>
          <w:sz w:val="24"/>
          <w:szCs w:val="24"/>
          <w:lang w:eastAsia="en-GB"/>
        </w:rPr>
      </w:pPr>
    </w:p>
    <w:p w:rsidR="006243F2" w:rsidRPr="009B3747" w:rsidRDefault="006243F2" w:rsidP="006243F2">
      <w:pPr>
        <w:rPr>
          <w:rFonts w:eastAsia="Times New Roman" w:cstheme="minorHAnsi"/>
          <w:sz w:val="24"/>
          <w:szCs w:val="24"/>
          <w:lang w:eastAsia="en-GB"/>
        </w:rPr>
      </w:pPr>
      <w:r w:rsidRPr="009B3747">
        <w:rPr>
          <w:rFonts w:eastAsia="Times New Roman" w:cstheme="minorHAnsi"/>
          <w:color w:val="000000"/>
          <w:lang w:eastAsia="en-GB"/>
        </w:rPr>
        <w:t xml:space="preserve">Given the type of mixed methods design chosen (exploratory sequential), I knew at the point of its selection, that being able to effectively integrate two phases was of crucial importance to the study as a whole.  One of the main challenges as reported in chapter 7, was the lack of explicit published guidance on how to undertake the task of developing a quantitative instrument from qualitative findings.  I found this really frustrating, as I had wrongly expected there to be a gold standard approach with defined methodological steps.  Despite this issue, engaging with academics from across the world to discuss their experiences of conducting the design was really useful and enlightening.  It gave me the opportunity to think about other aspects of the process of integration </w:t>
      </w:r>
      <w:r w:rsidRPr="009B3747">
        <w:rPr>
          <w:rFonts w:eastAsia="Times New Roman" w:cstheme="minorHAnsi"/>
          <w:color w:val="000000"/>
          <w:lang w:eastAsia="en-GB"/>
        </w:rPr>
        <w:lastRenderedPageBreak/>
        <w:t>and the design as a whole that I hadn’t considered.  In addition it enabled me to feel confident that I had been robust and systematic in my approach to integrating the two study phases.</w:t>
      </w:r>
    </w:p>
    <w:p w:rsidR="006243F2" w:rsidRPr="009B3747" w:rsidRDefault="006243F2" w:rsidP="006243F2">
      <w:pPr>
        <w:rPr>
          <w:rFonts w:eastAsia="Times New Roman" w:cstheme="minorHAnsi"/>
          <w:sz w:val="24"/>
          <w:szCs w:val="24"/>
          <w:lang w:eastAsia="en-GB"/>
        </w:rPr>
      </w:pPr>
    </w:p>
    <w:p w:rsidR="006243F2" w:rsidRPr="009B3747" w:rsidRDefault="006243F2" w:rsidP="006243F2">
      <w:pPr>
        <w:rPr>
          <w:rFonts w:eastAsia="Times New Roman" w:cstheme="minorHAnsi"/>
          <w:sz w:val="24"/>
          <w:szCs w:val="24"/>
          <w:lang w:eastAsia="en-GB"/>
        </w:rPr>
      </w:pPr>
      <w:r w:rsidRPr="009B3747">
        <w:rPr>
          <w:rFonts w:eastAsia="Times New Roman" w:cstheme="minorHAnsi"/>
          <w:color w:val="000000"/>
          <w:lang w:eastAsia="en-GB"/>
        </w:rPr>
        <w:t>Surprisingly, I actually enjoyed the process of developing, distributing and analysing the online questionnaire.  There was definitely a transition period, where I had to adjust my thinking to become more quantitatively focused.  For example, initially when constructing the questions my supervisors informed I was still reflecti</w:t>
      </w:r>
      <w:r w:rsidR="004862DC">
        <w:rPr>
          <w:rFonts w:eastAsia="Times New Roman" w:cstheme="minorHAnsi"/>
          <w:color w:val="000000"/>
          <w:lang w:eastAsia="en-GB"/>
        </w:rPr>
        <w:t xml:space="preserve">ng a mainly qualitative mindset, </w:t>
      </w:r>
      <w:r w:rsidRPr="009B3747">
        <w:rPr>
          <w:rFonts w:eastAsia="Times New Roman" w:cstheme="minorHAnsi"/>
          <w:color w:val="000000"/>
          <w:lang w:eastAsia="en-GB"/>
        </w:rPr>
        <w:t>i.e. using predominantly open questions such as ‘how do you feel about…?’.  Spending time reading relevant academic texts regarding survey development and reviewing published questionnaires helped me to formulate more appropriate language and phrasing use.  Regarding the quantitative data analysis, despite historically fearing anything remotely numerical, once I learnt the necessary skills to use SPSS, I liked the methodical nature of performing statistical tests.  Furthermore, I could see the value for my professional role as a Specialty Registrar in Public Health in having practical experience of employing descriptive and inferential statistics.  </w:t>
      </w:r>
    </w:p>
    <w:p w:rsidR="006243F2" w:rsidRPr="009B3747" w:rsidRDefault="006243F2" w:rsidP="006243F2">
      <w:pPr>
        <w:rPr>
          <w:rFonts w:eastAsia="Times New Roman" w:cstheme="minorHAnsi"/>
          <w:sz w:val="24"/>
          <w:szCs w:val="24"/>
          <w:lang w:eastAsia="en-GB"/>
        </w:rPr>
      </w:pPr>
    </w:p>
    <w:p w:rsidR="006243F2" w:rsidRPr="009B3747" w:rsidRDefault="006243F2" w:rsidP="006243F2">
      <w:pPr>
        <w:rPr>
          <w:rFonts w:eastAsia="Times New Roman" w:cstheme="minorHAnsi"/>
          <w:sz w:val="24"/>
          <w:szCs w:val="24"/>
          <w:lang w:eastAsia="en-GB"/>
        </w:rPr>
      </w:pPr>
      <w:r w:rsidRPr="009B3747">
        <w:rPr>
          <w:rFonts w:eastAsia="Times New Roman" w:cstheme="minorHAnsi"/>
          <w:color w:val="000000"/>
          <w:lang w:eastAsia="en-GB"/>
        </w:rPr>
        <w:t>Overall and overwhelming the experience of undertaking this postgraduate research project has been rewarding and whilst intellectually demanding it has also been extremely fulfilling on both a professional and personal level.  Over the three year period I genuinely identified a sense of growth not only i</w:t>
      </w:r>
      <w:r w:rsidR="00EB44DD">
        <w:rPr>
          <w:rFonts w:eastAsia="Times New Roman" w:cstheme="minorHAnsi"/>
          <w:color w:val="000000"/>
          <w:lang w:eastAsia="en-GB"/>
        </w:rPr>
        <w:t xml:space="preserve">n my perceived academic ability, </w:t>
      </w:r>
      <w:r w:rsidRPr="009B3747">
        <w:rPr>
          <w:rFonts w:eastAsia="Times New Roman" w:cstheme="minorHAnsi"/>
          <w:color w:val="000000"/>
          <w:lang w:eastAsia="en-GB"/>
        </w:rPr>
        <w:t>but in my confidence that I was able to successfully complete a doctoral research project.  It is absolutely true, that there have been a number of occasions where self-doubt, impatience and frustration have appeared.  Furthermore, a number of external factors negatively influenced both my ability and desire to complete each element of the study and resultant thesis.  For example, obtaining a position as a Speciality Registrar in Public Health during the middle of the research whilst felt like a great achievement, also presented significant challenges.  It was difficult at times to balance competing commitments, given that I was doing a full time doctoral study and working two days a week in a professional occupation.  This meant that frequently and especially during the last full year of the project, I had to work evenings and weekends in order to ensure that the project was completed within the three years and to the required standard.  </w:t>
      </w:r>
    </w:p>
    <w:p w:rsidR="006243F2" w:rsidRPr="009B3747" w:rsidRDefault="006243F2" w:rsidP="006243F2">
      <w:pPr>
        <w:rPr>
          <w:rFonts w:eastAsia="Times New Roman" w:cstheme="minorHAnsi"/>
          <w:sz w:val="24"/>
          <w:szCs w:val="24"/>
          <w:lang w:eastAsia="en-GB"/>
        </w:rPr>
      </w:pPr>
    </w:p>
    <w:p w:rsidR="006243F2" w:rsidRPr="009B3747" w:rsidRDefault="006243F2" w:rsidP="006243F2">
      <w:pPr>
        <w:rPr>
          <w:rFonts w:eastAsia="Times New Roman" w:cstheme="minorHAnsi"/>
          <w:sz w:val="24"/>
          <w:szCs w:val="24"/>
          <w:lang w:eastAsia="en-GB"/>
        </w:rPr>
      </w:pPr>
      <w:r w:rsidRPr="009B3747">
        <w:rPr>
          <w:rFonts w:eastAsia="Times New Roman" w:cstheme="minorHAnsi"/>
          <w:color w:val="000000"/>
          <w:lang w:eastAsia="en-GB"/>
        </w:rPr>
        <w:t xml:space="preserve">During the particularly challenging times, the support from my supervisors has been invaluable.  Their guidance, advice and open door policy made an immeasurable difference to my research journey.  As did the recognition by my supervisors and increasingly myself, that no matter what obstacles I faced and how many times my motivation waned, I would always bounce back and </w:t>
      </w:r>
      <w:r w:rsidRPr="009B3747">
        <w:rPr>
          <w:rFonts w:eastAsia="Times New Roman" w:cstheme="minorHAnsi"/>
          <w:color w:val="000000"/>
          <w:lang w:eastAsia="en-GB"/>
        </w:rPr>
        <w:lastRenderedPageBreak/>
        <w:t>find the determination to continue with my academic studies.   I could also see even during periods of emotional stress that the benefits of completing the project outweighed any current difficulties.  In addition, the knowledge and skills I feel I have learnt from undertaking the project and completing the doctoral development programme have been really useful outside of academia.  For example my enhanced critical thinking, communication (both in written and oral form) and ability to search for and appraise evidence has proven invaluable within my professional role.  </w:t>
      </w:r>
    </w:p>
    <w:p w:rsidR="006243F2" w:rsidRPr="009B3747" w:rsidRDefault="006243F2" w:rsidP="006243F2">
      <w:pPr>
        <w:rPr>
          <w:rFonts w:eastAsia="Times New Roman" w:cstheme="minorHAnsi"/>
          <w:sz w:val="24"/>
          <w:szCs w:val="24"/>
          <w:lang w:eastAsia="en-GB"/>
        </w:rPr>
      </w:pPr>
    </w:p>
    <w:p w:rsidR="006243F2" w:rsidRPr="009B3747" w:rsidRDefault="006243F2" w:rsidP="006243F2">
      <w:pPr>
        <w:rPr>
          <w:rFonts w:eastAsia="Times New Roman" w:cstheme="minorHAnsi"/>
          <w:sz w:val="24"/>
          <w:szCs w:val="24"/>
          <w:lang w:eastAsia="en-GB"/>
        </w:rPr>
      </w:pPr>
      <w:r w:rsidRPr="009B3747">
        <w:rPr>
          <w:rFonts w:eastAsia="Times New Roman" w:cstheme="minorHAnsi"/>
          <w:color w:val="000000"/>
          <w:lang w:eastAsia="en-GB"/>
        </w:rPr>
        <w:t>If I was to undertake the doctoral study again, there are definitely things I would do differently.  Firstly and perhaps most importantly to me, would be to have a much greater faith in my own ability and be less critical of my work.  Regardless of how many times my supervisors and other academics confirmed I was performing to a high standard, the self-doubt regularly crept in and at times caused definite lulls in motivation.  Secondly, I would adopt a more open mind regarding what elements of a research project I may or may not enjoy.  From the outset I had convinced myself that as a qualitative researcher at heart I would not like the quantitative phase of the study and it was merely good for self-development.  Analysing the questionnaire responses and performing various statistical tests was actually enjoyable.  Lastly, I would also pace myself and the activities I undertook differently.  I got to the last three months of the project to realise that whilst completing a doctoral study is an inherently intellectual task, it is also a test of resilience and perseverance and both of which are thoroughly tested when you don’t allocate enough down time.  Given that, I think I would’ve taken some pressure off myself periodically and instead of a two relatively short holidays in three years, maybe instead had at least a week off in the sun doing nothing once a year!      </w:t>
      </w:r>
    </w:p>
    <w:sectPr w:rsidR="006243F2" w:rsidRPr="009B37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61AE" w:rsidRDefault="00D061AE" w:rsidP="00846B21">
      <w:pPr>
        <w:spacing w:line="240" w:lineRule="auto"/>
      </w:pPr>
      <w:r>
        <w:separator/>
      </w:r>
    </w:p>
  </w:endnote>
  <w:endnote w:type="continuationSeparator" w:id="0">
    <w:p w:rsidR="00D061AE" w:rsidRDefault="00D061AE" w:rsidP="00846B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7724688"/>
      <w:docPartObj>
        <w:docPartGallery w:val="Page Numbers (Bottom of Page)"/>
        <w:docPartUnique/>
      </w:docPartObj>
    </w:sdtPr>
    <w:sdtContent>
      <w:p w:rsidR="00071EBF" w:rsidRDefault="00071EBF">
        <w:pPr>
          <w:pStyle w:val="Footer"/>
          <w:jc w:val="right"/>
        </w:pPr>
        <w:r>
          <w:t xml:space="preserve">Page | </w:t>
        </w:r>
        <w:r>
          <w:fldChar w:fldCharType="begin"/>
        </w:r>
        <w:r>
          <w:instrText xml:space="preserve"> PAGE   \* MERGEFORMAT </w:instrText>
        </w:r>
        <w:r>
          <w:fldChar w:fldCharType="separate"/>
        </w:r>
        <w:r w:rsidR="003D6216">
          <w:rPr>
            <w:noProof/>
          </w:rPr>
          <w:t>20</w:t>
        </w:r>
        <w:r>
          <w:rPr>
            <w:noProof/>
          </w:rPr>
          <w:fldChar w:fldCharType="end"/>
        </w:r>
        <w:r>
          <w:t xml:space="preserve"> </w:t>
        </w:r>
      </w:p>
    </w:sdtContent>
  </w:sdt>
  <w:p w:rsidR="00071EBF" w:rsidRDefault="00071E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61AE" w:rsidRDefault="00D061AE" w:rsidP="00846B21">
      <w:pPr>
        <w:spacing w:line="240" w:lineRule="auto"/>
      </w:pPr>
      <w:r>
        <w:separator/>
      </w:r>
    </w:p>
  </w:footnote>
  <w:footnote w:type="continuationSeparator" w:id="0">
    <w:p w:rsidR="00D061AE" w:rsidRDefault="00D061AE" w:rsidP="00846B2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230FA"/>
    <w:multiLevelType w:val="multilevel"/>
    <w:tmpl w:val="491C4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93B84"/>
    <w:multiLevelType w:val="multilevel"/>
    <w:tmpl w:val="F508B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EA69E2"/>
    <w:multiLevelType w:val="hybridMultilevel"/>
    <w:tmpl w:val="C2688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6E17A9"/>
    <w:multiLevelType w:val="multilevel"/>
    <w:tmpl w:val="C8E80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A425ED"/>
    <w:multiLevelType w:val="multilevel"/>
    <w:tmpl w:val="50261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F53B1B"/>
    <w:multiLevelType w:val="multilevel"/>
    <w:tmpl w:val="7B665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D13B68"/>
    <w:multiLevelType w:val="multilevel"/>
    <w:tmpl w:val="73085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4C5E91"/>
    <w:multiLevelType w:val="hybridMultilevel"/>
    <w:tmpl w:val="FF609A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A3002FF"/>
    <w:multiLevelType w:val="multilevel"/>
    <w:tmpl w:val="4F20F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907551"/>
    <w:multiLevelType w:val="multilevel"/>
    <w:tmpl w:val="0460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DA6896"/>
    <w:multiLevelType w:val="multilevel"/>
    <w:tmpl w:val="30F20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4E4BAA"/>
    <w:multiLevelType w:val="multilevel"/>
    <w:tmpl w:val="F04E8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874DE2"/>
    <w:multiLevelType w:val="multilevel"/>
    <w:tmpl w:val="59127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4416EA"/>
    <w:multiLevelType w:val="multilevel"/>
    <w:tmpl w:val="81A03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647914"/>
    <w:multiLevelType w:val="multilevel"/>
    <w:tmpl w:val="7764A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9113DB"/>
    <w:multiLevelType w:val="multilevel"/>
    <w:tmpl w:val="BA329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8B3002"/>
    <w:multiLevelType w:val="multilevel"/>
    <w:tmpl w:val="EB748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EA7514C"/>
    <w:multiLevelType w:val="multilevel"/>
    <w:tmpl w:val="1BCCE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ECA106C"/>
    <w:multiLevelType w:val="multilevel"/>
    <w:tmpl w:val="7E143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EE107BC"/>
    <w:multiLevelType w:val="multilevel"/>
    <w:tmpl w:val="EDF45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F1C4BBA"/>
    <w:multiLevelType w:val="hybridMultilevel"/>
    <w:tmpl w:val="24B457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3211EC1"/>
    <w:multiLevelType w:val="multilevel"/>
    <w:tmpl w:val="F9E42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47154CB"/>
    <w:multiLevelType w:val="multilevel"/>
    <w:tmpl w:val="5462A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4885C7F"/>
    <w:multiLevelType w:val="multilevel"/>
    <w:tmpl w:val="3B9072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sz w:val="26"/>
        <w:vertAlign w:val="baseline"/>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5104C9F"/>
    <w:multiLevelType w:val="multilevel"/>
    <w:tmpl w:val="80B8A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6225024"/>
    <w:multiLevelType w:val="hybridMultilevel"/>
    <w:tmpl w:val="D30273F0"/>
    <w:lvl w:ilvl="0" w:tplc="3CE22806">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166D0800"/>
    <w:multiLevelType w:val="multilevel"/>
    <w:tmpl w:val="4A5AC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779277C"/>
    <w:multiLevelType w:val="hybridMultilevel"/>
    <w:tmpl w:val="FC0C167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85A7BE1"/>
    <w:multiLevelType w:val="multilevel"/>
    <w:tmpl w:val="83D87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8B57A97"/>
    <w:multiLevelType w:val="multilevel"/>
    <w:tmpl w:val="7D62A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91B56AC"/>
    <w:multiLevelType w:val="multilevel"/>
    <w:tmpl w:val="A058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B7F0054"/>
    <w:multiLevelType w:val="multilevel"/>
    <w:tmpl w:val="7E483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BC104C0"/>
    <w:multiLevelType w:val="hybridMultilevel"/>
    <w:tmpl w:val="9D542A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C977F3A"/>
    <w:multiLevelType w:val="multilevel"/>
    <w:tmpl w:val="67882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D4B6EA8"/>
    <w:multiLevelType w:val="multilevel"/>
    <w:tmpl w:val="C74E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D603355"/>
    <w:multiLevelType w:val="multilevel"/>
    <w:tmpl w:val="1B40D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D9928E1"/>
    <w:multiLevelType w:val="hybridMultilevel"/>
    <w:tmpl w:val="72348E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1EAF4ED4"/>
    <w:multiLevelType w:val="hybridMultilevel"/>
    <w:tmpl w:val="E41481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0725CCA"/>
    <w:multiLevelType w:val="multilevel"/>
    <w:tmpl w:val="D88E7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09D4C8B"/>
    <w:multiLevelType w:val="multilevel"/>
    <w:tmpl w:val="457E8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224726C"/>
    <w:multiLevelType w:val="multilevel"/>
    <w:tmpl w:val="F4669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2915A25"/>
    <w:multiLevelType w:val="multilevel"/>
    <w:tmpl w:val="0A6AE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2A12848"/>
    <w:multiLevelType w:val="multilevel"/>
    <w:tmpl w:val="1756C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2C645DC"/>
    <w:multiLevelType w:val="multilevel"/>
    <w:tmpl w:val="B5622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3687F33"/>
    <w:multiLevelType w:val="multilevel"/>
    <w:tmpl w:val="4AFA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3F47C6C"/>
    <w:multiLevelType w:val="hybridMultilevel"/>
    <w:tmpl w:val="22CEA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62217E3"/>
    <w:multiLevelType w:val="hybridMultilevel"/>
    <w:tmpl w:val="25048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72158D0"/>
    <w:multiLevelType w:val="multilevel"/>
    <w:tmpl w:val="F2648606"/>
    <w:lvl w:ilvl="0">
      <w:start w:val="9"/>
      <w:numFmt w:val="bullet"/>
      <w:lvlText w:val="-"/>
      <w:lvlJc w:val="left"/>
      <w:pPr>
        <w:tabs>
          <w:tab w:val="num" w:pos="720"/>
        </w:tabs>
        <w:ind w:left="720" w:hanging="360"/>
      </w:pPr>
      <w:rPr>
        <w:rFonts w:ascii="Calibri" w:eastAsia="Times New Roman"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72E5578"/>
    <w:multiLevelType w:val="multilevel"/>
    <w:tmpl w:val="4192C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798333D"/>
    <w:multiLevelType w:val="multilevel"/>
    <w:tmpl w:val="CD803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79959F6"/>
    <w:multiLevelType w:val="multilevel"/>
    <w:tmpl w:val="FBA82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A203759"/>
    <w:multiLevelType w:val="multilevel"/>
    <w:tmpl w:val="0A2A2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A2A4C7B"/>
    <w:multiLevelType w:val="multilevel"/>
    <w:tmpl w:val="B14AF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A3A1FA8"/>
    <w:multiLevelType w:val="multilevel"/>
    <w:tmpl w:val="370E6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A4427FA"/>
    <w:multiLevelType w:val="multilevel"/>
    <w:tmpl w:val="CF824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A507B1A"/>
    <w:multiLevelType w:val="multilevel"/>
    <w:tmpl w:val="DB5E2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AE7216E"/>
    <w:multiLevelType w:val="multilevel"/>
    <w:tmpl w:val="5CC8E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BE35961"/>
    <w:multiLevelType w:val="multilevel"/>
    <w:tmpl w:val="39DAD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D136E19"/>
    <w:multiLevelType w:val="multilevel"/>
    <w:tmpl w:val="1B584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F922DA7"/>
    <w:multiLevelType w:val="multilevel"/>
    <w:tmpl w:val="4D2E6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0D2301A"/>
    <w:multiLevelType w:val="multilevel"/>
    <w:tmpl w:val="0BA4E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0DB7F70"/>
    <w:multiLevelType w:val="multilevel"/>
    <w:tmpl w:val="8250B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17808DE"/>
    <w:multiLevelType w:val="multilevel"/>
    <w:tmpl w:val="B8762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1E13C15"/>
    <w:multiLevelType w:val="multilevel"/>
    <w:tmpl w:val="504AA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2231873"/>
    <w:multiLevelType w:val="multilevel"/>
    <w:tmpl w:val="56B6E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224416F"/>
    <w:multiLevelType w:val="multilevel"/>
    <w:tmpl w:val="E700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42108CA"/>
    <w:multiLevelType w:val="multilevel"/>
    <w:tmpl w:val="CACA2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4D75FB8"/>
    <w:multiLevelType w:val="multilevel"/>
    <w:tmpl w:val="C4C8E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7520E29"/>
    <w:multiLevelType w:val="multilevel"/>
    <w:tmpl w:val="D6B81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76F6953"/>
    <w:multiLevelType w:val="multilevel"/>
    <w:tmpl w:val="A5006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7853A47"/>
    <w:multiLevelType w:val="multilevel"/>
    <w:tmpl w:val="EB969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78930E0"/>
    <w:multiLevelType w:val="multilevel"/>
    <w:tmpl w:val="871CC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8887F85"/>
    <w:multiLevelType w:val="multilevel"/>
    <w:tmpl w:val="CF3EF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9250C95"/>
    <w:multiLevelType w:val="multilevel"/>
    <w:tmpl w:val="CB761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A6F638D"/>
    <w:multiLevelType w:val="multilevel"/>
    <w:tmpl w:val="E924B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CA00859"/>
    <w:multiLevelType w:val="multilevel"/>
    <w:tmpl w:val="F7701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D424DF9"/>
    <w:multiLevelType w:val="multilevel"/>
    <w:tmpl w:val="05C80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D594659"/>
    <w:multiLevelType w:val="multilevel"/>
    <w:tmpl w:val="FFB8C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D6C07AD"/>
    <w:multiLevelType w:val="multilevel"/>
    <w:tmpl w:val="4962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D9832AF"/>
    <w:multiLevelType w:val="multilevel"/>
    <w:tmpl w:val="52449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DE37F2B"/>
    <w:multiLevelType w:val="multilevel"/>
    <w:tmpl w:val="CB60E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EDB241F"/>
    <w:multiLevelType w:val="hybridMultilevel"/>
    <w:tmpl w:val="5A981640"/>
    <w:lvl w:ilvl="0" w:tplc="6FC43ABA">
      <w:start w:val="1"/>
      <w:numFmt w:val="decimal"/>
      <w:lvlText w:val="%1)"/>
      <w:lvlJc w:val="left"/>
      <w:pPr>
        <w:ind w:left="720" w:hanging="360"/>
      </w:pPr>
      <w:rPr>
        <w:rFonts w:ascii="Calibri" w:eastAsia="Times New Roman" w:hAnsi="Calibri" w:cs="Calibri"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3F4B5372"/>
    <w:multiLevelType w:val="hybridMultilevel"/>
    <w:tmpl w:val="C7163CBC"/>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42114F8E"/>
    <w:multiLevelType w:val="multilevel"/>
    <w:tmpl w:val="7EC6E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31835D6"/>
    <w:multiLevelType w:val="multilevel"/>
    <w:tmpl w:val="04405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3D45715"/>
    <w:multiLevelType w:val="multilevel"/>
    <w:tmpl w:val="2F9265AC"/>
    <w:lvl w:ilvl="0">
      <w:start w:val="9"/>
      <w:numFmt w:val="bullet"/>
      <w:lvlText w:val="-"/>
      <w:lvlJc w:val="left"/>
      <w:pPr>
        <w:tabs>
          <w:tab w:val="num" w:pos="720"/>
        </w:tabs>
        <w:ind w:left="720" w:hanging="360"/>
      </w:pPr>
      <w:rPr>
        <w:rFonts w:ascii="Calibri" w:eastAsia="Times New Roman"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3FB3C01"/>
    <w:multiLevelType w:val="multilevel"/>
    <w:tmpl w:val="490A8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4B16BEB"/>
    <w:multiLevelType w:val="multilevel"/>
    <w:tmpl w:val="CDACD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8494979"/>
    <w:multiLevelType w:val="multilevel"/>
    <w:tmpl w:val="F522B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87B6B2B"/>
    <w:multiLevelType w:val="hybridMultilevel"/>
    <w:tmpl w:val="1C1E24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48FA6395"/>
    <w:multiLevelType w:val="multilevel"/>
    <w:tmpl w:val="3746F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A0C76C8"/>
    <w:multiLevelType w:val="multilevel"/>
    <w:tmpl w:val="2F66A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B1A5B7D"/>
    <w:multiLevelType w:val="multilevel"/>
    <w:tmpl w:val="02388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B4A27B7"/>
    <w:multiLevelType w:val="multilevel"/>
    <w:tmpl w:val="C4AE0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CB336CA"/>
    <w:multiLevelType w:val="multilevel"/>
    <w:tmpl w:val="361066B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D701716"/>
    <w:multiLevelType w:val="multilevel"/>
    <w:tmpl w:val="C4AC71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45" w:hanging="465"/>
      </w:pPr>
      <w:rPr>
        <w:rFonts w:hint="default"/>
        <w:color w:val="000000"/>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DED3F6F"/>
    <w:multiLevelType w:val="hybridMultilevel"/>
    <w:tmpl w:val="8A9AC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4E764B25"/>
    <w:multiLevelType w:val="hybridMultilevel"/>
    <w:tmpl w:val="41F6E5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EC05C51"/>
    <w:multiLevelType w:val="multilevel"/>
    <w:tmpl w:val="D1F07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FFE7D15"/>
    <w:multiLevelType w:val="multilevel"/>
    <w:tmpl w:val="B882E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FFF3453"/>
    <w:multiLevelType w:val="multilevel"/>
    <w:tmpl w:val="1F344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0341C3F"/>
    <w:multiLevelType w:val="multilevel"/>
    <w:tmpl w:val="9740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0A50687"/>
    <w:multiLevelType w:val="multilevel"/>
    <w:tmpl w:val="4490A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194699C"/>
    <w:multiLevelType w:val="multilevel"/>
    <w:tmpl w:val="BA0CD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1E45076"/>
    <w:multiLevelType w:val="multilevel"/>
    <w:tmpl w:val="0C963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2BD7209"/>
    <w:multiLevelType w:val="multilevel"/>
    <w:tmpl w:val="439AB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3AA6489"/>
    <w:multiLevelType w:val="hybridMultilevel"/>
    <w:tmpl w:val="498A810A"/>
    <w:lvl w:ilvl="0" w:tplc="FDD2FF5E">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3EF36ED"/>
    <w:multiLevelType w:val="multilevel"/>
    <w:tmpl w:val="A6CC8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43E159C"/>
    <w:multiLevelType w:val="multilevel"/>
    <w:tmpl w:val="5FBAD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4F200CF"/>
    <w:multiLevelType w:val="multilevel"/>
    <w:tmpl w:val="6DF83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5AB3D7F"/>
    <w:multiLevelType w:val="hybridMultilevel"/>
    <w:tmpl w:val="D39C990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7300FE1"/>
    <w:multiLevelType w:val="multilevel"/>
    <w:tmpl w:val="D7404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73D15D5"/>
    <w:multiLevelType w:val="multilevel"/>
    <w:tmpl w:val="6A941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8B25C43"/>
    <w:multiLevelType w:val="multilevel"/>
    <w:tmpl w:val="6AA0D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90B4071"/>
    <w:multiLevelType w:val="multilevel"/>
    <w:tmpl w:val="D416E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92E739A"/>
    <w:multiLevelType w:val="multilevel"/>
    <w:tmpl w:val="685AB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9E448ED"/>
    <w:multiLevelType w:val="multilevel"/>
    <w:tmpl w:val="E5F45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CF60743"/>
    <w:multiLevelType w:val="multilevel"/>
    <w:tmpl w:val="9B3E1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D4D1F13"/>
    <w:multiLevelType w:val="multilevel"/>
    <w:tmpl w:val="9E34C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ED31AEA"/>
    <w:multiLevelType w:val="multilevel"/>
    <w:tmpl w:val="872C42BE"/>
    <w:lvl w:ilvl="0">
      <w:start w:val="9"/>
      <w:numFmt w:val="bullet"/>
      <w:lvlText w:val="-"/>
      <w:lvlJc w:val="left"/>
      <w:pPr>
        <w:tabs>
          <w:tab w:val="num" w:pos="720"/>
        </w:tabs>
        <w:ind w:left="720" w:hanging="360"/>
      </w:pPr>
      <w:rPr>
        <w:rFonts w:ascii="Calibri" w:eastAsia="Times New Roman"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0A31768"/>
    <w:multiLevelType w:val="multilevel"/>
    <w:tmpl w:val="26563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30C0713"/>
    <w:multiLevelType w:val="multilevel"/>
    <w:tmpl w:val="3C5AD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3950971"/>
    <w:multiLevelType w:val="multilevel"/>
    <w:tmpl w:val="BB8EB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3D65686"/>
    <w:multiLevelType w:val="multilevel"/>
    <w:tmpl w:val="4DC29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670871B8"/>
    <w:multiLevelType w:val="multilevel"/>
    <w:tmpl w:val="BD0A9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8414D87"/>
    <w:multiLevelType w:val="multilevel"/>
    <w:tmpl w:val="0E261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8972543"/>
    <w:multiLevelType w:val="multilevel"/>
    <w:tmpl w:val="4D0E6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97A30D6"/>
    <w:multiLevelType w:val="multilevel"/>
    <w:tmpl w:val="59EE8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A4D572E"/>
    <w:multiLevelType w:val="multilevel"/>
    <w:tmpl w:val="AB1CF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ACB41BF"/>
    <w:multiLevelType w:val="multilevel"/>
    <w:tmpl w:val="D9843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B1B2AF0"/>
    <w:multiLevelType w:val="multilevel"/>
    <w:tmpl w:val="D1BA4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B4620DE"/>
    <w:multiLevelType w:val="multilevel"/>
    <w:tmpl w:val="58DC6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DEE1CE5"/>
    <w:multiLevelType w:val="multilevel"/>
    <w:tmpl w:val="84E0F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E3D59A8"/>
    <w:multiLevelType w:val="multilevel"/>
    <w:tmpl w:val="82F22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EE765CC"/>
    <w:multiLevelType w:val="hybridMultilevel"/>
    <w:tmpl w:val="3A4AAD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6EF622B2"/>
    <w:multiLevelType w:val="hybridMultilevel"/>
    <w:tmpl w:val="8A2673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7030204E"/>
    <w:multiLevelType w:val="multilevel"/>
    <w:tmpl w:val="F22AB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0694120"/>
    <w:multiLevelType w:val="multilevel"/>
    <w:tmpl w:val="3F921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10807E0"/>
    <w:multiLevelType w:val="multilevel"/>
    <w:tmpl w:val="A440C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2562469"/>
    <w:multiLevelType w:val="multilevel"/>
    <w:tmpl w:val="07603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2A97D8A"/>
    <w:multiLevelType w:val="multilevel"/>
    <w:tmpl w:val="E93A0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40C4C73"/>
    <w:multiLevelType w:val="hybridMultilevel"/>
    <w:tmpl w:val="3132A50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74676A48"/>
    <w:multiLevelType w:val="multilevel"/>
    <w:tmpl w:val="277AD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4791569"/>
    <w:multiLevelType w:val="multilevel"/>
    <w:tmpl w:val="398C3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4E54E5F"/>
    <w:multiLevelType w:val="hybridMultilevel"/>
    <w:tmpl w:val="D23AB5C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5" w15:restartNumberingAfterBreak="0">
    <w:nsid w:val="75771A8F"/>
    <w:multiLevelType w:val="multilevel"/>
    <w:tmpl w:val="4B022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89B229B"/>
    <w:multiLevelType w:val="multilevel"/>
    <w:tmpl w:val="B1126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8B518B6"/>
    <w:multiLevelType w:val="hybridMultilevel"/>
    <w:tmpl w:val="53DA641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8" w15:restartNumberingAfterBreak="0">
    <w:nsid w:val="7A055C13"/>
    <w:multiLevelType w:val="multilevel"/>
    <w:tmpl w:val="11E25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A612F79"/>
    <w:multiLevelType w:val="multilevel"/>
    <w:tmpl w:val="F3209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AD22FF8"/>
    <w:multiLevelType w:val="multilevel"/>
    <w:tmpl w:val="01D47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AE5710B"/>
    <w:multiLevelType w:val="multilevel"/>
    <w:tmpl w:val="EE0E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C7A1DEF"/>
    <w:multiLevelType w:val="multilevel"/>
    <w:tmpl w:val="14C4E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CD96B64"/>
    <w:multiLevelType w:val="multilevel"/>
    <w:tmpl w:val="56B6E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D0B73A2"/>
    <w:multiLevelType w:val="multilevel"/>
    <w:tmpl w:val="B7EA2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DC1390F"/>
    <w:multiLevelType w:val="multilevel"/>
    <w:tmpl w:val="718A1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7E1C5CB1"/>
    <w:multiLevelType w:val="multilevel"/>
    <w:tmpl w:val="9BDA8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EE44F7D"/>
    <w:multiLevelType w:val="multilevel"/>
    <w:tmpl w:val="4782A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7F815E37"/>
    <w:multiLevelType w:val="multilevel"/>
    <w:tmpl w:val="736A0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1"/>
  </w:num>
  <w:num w:numId="2">
    <w:abstractNumId w:val="124"/>
  </w:num>
  <w:num w:numId="3">
    <w:abstractNumId w:val="17"/>
  </w:num>
  <w:num w:numId="4">
    <w:abstractNumId w:val="8"/>
  </w:num>
  <w:num w:numId="5">
    <w:abstractNumId w:val="28"/>
  </w:num>
  <w:num w:numId="6">
    <w:abstractNumId w:val="127"/>
  </w:num>
  <w:num w:numId="7">
    <w:abstractNumId w:val="79"/>
  </w:num>
  <w:num w:numId="8">
    <w:abstractNumId w:val="72"/>
  </w:num>
  <w:num w:numId="9">
    <w:abstractNumId w:val="158"/>
  </w:num>
  <w:num w:numId="10">
    <w:abstractNumId w:val="10"/>
  </w:num>
  <w:num w:numId="11">
    <w:abstractNumId w:val="53"/>
  </w:num>
  <w:num w:numId="12">
    <w:abstractNumId w:val="9"/>
  </w:num>
  <w:num w:numId="13">
    <w:abstractNumId w:val="6"/>
  </w:num>
  <w:num w:numId="14">
    <w:abstractNumId w:val="65"/>
  </w:num>
  <w:num w:numId="15">
    <w:abstractNumId w:val="69"/>
  </w:num>
  <w:num w:numId="16">
    <w:abstractNumId w:val="41"/>
  </w:num>
  <w:num w:numId="17">
    <w:abstractNumId w:val="80"/>
  </w:num>
  <w:num w:numId="18">
    <w:abstractNumId w:val="108"/>
  </w:num>
  <w:num w:numId="19">
    <w:abstractNumId w:val="155"/>
  </w:num>
  <w:num w:numId="20">
    <w:abstractNumId w:val="77"/>
  </w:num>
  <w:num w:numId="21">
    <w:abstractNumId w:val="52"/>
  </w:num>
  <w:num w:numId="22">
    <w:abstractNumId w:val="113"/>
  </w:num>
  <w:num w:numId="23">
    <w:abstractNumId w:val="58"/>
  </w:num>
  <w:num w:numId="24">
    <w:abstractNumId w:val="59"/>
  </w:num>
  <w:num w:numId="25">
    <w:abstractNumId w:val="154"/>
  </w:num>
  <w:num w:numId="26">
    <w:abstractNumId w:val="146"/>
  </w:num>
  <w:num w:numId="27">
    <w:abstractNumId w:val="88"/>
  </w:num>
  <w:num w:numId="28">
    <w:abstractNumId w:val="76"/>
  </w:num>
  <w:num w:numId="29">
    <w:abstractNumId w:val="40"/>
  </w:num>
  <w:num w:numId="30">
    <w:abstractNumId w:val="93"/>
  </w:num>
  <w:num w:numId="31">
    <w:abstractNumId w:val="145"/>
  </w:num>
  <w:num w:numId="32">
    <w:abstractNumId w:val="157"/>
  </w:num>
  <w:num w:numId="33">
    <w:abstractNumId w:val="84"/>
  </w:num>
  <w:num w:numId="34">
    <w:abstractNumId w:val="90"/>
  </w:num>
  <w:num w:numId="35">
    <w:abstractNumId w:val="114"/>
  </w:num>
  <w:num w:numId="36">
    <w:abstractNumId w:val="12"/>
  </w:num>
  <w:num w:numId="37">
    <w:abstractNumId w:val="68"/>
  </w:num>
  <w:num w:numId="38">
    <w:abstractNumId w:val="109"/>
  </w:num>
  <w:num w:numId="39">
    <w:abstractNumId w:val="92"/>
  </w:num>
  <w:num w:numId="40">
    <w:abstractNumId w:val="15"/>
  </w:num>
  <w:num w:numId="41">
    <w:abstractNumId w:val="37"/>
  </w:num>
  <w:num w:numId="42">
    <w:abstractNumId w:val="4"/>
  </w:num>
  <w:num w:numId="43">
    <w:abstractNumId w:val="140"/>
  </w:num>
  <w:num w:numId="44">
    <w:abstractNumId w:val="136"/>
  </w:num>
  <w:num w:numId="45">
    <w:abstractNumId w:val="43"/>
  </w:num>
  <w:num w:numId="46">
    <w:abstractNumId w:val="151"/>
  </w:num>
  <w:num w:numId="47">
    <w:abstractNumId w:val="49"/>
  </w:num>
  <w:num w:numId="48">
    <w:abstractNumId w:val="39"/>
  </w:num>
  <w:num w:numId="49">
    <w:abstractNumId w:val="105"/>
  </w:num>
  <w:num w:numId="50">
    <w:abstractNumId w:val="19"/>
  </w:num>
  <w:num w:numId="51">
    <w:abstractNumId w:val="129"/>
  </w:num>
  <w:num w:numId="52">
    <w:abstractNumId w:val="149"/>
  </w:num>
  <w:num w:numId="53">
    <w:abstractNumId w:val="42"/>
  </w:num>
  <w:num w:numId="54">
    <w:abstractNumId w:val="128"/>
  </w:num>
  <w:num w:numId="55">
    <w:abstractNumId w:val="63"/>
  </w:num>
  <w:num w:numId="56">
    <w:abstractNumId w:val="31"/>
  </w:num>
  <w:num w:numId="57">
    <w:abstractNumId w:val="103"/>
  </w:num>
  <w:num w:numId="58">
    <w:abstractNumId w:val="123"/>
  </w:num>
  <w:num w:numId="59">
    <w:abstractNumId w:val="74"/>
  </w:num>
  <w:num w:numId="60">
    <w:abstractNumId w:val="115"/>
  </w:num>
  <w:num w:numId="61">
    <w:abstractNumId w:val="134"/>
  </w:num>
  <w:num w:numId="62">
    <w:abstractNumId w:val="153"/>
  </w:num>
  <w:num w:numId="63">
    <w:abstractNumId w:val="67"/>
  </w:num>
  <w:num w:numId="64">
    <w:abstractNumId w:val="117"/>
  </w:num>
  <w:num w:numId="65">
    <w:abstractNumId w:val="107"/>
  </w:num>
  <w:num w:numId="66">
    <w:abstractNumId w:val="86"/>
  </w:num>
  <w:num w:numId="67">
    <w:abstractNumId w:val="142"/>
  </w:num>
  <w:num w:numId="68">
    <w:abstractNumId w:val="131"/>
  </w:num>
  <w:num w:numId="69">
    <w:abstractNumId w:val="132"/>
  </w:num>
  <w:num w:numId="70">
    <w:abstractNumId w:val="70"/>
  </w:num>
  <w:num w:numId="71">
    <w:abstractNumId w:val="118"/>
  </w:num>
  <w:num w:numId="72">
    <w:abstractNumId w:val="16"/>
  </w:num>
  <w:num w:numId="73">
    <w:abstractNumId w:val="35"/>
  </w:num>
  <w:num w:numId="74">
    <w:abstractNumId w:val="24"/>
  </w:num>
  <w:num w:numId="75">
    <w:abstractNumId w:val="125"/>
  </w:num>
  <w:num w:numId="76">
    <w:abstractNumId w:val="116"/>
  </w:num>
  <w:num w:numId="77">
    <w:abstractNumId w:val="112"/>
  </w:num>
  <w:num w:numId="78">
    <w:abstractNumId w:val="87"/>
  </w:num>
  <w:num w:numId="79">
    <w:abstractNumId w:val="121"/>
  </w:num>
  <w:num w:numId="80">
    <w:abstractNumId w:val="120"/>
  </w:num>
  <w:num w:numId="81">
    <w:abstractNumId w:val="1"/>
  </w:num>
  <w:num w:numId="82">
    <w:abstractNumId w:val="3"/>
  </w:num>
  <w:num w:numId="83">
    <w:abstractNumId w:val="54"/>
  </w:num>
  <w:num w:numId="84">
    <w:abstractNumId w:val="51"/>
  </w:num>
  <w:num w:numId="85">
    <w:abstractNumId w:val="21"/>
  </w:num>
  <w:num w:numId="86">
    <w:abstractNumId w:val="48"/>
  </w:num>
  <w:num w:numId="87">
    <w:abstractNumId w:val="99"/>
  </w:num>
  <w:num w:numId="88">
    <w:abstractNumId w:val="137"/>
  </w:num>
  <w:num w:numId="89">
    <w:abstractNumId w:val="14"/>
  </w:num>
  <w:num w:numId="90">
    <w:abstractNumId w:val="30"/>
  </w:num>
  <w:num w:numId="91">
    <w:abstractNumId w:val="55"/>
  </w:num>
  <w:num w:numId="92">
    <w:abstractNumId w:val="13"/>
  </w:num>
  <w:num w:numId="93">
    <w:abstractNumId w:val="71"/>
  </w:num>
  <w:num w:numId="94">
    <w:abstractNumId w:val="33"/>
  </w:num>
  <w:num w:numId="95">
    <w:abstractNumId w:val="122"/>
  </w:num>
  <w:num w:numId="96">
    <w:abstractNumId w:val="22"/>
  </w:num>
  <w:num w:numId="97">
    <w:abstractNumId w:val="139"/>
  </w:num>
  <w:num w:numId="98">
    <w:abstractNumId w:val="66"/>
  </w:num>
  <w:num w:numId="99">
    <w:abstractNumId w:val="138"/>
  </w:num>
  <w:num w:numId="100">
    <w:abstractNumId w:val="26"/>
  </w:num>
  <w:num w:numId="101">
    <w:abstractNumId w:val="18"/>
  </w:num>
  <w:num w:numId="102">
    <w:abstractNumId w:val="152"/>
  </w:num>
  <w:num w:numId="103">
    <w:abstractNumId w:val="5"/>
  </w:num>
  <w:num w:numId="104">
    <w:abstractNumId w:val="101"/>
  </w:num>
  <w:num w:numId="105">
    <w:abstractNumId w:val="78"/>
  </w:num>
  <w:num w:numId="106">
    <w:abstractNumId w:val="156"/>
  </w:num>
  <w:num w:numId="107">
    <w:abstractNumId w:val="61"/>
  </w:num>
  <w:num w:numId="108">
    <w:abstractNumId w:val="44"/>
  </w:num>
  <w:num w:numId="109">
    <w:abstractNumId w:val="83"/>
  </w:num>
  <w:num w:numId="110">
    <w:abstractNumId w:val="102"/>
  </w:num>
  <w:num w:numId="111">
    <w:abstractNumId w:val="57"/>
  </w:num>
  <w:num w:numId="112">
    <w:abstractNumId w:val="143"/>
  </w:num>
  <w:num w:numId="113">
    <w:abstractNumId w:val="126"/>
  </w:num>
  <w:num w:numId="114">
    <w:abstractNumId w:val="64"/>
  </w:num>
  <w:num w:numId="115">
    <w:abstractNumId w:val="150"/>
  </w:num>
  <w:num w:numId="116">
    <w:abstractNumId w:val="56"/>
  </w:num>
  <w:num w:numId="117">
    <w:abstractNumId w:val="50"/>
  </w:num>
  <w:num w:numId="118">
    <w:abstractNumId w:val="95"/>
  </w:num>
  <w:num w:numId="119">
    <w:abstractNumId w:val="96"/>
  </w:num>
  <w:num w:numId="120">
    <w:abstractNumId w:val="73"/>
  </w:num>
  <w:num w:numId="121">
    <w:abstractNumId w:val="148"/>
  </w:num>
  <w:num w:numId="122">
    <w:abstractNumId w:val="130"/>
  </w:num>
  <w:num w:numId="123">
    <w:abstractNumId w:val="60"/>
  </w:num>
  <w:num w:numId="124">
    <w:abstractNumId w:val="75"/>
  </w:num>
  <w:num w:numId="125">
    <w:abstractNumId w:val="38"/>
  </w:num>
  <w:num w:numId="126">
    <w:abstractNumId w:val="98"/>
  </w:num>
  <w:num w:numId="127">
    <w:abstractNumId w:val="34"/>
  </w:num>
  <w:num w:numId="128">
    <w:abstractNumId w:val="11"/>
  </w:num>
  <w:num w:numId="129">
    <w:abstractNumId w:val="62"/>
  </w:num>
  <w:num w:numId="130">
    <w:abstractNumId w:val="111"/>
  </w:num>
  <w:num w:numId="131">
    <w:abstractNumId w:val="29"/>
  </w:num>
  <w:num w:numId="132">
    <w:abstractNumId w:val="133"/>
  </w:num>
  <w:num w:numId="133">
    <w:abstractNumId w:val="0"/>
  </w:num>
  <w:num w:numId="134">
    <w:abstractNumId w:val="23"/>
  </w:num>
  <w:num w:numId="135">
    <w:abstractNumId w:val="100"/>
  </w:num>
  <w:num w:numId="136">
    <w:abstractNumId w:val="104"/>
  </w:num>
  <w:num w:numId="137">
    <w:abstractNumId w:val="25"/>
  </w:num>
  <w:num w:numId="138">
    <w:abstractNumId w:val="97"/>
  </w:num>
  <w:num w:numId="139">
    <w:abstractNumId w:val="36"/>
  </w:num>
  <w:num w:numId="140">
    <w:abstractNumId w:val="89"/>
  </w:num>
  <w:num w:numId="141">
    <w:abstractNumId w:val="82"/>
  </w:num>
  <w:num w:numId="142">
    <w:abstractNumId w:val="2"/>
  </w:num>
  <w:num w:numId="143">
    <w:abstractNumId w:val="7"/>
  </w:num>
  <w:num w:numId="144">
    <w:abstractNumId w:val="141"/>
  </w:num>
  <w:num w:numId="145">
    <w:abstractNumId w:val="27"/>
  </w:num>
  <w:num w:numId="146">
    <w:abstractNumId w:val="46"/>
  </w:num>
  <w:num w:numId="147">
    <w:abstractNumId w:val="45"/>
  </w:num>
  <w:num w:numId="148">
    <w:abstractNumId w:val="20"/>
  </w:num>
  <w:num w:numId="149">
    <w:abstractNumId w:val="32"/>
  </w:num>
  <w:num w:numId="150">
    <w:abstractNumId w:val="135"/>
  </w:num>
  <w:num w:numId="151">
    <w:abstractNumId w:val="144"/>
  </w:num>
  <w:num w:numId="152">
    <w:abstractNumId w:val="147"/>
  </w:num>
  <w:num w:numId="153">
    <w:abstractNumId w:val="81"/>
  </w:num>
  <w:num w:numId="154">
    <w:abstractNumId w:val="106"/>
  </w:num>
  <w:num w:numId="155">
    <w:abstractNumId w:val="119"/>
  </w:num>
  <w:num w:numId="156">
    <w:abstractNumId w:val="94"/>
  </w:num>
  <w:num w:numId="157">
    <w:abstractNumId w:val="47"/>
  </w:num>
  <w:num w:numId="158">
    <w:abstractNumId w:val="85"/>
  </w:num>
  <w:num w:numId="159">
    <w:abstractNumId w:val="110"/>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286"/>
    <w:rsid w:val="00003500"/>
    <w:rsid w:val="000071BC"/>
    <w:rsid w:val="00007AD7"/>
    <w:rsid w:val="00010668"/>
    <w:rsid w:val="00011CA4"/>
    <w:rsid w:val="00013BD7"/>
    <w:rsid w:val="00014961"/>
    <w:rsid w:val="00016BA1"/>
    <w:rsid w:val="00022E3D"/>
    <w:rsid w:val="0002362E"/>
    <w:rsid w:val="0002377E"/>
    <w:rsid w:val="000332E6"/>
    <w:rsid w:val="00033ECC"/>
    <w:rsid w:val="00037CBA"/>
    <w:rsid w:val="00047325"/>
    <w:rsid w:val="0005387D"/>
    <w:rsid w:val="000549D0"/>
    <w:rsid w:val="00057549"/>
    <w:rsid w:val="00060331"/>
    <w:rsid w:val="00060867"/>
    <w:rsid w:val="000623D3"/>
    <w:rsid w:val="00071EBF"/>
    <w:rsid w:val="00073321"/>
    <w:rsid w:val="00084B45"/>
    <w:rsid w:val="00085FA1"/>
    <w:rsid w:val="00090345"/>
    <w:rsid w:val="000938C9"/>
    <w:rsid w:val="00093921"/>
    <w:rsid w:val="00094059"/>
    <w:rsid w:val="00096719"/>
    <w:rsid w:val="000A09B8"/>
    <w:rsid w:val="000A3628"/>
    <w:rsid w:val="000A6764"/>
    <w:rsid w:val="000B34B1"/>
    <w:rsid w:val="000B560C"/>
    <w:rsid w:val="000C0F68"/>
    <w:rsid w:val="000C58B7"/>
    <w:rsid w:val="000C5E75"/>
    <w:rsid w:val="000C6FEB"/>
    <w:rsid w:val="000C7161"/>
    <w:rsid w:val="000C7C6F"/>
    <w:rsid w:val="000D3DF5"/>
    <w:rsid w:val="000D684A"/>
    <w:rsid w:val="000E58B2"/>
    <w:rsid w:val="000E5B04"/>
    <w:rsid w:val="000E6978"/>
    <w:rsid w:val="000E7944"/>
    <w:rsid w:val="000F1F39"/>
    <w:rsid w:val="000F2429"/>
    <w:rsid w:val="000F38B0"/>
    <w:rsid w:val="000F571F"/>
    <w:rsid w:val="000F63EB"/>
    <w:rsid w:val="000F73E5"/>
    <w:rsid w:val="0010136F"/>
    <w:rsid w:val="00116832"/>
    <w:rsid w:val="00116E0C"/>
    <w:rsid w:val="001217DC"/>
    <w:rsid w:val="001230CB"/>
    <w:rsid w:val="00133672"/>
    <w:rsid w:val="00143009"/>
    <w:rsid w:val="001512B6"/>
    <w:rsid w:val="00154224"/>
    <w:rsid w:val="00155D43"/>
    <w:rsid w:val="00157D98"/>
    <w:rsid w:val="00157ED8"/>
    <w:rsid w:val="00161F38"/>
    <w:rsid w:val="001667C7"/>
    <w:rsid w:val="0016744F"/>
    <w:rsid w:val="0017267C"/>
    <w:rsid w:val="00184F66"/>
    <w:rsid w:val="0018582B"/>
    <w:rsid w:val="001971CC"/>
    <w:rsid w:val="001A2F63"/>
    <w:rsid w:val="001A382F"/>
    <w:rsid w:val="001A49F5"/>
    <w:rsid w:val="001A574B"/>
    <w:rsid w:val="001A78AF"/>
    <w:rsid w:val="001B2292"/>
    <w:rsid w:val="001C14BD"/>
    <w:rsid w:val="001C33BA"/>
    <w:rsid w:val="001C57AA"/>
    <w:rsid w:val="001D63C6"/>
    <w:rsid w:val="001D6EEB"/>
    <w:rsid w:val="001E09C2"/>
    <w:rsid w:val="001E407C"/>
    <w:rsid w:val="001E46A0"/>
    <w:rsid w:val="001E7173"/>
    <w:rsid w:val="001F55B9"/>
    <w:rsid w:val="00206BAB"/>
    <w:rsid w:val="00215FCA"/>
    <w:rsid w:val="002179F1"/>
    <w:rsid w:val="002224C3"/>
    <w:rsid w:val="00224C9C"/>
    <w:rsid w:val="00232D7D"/>
    <w:rsid w:val="002337A3"/>
    <w:rsid w:val="00236EC3"/>
    <w:rsid w:val="0024307E"/>
    <w:rsid w:val="00243E8B"/>
    <w:rsid w:val="0024413F"/>
    <w:rsid w:val="00254623"/>
    <w:rsid w:val="0025486F"/>
    <w:rsid w:val="00256CB0"/>
    <w:rsid w:val="0026185B"/>
    <w:rsid w:val="00262CD5"/>
    <w:rsid w:val="0026414C"/>
    <w:rsid w:val="00264621"/>
    <w:rsid w:val="002651EC"/>
    <w:rsid w:val="002727ED"/>
    <w:rsid w:val="00273991"/>
    <w:rsid w:val="00273A2D"/>
    <w:rsid w:val="00281979"/>
    <w:rsid w:val="00287EEA"/>
    <w:rsid w:val="002968BD"/>
    <w:rsid w:val="002977A1"/>
    <w:rsid w:val="00297D76"/>
    <w:rsid w:val="002A1D40"/>
    <w:rsid w:val="002A2FA6"/>
    <w:rsid w:val="002A3A24"/>
    <w:rsid w:val="002B3E12"/>
    <w:rsid w:val="002B40DD"/>
    <w:rsid w:val="002B6EFF"/>
    <w:rsid w:val="002C1405"/>
    <w:rsid w:val="002C2432"/>
    <w:rsid w:val="002C6470"/>
    <w:rsid w:val="002D0012"/>
    <w:rsid w:val="002D0099"/>
    <w:rsid w:val="002D3653"/>
    <w:rsid w:val="002E55FF"/>
    <w:rsid w:val="002E65A4"/>
    <w:rsid w:val="002F6890"/>
    <w:rsid w:val="002F70C0"/>
    <w:rsid w:val="0030128E"/>
    <w:rsid w:val="00305C23"/>
    <w:rsid w:val="00317603"/>
    <w:rsid w:val="0032751E"/>
    <w:rsid w:val="00330975"/>
    <w:rsid w:val="003373FE"/>
    <w:rsid w:val="00344F24"/>
    <w:rsid w:val="00345630"/>
    <w:rsid w:val="0034616E"/>
    <w:rsid w:val="003470FB"/>
    <w:rsid w:val="003508E0"/>
    <w:rsid w:val="003512B4"/>
    <w:rsid w:val="00356882"/>
    <w:rsid w:val="003579FA"/>
    <w:rsid w:val="00357F33"/>
    <w:rsid w:val="00364D0C"/>
    <w:rsid w:val="00365AB5"/>
    <w:rsid w:val="00371430"/>
    <w:rsid w:val="003757C6"/>
    <w:rsid w:val="00376E2C"/>
    <w:rsid w:val="00377EB3"/>
    <w:rsid w:val="00381E52"/>
    <w:rsid w:val="003830BA"/>
    <w:rsid w:val="003856F8"/>
    <w:rsid w:val="00387C87"/>
    <w:rsid w:val="00391D99"/>
    <w:rsid w:val="003931E6"/>
    <w:rsid w:val="00393968"/>
    <w:rsid w:val="00395650"/>
    <w:rsid w:val="0039768F"/>
    <w:rsid w:val="003A01B8"/>
    <w:rsid w:val="003A51BD"/>
    <w:rsid w:val="003B1826"/>
    <w:rsid w:val="003B259B"/>
    <w:rsid w:val="003B3C78"/>
    <w:rsid w:val="003C4342"/>
    <w:rsid w:val="003D10D3"/>
    <w:rsid w:val="003D2B10"/>
    <w:rsid w:val="003D3987"/>
    <w:rsid w:val="003D6216"/>
    <w:rsid w:val="003D781F"/>
    <w:rsid w:val="003E258C"/>
    <w:rsid w:val="003E279B"/>
    <w:rsid w:val="003E7917"/>
    <w:rsid w:val="003E7F77"/>
    <w:rsid w:val="003F074B"/>
    <w:rsid w:val="003F10B1"/>
    <w:rsid w:val="003F1507"/>
    <w:rsid w:val="003F305F"/>
    <w:rsid w:val="003F4710"/>
    <w:rsid w:val="003F4A2E"/>
    <w:rsid w:val="0040630E"/>
    <w:rsid w:val="004064F1"/>
    <w:rsid w:val="00410AD0"/>
    <w:rsid w:val="00413889"/>
    <w:rsid w:val="0041720E"/>
    <w:rsid w:val="00417B2F"/>
    <w:rsid w:val="004202FB"/>
    <w:rsid w:val="004237AA"/>
    <w:rsid w:val="004237EA"/>
    <w:rsid w:val="0043088C"/>
    <w:rsid w:val="0043140D"/>
    <w:rsid w:val="0043373D"/>
    <w:rsid w:val="0044293B"/>
    <w:rsid w:val="00443419"/>
    <w:rsid w:val="00447C3D"/>
    <w:rsid w:val="00457EAE"/>
    <w:rsid w:val="00461D3C"/>
    <w:rsid w:val="00463B30"/>
    <w:rsid w:val="00464133"/>
    <w:rsid w:val="00466E1F"/>
    <w:rsid w:val="00467CB0"/>
    <w:rsid w:val="00467FA8"/>
    <w:rsid w:val="0047189B"/>
    <w:rsid w:val="004777DD"/>
    <w:rsid w:val="00484675"/>
    <w:rsid w:val="004862DC"/>
    <w:rsid w:val="00487309"/>
    <w:rsid w:val="004944F2"/>
    <w:rsid w:val="004953A7"/>
    <w:rsid w:val="004975EA"/>
    <w:rsid w:val="004A38CB"/>
    <w:rsid w:val="004A397C"/>
    <w:rsid w:val="004A5E0C"/>
    <w:rsid w:val="004B073C"/>
    <w:rsid w:val="004B33AC"/>
    <w:rsid w:val="004B590A"/>
    <w:rsid w:val="004B6EC4"/>
    <w:rsid w:val="004B757F"/>
    <w:rsid w:val="004C4B55"/>
    <w:rsid w:val="004C584B"/>
    <w:rsid w:val="004C5912"/>
    <w:rsid w:val="004D2FB9"/>
    <w:rsid w:val="004E33A6"/>
    <w:rsid w:val="004E6F7B"/>
    <w:rsid w:val="004F13B7"/>
    <w:rsid w:val="004F372E"/>
    <w:rsid w:val="004F460C"/>
    <w:rsid w:val="00501EBC"/>
    <w:rsid w:val="00503908"/>
    <w:rsid w:val="005108ED"/>
    <w:rsid w:val="00510940"/>
    <w:rsid w:val="00511DA7"/>
    <w:rsid w:val="00511FC0"/>
    <w:rsid w:val="00512B03"/>
    <w:rsid w:val="00514099"/>
    <w:rsid w:val="00515C73"/>
    <w:rsid w:val="00516326"/>
    <w:rsid w:val="0051772A"/>
    <w:rsid w:val="00522084"/>
    <w:rsid w:val="005223D1"/>
    <w:rsid w:val="00522730"/>
    <w:rsid w:val="0052715A"/>
    <w:rsid w:val="00534EF4"/>
    <w:rsid w:val="0054334B"/>
    <w:rsid w:val="005475D8"/>
    <w:rsid w:val="00547971"/>
    <w:rsid w:val="00550902"/>
    <w:rsid w:val="00550C67"/>
    <w:rsid w:val="00551065"/>
    <w:rsid w:val="0056029B"/>
    <w:rsid w:val="00561DEA"/>
    <w:rsid w:val="005647C8"/>
    <w:rsid w:val="005652E8"/>
    <w:rsid w:val="0056540E"/>
    <w:rsid w:val="00565789"/>
    <w:rsid w:val="005751F6"/>
    <w:rsid w:val="005758C2"/>
    <w:rsid w:val="00577A7B"/>
    <w:rsid w:val="005804E1"/>
    <w:rsid w:val="005806D6"/>
    <w:rsid w:val="00595D2E"/>
    <w:rsid w:val="00596634"/>
    <w:rsid w:val="005969E6"/>
    <w:rsid w:val="005A0021"/>
    <w:rsid w:val="005A045A"/>
    <w:rsid w:val="005A5BC5"/>
    <w:rsid w:val="005A66E3"/>
    <w:rsid w:val="005A7786"/>
    <w:rsid w:val="005B1C28"/>
    <w:rsid w:val="005B2B4F"/>
    <w:rsid w:val="005B7286"/>
    <w:rsid w:val="005C0E7B"/>
    <w:rsid w:val="005C21BF"/>
    <w:rsid w:val="005C6ABE"/>
    <w:rsid w:val="005C7161"/>
    <w:rsid w:val="005D3459"/>
    <w:rsid w:val="005D53C4"/>
    <w:rsid w:val="005D62DF"/>
    <w:rsid w:val="005E052F"/>
    <w:rsid w:val="005E0F20"/>
    <w:rsid w:val="005E3FF4"/>
    <w:rsid w:val="005F0523"/>
    <w:rsid w:val="005F1170"/>
    <w:rsid w:val="005F2FF6"/>
    <w:rsid w:val="006002C6"/>
    <w:rsid w:val="00601609"/>
    <w:rsid w:val="00602967"/>
    <w:rsid w:val="0060708E"/>
    <w:rsid w:val="00610996"/>
    <w:rsid w:val="00611121"/>
    <w:rsid w:val="006130D5"/>
    <w:rsid w:val="00614DD5"/>
    <w:rsid w:val="00621638"/>
    <w:rsid w:val="00622B0B"/>
    <w:rsid w:val="006243F2"/>
    <w:rsid w:val="006269B8"/>
    <w:rsid w:val="00627A0E"/>
    <w:rsid w:val="00627CA5"/>
    <w:rsid w:val="006308EA"/>
    <w:rsid w:val="00636E13"/>
    <w:rsid w:val="00642C0C"/>
    <w:rsid w:val="00646E02"/>
    <w:rsid w:val="00646F88"/>
    <w:rsid w:val="006476FA"/>
    <w:rsid w:val="00652BCE"/>
    <w:rsid w:val="00653048"/>
    <w:rsid w:val="00653F9F"/>
    <w:rsid w:val="00654610"/>
    <w:rsid w:val="00654985"/>
    <w:rsid w:val="00655CB8"/>
    <w:rsid w:val="00656E64"/>
    <w:rsid w:val="0066035E"/>
    <w:rsid w:val="0066555A"/>
    <w:rsid w:val="00665616"/>
    <w:rsid w:val="00666676"/>
    <w:rsid w:val="006700C3"/>
    <w:rsid w:val="00670813"/>
    <w:rsid w:val="00674552"/>
    <w:rsid w:val="00680CD0"/>
    <w:rsid w:val="00682F81"/>
    <w:rsid w:val="00687B83"/>
    <w:rsid w:val="00690D3B"/>
    <w:rsid w:val="006912AE"/>
    <w:rsid w:val="00693D56"/>
    <w:rsid w:val="00696012"/>
    <w:rsid w:val="006A4517"/>
    <w:rsid w:val="006B1CC9"/>
    <w:rsid w:val="006B2E43"/>
    <w:rsid w:val="006B2E47"/>
    <w:rsid w:val="006B3249"/>
    <w:rsid w:val="006B3384"/>
    <w:rsid w:val="006C1368"/>
    <w:rsid w:val="006C4BD3"/>
    <w:rsid w:val="006C6335"/>
    <w:rsid w:val="006C6987"/>
    <w:rsid w:val="006D039B"/>
    <w:rsid w:val="006D22C9"/>
    <w:rsid w:val="006D3ED5"/>
    <w:rsid w:val="006D64A4"/>
    <w:rsid w:val="006E1936"/>
    <w:rsid w:val="006E474A"/>
    <w:rsid w:val="006E583B"/>
    <w:rsid w:val="006F0112"/>
    <w:rsid w:val="006F0E5F"/>
    <w:rsid w:val="006F1FDC"/>
    <w:rsid w:val="006F2867"/>
    <w:rsid w:val="006F2F83"/>
    <w:rsid w:val="006F36A0"/>
    <w:rsid w:val="006F712F"/>
    <w:rsid w:val="00703AD7"/>
    <w:rsid w:val="0070479F"/>
    <w:rsid w:val="007073DF"/>
    <w:rsid w:val="0071085A"/>
    <w:rsid w:val="00713B08"/>
    <w:rsid w:val="00714D7E"/>
    <w:rsid w:val="007154EF"/>
    <w:rsid w:val="007156A8"/>
    <w:rsid w:val="007211FD"/>
    <w:rsid w:val="007239F8"/>
    <w:rsid w:val="007358E0"/>
    <w:rsid w:val="00735FBA"/>
    <w:rsid w:val="00737928"/>
    <w:rsid w:val="00740AFC"/>
    <w:rsid w:val="00741C6F"/>
    <w:rsid w:val="00743B46"/>
    <w:rsid w:val="00750CDD"/>
    <w:rsid w:val="00755923"/>
    <w:rsid w:val="0075631F"/>
    <w:rsid w:val="007567F0"/>
    <w:rsid w:val="00756B11"/>
    <w:rsid w:val="0075732C"/>
    <w:rsid w:val="00760AF5"/>
    <w:rsid w:val="007626CA"/>
    <w:rsid w:val="00764E98"/>
    <w:rsid w:val="00767418"/>
    <w:rsid w:val="00771B7D"/>
    <w:rsid w:val="00773382"/>
    <w:rsid w:val="00782EBA"/>
    <w:rsid w:val="00787223"/>
    <w:rsid w:val="00792764"/>
    <w:rsid w:val="00793881"/>
    <w:rsid w:val="007A0AAE"/>
    <w:rsid w:val="007A1555"/>
    <w:rsid w:val="007A3FA5"/>
    <w:rsid w:val="007B41A8"/>
    <w:rsid w:val="007C05E8"/>
    <w:rsid w:val="007C3B65"/>
    <w:rsid w:val="007C6B3D"/>
    <w:rsid w:val="007C70EC"/>
    <w:rsid w:val="007D21BA"/>
    <w:rsid w:val="007D586D"/>
    <w:rsid w:val="007E3DE9"/>
    <w:rsid w:val="007E6B3F"/>
    <w:rsid w:val="007E7BB7"/>
    <w:rsid w:val="007F30EA"/>
    <w:rsid w:val="007F3CF4"/>
    <w:rsid w:val="007F59E6"/>
    <w:rsid w:val="008000FD"/>
    <w:rsid w:val="008071A0"/>
    <w:rsid w:val="00811668"/>
    <w:rsid w:val="008120F3"/>
    <w:rsid w:val="00821841"/>
    <w:rsid w:val="00821B2E"/>
    <w:rsid w:val="00823B37"/>
    <w:rsid w:val="0082594B"/>
    <w:rsid w:val="00825B02"/>
    <w:rsid w:val="00827CCD"/>
    <w:rsid w:val="00833D68"/>
    <w:rsid w:val="0083682E"/>
    <w:rsid w:val="00842272"/>
    <w:rsid w:val="0084267C"/>
    <w:rsid w:val="00842CA4"/>
    <w:rsid w:val="00846B21"/>
    <w:rsid w:val="00847398"/>
    <w:rsid w:val="00851C2F"/>
    <w:rsid w:val="0085424B"/>
    <w:rsid w:val="00857DAD"/>
    <w:rsid w:val="00862852"/>
    <w:rsid w:val="008645FA"/>
    <w:rsid w:val="00867189"/>
    <w:rsid w:val="00867B28"/>
    <w:rsid w:val="00871BA1"/>
    <w:rsid w:val="0087464E"/>
    <w:rsid w:val="0087726E"/>
    <w:rsid w:val="008818AD"/>
    <w:rsid w:val="008A4281"/>
    <w:rsid w:val="008A5C34"/>
    <w:rsid w:val="008C1733"/>
    <w:rsid w:val="008C1779"/>
    <w:rsid w:val="008C6FCB"/>
    <w:rsid w:val="008C7FB9"/>
    <w:rsid w:val="008D0824"/>
    <w:rsid w:val="008D136F"/>
    <w:rsid w:val="008D20BE"/>
    <w:rsid w:val="008D2E71"/>
    <w:rsid w:val="008D4C53"/>
    <w:rsid w:val="008D599A"/>
    <w:rsid w:val="008D641E"/>
    <w:rsid w:val="008D6B5D"/>
    <w:rsid w:val="008F1E07"/>
    <w:rsid w:val="008F31F2"/>
    <w:rsid w:val="009025E2"/>
    <w:rsid w:val="00903202"/>
    <w:rsid w:val="00905E14"/>
    <w:rsid w:val="00912215"/>
    <w:rsid w:val="0091309E"/>
    <w:rsid w:val="00916E28"/>
    <w:rsid w:val="009228D2"/>
    <w:rsid w:val="00926020"/>
    <w:rsid w:val="009277B3"/>
    <w:rsid w:val="00927887"/>
    <w:rsid w:val="00931DD9"/>
    <w:rsid w:val="00943E3E"/>
    <w:rsid w:val="009449B1"/>
    <w:rsid w:val="00944A0A"/>
    <w:rsid w:val="009464A6"/>
    <w:rsid w:val="0094762E"/>
    <w:rsid w:val="00950699"/>
    <w:rsid w:val="009608D3"/>
    <w:rsid w:val="00961B10"/>
    <w:rsid w:val="00965E28"/>
    <w:rsid w:val="00967099"/>
    <w:rsid w:val="00970E3D"/>
    <w:rsid w:val="00972A2D"/>
    <w:rsid w:val="009753BB"/>
    <w:rsid w:val="00981B68"/>
    <w:rsid w:val="00982F16"/>
    <w:rsid w:val="00983506"/>
    <w:rsid w:val="00990EFD"/>
    <w:rsid w:val="00991ADC"/>
    <w:rsid w:val="00991D2F"/>
    <w:rsid w:val="00996DC8"/>
    <w:rsid w:val="009A0D97"/>
    <w:rsid w:val="009A167D"/>
    <w:rsid w:val="009A5A76"/>
    <w:rsid w:val="009B2825"/>
    <w:rsid w:val="009B3747"/>
    <w:rsid w:val="009B4249"/>
    <w:rsid w:val="009B67B8"/>
    <w:rsid w:val="009C0CA5"/>
    <w:rsid w:val="009C2ECF"/>
    <w:rsid w:val="009C581C"/>
    <w:rsid w:val="009C60B5"/>
    <w:rsid w:val="009D05C4"/>
    <w:rsid w:val="009D4A4F"/>
    <w:rsid w:val="009D68EB"/>
    <w:rsid w:val="009D727E"/>
    <w:rsid w:val="009E04BA"/>
    <w:rsid w:val="009E09CE"/>
    <w:rsid w:val="009E372F"/>
    <w:rsid w:val="009E3C04"/>
    <w:rsid w:val="009E5696"/>
    <w:rsid w:val="00A07544"/>
    <w:rsid w:val="00A1002B"/>
    <w:rsid w:val="00A10E23"/>
    <w:rsid w:val="00A122CF"/>
    <w:rsid w:val="00A12CF2"/>
    <w:rsid w:val="00A1354B"/>
    <w:rsid w:val="00A15B23"/>
    <w:rsid w:val="00A16A6D"/>
    <w:rsid w:val="00A16FA3"/>
    <w:rsid w:val="00A17E69"/>
    <w:rsid w:val="00A200C7"/>
    <w:rsid w:val="00A2279B"/>
    <w:rsid w:val="00A23662"/>
    <w:rsid w:val="00A2591A"/>
    <w:rsid w:val="00A25C50"/>
    <w:rsid w:val="00A26822"/>
    <w:rsid w:val="00A3070B"/>
    <w:rsid w:val="00A35E45"/>
    <w:rsid w:val="00A42BA8"/>
    <w:rsid w:val="00A43A37"/>
    <w:rsid w:val="00A54CEF"/>
    <w:rsid w:val="00A617EF"/>
    <w:rsid w:val="00A63F83"/>
    <w:rsid w:val="00A70C6B"/>
    <w:rsid w:val="00A74BDA"/>
    <w:rsid w:val="00A76F38"/>
    <w:rsid w:val="00A84723"/>
    <w:rsid w:val="00A87600"/>
    <w:rsid w:val="00A942FB"/>
    <w:rsid w:val="00AA097B"/>
    <w:rsid w:val="00AA0F08"/>
    <w:rsid w:val="00AA1C87"/>
    <w:rsid w:val="00AB10E7"/>
    <w:rsid w:val="00AB2BE6"/>
    <w:rsid w:val="00AB2D52"/>
    <w:rsid w:val="00AB4AB5"/>
    <w:rsid w:val="00AB4D82"/>
    <w:rsid w:val="00AB5071"/>
    <w:rsid w:val="00AB54FA"/>
    <w:rsid w:val="00AB5A86"/>
    <w:rsid w:val="00AB5B41"/>
    <w:rsid w:val="00AB6B14"/>
    <w:rsid w:val="00AC01C5"/>
    <w:rsid w:val="00AC0C28"/>
    <w:rsid w:val="00AC1DA5"/>
    <w:rsid w:val="00AC2C3B"/>
    <w:rsid w:val="00AC3B26"/>
    <w:rsid w:val="00AC4D6A"/>
    <w:rsid w:val="00AC6896"/>
    <w:rsid w:val="00AC71DB"/>
    <w:rsid w:val="00AD02BD"/>
    <w:rsid w:val="00AD6B53"/>
    <w:rsid w:val="00AD72F8"/>
    <w:rsid w:val="00AD7967"/>
    <w:rsid w:val="00AD7A7D"/>
    <w:rsid w:val="00AE0C50"/>
    <w:rsid w:val="00AE292F"/>
    <w:rsid w:val="00AE6A9E"/>
    <w:rsid w:val="00AE78D1"/>
    <w:rsid w:val="00AF092A"/>
    <w:rsid w:val="00AF3FC9"/>
    <w:rsid w:val="00AF46FD"/>
    <w:rsid w:val="00B02F7E"/>
    <w:rsid w:val="00B04FA7"/>
    <w:rsid w:val="00B06FA6"/>
    <w:rsid w:val="00B20775"/>
    <w:rsid w:val="00B2243D"/>
    <w:rsid w:val="00B22CC4"/>
    <w:rsid w:val="00B27D4B"/>
    <w:rsid w:val="00B30E97"/>
    <w:rsid w:val="00B314A7"/>
    <w:rsid w:val="00B37AD3"/>
    <w:rsid w:val="00B415B3"/>
    <w:rsid w:val="00B41686"/>
    <w:rsid w:val="00B4397E"/>
    <w:rsid w:val="00B46C02"/>
    <w:rsid w:val="00B4772E"/>
    <w:rsid w:val="00B47F52"/>
    <w:rsid w:val="00B5479D"/>
    <w:rsid w:val="00B63180"/>
    <w:rsid w:val="00B707EF"/>
    <w:rsid w:val="00B71772"/>
    <w:rsid w:val="00B7271A"/>
    <w:rsid w:val="00B73531"/>
    <w:rsid w:val="00B74104"/>
    <w:rsid w:val="00B746E9"/>
    <w:rsid w:val="00B748C8"/>
    <w:rsid w:val="00B773FE"/>
    <w:rsid w:val="00B8292E"/>
    <w:rsid w:val="00B87EE3"/>
    <w:rsid w:val="00B966D7"/>
    <w:rsid w:val="00BA0B2C"/>
    <w:rsid w:val="00BA20C0"/>
    <w:rsid w:val="00BA5176"/>
    <w:rsid w:val="00BA5286"/>
    <w:rsid w:val="00BA5DA9"/>
    <w:rsid w:val="00BA6623"/>
    <w:rsid w:val="00BB0238"/>
    <w:rsid w:val="00BB1429"/>
    <w:rsid w:val="00BB46E0"/>
    <w:rsid w:val="00BB5096"/>
    <w:rsid w:val="00BB6E36"/>
    <w:rsid w:val="00BB75C7"/>
    <w:rsid w:val="00BC2A9C"/>
    <w:rsid w:val="00BC3D6A"/>
    <w:rsid w:val="00BC4317"/>
    <w:rsid w:val="00BC5102"/>
    <w:rsid w:val="00BC77D3"/>
    <w:rsid w:val="00BD2721"/>
    <w:rsid w:val="00BD6288"/>
    <w:rsid w:val="00BE2DEA"/>
    <w:rsid w:val="00BE756E"/>
    <w:rsid w:val="00BF0B7E"/>
    <w:rsid w:val="00BF2C68"/>
    <w:rsid w:val="00BF2D53"/>
    <w:rsid w:val="00BF36F3"/>
    <w:rsid w:val="00BF6D71"/>
    <w:rsid w:val="00C01A8A"/>
    <w:rsid w:val="00C01FE7"/>
    <w:rsid w:val="00C06364"/>
    <w:rsid w:val="00C0654B"/>
    <w:rsid w:val="00C12393"/>
    <w:rsid w:val="00C21939"/>
    <w:rsid w:val="00C22EC4"/>
    <w:rsid w:val="00C23645"/>
    <w:rsid w:val="00C267E6"/>
    <w:rsid w:val="00C27072"/>
    <w:rsid w:val="00C27A50"/>
    <w:rsid w:val="00C32874"/>
    <w:rsid w:val="00C33161"/>
    <w:rsid w:val="00C34425"/>
    <w:rsid w:val="00C34D84"/>
    <w:rsid w:val="00C4197F"/>
    <w:rsid w:val="00C456CB"/>
    <w:rsid w:val="00C547CC"/>
    <w:rsid w:val="00C60130"/>
    <w:rsid w:val="00C72206"/>
    <w:rsid w:val="00C8242E"/>
    <w:rsid w:val="00C83875"/>
    <w:rsid w:val="00C86DA7"/>
    <w:rsid w:val="00C8714B"/>
    <w:rsid w:val="00C91436"/>
    <w:rsid w:val="00C93EF6"/>
    <w:rsid w:val="00C967E9"/>
    <w:rsid w:val="00CA68C8"/>
    <w:rsid w:val="00CA766F"/>
    <w:rsid w:val="00CB18A0"/>
    <w:rsid w:val="00CB7728"/>
    <w:rsid w:val="00CC32F0"/>
    <w:rsid w:val="00CD1FCF"/>
    <w:rsid w:val="00CD3F14"/>
    <w:rsid w:val="00CD7979"/>
    <w:rsid w:val="00CE0E2B"/>
    <w:rsid w:val="00CF0D9C"/>
    <w:rsid w:val="00CF32DA"/>
    <w:rsid w:val="00CF4739"/>
    <w:rsid w:val="00CF626C"/>
    <w:rsid w:val="00CF65C5"/>
    <w:rsid w:val="00CF6650"/>
    <w:rsid w:val="00D03B07"/>
    <w:rsid w:val="00D05CC9"/>
    <w:rsid w:val="00D061AE"/>
    <w:rsid w:val="00D071BE"/>
    <w:rsid w:val="00D10D42"/>
    <w:rsid w:val="00D25534"/>
    <w:rsid w:val="00D2649E"/>
    <w:rsid w:val="00D33B3D"/>
    <w:rsid w:val="00D3466B"/>
    <w:rsid w:val="00D348EF"/>
    <w:rsid w:val="00D37EF3"/>
    <w:rsid w:val="00D55A48"/>
    <w:rsid w:val="00D57CDE"/>
    <w:rsid w:val="00D62F95"/>
    <w:rsid w:val="00D63B65"/>
    <w:rsid w:val="00D6607C"/>
    <w:rsid w:val="00D71E4D"/>
    <w:rsid w:val="00D7275C"/>
    <w:rsid w:val="00D74245"/>
    <w:rsid w:val="00D8212B"/>
    <w:rsid w:val="00D857B4"/>
    <w:rsid w:val="00D86A56"/>
    <w:rsid w:val="00D93C65"/>
    <w:rsid w:val="00D96A8A"/>
    <w:rsid w:val="00DA156A"/>
    <w:rsid w:val="00DB177A"/>
    <w:rsid w:val="00DB2C7A"/>
    <w:rsid w:val="00DB6004"/>
    <w:rsid w:val="00DB655F"/>
    <w:rsid w:val="00DD40E6"/>
    <w:rsid w:val="00DE372A"/>
    <w:rsid w:val="00DE3942"/>
    <w:rsid w:val="00DE4496"/>
    <w:rsid w:val="00DF1291"/>
    <w:rsid w:val="00DF1542"/>
    <w:rsid w:val="00E0026C"/>
    <w:rsid w:val="00E004C1"/>
    <w:rsid w:val="00E01E19"/>
    <w:rsid w:val="00E0278C"/>
    <w:rsid w:val="00E0284E"/>
    <w:rsid w:val="00E03250"/>
    <w:rsid w:val="00E06121"/>
    <w:rsid w:val="00E07612"/>
    <w:rsid w:val="00E11E9D"/>
    <w:rsid w:val="00E12833"/>
    <w:rsid w:val="00E15AAD"/>
    <w:rsid w:val="00E2020C"/>
    <w:rsid w:val="00E20F6F"/>
    <w:rsid w:val="00E2105D"/>
    <w:rsid w:val="00E233D4"/>
    <w:rsid w:val="00E23662"/>
    <w:rsid w:val="00E23B9A"/>
    <w:rsid w:val="00E3179E"/>
    <w:rsid w:val="00E3660F"/>
    <w:rsid w:val="00E379EE"/>
    <w:rsid w:val="00E40062"/>
    <w:rsid w:val="00E415F9"/>
    <w:rsid w:val="00E43548"/>
    <w:rsid w:val="00E45150"/>
    <w:rsid w:val="00E5284F"/>
    <w:rsid w:val="00E53112"/>
    <w:rsid w:val="00E53749"/>
    <w:rsid w:val="00E56E3C"/>
    <w:rsid w:val="00E66C33"/>
    <w:rsid w:val="00E70E76"/>
    <w:rsid w:val="00E7387C"/>
    <w:rsid w:val="00E81B2C"/>
    <w:rsid w:val="00E8432F"/>
    <w:rsid w:val="00E87DF9"/>
    <w:rsid w:val="00E87FAF"/>
    <w:rsid w:val="00EA0386"/>
    <w:rsid w:val="00EA03AE"/>
    <w:rsid w:val="00EA1BF7"/>
    <w:rsid w:val="00EA7466"/>
    <w:rsid w:val="00EB44DD"/>
    <w:rsid w:val="00EC4081"/>
    <w:rsid w:val="00EC41BE"/>
    <w:rsid w:val="00EC718D"/>
    <w:rsid w:val="00ED06E8"/>
    <w:rsid w:val="00ED14BF"/>
    <w:rsid w:val="00ED1954"/>
    <w:rsid w:val="00ED37FD"/>
    <w:rsid w:val="00EE1B37"/>
    <w:rsid w:val="00EE25FF"/>
    <w:rsid w:val="00EE79AF"/>
    <w:rsid w:val="00EF116B"/>
    <w:rsid w:val="00EF2BBC"/>
    <w:rsid w:val="00EF3070"/>
    <w:rsid w:val="00EF3C3E"/>
    <w:rsid w:val="00EF5F9D"/>
    <w:rsid w:val="00F04CA3"/>
    <w:rsid w:val="00F051AF"/>
    <w:rsid w:val="00F07FE8"/>
    <w:rsid w:val="00F10C2F"/>
    <w:rsid w:val="00F124F6"/>
    <w:rsid w:val="00F128F2"/>
    <w:rsid w:val="00F12C99"/>
    <w:rsid w:val="00F20748"/>
    <w:rsid w:val="00F227D0"/>
    <w:rsid w:val="00F33B0E"/>
    <w:rsid w:val="00F34CB5"/>
    <w:rsid w:val="00F361BF"/>
    <w:rsid w:val="00F41428"/>
    <w:rsid w:val="00F42285"/>
    <w:rsid w:val="00F43B91"/>
    <w:rsid w:val="00F563E0"/>
    <w:rsid w:val="00F62D86"/>
    <w:rsid w:val="00F70FDC"/>
    <w:rsid w:val="00F71453"/>
    <w:rsid w:val="00F738CC"/>
    <w:rsid w:val="00F74CA0"/>
    <w:rsid w:val="00F74DB9"/>
    <w:rsid w:val="00F757C7"/>
    <w:rsid w:val="00F76EF2"/>
    <w:rsid w:val="00F80BF4"/>
    <w:rsid w:val="00F82536"/>
    <w:rsid w:val="00F82667"/>
    <w:rsid w:val="00F82F06"/>
    <w:rsid w:val="00FA078F"/>
    <w:rsid w:val="00FA25A3"/>
    <w:rsid w:val="00FA31CD"/>
    <w:rsid w:val="00FA418E"/>
    <w:rsid w:val="00FA5DC2"/>
    <w:rsid w:val="00FA6BC1"/>
    <w:rsid w:val="00FA6E32"/>
    <w:rsid w:val="00FA7E10"/>
    <w:rsid w:val="00FB047F"/>
    <w:rsid w:val="00FB5B00"/>
    <w:rsid w:val="00FB7D53"/>
    <w:rsid w:val="00FC039E"/>
    <w:rsid w:val="00FC0582"/>
    <w:rsid w:val="00FC0DC2"/>
    <w:rsid w:val="00FC272B"/>
    <w:rsid w:val="00FC497A"/>
    <w:rsid w:val="00FC689F"/>
    <w:rsid w:val="00FD229D"/>
    <w:rsid w:val="00FE0C7F"/>
    <w:rsid w:val="00FE165F"/>
    <w:rsid w:val="00FE18C1"/>
    <w:rsid w:val="00FE4357"/>
    <w:rsid w:val="00FE4B4E"/>
    <w:rsid w:val="00FF0FA0"/>
    <w:rsid w:val="00FF2CE9"/>
    <w:rsid w:val="00FF3C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9F040D-63DE-4C82-91EE-BBA5D5EE9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Batang" w:hAnsiTheme="minorHAnsi" w:cstheme="minorBidi"/>
        <w:sz w:val="22"/>
        <w:szCs w:val="22"/>
        <w:lang w:val="en-GB"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E25F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967E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4A397C"/>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7">
    <w:name w:val="heading 7"/>
    <w:basedOn w:val="Normal"/>
    <w:next w:val="Normal"/>
    <w:link w:val="Heading7Char"/>
    <w:uiPriority w:val="9"/>
    <w:semiHidden/>
    <w:unhideWhenUsed/>
    <w:qFormat/>
    <w:rsid w:val="00FC0582"/>
    <w:pPr>
      <w:keepNext/>
      <w:keepLines/>
      <w:spacing w:before="200" w:line="276" w:lineRule="auto"/>
      <w:outlineLvl w:val="6"/>
    </w:pPr>
    <w:rPr>
      <w:rFonts w:asciiTheme="majorHAnsi" w:eastAsiaTheme="majorEastAsia" w:hAnsiTheme="majorHAnsi" w:cstheme="majorBidi"/>
      <w:i/>
      <w:iCs/>
      <w:color w:val="404040" w:themeColor="text1" w:themeTint="BF"/>
      <w:lang w:eastAsia="en-GB"/>
    </w:rPr>
  </w:style>
  <w:style w:type="paragraph" w:styleId="Heading8">
    <w:name w:val="heading 8"/>
    <w:basedOn w:val="Normal"/>
    <w:next w:val="Normal"/>
    <w:link w:val="Heading8Char"/>
    <w:uiPriority w:val="9"/>
    <w:semiHidden/>
    <w:unhideWhenUsed/>
    <w:qFormat/>
    <w:rsid w:val="004A397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A397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A528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BA5286"/>
    <w:pPr>
      <w:autoSpaceDE w:val="0"/>
      <w:autoSpaceDN w:val="0"/>
      <w:adjustRightInd w:val="0"/>
      <w:spacing w:line="240" w:lineRule="auto"/>
    </w:pPr>
    <w:rPr>
      <w:rFonts w:ascii="Arial" w:hAnsi="Arial" w:cs="Arial"/>
      <w:color w:val="000000"/>
      <w:sz w:val="24"/>
      <w:szCs w:val="24"/>
    </w:rPr>
  </w:style>
  <w:style w:type="character" w:customStyle="1" w:styleId="apple-tab-span">
    <w:name w:val="apple-tab-span"/>
    <w:basedOn w:val="DefaultParagraphFont"/>
    <w:rsid w:val="00A16FA3"/>
  </w:style>
  <w:style w:type="paragraph" w:styleId="ListParagraph">
    <w:name w:val="List Paragraph"/>
    <w:basedOn w:val="Normal"/>
    <w:uiPriority w:val="34"/>
    <w:qFormat/>
    <w:rsid w:val="005C21BF"/>
    <w:pPr>
      <w:ind w:left="720"/>
      <w:contextualSpacing/>
    </w:pPr>
  </w:style>
  <w:style w:type="paragraph" w:styleId="BodyText2">
    <w:name w:val="Body Text 2"/>
    <w:basedOn w:val="Normal"/>
    <w:link w:val="BodyText2Char"/>
    <w:uiPriority w:val="99"/>
    <w:unhideWhenUsed/>
    <w:rsid w:val="00CF32DA"/>
    <w:pPr>
      <w:spacing w:after="120" w:line="480" w:lineRule="auto"/>
    </w:pPr>
    <w:rPr>
      <w:rFonts w:eastAsiaTheme="minorEastAsia"/>
      <w:lang w:eastAsia="en-GB"/>
    </w:rPr>
  </w:style>
  <w:style w:type="character" w:customStyle="1" w:styleId="BodyText2Char">
    <w:name w:val="Body Text 2 Char"/>
    <w:basedOn w:val="DefaultParagraphFont"/>
    <w:link w:val="BodyText2"/>
    <w:uiPriority w:val="99"/>
    <w:rsid w:val="00CF32DA"/>
    <w:rPr>
      <w:rFonts w:eastAsiaTheme="minorEastAsia"/>
      <w:lang w:eastAsia="en-GB"/>
    </w:rPr>
  </w:style>
  <w:style w:type="paragraph" w:styleId="BodyText">
    <w:name w:val="Body Text"/>
    <w:basedOn w:val="Normal"/>
    <w:link w:val="BodyTextChar"/>
    <w:uiPriority w:val="99"/>
    <w:unhideWhenUsed/>
    <w:rsid w:val="00CF32DA"/>
    <w:pPr>
      <w:spacing w:after="120" w:line="240" w:lineRule="auto"/>
    </w:pPr>
    <w:rPr>
      <w:rFonts w:ascii="Times New Roman" w:eastAsia="Times New Roman" w:hAnsi="Times New Roman" w:cs="Times New Roman"/>
      <w:sz w:val="24"/>
      <w:szCs w:val="24"/>
      <w:lang w:val="en-US" w:eastAsia="en-GB"/>
    </w:rPr>
  </w:style>
  <w:style w:type="character" w:customStyle="1" w:styleId="BodyTextChar">
    <w:name w:val="Body Text Char"/>
    <w:basedOn w:val="DefaultParagraphFont"/>
    <w:link w:val="BodyText"/>
    <w:uiPriority w:val="99"/>
    <w:rsid w:val="00CF32DA"/>
    <w:rPr>
      <w:rFonts w:ascii="Times New Roman" w:eastAsia="Times New Roman" w:hAnsi="Times New Roman" w:cs="Times New Roman"/>
      <w:sz w:val="24"/>
      <w:szCs w:val="24"/>
      <w:lang w:val="en-US" w:eastAsia="en-GB"/>
    </w:rPr>
  </w:style>
  <w:style w:type="character" w:styleId="CommentReference">
    <w:name w:val="annotation reference"/>
    <w:basedOn w:val="DefaultParagraphFont"/>
    <w:uiPriority w:val="99"/>
    <w:semiHidden/>
    <w:unhideWhenUsed/>
    <w:rsid w:val="003F305F"/>
    <w:rPr>
      <w:sz w:val="16"/>
      <w:szCs w:val="16"/>
    </w:rPr>
  </w:style>
  <w:style w:type="paragraph" w:styleId="CommentText">
    <w:name w:val="annotation text"/>
    <w:basedOn w:val="Normal"/>
    <w:link w:val="CommentTextChar"/>
    <w:uiPriority w:val="99"/>
    <w:semiHidden/>
    <w:unhideWhenUsed/>
    <w:rsid w:val="003F305F"/>
    <w:pPr>
      <w:spacing w:line="240" w:lineRule="auto"/>
    </w:pPr>
    <w:rPr>
      <w:sz w:val="20"/>
      <w:szCs w:val="20"/>
    </w:rPr>
  </w:style>
  <w:style w:type="character" w:customStyle="1" w:styleId="CommentTextChar">
    <w:name w:val="Comment Text Char"/>
    <w:basedOn w:val="DefaultParagraphFont"/>
    <w:link w:val="CommentText"/>
    <w:uiPriority w:val="99"/>
    <w:semiHidden/>
    <w:rsid w:val="003F305F"/>
    <w:rPr>
      <w:sz w:val="20"/>
      <w:szCs w:val="20"/>
    </w:rPr>
  </w:style>
  <w:style w:type="paragraph" w:styleId="CommentSubject">
    <w:name w:val="annotation subject"/>
    <w:basedOn w:val="CommentText"/>
    <w:next w:val="CommentText"/>
    <w:link w:val="CommentSubjectChar"/>
    <w:uiPriority w:val="99"/>
    <w:semiHidden/>
    <w:unhideWhenUsed/>
    <w:rsid w:val="003F305F"/>
    <w:rPr>
      <w:b/>
      <w:bCs/>
    </w:rPr>
  </w:style>
  <w:style w:type="character" w:customStyle="1" w:styleId="CommentSubjectChar">
    <w:name w:val="Comment Subject Char"/>
    <w:basedOn w:val="CommentTextChar"/>
    <w:link w:val="CommentSubject"/>
    <w:uiPriority w:val="99"/>
    <w:semiHidden/>
    <w:rsid w:val="003F305F"/>
    <w:rPr>
      <w:b/>
      <w:bCs/>
      <w:sz w:val="20"/>
      <w:szCs w:val="20"/>
    </w:rPr>
  </w:style>
  <w:style w:type="paragraph" w:styleId="BalloonText">
    <w:name w:val="Balloon Text"/>
    <w:basedOn w:val="Normal"/>
    <w:link w:val="BalloonTextChar"/>
    <w:uiPriority w:val="99"/>
    <w:semiHidden/>
    <w:unhideWhenUsed/>
    <w:rsid w:val="003F305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05F"/>
    <w:rPr>
      <w:rFonts w:ascii="Segoe UI" w:hAnsi="Segoe UI" w:cs="Segoe UI"/>
      <w:sz w:val="18"/>
      <w:szCs w:val="18"/>
    </w:rPr>
  </w:style>
  <w:style w:type="character" w:customStyle="1" w:styleId="Heading7Char">
    <w:name w:val="Heading 7 Char"/>
    <w:basedOn w:val="DefaultParagraphFont"/>
    <w:link w:val="Heading7"/>
    <w:uiPriority w:val="9"/>
    <w:semiHidden/>
    <w:rsid w:val="00FC0582"/>
    <w:rPr>
      <w:rFonts w:asciiTheme="majorHAnsi" w:eastAsiaTheme="majorEastAsia" w:hAnsiTheme="majorHAnsi" w:cstheme="majorBidi"/>
      <w:i/>
      <w:iCs/>
      <w:color w:val="404040" w:themeColor="text1" w:themeTint="BF"/>
      <w:lang w:eastAsia="en-GB"/>
    </w:rPr>
  </w:style>
  <w:style w:type="character" w:customStyle="1" w:styleId="Heading8Char">
    <w:name w:val="Heading 8 Char"/>
    <w:basedOn w:val="DefaultParagraphFont"/>
    <w:link w:val="Heading8"/>
    <w:uiPriority w:val="9"/>
    <w:semiHidden/>
    <w:rsid w:val="004A397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A397C"/>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4A397C"/>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4A397C"/>
    <w:pPr>
      <w:tabs>
        <w:tab w:val="center" w:pos="4513"/>
        <w:tab w:val="right" w:pos="9026"/>
      </w:tabs>
      <w:spacing w:line="240" w:lineRule="auto"/>
    </w:pPr>
  </w:style>
  <w:style w:type="character" w:customStyle="1" w:styleId="HeaderChar">
    <w:name w:val="Header Char"/>
    <w:basedOn w:val="DefaultParagraphFont"/>
    <w:link w:val="Header"/>
    <w:uiPriority w:val="99"/>
    <w:rsid w:val="004A397C"/>
  </w:style>
  <w:style w:type="paragraph" w:styleId="Footer">
    <w:name w:val="footer"/>
    <w:basedOn w:val="Normal"/>
    <w:link w:val="FooterChar"/>
    <w:uiPriority w:val="99"/>
    <w:unhideWhenUsed/>
    <w:rsid w:val="004A397C"/>
    <w:pPr>
      <w:tabs>
        <w:tab w:val="center" w:pos="4513"/>
        <w:tab w:val="right" w:pos="9026"/>
      </w:tabs>
      <w:spacing w:line="240" w:lineRule="auto"/>
    </w:pPr>
  </w:style>
  <w:style w:type="character" w:customStyle="1" w:styleId="FooterChar">
    <w:name w:val="Footer Char"/>
    <w:basedOn w:val="DefaultParagraphFont"/>
    <w:link w:val="Footer"/>
    <w:uiPriority w:val="99"/>
    <w:rsid w:val="004A397C"/>
  </w:style>
  <w:style w:type="paragraph" w:styleId="BodyTextIndent">
    <w:name w:val="Body Text Indent"/>
    <w:basedOn w:val="Normal"/>
    <w:link w:val="BodyTextIndentChar"/>
    <w:uiPriority w:val="99"/>
    <w:semiHidden/>
    <w:unhideWhenUsed/>
    <w:rsid w:val="004A397C"/>
    <w:pPr>
      <w:spacing w:after="120"/>
      <w:ind w:left="283"/>
    </w:pPr>
  </w:style>
  <w:style w:type="character" w:customStyle="1" w:styleId="BodyTextIndentChar">
    <w:name w:val="Body Text Indent Char"/>
    <w:basedOn w:val="DefaultParagraphFont"/>
    <w:link w:val="BodyTextIndent"/>
    <w:uiPriority w:val="99"/>
    <w:semiHidden/>
    <w:rsid w:val="004A397C"/>
  </w:style>
  <w:style w:type="character" w:styleId="Hyperlink">
    <w:name w:val="Hyperlink"/>
    <w:basedOn w:val="DefaultParagraphFont"/>
    <w:uiPriority w:val="99"/>
    <w:unhideWhenUsed/>
    <w:rsid w:val="004A397C"/>
    <w:rPr>
      <w:color w:val="0563C1" w:themeColor="hyperlink"/>
      <w:u w:val="single"/>
    </w:rPr>
  </w:style>
  <w:style w:type="character" w:customStyle="1" w:styleId="Heading2Char">
    <w:name w:val="Heading 2 Char"/>
    <w:basedOn w:val="DefaultParagraphFont"/>
    <w:link w:val="Heading2"/>
    <w:uiPriority w:val="9"/>
    <w:semiHidden/>
    <w:rsid w:val="00C967E9"/>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40630E"/>
    <w:rPr>
      <w:i/>
      <w:iCs/>
    </w:rPr>
  </w:style>
  <w:style w:type="character" w:customStyle="1" w:styleId="Heading1Char">
    <w:name w:val="Heading 1 Char"/>
    <w:basedOn w:val="DefaultParagraphFont"/>
    <w:link w:val="Heading1"/>
    <w:uiPriority w:val="9"/>
    <w:rsid w:val="00EE25FF"/>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5F2FF6"/>
    <w:rPr>
      <w:b/>
      <w:bCs/>
    </w:rPr>
  </w:style>
  <w:style w:type="table" w:styleId="TableGrid">
    <w:name w:val="Table Grid"/>
    <w:basedOn w:val="TableNormal"/>
    <w:uiPriority w:val="59"/>
    <w:rsid w:val="000E58B2"/>
    <w:pPr>
      <w:spacing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23304">
      <w:bodyDiv w:val="1"/>
      <w:marLeft w:val="0"/>
      <w:marRight w:val="0"/>
      <w:marTop w:val="0"/>
      <w:marBottom w:val="0"/>
      <w:divBdr>
        <w:top w:val="none" w:sz="0" w:space="0" w:color="auto"/>
        <w:left w:val="none" w:sz="0" w:space="0" w:color="auto"/>
        <w:bottom w:val="none" w:sz="0" w:space="0" w:color="auto"/>
        <w:right w:val="none" w:sz="0" w:space="0" w:color="auto"/>
      </w:divBdr>
    </w:div>
    <w:div w:id="162085227">
      <w:bodyDiv w:val="1"/>
      <w:marLeft w:val="0"/>
      <w:marRight w:val="0"/>
      <w:marTop w:val="0"/>
      <w:marBottom w:val="0"/>
      <w:divBdr>
        <w:top w:val="none" w:sz="0" w:space="0" w:color="auto"/>
        <w:left w:val="none" w:sz="0" w:space="0" w:color="auto"/>
        <w:bottom w:val="none" w:sz="0" w:space="0" w:color="auto"/>
        <w:right w:val="none" w:sz="0" w:space="0" w:color="auto"/>
      </w:divBdr>
    </w:div>
    <w:div w:id="354699127">
      <w:bodyDiv w:val="1"/>
      <w:marLeft w:val="0"/>
      <w:marRight w:val="0"/>
      <w:marTop w:val="0"/>
      <w:marBottom w:val="0"/>
      <w:divBdr>
        <w:top w:val="none" w:sz="0" w:space="0" w:color="auto"/>
        <w:left w:val="none" w:sz="0" w:space="0" w:color="auto"/>
        <w:bottom w:val="none" w:sz="0" w:space="0" w:color="auto"/>
        <w:right w:val="none" w:sz="0" w:space="0" w:color="auto"/>
      </w:divBdr>
      <w:divsChild>
        <w:div w:id="1171869438">
          <w:marLeft w:val="0"/>
          <w:marRight w:val="0"/>
          <w:marTop w:val="0"/>
          <w:marBottom w:val="0"/>
          <w:divBdr>
            <w:top w:val="none" w:sz="0" w:space="0" w:color="auto"/>
            <w:left w:val="none" w:sz="0" w:space="0" w:color="auto"/>
            <w:bottom w:val="none" w:sz="0" w:space="0" w:color="auto"/>
            <w:right w:val="none" w:sz="0" w:space="0" w:color="auto"/>
          </w:divBdr>
        </w:div>
      </w:divsChild>
    </w:div>
    <w:div w:id="372582950">
      <w:bodyDiv w:val="1"/>
      <w:marLeft w:val="0"/>
      <w:marRight w:val="0"/>
      <w:marTop w:val="0"/>
      <w:marBottom w:val="0"/>
      <w:divBdr>
        <w:top w:val="none" w:sz="0" w:space="0" w:color="auto"/>
        <w:left w:val="none" w:sz="0" w:space="0" w:color="auto"/>
        <w:bottom w:val="none" w:sz="0" w:space="0" w:color="auto"/>
        <w:right w:val="none" w:sz="0" w:space="0" w:color="auto"/>
      </w:divBdr>
    </w:div>
    <w:div w:id="488404564">
      <w:bodyDiv w:val="1"/>
      <w:marLeft w:val="0"/>
      <w:marRight w:val="0"/>
      <w:marTop w:val="0"/>
      <w:marBottom w:val="0"/>
      <w:divBdr>
        <w:top w:val="none" w:sz="0" w:space="0" w:color="auto"/>
        <w:left w:val="none" w:sz="0" w:space="0" w:color="auto"/>
        <w:bottom w:val="none" w:sz="0" w:space="0" w:color="auto"/>
        <w:right w:val="none" w:sz="0" w:space="0" w:color="auto"/>
      </w:divBdr>
    </w:div>
    <w:div w:id="650985128">
      <w:bodyDiv w:val="1"/>
      <w:marLeft w:val="0"/>
      <w:marRight w:val="0"/>
      <w:marTop w:val="0"/>
      <w:marBottom w:val="0"/>
      <w:divBdr>
        <w:top w:val="none" w:sz="0" w:space="0" w:color="auto"/>
        <w:left w:val="none" w:sz="0" w:space="0" w:color="auto"/>
        <w:bottom w:val="none" w:sz="0" w:space="0" w:color="auto"/>
        <w:right w:val="none" w:sz="0" w:space="0" w:color="auto"/>
      </w:divBdr>
    </w:div>
    <w:div w:id="762410744">
      <w:bodyDiv w:val="1"/>
      <w:marLeft w:val="0"/>
      <w:marRight w:val="0"/>
      <w:marTop w:val="0"/>
      <w:marBottom w:val="0"/>
      <w:divBdr>
        <w:top w:val="none" w:sz="0" w:space="0" w:color="auto"/>
        <w:left w:val="none" w:sz="0" w:space="0" w:color="auto"/>
        <w:bottom w:val="none" w:sz="0" w:space="0" w:color="auto"/>
        <w:right w:val="none" w:sz="0" w:space="0" w:color="auto"/>
      </w:divBdr>
      <w:divsChild>
        <w:div w:id="1072579830">
          <w:marLeft w:val="0"/>
          <w:marRight w:val="0"/>
          <w:marTop w:val="0"/>
          <w:marBottom w:val="0"/>
          <w:divBdr>
            <w:top w:val="none" w:sz="0" w:space="0" w:color="auto"/>
            <w:left w:val="none" w:sz="0" w:space="0" w:color="auto"/>
            <w:bottom w:val="none" w:sz="0" w:space="0" w:color="auto"/>
            <w:right w:val="none" w:sz="0" w:space="0" w:color="auto"/>
          </w:divBdr>
        </w:div>
      </w:divsChild>
    </w:div>
    <w:div w:id="803084561">
      <w:bodyDiv w:val="1"/>
      <w:marLeft w:val="0"/>
      <w:marRight w:val="0"/>
      <w:marTop w:val="0"/>
      <w:marBottom w:val="0"/>
      <w:divBdr>
        <w:top w:val="none" w:sz="0" w:space="0" w:color="auto"/>
        <w:left w:val="none" w:sz="0" w:space="0" w:color="auto"/>
        <w:bottom w:val="none" w:sz="0" w:space="0" w:color="auto"/>
        <w:right w:val="none" w:sz="0" w:space="0" w:color="auto"/>
      </w:divBdr>
      <w:divsChild>
        <w:div w:id="1061515308">
          <w:marLeft w:val="0"/>
          <w:marRight w:val="0"/>
          <w:marTop w:val="0"/>
          <w:marBottom w:val="0"/>
          <w:divBdr>
            <w:top w:val="none" w:sz="0" w:space="0" w:color="auto"/>
            <w:left w:val="none" w:sz="0" w:space="0" w:color="auto"/>
            <w:bottom w:val="none" w:sz="0" w:space="0" w:color="auto"/>
            <w:right w:val="none" w:sz="0" w:space="0" w:color="auto"/>
          </w:divBdr>
        </w:div>
        <w:div w:id="1569880577">
          <w:marLeft w:val="0"/>
          <w:marRight w:val="0"/>
          <w:marTop w:val="0"/>
          <w:marBottom w:val="0"/>
          <w:divBdr>
            <w:top w:val="none" w:sz="0" w:space="0" w:color="auto"/>
            <w:left w:val="none" w:sz="0" w:space="0" w:color="auto"/>
            <w:bottom w:val="none" w:sz="0" w:space="0" w:color="auto"/>
            <w:right w:val="none" w:sz="0" w:space="0" w:color="auto"/>
          </w:divBdr>
        </w:div>
      </w:divsChild>
    </w:div>
    <w:div w:id="871649864">
      <w:bodyDiv w:val="1"/>
      <w:marLeft w:val="0"/>
      <w:marRight w:val="0"/>
      <w:marTop w:val="0"/>
      <w:marBottom w:val="0"/>
      <w:divBdr>
        <w:top w:val="none" w:sz="0" w:space="0" w:color="auto"/>
        <w:left w:val="none" w:sz="0" w:space="0" w:color="auto"/>
        <w:bottom w:val="none" w:sz="0" w:space="0" w:color="auto"/>
        <w:right w:val="none" w:sz="0" w:space="0" w:color="auto"/>
      </w:divBdr>
      <w:divsChild>
        <w:div w:id="901450349">
          <w:marLeft w:val="0"/>
          <w:marRight w:val="0"/>
          <w:marTop w:val="0"/>
          <w:marBottom w:val="0"/>
          <w:divBdr>
            <w:top w:val="none" w:sz="0" w:space="0" w:color="auto"/>
            <w:left w:val="none" w:sz="0" w:space="0" w:color="auto"/>
            <w:bottom w:val="none" w:sz="0" w:space="0" w:color="auto"/>
            <w:right w:val="none" w:sz="0" w:space="0" w:color="auto"/>
          </w:divBdr>
        </w:div>
        <w:div w:id="1371883186">
          <w:marLeft w:val="0"/>
          <w:marRight w:val="0"/>
          <w:marTop w:val="0"/>
          <w:marBottom w:val="0"/>
          <w:divBdr>
            <w:top w:val="none" w:sz="0" w:space="0" w:color="auto"/>
            <w:left w:val="none" w:sz="0" w:space="0" w:color="auto"/>
            <w:bottom w:val="none" w:sz="0" w:space="0" w:color="auto"/>
            <w:right w:val="none" w:sz="0" w:space="0" w:color="auto"/>
          </w:divBdr>
        </w:div>
      </w:divsChild>
    </w:div>
    <w:div w:id="907501398">
      <w:bodyDiv w:val="1"/>
      <w:marLeft w:val="0"/>
      <w:marRight w:val="0"/>
      <w:marTop w:val="0"/>
      <w:marBottom w:val="0"/>
      <w:divBdr>
        <w:top w:val="none" w:sz="0" w:space="0" w:color="auto"/>
        <w:left w:val="none" w:sz="0" w:space="0" w:color="auto"/>
        <w:bottom w:val="none" w:sz="0" w:space="0" w:color="auto"/>
        <w:right w:val="none" w:sz="0" w:space="0" w:color="auto"/>
      </w:divBdr>
    </w:div>
    <w:div w:id="1153451180">
      <w:bodyDiv w:val="1"/>
      <w:marLeft w:val="0"/>
      <w:marRight w:val="0"/>
      <w:marTop w:val="0"/>
      <w:marBottom w:val="0"/>
      <w:divBdr>
        <w:top w:val="none" w:sz="0" w:space="0" w:color="auto"/>
        <w:left w:val="none" w:sz="0" w:space="0" w:color="auto"/>
        <w:bottom w:val="none" w:sz="0" w:space="0" w:color="auto"/>
        <w:right w:val="none" w:sz="0" w:space="0" w:color="auto"/>
      </w:divBdr>
      <w:divsChild>
        <w:div w:id="1807892036">
          <w:marLeft w:val="0"/>
          <w:marRight w:val="0"/>
          <w:marTop w:val="0"/>
          <w:marBottom w:val="0"/>
          <w:divBdr>
            <w:top w:val="none" w:sz="0" w:space="0" w:color="auto"/>
            <w:left w:val="none" w:sz="0" w:space="0" w:color="auto"/>
            <w:bottom w:val="none" w:sz="0" w:space="0" w:color="auto"/>
            <w:right w:val="none" w:sz="0" w:space="0" w:color="auto"/>
          </w:divBdr>
        </w:div>
        <w:div w:id="702902643">
          <w:marLeft w:val="0"/>
          <w:marRight w:val="0"/>
          <w:marTop w:val="0"/>
          <w:marBottom w:val="0"/>
          <w:divBdr>
            <w:top w:val="none" w:sz="0" w:space="0" w:color="auto"/>
            <w:left w:val="none" w:sz="0" w:space="0" w:color="auto"/>
            <w:bottom w:val="none" w:sz="0" w:space="0" w:color="auto"/>
            <w:right w:val="none" w:sz="0" w:space="0" w:color="auto"/>
          </w:divBdr>
        </w:div>
        <w:div w:id="866525988">
          <w:marLeft w:val="0"/>
          <w:marRight w:val="0"/>
          <w:marTop w:val="0"/>
          <w:marBottom w:val="0"/>
          <w:divBdr>
            <w:top w:val="none" w:sz="0" w:space="0" w:color="auto"/>
            <w:left w:val="none" w:sz="0" w:space="0" w:color="auto"/>
            <w:bottom w:val="none" w:sz="0" w:space="0" w:color="auto"/>
            <w:right w:val="none" w:sz="0" w:space="0" w:color="auto"/>
          </w:divBdr>
        </w:div>
        <w:div w:id="2024359745">
          <w:marLeft w:val="0"/>
          <w:marRight w:val="0"/>
          <w:marTop w:val="0"/>
          <w:marBottom w:val="0"/>
          <w:divBdr>
            <w:top w:val="none" w:sz="0" w:space="0" w:color="auto"/>
            <w:left w:val="none" w:sz="0" w:space="0" w:color="auto"/>
            <w:bottom w:val="none" w:sz="0" w:space="0" w:color="auto"/>
            <w:right w:val="none" w:sz="0" w:space="0" w:color="auto"/>
          </w:divBdr>
        </w:div>
        <w:div w:id="319122326">
          <w:marLeft w:val="0"/>
          <w:marRight w:val="0"/>
          <w:marTop w:val="0"/>
          <w:marBottom w:val="0"/>
          <w:divBdr>
            <w:top w:val="none" w:sz="0" w:space="0" w:color="auto"/>
            <w:left w:val="none" w:sz="0" w:space="0" w:color="auto"/>
            <w:bottom w:val="none" w:sz="0" w:space="0" w:color="auto"/>
            <w:right w:val="none" w:sz="0" w:space="0" w:color="auto"/>
          </w:divBdr>
        </w:div>
        <w:div w:id="846210024">
          <w:marLeft w:val="0"/>
          <w:marRight w:val="0"/>
          <w:marTop w:val="0"/>
          <w:marBottom w:val="0"/>
          <w:divBdr>
            <w:top w:val="none" w:sz="0" w:space="0" w:color="auto"/>
            <w:left w:val="none" w:sz="0" w:space="0" w:color="auto"/>
            <w:bottom w:val="none" w:sz="0" w:space="0" w:color="auto"/>
            <w:right w:val="none" w:sz="0" w:space="0" w:color="auto"/>
          </w:divBdr>
        </w:div>
        <w:div w:id="994146867">
          <w:marLeft w:val="0"/>
          <w:marRight w:val="0"/>
          <w:marTop w:val="0"/>
          <w:marBottom w:val="0"/>
          <w:divBdr>
            <w:top w:val="none" w:sz="0" w:space="0" w:color="auto"/>
            <w:left w:val="none" w:sz="0" w:space="0" w:color="auto"/>
            <w:bottom w:val="none" w:sz="0" w:space="0" w:color="auto"/>
            <w:right w:val="none" w:sz="0" w:space="0" w:color="auto"/>
          </w:divBdr>
        </w:div>
      </w:divsChild>
    </w:div>
    <w:div w:id="1166480131">
      <w:bodyDiv w:val="1"/>
      <w:marLeft w:val="0"/>
      <w:marRight w:val="0"/>
      <w:marTop w:val="0"/>
      <w:marBottom w:val="0"/>
      <w:divBdr>
        <w:top w:val="none" w:sz="0" w:space="0" w:color="auto"/>
        <w:left w:val="none" w:sz="0" w:space="0" w:color="auto"/>
        <w:bottom w:val="none" w:sz="0" w:space="0" w:color="auto"/>
        <w:right w:val="none" w:sz="0" w:space="0" w:color="auto"/>
      </w:divBdr>
      <w:divsChild>
        <w:div w:id="617106562">
          <w:marLeft w:val="-240"/>
          <w:marRight w:val="0"/>
          <w:marTop w:val="0"/>
          <w:marBottom w:val="0"/>
          <w:divBdr>
            <w:top w:val="none" w:sz="0" w:space="0" w:color="auto"/>
            <w:left w:val="none" w:sz="0" w:space="0" w:color="auto"/>
            <w:bottom w:val="none" w:sz="0" w:space="0" w:color="auto"/>
            <w:right w:val="none" w:sz="0" w:space="0" w:color="auto"/>
          </w:divBdr>
        </w:div>
      </w:divsChild>
    </w:div>
    <w:div w:id="1221474843">
      <w:bodyDiv w:val="1"/>
      <w:marLeft w:val="0"/>
      <w:marRight w:val="0"/>
      <w:marTop w:val="0"/>
      <w:marBottom w:val="0"/>
      <w:divBdr>
        <w:top w:val="none" w:sz="0" w:space="0" w:color="auto"/>
        <w:left w:val="none" w:sz="0" w:space="0" w:color="auto"/>
        <w:bottom w:val="none" w:sz="0" w:space="0" w:color="auto"/>
        <w:right w:val="none" w:sz="0" w:space="0" w:color="auto"/>
      </w:divBdr>
      <w:divsChild>
        <w:div w:id="1100294899">
          <w:marLeft w:val="-210"/>
          <w:marRight w:val="0"/>
          <w:marTop w:val="0"/>
          <w:marBottom w:val="0"/>
          <w:divBdr>
            <w:top w:val="none" w:sz="0" w:space="0" w:color="auto"/>
            <w:left w:val="none" w:sz="0" w:space="0" w:color="auto"/>
            <w:bottom w:val="none" w:sz="0" w:space="0" w:color="auto"/>
            <w:right w:val="none" w:sz="0" w:space="0" w:color="auto"/>
          </w:divBdr>
        </w:div>
      </w:divsChild>
    </w:div>
    <w:div w:id="1315522288">
      <w:bodyDiv w:val="1"/>
      <w:marLeft w:val="0"/>
      <w:marRight w:val="0"/>
      <w:marTop w:val="0"/>
      <w:marBottom w:val="0"/>
      <w:divBdr>
        <w:top w:val="none" w:sz="0" w:space="0" w:color="auto"/>
        <w:left w:val="none" w:sz="0" w:space="0" w:color="auto"/>
        <w:bottom w:val="none" w:sz="0" w:space="0" w:color="auto"/>
        <w:right w:val="none" w:sz="0" w:space="0" w:color="auto"/>
      </w:divBdr>
      <w:divsChild>
        <w:div w:id="32971163">
          <w:marLeft w:val="0"/>
          <w:marRight w:val="0"/>
          <w:marTop w:val="0"/>
          <w:marBottom w:val="0"/>
          <w:divBdr>
            <w:top w:val="none" w:sz="0" w:space="0" w:color="auto"/>
            <w:left w:val="none" w:sz="0" w:space="0" w:color="auto"/>
            <w:bottom w:val="none" w:sz="0" w:space="0" w:color="auto"/>
            <w:right w:val="none" w:sz="0" w:space="0" w:color="auto"/>
          </w:divBdr>
        </w:div>
        <w:div w:id="1799031450">
          <w:marLeft w:val="0"/>
          <w:marRight w:val="0"/>
          <w:marTop w:val="0"/>
          <w:marBottom w:val="0"/>
          <w:divBdr>
            <w:top w:val="none" w:sz="0" w:space="0" w:color="auto"/>
            <w:left w:val="none" w:sz="0" w:space="0" w:color="auto"/>
            <w:bottom w:val="none" w:sz="0" w:space="0" w:color="auto"/>
            <w:right w:val="none" w:sz="0" w:space="0" w:color="auto"/>
          </w:divBdr>
        </w:div>
        <w:div w:id="1137991775">
          <w:marLeft w:val="0"/>
          <w:marRight w:val="0"/>
          <w:marTop w:val="0"/>
          <w:marBottom w:val="0"/>
          <w:divBdr>
            <w:top w:val="none" w:sz="0" w:space="0" w:color="auto"/>
            <w:left w:val="none" w:sz="0" w:space="0" w:color="auto"/>
            <w:bottom w:val="none" w:sz="0" w:space="0" w:color="auto"/>
            <w:right w:val="none" w:sz="0" w:space="0" w:color="auto"/>
          </w:divBdr>
        </w:div>
      </w:divsChild>
    </w:div>
    <w:div w:id="1352335367">
      <w:bodyDiv w:val="1"/>
      <w:marLeft w:val="0"/>
      <w:marRight w:val="0"/>
      <w:marTop w:val="0"/>
      <w:marBottom w:val="0"/>
      <w:divBdr>
        <w:top w:val="none" w:sz="0" w:space="0" w:color="auto"/>
        <w:left w:val="none" w:sz="0" w:space="0" w:color="auto"/>
        <w:bottom w:val="none" w:sz="0" w:space="0" w:color="auto"/>
        <w:right w:val="none" w:sz="0" w:space="0" w:color="auto"/>
      </w:divBdr>
      <w:divsChild>
        <w:div w:id="1364860549">
          <w:marLeft w:val="0"/>
          <w:marRight w:val="0"/>
          <w:marTop w:val="0"/>
          <w:marBottom w:val="0"/>
          <w:divBdr>
            <w:top w:val="none" w:sz="0" w:space="0" w:color="auto"/>
            <w:left w:val="none" w:sz="0" w:space="0" w:color="auto"/>
            <w:bottom w:val="none" w:sz="0" w:space="0" w:color="auto"/>
            <w:right w:val="none" w:sz="0" w:space="0" w:color="auto"/>
          </w:divBdr>
        </w:div>
        <w:div w:id="670177802">
          <w:marLeft w:val="0"/>
          <w:marRight w:val="0"/>
          <w:marTop w:val="0"/>
          <w:marBottom w:val="0"/>
          <w:divBdr>
            <w:top w:val="none" w:sz="0" w:space="0" w:color="auto"/>
            <w:left w:val="none" w:sz="0" w:space="0" w:color="auto"/>
            <w:bottom w:val="none" w:sz="0" w:space="0" w:color="auto"/>
            <w:right w:val="none" w:sz="0" w:space="0" w:color="auto"/>
          </w:divBdr>
        </w:div>
        <w:div w:id="906038465">
          <w:marLeft w:val="0"/>
          <w:marRight w:val="0"/>
          <w:marTop w:val="0"/>
          <w:marBottom w:val="0"/>
          <w:divBdr>
            <w:top w:val="none" w:sz="0" w:space="0" w:color="auto"/>
            <w:left w:val="none" w:sz="0" w:space="0" w:color="auto"/>
            <w:bottom w:val="none" w:sz="0" w:space="0" w:color="auto"/>
            <w:right w:val="none" w:sz="0" w:space="0" w:color="auto"/>
          </w:divBdr>
        </w:div>
      </w:divsChild>
    </w:div>
    <w:div w:id="1384868850">
      <w:bodyDiv w:val="1"/>
      <w:marLeft w:val="0"/>
      <w:marRight w:val="0"/>
      <w:marTop w:val="0"/>
      <w:marBottom w:val="0"/>
      <w:divBdr>
        <w:top w:val="none" w:sz="0" w:space="0" w:color="auto"/>
        <w:left w:val="none" w:sz="0" w:space="0" w:color="auto"/>
        <w:bottom w:val="none" w:sz="0" w:space="0" w:color="auto"/>
        <w:right w:val="none" w:sz="0" w:space="0" w:color="auto"/>
      </w:divBdr>
      <w:divsChild>
        <w:div w:id="2016297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5654223">
              <w:marLeft w:val="0"/>
              <w:marRight w:val="0"/>
              <w:marTop w:val="0"/>
              <w:marBottom w:val="0"/>
              <w:divBdr>
                <w:top w:val="none" w:sz="0" w:space="0" w:color="auto"/>
                <w:left w:val="none" w:sz="0" w:space="0" w:color="auto"/>
                <w:bottom w:val="none" w:sz="0" w:space="0" w:color="auto"/>
                <w:right w:val="none" w:sz="0" w:space="0" w:color="auto"/>
              </w:divBdr>
              <w:divsChild>
                <w:div w:id="20325599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278825">
                      <w:marLeft w:val="0"/>
                      <w:marRight w:val="0"/>
                      <w:marTop w:val="0"/>
                      <w:marBottom w:val="0"/>
                      <w:divBdr>
                        <w:top w:val="none" w:sz="0" w:space="0" w:color="auto"/>
                        <w:left w:val="none" w:sz="0" w:space="0" w:color="auto"/>
                        <w:bottom w:val="none" w:sz="0" w:space="0" w:color="auto"/>
                        <w:right w:val="none" w:sz="0" w:space="0" w:color="auto"/>
                      </w:divBdr>
                      <w:divsChild>
                        <w:div w:id="2065250201">
                          <w:marLeft w:val="0"/>
                          <w:marRight w:val="0"/>
                          <w:marTop w:val="0"/>
                          <w:marBottom w:val="0"/>
                          <w:divBdr>
                            <w:top w:val="none" w:sz="0" w:space="0" w:color="auto"/>
                            <w:left w:val="none" w:sz="0" w:space="0" w:color="auto"/>
                            <w:bottom w:val="none" w:sz="0" w:space="0" w:color="auto"/>
                            <w:right w:val="none" w:sz="0" w:space="0" w:color="auto"/>
                          </w:divBdr>
                          <w:divsChild>
                            <w:div w:id="1958102598">
                              <w:marLeft w:val="0"/>
                              <w:marRight w:val="0"/>
                              <w:marTop w:val="0"/>
                              <w:marBottom w:val="0"/>
                              <w:divBdr>
                                <w:top w:val="none" w:sz="0" w:space="0" w:color="auto"/>
                                <w:left w:val="none" w:sz="0" w:space="0" w:color="auto"/>
                                <w:bottom w:val="none" w:sz="0" w:space="0" w:color="auto"/>
                                <w:right w:val="none" w:sz="0" w:space="0" w:color="auto"/>
                              </w:divBdr>
                              <w:divsChild>
                                <w:div w:id="367948050">
                                  <w:marLeft w:val="0"/>
                                  <w:marRight w:val="0"/>
                                  <w:marTop w:val="0"/>
                                  <w:marBottom w:val="0"/>
                                  <w:divBdr>
                                    <w:top w:val="none" w:sz="0" w:space="0" w:color="auto"/>
                                    <w:left w:val="none" w:sz="0" w:space="0" w:color="auto"/>
                                    <w:bottom w:val="none" w:sz="0" w:space="0" w:color="auto"/>
                                    <w:right w:val="none" w:sz="0" w:space="0" w:color="auto"/>
                                  </w:divBdr>
                                  <w:divsChild>
                                    <w:div w:id="1004821674">
                                      <w:marLeft w:val="0"/>
                                      <w:marRight w:val="0"/>
                                      <w:marTop w:val="240"/>
                                      <w:marBottom w:val="240"/>
                                      <w:divBdr>
                                        <w:top w:val="none" w:sz="0" w:space="0" w:color="auto"/>
                                        <w:left w:val="none" w:sz="0" w:space="0" w:color="auto"/>
                                        <w:bottom w:val="none" w:sz="0" w:space="0" w:color="auto"/>
                                        <w:right w:val="none" w:sz="0" w:space="0" w:color="auto"/>
                                      </w:divBdr>
                                      <w:divsChild>
                                        <w:div w:id="2083673479">
                                          <w:marLeft w:val="0"/>
                                          <w:marRight w:val="0"/>
                                          <w:marTop w:val="0"/>
                                          <w:marBottom w:val="0"/>
                                          <w:divBdr>
                                            <w:top w:val="none" w:sz="0" w:space="0" w:color="auto"/>
                                            <w:left w:val="none" w:sz="0" w:space="0" w:color="auto"/>
                                            <w:bottom w:val="none" w:sz="0" w:space="0" w:color="auto"/>
                                            <w:right w:val="none" w:sz="0" w:space="0" w:color="auto"/>
                                          </w:divBdr>
                                          <w:divsChild>
                                            <w:div w:id="938442567">
                                              <w:marLeft w:val="0"/>
                                              <w:marRight w:val="0"/>
                                              <w:marTop w:val="0"/>
                                              <w:marBottom w:val="0"/>
                                              <w:divBdr>
                                                <w:top w:val="none" w:sz="0" w:space="0" w:color="auto"/>
                                                <w:left w:val="none" w:sz="0" w:space="0" w:color="auto"/>
                                                <w:bottom w:val="none" w:sz="0" w:space="0" w:color="auto"/>
                                                <w:right w:val="none" w:sz="0" w:space="0" w:color="auto"/>
                                              </w:divBdr>
                                              <w:divsChild>
                                                <w:div w:id="2018656215">
                                                  <w:marLeft w:val="0"/>
                                                  <w:marRight w:val="0"/>
                                                  <w:marTop w:val="0"/>
                                                  <w:marBottom w:val="0"/>
                                                  <w:divBdr>
                                                    <w:top w:val="none" w:sz="0" w:space="0" w:color="auto"/>
                                                    <w:left w:val="none" w:sz="0" w:space="0" w:color="auto"/>
                                                    <w:bottom w:val="none" w:sz="0" w:space="0" w:color="auto"/>
                                                    <w:right w:val="none" w:sz="0" w:space="0" w:color="auto"/>
                                                  </w:divBdr>
                                                  <w:divsChild>
                                                    <w:div w:id="139466887">
                                                      <w:marLeft w:val="0"/>
                                                      <w:marRight w:val="0"/>
                                                      <w:marTop w:val="0"/>
                                                      <w:marBottom w:val="0"/>
                                                      <w:divBdr>
                                                        <w:top w:val="none" w:sz="0" w:space="0" w:color="auto"/>
                                                        <w:left w:val="none" w:sz="0" w:space="0" w:color="auto"/>
                                                        <w:bottom w:val="none" w:sz="0" w:space="0" w:color="auto"/>
                                                        <w:right w:val="none" w:sz="0" w:space="0" w:color="auto"/>
                                                      </w:divBdr>
                                                      <w:divsChild>
                                                        <w:div w:id="942343763">
                                                          <w:marLeft w:val="0"/>
                                                          <w:marRight w:val="0"/>
                                                          <w:marTop w:val="0"/>
                                                          <w:marBottom w:val="0"/>
                                                          <w:divBdr>
                                                            <w:top w:val="none" w:sz="0" w:space="0" w:color="auto"/>
                                                            <w:left w:val="none" w:sz="0" w:space="0" w:color="auto"/>
                                                            <w:bottom w:val="none" w:sz="0" w:space="0" w:color="auto"/>
                                                            <w:right w:val="none" w:sz="0" w:space="0" w:color="auto"/>
                                                          </w:divBdr>
                                                        </w:div>
                                                        <w:div w:id="941689324">
                                                          <w:marLeft w:val="0"/>
                                                          <w:marRight w:val="0"/>
                                                          <w:marTop w:val="0"/>
                                                          <w:marBottom w:val="0"/>
                                                          <w:divBdr>
                                                            <w:top w:val="none" w:sz="0" w:space="0" w:color="auto"/>
                                                            <w:left w:val="none" w:sz="0" w:space="0" w:color="auto"/>
                                                            <w:bottom w:val="none" w:sz="0" w:space="0" w:color="auto"/>
                                                            <w:right w:val="none" w:sz="0" w:space="0" w:color="auto"/>
                                                          </w:divBdr>
                                                        </w:div>
                                                        <w:div w:id="1021861216">
                                                          <w:marLeft w:val="0"/>
                                                          <w:marRight w:val="0"/>
                                                          <w:marTop w:val="0"/>
                                                          <w:marBottom w:val="0"/>
                                                          <w:divBdr>
                                                            <w:top w:val="none" w:sz="0" w:space="0" w:color="auto"/>
                                                            <w:left w:val="none" w:sz="0" w:space="0" w:color="auto"/>
                                                            <w:bottom w:val="none" w:sz="0" w:space="0" w:color="auto"/>
                                                            <w:right w:val="none" w:sz="0" w:space="0" w:color="auto"/>
                                                          </w:divBdr>
                                                        </w:div>
                                                        <w:div w:id="1083919328">
                                                          <w:marLeft w:val="0"/>
                                                          <w:marRight w:val="0"/>
                                                          <w:marTop w:val="0"/>
                                                          <w:marBottom w:val="0"/>
                                                          <w:divBdr>
                                                            <w:top w:val="none" w:sz="0" w:space="0" w:color="auto"/>
                                                            <w:left w:val="none" w:sz="0" w:space="0" w:color="auto"/>
                                                            <w:bottom w:val="none" w:sz="0" w:space="0" w:color="auto"/>
                                                            <w:right w:val="none" w:sz="0" w:space="0" w:color="auto"/>
                                                          </w:divBdr>
                                                        </w:div>
                                                        <w:div w:id="1606379894">
                                                          <w:marLeft w:val="0"/>
                                                          <w:marRight w:val="0"/>
                                                          <w:marTop w:val="0"/>
                                                          <w:marBottom w:val="0"/>
                                                          <w:divBdr>
                                                            <w:top w:val="none" w:sz="0" w:space="0" w:color="auto"/>
                                                            <w:left w:val="none" w:sz="0" w:space="0" w:color="auto"/>
                                                            <w:bottom w:val="none" w:sz="0" w:space="0" w:color="auto"/>
                                                            <w:right w:val="none" w:sz="0" w:space="0" w:color="auto"/>
                                                          </w:divBdr>
                                                        </w:div>
                                                        <w:div w:id="185002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5805048">
      <w:bodyDiv w:val="1"/>
      <w:marLeft w:val="0"/>
      <w:marRight w:val="0"/>
      <w:marTop w:val="0"/>
      <w:marBottom w:val="0"/>
      <w:divBdr>
        <w:top w:val="none" w:sz="0" w:space="0" w:color="auto"/>
        <w:left w:val="none" w:sz="0" w:space="0" w:color="auto"/>
        <w:bottom w:val="none" w:sz="0" w:space="0" w:color="auto"/>
        <w:right w:val="none" w:sz="0" w:space="0" w:color="auto"/>
      </w:divBdr>
    </w:div>
    <w:div w:id="1731952166">
      <w:bodyDiv w:val="1"/>
      <w:marLeft w:val="0"/>
      <w:marRight w:val="0"/>
      <w:marTop w:val="0"/>
      <w:marBottom w:val="0"/>
      <w:divBdr>
        <w:top w:val="none" w:sz="0" w:space="0" w:color="auto"/>
        <w:left w:val="none" w:sz="0" w:space="0" w:color="auto"/>
        <w:bottom w:val="none" w:sz="0" w:space="0" w:color="auto"/>
        <w:right w:val="none" w:sz="0" w:space="0" w:color="auto"/>
      </w:divBdr>
      <w:divsChild>
        <w:div w:id="1759867664">
          <w:marLeft w:val="0"/>
          <w:marRight w:val="0"/>
          <w:marTop w:val="0"/>
          <w:marBottom w:val="0"/>
          <w:divBdr>
            <w:top w:val="none" w:sz="0" w:space="0" w:color="auto"/>
            <w:left w:val="none" w:sz="0" w:space="0" w:color="auto"/>
            <w:bottom w:val="none" w:sz="0" w:space="0" w:color="auto"/>
            <w:right w:val="none" w:sz="0" w:space="0" w:color="auto"/>
          </w:divBdr>
        </w:div>
        <w:div w:id="1701199610">
          <w:marLeft w:val="0"/>
          <w:marRight w:val="0"/>
          <w:marTop w:val="0"/>
          <w:marBottom w:val="0"/>
          <w:divBdr>
            <w:top w:val="none" w:sz="0" w:space="0" w:color="auto"/>
            <w:left w:val="none" w:sz="0" w:space="0" w:color="auto"/>
            <w:bottom w:val="none" w:sz="0" w:space="0" w:color="auto"/>
            <w:right w:val="none" w:sz="0" w:space="0" w:color="auto"/>
          </w:divBdr>
        </w:div>
      </w:divsChild>
    </w:div>
    <w:div w:id="1989090171">
      <w:bodyDiv w:val="1"/>
      <w:marLeft w:val="0"/>
      <w:marRight w:val="0"/>
      <w:marTop w:val="0"/>
      <w:marBottom w:val="0"/>
      <w:divBdr>
        <w:top w:val="none" w:sz="0" w:space="0" w:color="auto"/>
        <w:left w:val="none" w:sz="0" w:space="0" w:color="auto"/>
        <w:bottom w:val="none" w:sz="0" w:space="0" w:color="auto"/>
        <w:right w:val="none" w:sz="0" w:space="0" w:color="auto"/>
      </w:divBdr>
    </w:div>
    <w:div w:id="1992900769">
      <w:bodyDiv w:val="1"/>
      <w:marLeft w:val="0"/>
      <w:marRight w:val="0"/>
      <w:marTop w:val="0"/>
      <w:marBottom w:val="0"/>
      <w:divBdr>
        <w:top w:val="none" w:sz="0" w:space="0" w:color="auto"/>
        <w:left w:val="none" w:sz="0" w:space="0" w:color="auto"/>
        <w:bottom w:val="none" w:sz="0" w:space="0" w:color="auto"/>
        <w:right w:val="none" w:sz="0" w:space="0" w:color="auto"/>
      </w:divBdr>
    </w:div>
    <w:div w:id="203654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mailto:j.nicholl@sheffield.ac.uk"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jpeg"/><Relationship Id="rId40" Type="http://schemas.openxmlformats.org/officeDocument/2006/relationships/hyperlink" Target="mailto:ehoward-drake1@sheffield.ac.uk"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shef.ac.uk/ris/other/gov-ethics/ethicspolicy/approval-procedure/review-procedure/changes-made-after-approval"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8E8F4-6699-4C99-8E7C-AEE7C1852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TotalTime>
  <Pages>378</Pages>
  <Words>380416</Words>
  <Characters>2168376</Characters>
  <Application>Microsoft Office Word</Application>
  <DocSecurity>0</DocSecurity>
  <Lines>18069</Lines>
  <Paragraphs>5087</Paragraphs>
  <ScaleCrop>false</ScaleCrop>
  <HeadingPairs>
    <vt:vector size="2" baseType="variant">
      <vt:variant>
        <vt:lpstr>Title</vt:lpstr>
      </vt:variant>
      <vt:variant>
        <vt:i4>1</vt:i4>
      </vt:variant>
    </vt:vector>
  </HeadingPairs>
  <TitlesOfParts>
    <vt:vector size="1" baseType="lpstr">
      <vt:lpstr/>
    </vt:vector>
  </TitlesOfParts>
  <Company>Leicestershire County Council</Company>
  <LinksUpToDate>false</LinksUpToDate>
  <CharactersWithSpaces>2543705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dc:creator>
  <cp:lastModifiedBy>Emma</cp:lastModifiedBy>
  <cp:revision>44</cp:revision>
  <dcterms:created xsi:type="dcterms:W3CDTF">2017-11-01T00:59:00Z</dcterms:created>
  <dcterms:modified xsi:type="dcterms:W3CDTF">2017-11-03T09:51:00Z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http://csl.mendeley.com/styles/224102/Harvard-ScHARR-UniversityofSheffield</vt:lpwstr>
  </property>
  <property fmtid="{D5CDD505-2E9C-101B-9397-08002B2CF9AE}" pid="13" name="Mendeley Recent Style Name 5_1">
    <vt:lpwstr>Harvard - ScHARR - University of Sheffield - Citation Style - Andy Tattersall</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(author-date)</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y fmtid="{D5CDD505-2E9C-101B-9397-08002B2CF9AE}" pid="22" name="Mendeley Document_1">
    <vt:lpwstr>True</vt:lpwstr>
  </property>
  <property fmtid="{D5CDD505-2E9C-101B-9397-08002B2CF9AE}" pid="23" name="Mendeley Unique User Id_1">
    <vt:lpwstr>fc3128ed-2f83-3c70-8fba-68193cba6fbc</vt:lpwstr>
  </property>
  <property fmtid="{D5CDD505-2E9C-101B-9397-08002B2CF9AE}" pid="24" name="Mendeley Citation Style_1">
    <vt:lpwstr>http://csl.mendeley.com/styles/224102/Harvard-ScHARR-UniversityofSheffield</vt:lpwstr>
  </property>
</Properties>
</file>